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5C" w:rsidRDefault="00E44E5C" w:rsidP="00E44E5C">
      <w:pPr>
        <w:pStyle w:val="Heading1"/>
        <w:spacing w:before="0"/>
        <w:jc w:val="center"/>
      </w:pPr>
      <w:bookmarkStart w:id="0" w:name="_GoBack"/>
      <w:bookmarkEnd w:id="0"/>
      <w:r>
        <w:t>Statement of Continued Commitment:</w:t>
      </w:r>
    </w:p>
    <w:p w:rsidR="00E44E5C" w:rsidRDefault="00E44E5C" w:rsidP="00E44E5C">
      <w:pPr>
        <w:pStyle w:val="Heading1"/>
        <w:spacing w:before="0"/>
        <w:jc w:val="center"/>
      </w:pPr>
      <w:r>
        <w:t xml:space="preserve">National Disability Strategy 2010-2020 </w:t>
      </w:r>
    </w:p>
    <w:p w:rsidR="00B40D65" w:rsidRPr="00B40D65" w:rsidRDefault="00B40D65" w:rsidP="00E44E5C">
      <w:pPr>
        <w:pStyle w:val="Heading1"/>
        <w:spacing w:before="0"/>
        <w:jc w:val="center"/>
      </w:pPr>
    </w:p>
    <w:p w:rsidR="0085607A" w:rsidRPr="00936FF2" w:rsidRDefault="0085607A" w:rsidP="00936FF2">
      <w:pPr>
        <w:spacing w:after="120" w:line="288" w:lineRule="auto"/>
        <w:rPr>
          <w:rFonts w:cs="Arial"/>
          <w:szCs w:val="24"/>
        </w:rPr>
      </w:pPr>
      <w:r w:rsidRPr="00936FF2">
        <w:rPr>
          <w:rFonts w:cs="Arial"/>
          <w:szCs w:val="24"/>
        </w:rPr>
        <w:t xml:space="preserve">For a decade, the National Disability Strategy has provided a policy framework for disability reform and inclusive policy and program design across Australia. The Strategy was set to expire in 2020, and be replaced with a new Strategy to take us into the next decade. </w:t>
      </w:r>
    </w:p>
    <w:p w:rsidR="00FD349D" w:rsidRDefault="003E4AA5" w:rsidP="00936FF2">
      <w:pPr>
        <w:spacing w:after="120" w:line="288" w:lineRule="auto"/>
        <w:rPr>
          <w:rFonts w:cs="Arial"/>
          <w:szCs w:val="24"/>
        </w:rPr>
      </w:pPr>
      <w:r w:rsidRPr="00936FF2">
        <w:rPr>
          <w:rFonts w:cs="Arial"/>
          <w:szCs w:val="24"/>
        </w:rPr>
        <w:t>We are living th</w:t>
      </w:r>
      <w:r w:rsidR="00443AF1">
        <w:rPr>
          <w:rFonts w:cs="Arial"/>
          <w:szCs w:val="24"/>
        </w:rPr>
        <w:t>r</w:t>
      </w:r>
      <w:r w:rsidRPr="00936FF2">
        <w:rPr>
          <w:rFonts w:cs="Arial"/>
          <w:szCs w:val="24"/>
        </w:rPr>
        <w:t>ough a</w:t>
      </w:r>
      <w:r w:rsidR="00A134F1">
        <w:rPr>
          <w:rFonts w:cs="Arial"/>
          <w:szCs w:val="24"/>
        </w:rPr>
        <w:t xml:space="preserve"> once in a </w:t>
      </w:r>
      <w:r w:rsidRPr="00936FF2">
        <w:rPr>
          <w:rFonts w:cs="Arial"/>
          <w:szCs w:val="24"/>
        </w:rPr>
        <w:t xml:space="preserve">lifetime event that has challenged us, and brought us together. </w:t>
      </w:r>
      <w:r w:rsidR="00BE725E" w:rsidRPr="00936FF2">
        <w:rPr>
          <w:rFonts w:cs="Arial"/>
          <w:szCs w:val="24"/>
        </w:rPr>
        <w:t xml:space="preserve">The impact of COVID-19 has been wide reaching. </w:t>
      </w:r>
      <w:r w:rsidR="000708C2">
        <w:rPr>
          <w:rFonts w:cs="Arial"/>
          <w:szCs w:val="24"/>
        </w:rPr>
        <w:t>T</w:t>
      </w:r>
      <w:r w:rsidR="00FD349D" w:rsidRPr="00936FF2">
        <w:rPr>
          <w:rFonts w:cs="Arial"/>
          <w:szCs w:val="24"/>
        </w:rPr>
        <w:t>he development of the new Strategy has been restricted by current events</w:t>
      </w:r>
      <w:r w:rsidR="00EA084B">
        <w:rPr>
          <w:rFonts w:cs="Arial"/>
          <w:szCs w:val="24"/>
        </w:rPr>
        <w:t>, while we paused community engagement to ensure people with disability could safely have their say.</w:t>
      </w:r>
    </w:p>
    <w:p w:rsidR="00F34DF2" w:rsidRPr="00936FF2" w:rsidRDefault="0085607A" w:rsidP="00936FF2">
      <w:pPr>
        <w:spacing w:after="120" w:line="288" w:lineRule="auto"/>
        <w:rPr>
          <w:rFonts w:cs="Arial"/>
          <w:szCs w:val="24"/>
        </w:rPr>
      </w:pPr>
      <w:r w:rsidRPr="00936FF2">
        <w:rPr>
          <w:rFonts w:cs="Arial"/>
          <w:szCs w:val="24"/>
        </w:rPr>
        <w:t xml:space="preserve">We want to keep working with people with disability, their families and supporters, as we develop the new Strategy. </w:t>
      </w:r>
    </w:p>
    <w:p w:rsidR="0085607A" w:rsidRPr="00936FF2" w:rsidRDefault="003E4AA5" w:rsidP="00936FF2">
      <w:pPr>
        <w:spacing w:after="120" w:line="288" w:lineRule="auto"/>
        <w:rPr>
          <w:rFonts w:cs="Arial"/>
          <w:szCs w:val="24"/>
        </w:rPr>
      </w:pPr>
      <w:r w:rsidRPr="00936FF2">
        <w:rPr>
          <w:rFonts w:cs="Arial"/>
          <w:szCs w:val="24"/>
        </w:rPr>
        <w:t>In 2019, around 3,000 people with disability, their families and carers, advocacy organisations, peak bodies and service providers took part in the first stage of community engagement and consultation around Australia.</w:t>
      </w:r>
      <w:r w:rsidR="00997FCD" w:rsidRPr="00936FF2">
        <w:rPr>
          <w:rFonts w:cs="Arial"/>
          <w:szCs w:val="24"/>
        </w:rPr>
        <w:t xml:space="preserve"> </w:t>
      </w:r>
    </w:p>
    <w:p w:rsidR="00B44E8F" w:rsidRPr="009D6842" w:rsidRDefault="005E0372" w:rsidP="009D6842">
      <w:pPr>
        <w:spacing w:after="120" w:line="288" w:lineRule="auto"/>
        <w:rPr>
          <w:rFonts w:cs="Arial"/>
          <w:szCs w:val="24"/>
        </w:rPr>
      </w:pPr>
      <w:r w:rsidRPr="009D6842">
        <w:rPr>
          <w:rFonts w:cs="Arial"/>
          <w:szCs w:val="24"/>
        </w:rPr>
        <w:t xml:space="preserve">A common and important message we heard during consultations was: nothing about us, without us. It </w:t>
      </w:r>
      <w:r w:rsidR="000E6034" w:rsidRPr="009D6842">
        <w:rPr>
          <w:rFonts w:cs="Arial"/>
          <w:szCs w:val="24"/>
        </w:rPr>
        <w:t xml:space="preserve">is </w:t>
      </w:r>
      <w:r w:rsidRPr="009D6842">
        <w:rPr>
          <w:rFonts w:cs="Arial"/>
          <w:szCs w:val="24"/>
        </w:rPr>
        <w:t>clear people with disability need to be involved in all aspects of designing the new Strategy</w:t>
      </w:r>
      <w:r w:rsidR="000E6034" w:rsidRPr="009D6842">
        <w:rPr>
          <w:rFonts w:cs="Arial"/>
          <w:szCs w:val="24"/>
        </w:rPr>
        <w:t>. However, f</w:t>
      </w:r>
      <w:r w:rsidR="00B44E8F" w:rsidRPr="009D6842">
        <w:rPr>
          <w:rFonts w:cs="Arial"/>
          <w:szCs w:val="24"/>
        </w:rPr>
        <w:t xml:space="preserve">urther </w:t>
      </w:r>
      <w:r w:rsidR="00F14EE5" w:rsidRPr="00936FF2">
        <w:rPr>
          <w:rFonts w:cs="Arial"/>
          <w:szCs w:val="24"/>
        </w:rPr>
        <w:t>conversations with people with disability</w:t>
      </w:r>
      <w:r w:rsidR="00997FCD" w:rsidRPr="00936FF2">
        <w:rPr>
          <w:rFonts w:cs="Arial"/>
          <w:szCs w:val="24"/>
        </w:rPr>
        <w:t xml:space="preserve"> about the new Strategy</w:t>
      </w:r>
      <w:r w:rsidR="00F14EE5" w:rsidRPr="00936FF2">
        <w:rPr>
          <w:rFonts w:cs="Arial"/>
          <w:szCs w:val="24"/>
        </w:rPr>
        <w:t xml:space="preserve"> </w:t>
      </w:r>
      <w:r w:rsidR="00B44E8F" w:rsidRPr="009D6842">
        <w:rPr>
          <w:rFonts w:cs="Arial"/>
          <w:szCs w:val="24"/>
        </w:rPr>
        <w:t xml:space="preserve">have been delayed due to </w:t>
      </w:r>
      <w:r w:rsidR="00997FCD" w:rsidRPr="00936FF2">
        <w:rPr>
          <w:rFonts w:cs="Arial"/>
          <w:szCs w:val="24"/>
        </w:rPr>
        <w:t>COVID</w:t>
      </w:r>
      <w:r w:rsidR="00997FCD" w:rsidRPr="00936FF2">
        <w:rPr>
          <w:rFonts w:cs="Arial"/>
          <w:szCs w:val="24"/>
        </w:rPr>
        <w:noBreakHyphen/>
      </w:r>
      <w:r w:rsidR="0085607A" w:rsidRPr="00936FF2">
        <w:rPr>
          <w:rFonts w:cs="Arial"/>
          <w:szCs w:val="24"/>
        </w:rPr>
        <w:t>19</w:t>
      </w:r>
      <w:r w:rsidR="00B44E8F" w:rsidRPr="009D6842">
        <w:rPr>
          <w:rFonts w:cs="Arial"/>
          <w:szCs w:val="24"/>
        </w:rPr>
        <w:t xml:space="preserve">. </w:t>
      </w:r>
    </w:p>
    <w:p w:rsidR="00997FCD" w:rsidRPr="00936FF2" w:rsidRDefault="0085607A" w:rsidP="009D6842">
      <w:pPr>
        <w:spacing w:after="120" w:line="288" w:lineRule="auto"/>
        <w:rPr>
          <w:rFonts w:cs="Arial"/>
          <w:szCs w:val="24"/>
        </w:rPr>
      </w:pPr>
      <w:r w:rsidRPr="00936FF2">
        <w:rPr>
          <w:rFonts w:cs="Arial"/>
          <w:szCs w:val="24"/>
        </w:rPr>
        <w:t xml:space="preserve">The delay in consultations will not have any direct impact on the provision of services for people with disability. </w:t>
      </w:r>
      <w:r w:rsidR="009413AE" w:rsidRPr="00936FF2">
        <w:rPr>
          <w:rFonts w:cs="Arial"/>
          <w:szCs w:val="24"/>
        </w:rPr>
        <w:t xml:space="preserve">However, the delay in consultations will impact when we will be able to release the new Strategy. </w:t>
      </w:r>
    </w:p>
    <w:p w:rsidR="0085607A" w:rsidRDefault="004F15EE" w:rsidP="00936FF2">
      <w:pPr>
        <w:spacing w:after="120" w:line="288" w:lineRule="auto"/>
        <w:rPr>
          <w:rFonts w:cs="Arial"/>
          <w:szCs w:val="24"/>
        </w:rPr>
      </w:pPr>
      <w:r>
        <w:rPr>
          <w:rFonts w:cs="Arial"/>
          <w:szCs w:val="24"/>
        </w:rPr>
        <w:t>The Commonwealth Government and state, territory and local g</w:t>
      </w:r>
      <w:r w:rsidR="0085607A" w:rsidRPr="00936FF2">
        <w:rPr>
          <w:rFonts w:cs="Arial"/>
          <w:szCs w:val="24"/>
        </w:rPr>
        <w:t xml:space="preserve">overnments remain committed to </w:t>
      </w:r>
      <w:r w:rsidR="00B540A5" w:rsidRPr="00936FF2">
        <w:rPr>
          <w:rFonts w:cs="Arial"/>
          <w:szCs w:val="24"/>
        </w:rPr>
        <w:t xml:space="preserve">development of </w:t>
      </w:r>
      <w:r w:rsidR="0085607A" w:rsidRPr="00936FF2">
        <w:rPr>
          <w:rFonts w:cs="Arial"/>
          <w:szCs w:val="24"/>
        </w:rPr>
        <w:t xml:space="preserve">a new </w:t>
      </w:r>
      <w:r w:rsidR="00997FCD" w:rsidRPr="00936FF2">
        <w:rPr>
          <w:rFonts w:cs="Arial"/>
          <w:szCs w:val="24"/>
        </w:rPr>
        <w:t xml:space="preserve">Strategy </w:t>
      </w:r>
      <w:r w:rsidR="0085607A" w:rsidRPr="00936FF2">
        <w:rPr>
          <w:rFonts w:cs="Arial"/>
          <w:szCs w:val="24"/>
        </w:rPr>
        <w:t xml:space="preserve">and believe it is essential that </w:t>
      </w:r>
      <w:r w:rsidR="00AF7661" w:rsidRPr="00936FF2">
        <w:rPr>
          <w:rFonts w:cs="Arial"/>
          <w:szCs w:val="24"/>
        </w:rPr>
        <w:t xml:space="preserve">people </w:t>
      </w:r>
      <w:r w:rsidR="0085607A" w:rsidRPr="00936FF2">
        <w:rPr>
          <w:rFonts w:cs="Arial"/>
          <w:szCs w:val="24"/>
        </w:rPr>
        <w:t xml:space="preserve">with disability have a real and robust opportunity to have their say on the Strategy and contribute to its development. Our aim is to ensure </w:t>
      </w:r>
      <w:r w:rsidR="00AF7661" w:rsidRPr="00936FF2">
        <w:rPr>
          <w:rFonts w:cs="Arial"/>
          <w:szCs w:val="24"/>
        </w:rPr>
        <w:t xml:space="preserve">people </w:t>
      </w:r>
      <w:r w:rsidR="0085607A" w:rsidRPr="00936FF2">
        <w:rPr>
          <w:rFonts w:cs="Arial"/>
          <w:szCs w:val="24"/>
        </w:rPr>
        <w:t>with disability get this opportunity at a time that is appropriate for them.</w:t>
      </w:r>
    </w:p>
    <w:p w:rsidR="00B40D65" w:rsidRPr="00936FF2" w:rsidRDefault="00443AF1" w:rsidP="00936FF2">
      <w:pPr>
        <w:spacing w:after="120" w:line="288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It is anticipated the new Strategy will be released in mid-2021. </w:t>
      </w:r>
      <w:r w:rsidR="00B40D65">
        <w:rPr>
          <w:rFonts w:cs="Arial"/>
          <w:szCs w:val="24"/>
        </w:rPr>
        <w:t>Through this Statement of Continued Commitment, all governments agree to continue their efforts in implementing the principles of the current Strategy</w:t>
      </w:r>
      <w:r w:rsidR="00236F2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until the new Strategy is released</w:t>
      </w:r>
      <w:r w:rsidR="00B40D65">
        <w:rPr>
          <w:rFonts w:cs="Arial"/>
          <w:szCs w:val="24"/>
        </w:rPr>
        <w:t>, and to</w:t>
      </w:r>
      <w:r w:rsidR="00236F22">
        <w:rPr>
          <w:rFonts w:cs="Arial"/>
          <w:szCs w:val="24"/>
        </w:rPr>
        <w:t xml:space="preserve"> upholding the</w:t>
      </w:r>
      <w:r w:rsidR="00B40D65">
        <w:rPr>
          <w:rFonts w:cs="Arial"/>
          <w:szCs w:val="24"/>
        </w:rPr>
        <w:t xml:space="preserve"> United Nations </w:t>
      </w:r>
      <w:r w:rsidR="00B40D65" w:rsidRPr="009D6842">
        <w:rPr>
          <w:rFonts w:cs="Arial"/>
          <w:szCs w:val="24"/>
        </w:rPr>
        <w:t>Convention of the Rights of Persons with Disabilities</w:t>
      </w:r>
      <w:r w:rsidR="00B40D65">
        <w:rPr>
          <w:rFonts w:cs="Arial"/>
          <w:szCs w:val="24"/>
        </w:rPr>
        <w:t xml:space="preserve">. </w:t>
      </w:r>
    </w:p>
    <w:p w:rsidR="00AB6CFA" w:rsidRDefault="0022686F" w:rsidP="00936FF2">
      <w:pPr>
        <w:spacing w:after="120" w:line="288" w:lineRule="auto"/>
        <w:rPr>
          <w:rFonts w:cs="Arial"/>
          <w:szCs w:val="24"/>
        </w:rPr>
      </w:pPr>
      <w:r>
        <w:rPr>
          <w:rFonts w:cs="Arial"/>
          <w:szCs w:val="24"/>
        </w:rPr>
        <w:t>States and territories continue to express their commitment to the Strategy through their state and territory disability plans.</w:t>
      </w:r>
      <w:r w:rsidR="00AC5FDE">
        <w:rPr>
          <w:rFonts w:cs="Arial"/>
          <w:szCs w:val="24"/>
        </w:rPr>
        <w:t xml:space="preserve"> </w:t>
      </w:r>
      <w:r w:rsidR="004F15EE">
        <w:rPr>
          <w:rFonts w:cs="Arial"/>
          <w:szCs w:val="24"/>
        </w:rPr>
        <w:t>The Commonwealth Government and state, territory and local g</w:t>
      </w:r>
      <w:r w:rsidR="00236F22">
        <w:rPr>
          <w:rFonts w:cs="Arial"/>
          <w:szCs w:val="24"/>
        </w:rPr>
        <w:t xml:space="preserve">overnments will </w:t>
      </w:r>
      <w:r w:rsidR="00B8335A">
        <w:rPr>
          <w:rFonts w:cs="Arial"/>
          <w:szCs w:val="24"/>
        </w:rPr>
        <w:t>continue to implement existing activities, and develop new activities</w:t>
      </w:r>
      <w:r w:rsidR="003C3E53">
        <w:rPr>
          <w:rFonts w:cs="Arial"/>
          <w:szCs w:val="24"/>
        </w:rPr>
        <w:t>.</w:t>
      </w:r>
      <w:r w:rsidR="00B8335A">
        <w:rPr>
          <w:rFonts w:cs="Arial"/>
          <w:szCs w:val="24"/>
        </w:rPr>
        <w:t xml:space="preserve"> </w:t>
      </w:r>
      <w:r w:rsidR="00AC5FDE">
        <w:rPr>
          <w:rFonts w:cs="Arial"/>
          <w:szCs w:val="24"/>
        </w:rPr>
        <w:t>Above all,</w:t>
      </w:r>
      <w:r>
        <w:rPr>
          <w:rFonts w:cs="Arial"/>
          <w:szCs w:val="24"/>
        </w:rPr>
        <w:t xml:space="preserve"> governments will continue </w:t>
      </w:r>
      <w:r w:rsidR="00443AF1">
        <w:rPr>
          <w:rFonts w:cs="Arial"/>
          <w:szCs w:val="24"/>
        </w:rPr>
        <w:t>taking a unified, national approach to improving the lives of people with disability and</w:t>
      </w:r>
      <w:r>
        <w:rPr>
          <w:rFonts w:cs="Arial"/>
          <w:szCs w:val="24"/>
        </w:rPr>
        <w:t xml:space="preserve"> to </w:t>
      </w:r>
      <w:r w:rsidR="00D97D23">
        <w:rPr>
          <w:rFonts w:cs="Arial"/>
          <w:szCs w:val="24"/>
        </w:rPr>
        <w:t xml:space="preserve">achieving the vision of the Strategy, that of an inclusive Australian society. </w:t>
      </w:r>
    </w:p>
    <w:p w:rsidR="00D55B43" w:rsidRDefault="00D55B43" w:rsidP="00936FF2">
      <w:pPr>
        <w:spacing w:after="120" w:line="288" w:lineRule="auto"/>
      </w:pPr>
    </w:p>
    <w:p w:rsidR="00C17959" w:rsidRDefault="00C17959" w:rsidP="00936FF2">
      <w:pPr>
        <w:spacing w:after="120" w:line="288" w:lineRule="auto"/>
      </w:pPr>
    </w:p>
    <w:p w:rsidR="00C17959" w:rsidRDefault="00C17959" w:rsidP="00936FF2">
      <w:pPr>
        <w:spacing w:after="120" w:line="288" w:lineRule="auto"/>
      </w:pPr>
    </w:p>
    <w:p w:rsidR="007036C5" w:rsidRDefault="007036C5" w:rsidP="00936FF2">
      <w:pPr>
        <w:spacing w:after="120" w:line="288" w:lineRule="auto"/>
        <w:sectPr w:rsidR="007036C5" w:rsidSect="006C6967">
          <w:headerReference w:type="default" r:id="rId7"/>
          <w:footerReference w:type="default" r:id="rId8"/>
          <w:pgSz w:w="11906" w:h="16838"/>
          <w:pgMar w:top="1440" w:right="1440" w:bottom="1191" w:left="1440" w:header="709" w:footer="709" w:gutter="0"/>
          <w:cols w:space="708"/>
          <w:docGrid w:linePitch="360"/>
        </w:sectPr>
      </w:pPr>
    </w:p>
    <w:p w:rsidR="00190DEA" w:rsidRDefault="00994AEB" w:rsidP="00936FF2">
      <w:pPr>
        <w:spacing w:after="120" w:line="288" w:lineRule="auto"/>
        <w:rPr>
          <w:sz w:val="20"/>
        </w:rPr>
      </w:pPr>
      <w:r>
        <w:rPr>
          <w:noProof/>
          <w:sz w:val="20"/>
          <w:lang w:eastAsia="en-A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291465</wp:posOffset>
            </wp:positionV>
            <wp:extent cx="6588000" cy="8474400"/>
            <wp:effectExtent l="0" t="0" r="381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ignatures take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000" cy="84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59">
        <w:t xml:space="preserve">Endorsed </w:t>
      </w:r>
      <w:r w:rsidR="00A36692">
        <w:t>on</w:t>
      </w:r>
      <w:r w:rsidR="00056481">
        <w:t xml:space="preserve"> </w:t>
      </w:r>
      <w:r w:rsidR="00056481" w:rsidRPr="005E667A">
        <w:t>4 December 2020</w:t>
      </w:r>
      <w:r w:rsidR="007036C5">
        <w:rPr>
          <w:b/>
          <w:color w:val="FF0000"/>
        </w:rPr>
        <w:t xml:space="preserve"> </w:t>
      </w:r>
      <w:r w:rsidR="00C17959">
        <w:t>by:</w:t>
      </w:r>
      <w:r w:rsidR="00190DEA" w:rsidRPr="00190DEA">
        <w:rPr>
          <w:sz w:val="20"/>
        </w:rPr>
        <w:t xml:space="preserve"> </w:t>
      </w: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4655"/>
        <w:gridCol w:w="4843"/>
      </w:tblGrid>
      <w:tr w:rsidR="00D80E2A" w:rsidRPr="00D80E2A" w:rsidTr="007036C5">
        <w:trPr>
          <w:trHeight w:val="96"/>
        </w:trPr>
        <w:tc>
          <w:tcPr>
            <w:tcW w:w="9498" w:type="dxa"/>
            <w:gridSpan w:val="2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Senator the Hon. Anne Ruston</w:t>
            </w:r>
            <w:r w:rsidRPr="00D80E2A">
              <w:rPr>
                <w:rFonts w:cs="Arial"/>
                <w:sz w:val="20"/>
                <w:szCs w:val="20"/>
              </w:rPr>
              <w:br/>
              <w:t>Minister for Families and Social Services, Australian Government</w:t>
            </w:r>
          </w:p>
        </w:tc>
      </w:tr>
      <w:tr w:rsidR="00D80E2A" w:rsidRPr="00D80E2A" w:rsidTr="007036C5">
        <w:tc>
          <w:tcPr>
            <w:tcW w:w="4655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The Hon. Gareth Ward MP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Families, Communities and Disability Services,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>New South Wales</w:t>
            </w:r>
          </w:p>
        </w:tc>
        <w:tc>
          <w:tcPr>
            <w:tcW w:w="4843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The Hon. Luke Donnellan MP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Disability, Ageing and Carers,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>Victoria</w:t>
            </w:r>
          </w:p>
        </w:tc>
      </w:tr>
      <w:tr w:rsidR="00D80E2A" w:rsidRPr="00D80E2A" w:rsidTr="007036C5">
        <w:trPr>
          <w:trHeight w:val="1772"/>
        </w:trPr>
        <w:tc>
          <w:tcPr>
            <w:tcW w:w="4655" w:type="dxa"/>
          </w:tcPr>
          <w:p w:rsidR="00D80E2A" w:rsidRDefault="00D80E2A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E36CCC" w:rsidRDefault="00E36CCC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E36CCC" w:rsidRDefault="00E36CCC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6A6A94" w:rsidP="0046297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6A94">
              <w:rPr>
                <w:rFonts w:cs="Arial"/>
                <w:sz w:val="20"/>
                <w:szCs w:val="20"/>
              </w:rPr>
              <w:t>The Hon. Craig Crawford MP</w:t>
            </w:r>
            <w:r w:rsidR="00462976">
              <w:rPr>
                <w:rFonts w:cs="Arial"/>
                <w:sz w:val="20"/>
                <w:szCs w:val="20"/>
              </w:rPr>
              <w:br/>
            </w:r>
            <w:r w:rsidR="00462976">
              <w:rPr>
                <w:sz w:val="20"/>
                <w:szCs w:val="20"/>
              </w:rPr>
              <w:t>Minister for Seniors and Disability Services and Minister for Aboriginal and Torres Strait Islander Partnerships, Queensland</w:t>
            </w:r>
          </w:p>
        </w:tc>
        <w:tc>
          <w:tcPr>
            <w:tcW w:w="4843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The Hon. Stephen Dawson MLC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Disability Services,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>Western Australia</w:t>
            </w:r>
          </w:p>
        </w:tc>
      </w:tr>
      <w:tr w:rsidR="00D80E2A" w:rsidRPr="00D80E2A" w:rsidTr="007036C5">
        <w:tc>
          <w:tcPr>
            <w:tcW w:w="4655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The Hon. Michelle Lensink MLC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Human Services,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>South Australia</w:t>
            </w:r>
          </w:p>
        </w:tc>
        <w:tc>
          <w:tcPr>
            <w:tcW w:w="4843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>The Hon</w:t>
            </w:r>
            <w:r w:rsidR="001D1982">
              <w:rPr>
                <w:rFonts w:cs="Arial"/>
                <w:sz w:val="20"/>
                <w:szCs w:val="20"/>
              </w:rPr>
              <w:t>.</w:t>
            </w:r>
            <w:r w:rsidRPr="00D80E2A">
              <w:rPr>
                <w:rFonts w:cs="Arial"/>
                <w:sz w:val="20"/>
                <w:szCs w:val="20"/>
              </w:rPr>
              <w:t xml:space="preserve"> Jeremy Rockliff MP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Disability Services and Community Development,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 xml:space="preserve">Tasmania </w:t>
            </w:r>
          </w:p>
        </w:tc>
      </w:tr>
      <w:tr w:rsidR="00D80E2A" w:rsidRPr="00D80E2A" w:rsidTr="007036C5">
        <w:tc>
          <w:tcPr>
            <w:tcW w:w="4655" w:type="dxa"/>
          </w:tcPr>
          <w:p w:rsidR="00E36CCC" w:rsidRDefault="00E36CCC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E36CCC" w:rsidRPr="00D80E2A" w:rsidRDefault="00E36CCC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5312D7" w:rsidRDefault="005312D7" w:rsidP="003374E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3374ED" w:rsidP="003374E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374ED">
              <w:rPr>
                <w:rFonts w:cs="Arial"/>
                <w:sz w:val="20"/>
                <w:szCs w:val="20"/>
              </w:rPr>
              <w:t>Emma Davidson MLA</w:t>
            </w:r>
            <w:r w:rsidR="00D80E2A" w:rsidRPr="00D80E2A">
              <w:rPr>
                <w:rFonts w:cs="Arial"/>
                <w:sz w:val="20"/>
                <w:szCs w:val="20"/>
              </w:rPr>
              <w:br/>
              <w:t xml:space="preserve">Minister for Disability, </w:t>
            </w:r>
            <w:r w:rsidR="00D80E2A">
              <w:rPr>
                <w:rFonts w:cs="Arial"/>
                <w:sz w:val="20"/>
                <w:szCs w:val="20"/>
              </w:rPr>
              <w:br/>
            </w:r>
            <w:r w:rsidR="00D80E2A" w:rsidRPr="00D80E2A">
              <w:rPr>
                <w:rFonts w:cs="Arial"/>
                <w:sz w:val="20"/>
                <w:szCs w:val="20"/>
              </w:rPr>
              <w:t xml:space="preserve">Australian Capital Territory </w:t>
            </w:r>
          </w:p>
        </w:tc>
        <w:tc>
          <w:tcPr>
            <w:tcW w:w="4843" w:type="dxa"/>
          </w:tcPr>
          <w:p w:rsidR="00D80E2A" w:rsidRP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Default="00D80E2A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D80E2A" w:rsidRPr="00D80E2A" w:rsidRDefault="00D80E2A" w:rsidP="000B039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D80E2A">
              <w:rPr>
                <w:rFonts w:cs="Arial"/>
                <w:sz w:val="20"/>
                <w:szCs w:val="20"/>
              </w:rPr>
              <w:t xml:space="preserve">The Hon. </w:t>
            </w:r>
            <w:r w:rsidR="001D1982">
              <w:rPr>
                <w:rFonts w:cs="Arial"/>
                <w:sz w:val="20"/>
                <w:szCs w:val="20"/>
              </w:rPr>
              <w:t>Kate Worden MLA</w:t>
            </w:r>
            <w:r w:rsidRPr="00D80E2A">
              <w:rPr>
                <w:rFonts w:cs="Arial"/>
                <w:sz w:val="20"/>
                <w:szCs w:val="20"/>
              </w:rPr>
              <w:br/>
              <w:t xml:space="preserve">Minister for Disabilities, </w:t>
            </w:r>
            <w:r>
              <w:rPr>
                <w:rFonts w:cs="Arial"/>
                <w:sz w:val="20"/>
                <w:szCs w:val="20"/>
              </w:rPr>
              <w:br/>
            </w:r>
            <w:r w:rsidRPr="00D80E2A">
              <w:rPr>
                <w:rFonts w:cs="Arial"/>
                <w:sz w:val="20"/>
                <w:szCs w:val="20"/>
              </w:rPr>
              <w:t xml:space="preserve">Northern Territory </w:t>
            </w:r>
          </w:p>
        </w:tc>
      </w:tr>
      <w:tr w:rsidR="00154505" w:rsidRPr="00D80E2A" w:rsidTr="007036C5">
        <w:trPr>
          <w:trHeight w:val="172"/>
        </w:trPr>
        <w:tc>
          <w:tcPr>
            <w:tcW w:w="9498" w:type="dxa"/>
            <w:gridSpan w:val="2"/>
          </w:tcPr>
          <w:p w:rsidR="00154505" w:rsidRDefault="00154505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E36CCC" w:rsidRDefault="00E36CCC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7036C5" w:rsidRDefault="007036C5" w:rsidP="007036C5">
            <w:pPr>
              <w:spacing w:line="276" w:lineRule="auto"/>
              <w:rPr>
                <w:rFonts w:cs="Arial"/>
                <w:noProof/>
                <w:sz w:val="20"/>
                <w:szCs w:val="20"/>
                <w:lang w:eastAsia="en-AU"/>
              </w:rPr>
            </w:pPr>
          </w:p>
          <w:p w:rsidR="00E36CCC" w:rsidRDefault="00E36CCC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7036C5" w:rsidRPr="00D80E2A" w:rsidRDefault="007036C5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154505" w:rsidRPr="00D80E2A" w:rsidRDefault="00843CE1" w:rsidP="007036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43CE1">
              <w:rPr>
                <w:rFonts w:cs="Arial"/>
                <w:sz w:val="20"/>
                <w:szCs w:val="20"/>
              </w:rPr>
              <w:t>Councillor Linda Scott</w:t>
            </w:r>
            <w:r w:rsidR="00154505" w:rsidRPr="00D80E2A">
              <w:rPr>
                <w:rFonts w:cs="Arial"/>
                <w:sz w:val="20"/>
                <w:szCs w:val="20"/>
              </w:rPr>
              <w:br/>
              <w:t>President, Australian Local Government Association</w:t>
            </w:r>
          </w:p>
        </w:tc>
      </w:tr>
    </w:tbl>
    <w:p w:rsidR="00C17959" w:rsidRDefault="00C17959" w:rsidP="00936FF2">
      <w:pPr>
        <w:spacing w:after="120" w:line="288" w:lineRule="auto"/>
        <w:rPr>
          <w:i/>
          <w:sz w:val="14"/>
        </w:rPr>
      </w:pPr>
    </w:p>
    <w:p w:rsidR="005312D7" w:rsidRPr="007036C5" w:rsidRDefault="005312D7" w:rsidP="00936FF2">
      <w:pPr>
        <w:spacing w:after="120" w:line="288" w:lineRule="auto"/>
        <w:rPr>
          <w:i/>
          <w:sz w:val="14"/>
        </w:rPr>
      </w:pPr>
    </w:p>
    <w:sectPr w:rsidR="005312D7" w:rsidRPr="007036C5" w:rsidSect="007036C5">
      <w:pgSz w:w="11906" w:h="16838"/>
      <w:pgMar w:top="1191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8A" w:rsidRDefault="00DA0F8A" w:rsidP="00B04ED8">
      <w:pPr>
        <w:spacing w:after="0" w:line="240" w:lineRule="auto"/>
      </w:pPr>
      <w:r>
        <w:separator/>
      </w:r>
    </w:p>
  </w:endnote>
  <w:endnote w:type="continuationSeparator" w:id="0">
    <w:p w:rsidR="00DA0F8A" w:rsidRDefault="00DA0F8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CC" w:rsidRDefault="00E3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8A" w:rsidRDefault="00DA0F8A" w:rsidP="00B04ED8">
      <w:pPr>
        <w:spacing w:after="0" w:line="240" w:lineRule="auto"/>
      </w:pPr>
      <w:r>
        <w:separator/>
      </w:r>
    </w:p>
  </w:footnote>
  <w:footnote w:type="continuationSeparator" w:id="0">
    <w:p w:rsidR="00DA0F8A" w:rsidRDefault="00DA0F8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 w:rsidP="00556D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43"/>
    <w:rsid w:val="00005633"/>
    <w:rsid w:val="00044418"/>
    <w:rsid w:val="00056481"/>
    <w:rsid w:val="000708C2"/>
    <w:rsid w:val="00085932"/>
    <w:rsid w:val="000A05E0"/>
    <w:rsid w:val="000B039C"/>
    <w:rsid w:val="000D710C"/>
    <w:rsid w:val="000E6034"/>
    <w:rsid w:val="00124B08"/>
    <w:rsid w:val="00143D0E"/>
    <w:rsid w:val="00154505"/>
    <w:rsid w:val="00190DEA"/>
    <w:rsid w:val="001C6306"/>
    <w:rsid w:val="001C7C2C"/>
    <w:rsid w:val="001D1982"/>
    <w:rsid w:val="001E630D"/>
    <w:rsid w:val="00215AB1"/>
    <w:rsid w:val="002203AB"/>
    <w:rsid w:val="002245F4"/>
    <w:rsid w:val="0022686F"/>
    <w:rsid w:val="00236F22"/>
    <w:rsid w:val="00240977"/>
    <w:rsid w:val="00241092"/>
    <w:rsid w:val="00260B8D"/>
    <w:rsid w:val="00284DC9"/>
    <w:rsid w:val="002C6489"/>
    <w:rsid w:val="002C670D"/>
    <w:rsid w:val="002F08ED"/>
    <w:rsid w:val="00325640"/>
    <w:rsid w:val="003374ED"/>
    <w:rsid w:val="003634E5"/>
    <w:rsid w:val="00374B28"/>
    <w:rsid w:val="003B2BB8"/>
    <w:rsid w:val="003C3E53"/>
    <w:rsid w:val="003D34FF"/>
    <w:rsid w:val="003E4AA5"/>
    <w:rsid w:val="003F1236"/>
    <w:rsid w:val="00423686"/>
    <w:rsid w:val="00443AF1"/>
    <w:rsid w:val="00453F2C"/>
    <w:rsid w:val="00462976"/>
    <w:rsid w:val="004B54CA"/>
    <w:rsid w:val="004D7FB6"/>
    <w:rsid w:val="004E5990"/>
    <w:rsid w:val="004E5CBF"/>
    <w:rsid w:val="004F15EE"/>
    <w:rsid w:val="005035EC"/>
    <w:rsid w:val="00514F6C"/>
    <w:rsid w:val="00517485"/>
    <w:rsid w:val="00521DFF"/>
    <w:rsid w:val="00526725"/>
    <w:rsid w:val="005312D7"/>
    <w:rsid w:val="00544BDF"/>
    <w:rsid w:val="005556D2"/>
    <w:rsid w:val="00556DAF"/>
    <w:rsid w:val="00593B59"/>
    <w:rsid w:val="005C3AA9"/>
    <w:rsid w:val="005E0372"/>
    <w:rsid w:val="005E667A"/>
    <w:rsid w:val="00621FC5"/>
    <w:rsid w:val="00637B02"/>
    <w:rsid w:val="0064682C"/>
    <w:rsid w:val="00655DA7"/>
    <w:rsid w:val="00683A84"/>
    <w:rsid w:val="006847A2"/>
    <w:rsid w:val="006A4CE7"/>
    <w:rsid w:val="006A6A94"/>
    <w:rsid w:val="006C6967"/>
    <w:rsid w:val="00703444"/>
    <w:rsid w:val="007036C5"/>
    <w:rsid w:val="00785261"/>
    <w:rsid w:val="007B01C2"/>
    <w:rsid w:val="007B0256"/>
    <w:rsid w:val="007D5D8C"/>
    <w:rsid w:val="007E235D"/>
    <w:rsid w:val="007E5B38"/>
    <w:rsid w:val="007F0DEE"/>
    <w:rsid w:val="007F7397"/>
    <w:rsid w:val="0083177B"/>
    <w:rsid w:val="00843CE1"/>
    <w:rsid w:val="0085446E"/>
    <w:rsid w:val="0085607A"/>
    <w:rsid w:val="0087567D"/>
    <w:rsid w:val="00882CE2"/>
    <w:rsid w:val="008A7B9B"/>
    <w:rsid w:val="008C7765"/>
    <w:rsid w:val="008D2C35"/>
    <w:rsid w:val="008E1278"/>
    <w:rsid w:val="008E2142"/>
    <w:rsid w:val="008E41A1"/>
    <w:rsid w:val="009225F0"/>
    <w:rsid w:val="00932880"/>
    <w:rsid w:val="0093462C"/>
    <w:rsid w:val="00936FF2"/>
    <w:rsid w:val="009413AE"/>
    <w:rsid w:val="00953795"/>
    <w:rsid w:val="00954574"/>
    <w:rsid w:val="00974189"/>
    <w:rsid w:val="00992278"/>
    <w:rsid w:val="00993A2B"/>
    <w:rsid w:val="00994AEB"/>
    <w:rsid w:val="009953AA"/>
    <w:rsid w:val="00997FCD"/>
    <w:rsid w:val="009A21B5"/>
    <w:rsid w:val="009D6842"/>
    <w:rsid w:val="009E3B64"/>
    <w:rsid w:val="009F49E3"/>
    <w:rsid w:val="00A134F1"/>
    <w:rsid w:val="00A210EA"/>
    <w:rsid w:val="00A22C2D"/>
    <w:rsid w:val="00A36692"/>
    <w:rsid w:val="00A4416D"/>
    <w:rsid w:val="00A6608C"/>
    <w:rsid w:val="00A8764D"/>
    <w:rsid w:val="00A87BE1"/>
    <w:rsid w:val="00AA76F1"/>
    <w:rsid w:val="00AB6CFA"/>
    <w:rsid w:val="00AC43EA"/>
    <w:rsid w:val="00AC5FDE"/>
    <w:rsid w:val="00AD7B99"/>
    <w:rsid w:val="00AF7661"/>
    <w:rsid w:val="00B03E9A"/>
    <w:rsid w:val="00B04881"/>
    <w:rsid w:val="00B04ED8"/>
    <w:rsid w:val="00B145B1"/>
    <w:rsid w:val="00B20D61"/>
    <w:rsid w:val="00B40D65"/>
    <w:rsid w:val="00B44E8F"/>
    <w:rsid w:val="00B540A5"/>
    <w:rsid w:val="00B54C30"/>
    <w:rsid w:val="00B73192"/>
    <w:rsid w:val="00B737B2"/>
    <w:rsid w:val="00B8335A"/>
    <w:rsid w:val="00B90436"/>
    <w:rsid w:val="00B91E3E"/>
    <w:rsid w:val="00BA2DB9"/>
    <w:rsid w:val="00BA38B8"/>
    <w:rsid w:val="00BA7992"/>
    <w:rsid w:val="00BD5AE9"/>
    <w:rsid w:val="00BE7148"/>
    <w:rsid w:val="00BE725E"/>
    <w:rsid w:val="00BE74EA"/>
    <w:rsid w:val="00C0158B"/>
    <w:rsid w:val="00C17959"/>
    <w:rsid w:val="00C43061"/>
    <w:rsid w:val="00C542B0"/>
    <w:rsid w:val="00C84DD7"/>
    <w:rsid w:val="00CB5863"/>
    <w:rsid w:val="00CC0FC8"/>
    <w:rsid w:val="00CC2DE1"/>
    <w:rsid w:val="00CF5275"/>
    <w:rsid w:val="00D03DB1"/>
    <w:rsid w:val="00D15B01"/>
    <w:rsid w:val="00D34471"/>
    <w:rsid w:val="00D54499"/>
    <w:rsid w:val="00D55B43"/>
    <w:rsid w:val="00D80E2A"/>
    <w:rsid w:val="00D97D23"/>
    <w:rsid w:val="00DA0F8A"/>
    <w:rsid w:val="00DA243A"/>
    <w:rsid w:val="00DC16A2"/>
    <w:rsid w:val="00DD08B3"/>
    <w:rsid w:val="00DE3721"/>
    <w:rsid w:val="00DE5C3C"/>
    <w:rsid w:val="00DE68C9"/>
    <w:rsid w:val="00DF5661"/>
    <w:rsid w:val="00DF6BF6"/>
    <w:rsid w:val="00E23F2B"/>
    <w:rsid w:val="00E273E4"/>
    <w:rsid w:val="00E361E2"/>
    <w:rsid w:val="00E36CCC"/>
    <w:rsid w:val="00E44E5C"/>
    <w:rsid w:val="00E97450"/>
    <w:rsid w:val="00E97EAA"/>
    <w:rsid w:val="00EA084B"/>
    <w:rsid w:val="00EE7707"/>
    <w:rsid w:val="00F055FB"/>
    <w:rsid w:val="00F102C1"/>
    <w:rsid w:val="00F14EE5"/>
    <w:rsid w:val="00F26166"/>
    <w:rsid w:val="00F30AFE"/>
    <w:rsid w:val="00F320AF"/>
    <w:rsid w:val="00F34DF2"/>
    <w:rsid w:val="00F55C45"/>
    <w:rsid w:val="00F9454E"/>
    <w:rsid w:val="00FD349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E4AA5"/>
    <w:pPr>
      <w:spacing w:before="240" w:after="240" w:line="384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8">
    <w:name w:val="Pa8"/>
    <w:basedOn w:val="Normal"/>
    <w:next w:val="Normal"/>
    <w:uiPriority w:val="99"/>
    <w:rsid w:val="005E0372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2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8C1A-DE9C-4B07-B29E-B498BF72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2020-11-30T03:08:00Z</dcterms:created>
  <dcterms:modified xsi:type="dcterms:W3CDTF">2020-11-30T04:00:00Z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