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ED95B" w14:textId="77777777" w:rsidR="005316BE" w:rsidRDefault="00CF553B" w:rsidP="00537B50">
      <w:pPr>
        <w:spacing w:before="0" w:after="0"/>
        <w:ind w:left="-850"/>
      </w:pPr>
      <w:r>
        <w:rPr>
          <w:noProof/>
        </w:rPr>
        <w:drawing>
          <wp:inline distT="0" distB="0" distL="0" distR="0" wp14:anchorId="131A656F" wp14:editId="76B21017">
            <wp:extent cx="7541998" cy="1436354"/>
            <wp:effectExtent l="0" t="0" r="1905" b="0"/>
            <wp:docPr id="1" name="Picture 1" title="Depart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 Portrait Factsheet h oran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998" cy="143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5490F" w14:textId="77777777" w:rsidR="00C80192" w:rsidRPr="00754D44" w:rsidRDefault="006D2C60" w:rsidP="00C80192">
      <w:pPr>
        <w:pStyle w:val="Title"/>
      </w:pPr>
      <w:r>
        <w:t>Women’s safety</w:t>
      </w:r>
    </w:p>
    <w:p w14:paraId="6F90857C" w14:textId="31391F1A" w:rsidR="00C80192" w:rsidRPr="00754D44" w:rsidRDefault="001121FC" w:rsidP="00C80192">
      <w:pPr>
        <w:pStyle w:val="Subtitle"/>
      </w:pPr>
      <w:r>
        <w:t xml:space="preserve">2022-23 </w:t>
      </w:r>
      <w:r w:rsidR="009F2339">
        <w:t xml:space="preserve">October </w:t>
      </w:r>
      <w:r>
        <w:t>Budget</w:t>
      </w:r>
    </w:p>
    <w:p w14:paraId="165DD95D" w14:textId="71F687A6" w:rsidR="00C80192" w:rsidRDefault="001121FC" w:rsidP="00C80192">
      <w:pPr>
        <w:pStyle w:val="Heading1"/>
      </w:pPr>
      <w:r>
        <w:t xml:space="preserve">What </w:t>
      </w:r>
      <w:proofErr w:type="gramStart"/>
      <w:r>
        <w:t>was announced</w:t>
      </w:r>
      <w:proofErr w:type="gramEnd"/>
      <w:r>
        <w:t xml:space="preserve"> in the 2022-23 </w:t>
      </w:r>
      <w:r w:rsidR="009F2339">
        <w:t xml:space="preserve">October </w:t>
      </w:r>
      <w:r>
        <w:t>Budget?</w:t>
      </w:r>
    </w:p>
    <w:p w14:paraId="29688D3E" w14:textId="2555D2F0" w:rsidR="001121FC" w:rsidRDefault="006D2C60" w:rsidP="001121FC">
      <w:bookmarkStart w:id="0" w:name="_Toc391890681"/>
      <w:r>
        <w:t>The measures announced in the 2022-23</w:t>
      </w:r>
      <w:r w:rsidR="009F2339">
        <w:t xml:space="preserve"> October</w:t>
      </w:r>
      <w:r w:rsidR="00E14DD5">
        <w:t xml:space="preserve"> </w:t>
      </w:r>
      <w:r w:rsidR="00D308D0">
        <w:t xml:space="preserve">Budget </w:t>
      </w:r>
      <w:r w:rsidR="00E14DD5">
        <w:t>underpin</w:t>
      </w:r>
      <w:r>
        <w:t xml:space="preserve"> the Commonwealth’s commitment </w:t>
      </w:r>
      <w:r w:rsidR="00E14DD5">
        <w:t>to the new</w:t>
      </w:r>
      <w:r>
        <w:t xml:space="preserve"> National Plan to End Violence against Women and Childr</w:t>
      </w:r>
      <w:r w:rsidR="0042113D">
        <w:t>en 2022</w:t>
      </w:r>
      <w:r w:rsidR="009F2339">
        <w:noBreakHyphen/>
      </w:r>
      <w:r w:rsidR="0042113D">
        <w:t>2032</w:t>
      </w:r>
      <w:r>
        <w:t xml:space="preserve">. </w:t>
      </w:r>
    </w:p>
    <w:p w14:paraId="2AFF4FCD" w14:textId="77777777" w:rsidR="001121FC" w:rsidRDefault="006D2C60" w:rsidP="00281B34">
      <w:pPr>
        <w:pStyle w:val="Heading2"/>
      </w:pPr>
      <w:r>
        <w:t>Women’s safety</w:t>
      </w:r>
    </w:p>
    <w:p w14:paraId="1FA541DE" w14:textId="77777777" w:rsidR="00E14DD5" w:rsidRDefault="00E14DD5" w:rsidP="008438C5">
      <w:r>
        <w:t xml:space="preserve">Violence is preventable if Australia takes a coordinated and sustained approach to addressing the social, cultural, political and economic factors that drive gendered violence. </w:t>
      </w:r>
    </w:p>
    <w:p w14:paraId="21DCA5AF" w14:textId="10F19E9F" w:rsidR="0042113D" w:rsidRPr="002E6AA6" w:rsidRDefault="0042113D" w:rsidP="008438C5">
      <w:r>
        <w:t>In this Budget</w:t>
      </w:r>
      <w:r w:rsidR="0063758A" w:rsidRPr="002E6AA6">
        <w:t>,</w:t>
      </w:r>
      <w:r w:rsidRPr="002E6AA6">
        <w:t xml:space="preserve"> </w:t>
      </w:r>
      <w:r w:rsidR="00944289" w:rsidRPr="002E6AA6">
        <w:t xml:space="preserve">the </w:t>
      </w:r>
      <w:r w:rsidR="002E6AA6" w:rsidRPr="002E6AA6">
        <w:t>Australian Government</w:t>
      </w:r>
      <w:r w:rsidR="00944289" w:rsidRPr="002E6AA6">
        <w:t xml:space="preserve"> will </w:t>
      </w:r>
      <w:r w:rsidR="00E71276" w:rsidRPr="002E6AA6">
        <w:t>provide</w:t>
      </w:r>
      <w:r w:rsidR="00944289" w:rsidRPr="002E6AA6">
        <w:t xml:space="preserve"> </w:t>
      </w:r>
      <w:r w:rsidRPr="002E6AA6">
        <w:t>$</w:t>
      </w:r>
      <w:r w:rsidR="0063758A" w:rsidRPr="002E6AA6">
        <w:t>225.</w:t>
      </w:r>
      <w:r w:rsidR="004915EA" w:rsidRPr="002E6AA6">
        <w:t>2</w:t>
      </w:r>
      <w:r w:rsidRPr="002E6AA6">
        <w:t xml:space="preserve"> million in funding </w:t>
      </w:r>
      <w:r w:rsidR="00944289" w:rsidRPr="002E6AA6">
        <w:t>for</w:t>
      </w:r>
      <w:r w:rsidRPr="002E6AA6">
        <w:t xml:space="preserve"> prevention </w:t>
      </w:r>
      <w:proofErr w:type="gramStart"/>
      <w:r w:rsidRPr="002E6AA6">
        <w:t>activit</w:t>
      </w:r>
      <w:r w:rsidR="00944289" w:rsidRPr="002E6AA6">
        <w:t>ies</w:t>
      </w:r>
      <w:r w:rsidRPr="002E6AA6">
        <w:t xml:space="preserve"> which</w:t>
      </w:r>
      <w:proofErr w:type="gramEnd"/>
      <w:r w:rsidRPr="002E6AA6">
        <w:t xml:space="preserve"> aim to stop violence against women and children from occurring in the first place by addressing its underlying drivers. This includes:</w:t>
      </w:r>
    </w:p>
    <w:p w14:paraId="28CD01B8" w14:textId="77777777" w:rsidR="0042113D" w:rsidRPr="002E6AA6" w:rsidRDefault="0042113D" w:rsidP="0042113D">
      <w:pPr>
        <w:pStyle w:val="ListParagraph"/>
        <w:numPr>
          <w:ilvl w:val="0"/>
          <w:numId w:val="63"/>
        </w:numPr>
      </w:pPr>
      <w:r w:rsidRPr="002E6AA6">
        <w:t>$</w:t>
      </w:r>
      <w:r w:rsidR="004B5607" w:rsidRPr="002E6AA6">
        <w:t>10</w:t>
      </w:r>
      <w:r w:rsidR="0063758A" w:rsidRPr="002E6AA6">
        <w:t>4.4</w:t>
      </w:r>
      <w:r w:rsidRPr="002E6AA6">
        <w:t xml:space="preserve"> million in funding for the national leading organisation for primary prevention of </w:t>
      </w:r>
      <w:r w:rsidR="0063758A" w:rsidRPr="002E6AA6">
        <w:t>family, domestic and sexual violence</w:t>
      </w:r>
      <w:r w:rsidRPr="002E6AA6">
        <w:t xml:space="preserve"> in Australia</w:t>
      </w:r>
      <w:r w:rsidR="0063758A" w:rsidRPr="002E6AA6">
        <w:t>,</w:t>
      </w:r>
      <w:r w:rsidRPr="002E6AA6">
        <w:t xml:space="preserve"> Our Watch</w:t>
      </w:r>
    </w:p>
    <w:p w14:paraId="5BC7ACD6" w14:textId="77777777" w:rsidR="005E7C2D" w:rsidRPr="002E6AA6" w:rsidRDefault="004B5607" w:rsidP="0042113D">
      <w:pPr>
        <w:pStyle w:val="ListParagraph"/>
        <w:numPr>
          <w:ilvl w:val="0"/>
          <w:numId w:val="63"/>
        </w:numPr>
      </w:pPr>
      <w:r w:rsidRPr="002E6AA6">
        <w:t>$46</w:t>
      </w:r>
      <w:r w:rsidR="0042113D" w:rsidRPr="002E6AA6">
        <w:t xml:space="preserve"> million to continue the award-winning </w:t>
      </w:r>
      <w:r w:rsidR="0042113D" w:rsidRPr="002E6AA6">
        <w:rPr>
          <w:i/>
        </w:rPr>
        <w:t>Stop it at the Start</w:t>
      </w:r>
      <w:r w:rsidR="0042113D" w:rsidRPr="002E6AA6">
        <w:t xml:space="preserve"> campaign</w:t>
      </w:r>
    </w:p>
    <w:p w14:paraId="163E620A" w14:textId="77777777" w:rsidR="005E7C2D" w:rsidRDefault="005E7C2D" w:rsidP="0042113D">
      <w:pPr>
        <w:pStyle w:val="ListParagraph"/>
        <w:numPr>
          <w:ilvl w:val="0"/>
          <w:numId w:val="63"/>
        </w:numPr>
      </w:pPr>
      <w:r w:rsidRPr="002E6AA6">
        <w:t>$32.2 million for a new campaign</w:t>
      </w:r>
      <w:r>
        <w:t xml:space="preserve"> to better inform young people and adults about the importance of consensual and respectful relationships</w:t>
      </w:r>
    </w:p>
    <w:p w14:paraId="7243DA5E" w14:textId="77777777" w:rsidR="005E7C2D" w:rsidRDefault="005E7C2D" w:rsidP="0042113D">
      <w:pPr>
        <w:pStyle w:val="ListParagraph"/>
        <w:numPr>
          <w:ilvl w:val="0"/>
          <w:numId w:val="63"/>
        </w:numPr>
      </w:pPr>
      <w:r>
        <w:t>$23.3 million in funding for Australia’s National Research Organisation for Women’s Safety (ANROWS), to ensure policy interventions continue to be evidence-based, open and accessible</w:t>
      </w:r>
    </w:p>
    <w:p w14:paraId="301D45F4" w14:textId="77777777" w:rsidR="005E7C2D" w:rsidRDefault="005E7C2D" w:rsidP="0042113D">
      <w:pPr>
        <w:pStyle w:val="ListParagraph"/>
        <w:numPr>
          <w:ilvl w:val="0"/>
          <w:numId w:val="63"/>
        </w:numPr>
      </w:pPr>
      <w:r>
        <w:t>$18.3 million to continue grants under the previous National Plan to provide continuity of service delivery while arrangements are settled under the new National Plan</w:t>
      </w:r>
    </w:p>
    <w:p w14:paraId="6E117A94" w14:textId="77777777" w:rsidR="00283D51" w:rsidRDefault="005E7C2D" w:rsidP="0042113D">
      <w:pPr>
        <w:pStyle w:val="ListParagraph"/>
        <w:numPr>
          <w:ilvl w:val="0"/>
          <w:numId w:val="63"/>
        </w:numPr>
      </w:pPr>
      <w:r>
        <w:t xml:space="preserve">$1 million to establish an advisory group to ensure engagement with victim-survivors throughout the life of the First Action Plan of the new National Plan. </w:t>
      </w:r>
      <w:r w:rsidR="0042113D">
        <w:t xml:space="preserve"> </w:t>
      </w:r>
    </w:p>
    <w:p w14:paraId="2F9870E9" w14:textId="205EEE24" w:rsidR="0042113D" w:rsidRDefault="00944289" w:rsidP="008438C5">
      <w:r>
        <w:t xml:space="preserve">The </w:t>
      </w:r>
      <w:r w:rsidR="002E6AA6">
        <w:t>Government</w:t>
      </w:r>
      <w:r>
        <w:t xml:space="preserve"> will also fund up to</w:t>
      </w:r>
      <w:r w:rsidR="0063758A">
        <w:t xml:space="preserve"> $185.8 million </w:t>
      </w:r>
      <w:r>
        <w:t>for</w:t>
      </w:r>
      <w:r w:rsidR="0042113D">
        <w:t xml:space="preserve"> early intervention programs, delivering a holistic response that stops the escalation of violence and protects victim-survivors. </w:t>
      </w:r>
      <w:r w:rsidR="00304A55">
        <w:t xml:space="preserve">This funding will include: </w:t>
      </w:r>
      <w:r w:rsidR="0042113D">
        <w:t xml:space="preserve"> </w:t>
      </w:r>
    </w:p>
    <w:p w14:paraId="063058EA" w14:textId="24FAA550" w:rsidR="0042113D" w:rsidRPr="002E6AA6" w:rsidRDefault="004B5607" w:rsidP="0042113D">
      <w:pPr>
        <w:pStyle w:val="ListParagraph"/>
        <w:numPr>
          <w:ilvl w:val="0"/>
          <w:numId w:val="64"/>
        </w:numPr>
      </w:pPr>
      <w:r w:rsidRPr="002E6AA6">
        <w:t>$</w:t>
      </w:r>
      <w:r w:rsidR="0063758A" w:rsidRPr="002E6AA6">
        <w:t>40.4</w:t>
      </w:r>
      <w:r w:rsidR="00E14DD5" w:rsidRPr="002E6AA6">
        <w:t xml:space="preserve"> million for Specialised Family Violence S</w:t>
      </w:r>
      <w:r w:rsidR="0042113D" w:rsidRPr="002E6AA6">
        <w:t xml:space="preserve">ervices </w:t>
      </w:r>
      <w:r w:rsidR="00D308D0" w:rsidRPr="002E6AA6">
        <w:t>to</w:t>
      </w:r>
      <w:r w:rsidR="0042113D" w:rsidRPr="002E6AA6">
        <w:t xml:space="preserve"> assist ind</w:t>
      </w:r>
      <w:r w:rsidR="00E14DD5" w:rsidRPr="002E6AA6">
        <w:t>ividuals</w:t>
      </w:r>
      <w:r w:rsidR="00944289" w:rsidRPr="002E6AA6">
        <w:t xml:space="preserve"> and </w:t>
      </w:r>
      <w:r w:rsidR="0042113D" w:rsidRPr="002E6AA6">
        <w:t>couples experiencing violence</w:t>
      </w:r>
    </w:p>
    <w:p w14:paraId="07CFBA50" w14:textId="77777777" w:rsidR="005E7C2D" w:rsidRPr="002E6AA6" w:rsidRDefault="005E7C2D" w:rsidP="0042113D">
      <w:pPr>
        <w:pStyle w:val="ListParagraph"/>
        <w:numPr>
          <w:ilvl w:val="0"/>
          <w:numId w:val="64"/>
        </w:numPr>
      </w:pPr>
      <w:r w:rsidRPr="002E6AA6">
        <w:t xml:space="preserve">$39.7 million to continue funding for Lifeline Australia to deliver DV-Alert, a nationally accredited training program designed to help health, allied health and </w:t>
      </w:r>
      <w:r w:rsidRPr="002E6AA6">
        <w:lastRenderedPageBreak/>
        <w:t xml:space="preserve">community frontline workers better understand and identify domestic and family violence and improve their referral and support </w:t>
      </w:r>
      <w:bookmarkStart w:id="1" w:name="_GoBack"/>
      <w:bookmarkEnd w:id="1"/>
      <w:r w:rsidRPr="002E6AA6">
        <w:t>skills</w:t>
      </w:r>
    </w:p>
    <w:p w14:paraId="472B5678" w14:textId="77777777" w:rsidR="005E7C2D" w:rsidRPr="002E6AA6" w:rsidRDefault="005E7C2D" w:rsidP="0042113D">
      <w:pPr>
        <w:pStyle w:val="ListParagraph"/>
        <w:numPr>
          <w:ilvl w:val="0"/>
          <w:numId w:val="64"/>
        </w:numPr>
      </w:pPr>
      <w:r w:rsidRPr="002E6AA6">
        <w:t xml:space="preserve">$30 million to contribute to outcomes under </w:t>
      </w:r>
      <w:r w:rsidRPr="002E6AA6">
        <w:rPr>
          <w:i/>
        </w:rPr>
        <w:t>Safe and Supported: the National Framework for Protecting Australia’s Children 2021-2031</w:t>
      </w:r>
    </w:p>
    <w:p w14:paraId="64A11767" w14:textId="77777777" w:rsidR="005E7C2D" w:rsidRPr="002E6AA6" w:rsidRDefault="0042113D" w:rsidP="0042113D">
      <w:pPr>
        <w:pStyle w:val="ListParagraph"/>
        <w:numPr>
          <w:ilvl w:val="0"/>
          <w:numId w:val="64"/>
        </w:numPr>
      </w:pPr>
      <w:r w:rsidRPr="002E6AA6">
        <w:t>$</w:t>
      </w:r>
      <w:r w:rsidR="0063758A" w:rsidRPr="002E6AA6">
        <w:t>12.6</w:t>
      </w:r>
      <w:r w:rsidRPr="002E6AA6">
        <w:t xml:space="preserve"> million for </w:t>
      </w:r>
      <w:r w:rsidR="0063758A" w:rsidRPr="002E6AA6">
        <w:t xml:space="preserve">accredited </w:t>
      </w:r>
      <w:r w:rsidRPr="002E6AA6">
        <w:t>training to be provided to health, judicial and other frontline workers</w:t>
      </w:r>
    </w:p>
    <w:p w14:paraId="130BB425" w14:textId="77777777" w:rsidR="0045360F" w:rsidRDefault="005E7C2D" w:rsidP="0042113D">
      <w:pPr>
        <w:pStyle w:val="ListParagraph"/>
        <w:numPr>
          <w:ilvl w:val="0"/>
          <w:numId w:val="64"/>
        </w:numPr>
      </w:pPr>
      <w:r>
        <w:t xml:space="preserve">$10.8 million to continue funding No To Violence for a Men’s Referral Service, offering confidential telephone counselling and referrals for perpetrators of domestic violence to help change their behaviour, and the Brief Intervention Service, which provides multi-session telephone counselling to men seeking support to change their violence or controlling </w:t>
      </w:r>
      <w:r w:rsidR="0045360F">
        <w:t>behaviour</w:t>
      </w:r>
    </w:p>
    <w:p w14:paraId="430AAE3B" w14:textId="77777777" w:rsidR="0045360F" w:rsidRDefault="0045360F" w:rsidP="0042113D">
      <w:pPr>
        <w:pStyle w:val="ListParagraph"/>
        <w:numPr>
          <w:ilvl w:val="0"/>
          <w:numId w:val="64"/>
        </w:numPr>
      </w:pPr>
      <w:r>
        <w:t>$3.6 million for Helping Children Heal, to support children aged 6-12 years who are struggling to reach developmental, social and educational milestones due to family and domestic violence</w:t>
      </w:r>
    </w:p>
    <w:p w14:paraId="0BCAEF85" w14:textId="3EA4B0AD" w:rsidR="00912804" w:rsidRDefault="0045360F" w:rsidP="0042113D">
      <w:pPr>
        <w:pStyle w:val="ListParagraph"/>
        <w:numPr>
          <w:ilvl w:val="0"/>
          <w:numId w:val="64"/>
        </w:numPr>
      </w:pPr>
      <w:r>
        <w:t xml:space="preserve">$34.8 million for a national early intervention trial for young men and adolescent boys aged 12-18 years who present with </w:t>
      </w:r>
      <w:r w:rsidR="00912804">
        <w:t>adverse childhood experienc</w:t>
      </w:r>
      <w:r w:rsidR="00944289">
        <w:t>es</w:t>
      </w:r>
      <w:r w:rsidR="00912804">
        <w:t xml:space="preserve"> including family and domestic violence, and who are at risk of perpetrating family, domestic or sexual violence</w:t>
      </w:r>
    </w:p>
    <w:p w14:paraId="03536BE1" w14:textId="77777777" w:rsidR="0042113D" w:rsidRDefault="00912804" w:rsidP="0042113D">
      <w:pPr>
        <w:pStyle w:val="ListParagraph"/>
        <w:numPr>
          <w:ilvl w:val="0"/>
          <w:numId w:val="64"/>
        </w:numPr>
      </w:pPr>
      <w:r>
        <w:t>$13.9 million to establish a number of small scale grants to address emerging priorities identified once the First Action Plan of the National Plan is finalised</w:t>
      </w:r>
      <w:r w:rsidR="0042113D">
        <w:t xml:space="preserve">. </w:t>
      </w:r>
    </w:p>
    <w:p w14:paraId="325E50CF" w14:textId="74E28D47" w:rsidR="0042113D" w:rsidRDefault="0042113D" w:rsidP="0042113D">
      <w:r>
        <w:t xml:space="preserve">The package will also </w:t>
      </w:r>
      <w:r w:rsidR="0063758A">
        <w:t>provide a range of supports to keep women safe and hold perpetrators to account. This include</w:t>
      </w:r>
      <w:r w:rsidR="00F85B11">
        <w:t>s</w:t>
      </w:r>
      <w:r>
        <w:t>:</w:t>
      </w:r>
    </w:p>
    <w:p w14:paraId="674EE646" w14:textId="10388DED" w:rsidR="0042113D" w:rsidRPr="001635DB" w:rsidRDefault="0042113D" w:rsidP="0042113D">
      <w:pPr>
        <w:pStyle w:val="ListParagraph"/>
        <w:numPr>
          <w:ilvl w:val="0"/>
          <w:numId w:val="65"/>
        </w:numPr>
      </w:pPr>
      <w:r>
        <w:t>Continuing the Escaping Violence Payment</w:t>
      </w:r>
      <w:r w:rsidR="00912804">
        <w:t xml:space="preserve">, including $240 million over 2023-24 to 2025-26 to assist eligible individuals to access financial assistance to establish a </w:t>
      </w:r>
      <w:r w:rsidR="00912804" w:rsidRPr="001635DB">
        <w:t xml:space="preserve">home free from violence. </w:t>
      </w:r>
    </w:p>
    <w:p w14:paraId="58E4EA70" w14:textId="70A77C1B" w:rsidR="00912804" w:rsidRPr="002E6AA6" w:rsidRDefault="0042113D" w:rsidP="0042113D">
      <w:pPr>
        <w:pStyle w:val="ListParagraph"/>
        <w:numPr>
          <w:ilvl w:val="0"/>
          <w:numId w:val="65"/>
        </w:numPr>
      </w:pPr>
      <w:r w:rsidRPr="001635DB">
        <w:t>$</w:t>
      </w:r>
      <w:r w:rsidR="004351DB" w:rsidRPr="001635DB">
        <w:t xml:space="preserve">100 </w:t>
      </w:r>
      <w:r w:rsidRPr="001635DB">
        <w:t>million</w:t>
      </w:r>
      <w:r w:rsidR="004351DB" w:rsidRPr="001635DB">
        <w:t xml:space="preserve"> over </w:t>
      </w:r>
      <w:r w:rsidR="00CB5868" w:rsidRPr="001635DB">
        <w:t xml:space="preserve">5 </w:t>
      </w:r>
      <w:r w:rsidR="004351DB" w:rsidRPr="001635DB">
        <w:t>years</w:t>
      </w:r>
      <w:r w:rsidRPr="001635DB">
        <w:t xml:space="preserve"> </w:t>
      </w:r>
      <w:r w:rsidR="00912804" w:rsidRPr="001635DB">
        <w:t>to continue the</w:t>
      </w:r>
      <w:r w:rsidRPr="001635DB">
        <w:t xml:space="preserve"> Safe </w:t>
      </w:r>
      <w:r w:rsidR="00912804" w:rsidRPr="001635DB">
        <w:t xml:space="preserve">Places Emergency Accommodation </w:t>
      </w:r>
      <w:r w:rsidR="00CB5868" w:rsidRPr="001635DB">
        <w:t>Program</w:t>
      </w:r>
      <w:r w:rsidR="00E14DD5" w:rsidRPr="001635DB">
        <w:t xml:space="preserve"> with </w:t>
      </w:r>
      <w:r w:rsidR="00912804" w:rsidRPr="001635DB">
        <w:t xml:space="preserve">a focus on </w:t>
      </w:r>
      <w:r w:rsidR="00E14DD5" w:rsidRPr="001635DB">
        <w:t xml:space="preserve">First Nations women and children, women and children from culturally and linguistically diverse backgrounds, and women and children with </w:t>
      </w:r>
      <w:r w:rsidR="00E14DD5" w:rsidRPr="002E6AA6">
        <w:t>disability</w:t>
      </w:r>
    </w:p>
    <w:p w14:paraId="6102B0D0" w14:textId="77777777" w:rsidR="00EB47F5" w:rsidRPr="002E6AA6" w:rsidRDefault="00912804" w:rsidP="0042113D">
      <w:pPr>
        <w:pStyle w:val="ListParagraph"/>
        <w:numPr>
          <w:ilvl w:val="0"/>
          <w:numId w:val="65"/>
        </w:numPr>
      </w:pPr>
      <w:r w:rsidRPr="002E6AA6">
        <w:t>$57.9 million over 5 years to continue the Keeping Women Safe in Their Homes and Safe Phones Programs</w:t>
      </w:r>
    </w:p>
    <w:p w14:paraId="3F460B81" w14:textId="77777777" w:rsidR="005C2566" w:rsidRPr="002E6AA6" w:rsidRDefault="005C2566" w:rsidP="0042113D">
      <w:pPr>
        <w:pStyle w:val="ListParagraph"/>
        <w:numPr>
          <w:ilvl w:val="0"/>
          <w:numId w:val="65"/>
        </w:numPr>
      </w:pPr>
      <w:r w:rsidRPr="002E6AA6">
        <w:t>$12.6 million over 2 years to continue the Temporary Visa Holders Experiencing Violence Pilot, to support eligible victim-survivors of family and domestic violence who hold a temporary visa in Australia through financial support and legal assistance, including migration support</w:t>
      </w:r>
    </w:p>
    <w:p w14:paraId="7D343BEF" w14:textId="77777777" w:rsidR="005C2566" w:rsidRPr="002E6AA6" w:rsidRDefault="005C2566" w:rsidP="0042113D">
      <w:pPr>
        <w:pStyle w:val="ListParagraph"/>
        <w:numPr>
          <w:ilvl w:val="0"/>
          <w:numId w:val="65"/>
        </w:numPr>
      </w:pPr>
      <w:r w:rsidRPr="002E6AA6">
        <w:t>$10.7 million in additional funds for the Northern Territory under the Family, Domestic and Sexual Violence National Partnership, recognising the higher rates of violence and increased complexity of remote service delivery</w:t>
      </w:r>
    </w:p>
    <w:p w14:paraId="57EC4B7D" w14:textId="77777777" w:rsidR="005C2566" w:rsidRPr="002E6AA6" w:rsidRDefault="005C2566" w:rsidP="0042113D">
      <w:pPr>
        <w:pStyle w:val="ListParagraph"/>
        <w:numPr>
          <w:ilvl w:val="0"/>
          <w:numId w:val="65"/>
        </w:numPr>
      </w:pPr>
      <w:r w:rsidRPr="002E6AA6">
        <w:t>$25 million to partner with states to apply innovative approaches to address family and domestic violence perpetrator behaviour</w:t>
      </w:r>
    </w:p>
    <w:p w14:paraId="1F18EA6E" w14:textId="77777777" w:rsidR="005C2566" w:rsidRPr="002E6AA6" w:rsidRDefault="005C2566" w:rsidP="0042113D">
      <w:pPr>
        <w:pStyle w:val="ListParagraph"/>
        <w:numPr>
          <w:ilvl w:val="0"/>
          <w:numId w:val="65"/>
        </w:numPr>
      </w:pPr>
      <w:r w:rsidRPr="002E6AA6">
        <w:t>$8 million for the Support for Trafficked People Program, which provides assistance for people exploited by human trafficking, slavery and slavery-like practices</w:t>
      </w:r>
    </w:p>
    <w:p w14:paraId="19E646A5" w14:textId="77777777" w:rsidR="005C2566" w:rsidRPr="002E6AA6" w:rsidRDefault="005C2566" w:rsidP="0042113D">
      <w:pPr>
        <w:pStyle w:val="ListParagraph"/>
        <w:numPr>
          <w:ilvl w:val="0"/>
          <w:numId w:val="65"/>
        </w:numPr>
      </w:pPr>
      <w:r w:rsidRPr="002E6AA6">
        <w:t>$5 million in additional funding for the Domestic, Family and Sexual Violence Commission to support consultation and engagement activities.</w:t>
      </w:r>
    </w:p>
    <w:p w14:paraId="3230E2C3" w14:textId="2E3A484D" w:rsidR="0042113D" w:rsidRDefault="00EB47F5" w:rsidP="00EB47F5">
      <w:r w:rsidRPr="002E6AA6">
        <w:t>$</w:t>
      </w:r>
      <w:r w:rsidR="004351DB" w:rsidRPr="002E6AA6">
        <w:t>169.4 million</w:t>
      </w:r>
      <w:r w:rsidRPr="002E6AA6">
        <w:t xml:space="preserve"> </w:t>
      </w:r>
      <w:r w:rsidR="00DB2BB6" w:rsidRPr="002E6AA6">
        <w:t>will</w:t>
      </w:r>
      <w:r w:rsidRPr="002E6AA6">
        <w:t xml:space="preserve"> also</w:t>
      </w:r>
      <w:r w:rsidR="00DB2BB6" w:rsidRPr="002E6AA6">
        <w:t xml:space="preserve"> be</w:t>
      </w:r>
      <w:r w:rsidRPr="002E6AA6">
        <w:t xml:space="preserve"> provided over 4 years</w:t>
      </w:r>
      <w:r w:rsidR="006D6F50" w:rsidRPr="002E6AA6">
        <w:t xml:space="preserve"> from 2022-23</w:t>
      </w:r>
      <w:r w:rsidRPr="002E6AA6">
        <w:t xml:space="preserve"> to work in conjunction with states and territories</w:t>
      </w:r>
      <w:r>
        <w:t xml:space="preserve"> to support 500 additional frontline service and community workers supporting women and children experienc</w:t>
      </w:r>
      <w:r w:rsidR="000743E8">
        <w:t>ing</w:t>
      </w:r>
      <w:r>
        <w:t xml:space="preserve"> family, domestic and sexual violence. Half of these jobs </w:t>
      </w:r>
      <w:proofErr w:type="gramStart"/>
      <w:r>
        <w:t>will be allocated</w:t>
      </w:r>
      <w:proofErr w:type="gramEnd"/>
      <w:r>
        <w:t xml:space="preserve"> to rural, regional and remote areas with additional </w:t>
      </w:r>
      <w:r w:rsidR="000743E8">
        <w:t>workers</w:t>
      </w:r>
      <w:r>
        <w:t xml:space="preserve"> to support the LGBTIQA+ community, women with disability, </w:t>
      </w:r>
      <w:r w:rsidR="00E71276">
        <w:t>c</w:t>
      </w:r>
      <w:r>
        <w:t xml:space="preserve">ulturally and </w:t>
      </w:r>
      <w:r w:rsidR="00E71276">
        <w:t>l</w:t>
      </w:r>
      <w:r>
        <w:t xml:space="preserve">inguistically </w:t>
      </w:r>
      <w:r w:rsidR="00E71276">
        <w:t>d</w:t>
      </w:r>
      <w:r>
        <w:t>iverse</w:t>
      </w:r>
      <w:r w:rsidR="005C2566">
        <w:t xml:space="preserve"> women and children</w:t>
      </w:r>
      <w:r>
        <w:t xml:space="preserve">, and First Nations people. </w:t>
      </w:r>
      <w:r w:rsidR="0042113D">
        <w:t xml:space="preserve"> </w:t>
      </w:r>
    </w:p>
    <w:p w14:paraId="52F85C2B" w14:textId="77777777" w:rsidR="00E14DD5" w:rsidRDefault="00E14DD5" w:rsidP="00E14DD5">
      <w:r>
        <w:lastRenderedPageBreak/>
        <w:t>Investment in the So</w:t>
      </w:r>
      <w:r w:rsidR="006E217F">
        <w:t xml:space="preserve">cial Services portfolio </w:t>
      </w:r>
      <w:proofErr w:type="gramStart"/>
      <w:r w:rsidR="006E217F">
        <w:t>will be</w:t>
      </w:r>
      <w:r>
        <w:t xml:space="preserve"> complemented</w:t>
      </w:r>
      <w:proofErr w:type="gramEnd"/>
      <w:r>
        <w:t xml:space="preserve"> with investment across the Commonwealth focussed on ending violence against women</w:t>
      </w:r>
      <w:r w:rsidR="005C2566">
        <w:t xml:space="preserve"> and children</w:t>
      </w:r>
      <w:r>
        <w:t>.</w:t>
      </w:r>
    </w:p>
    <w:p w14:paraId="1CF4D090" w14:textId="77777777" w:rsidR="001121FC" w:rsidRDefault="00ED372E" w:rsidP="001121FC">
      <w:pPr>
        <w:pStyle w:val="Heading1"/>
      </w:pPr>
      <w:r>
        <w:t>K</w:t>
      </w:r>
      <w:r w:rsidR="001121FC" w:rsidRPr="001778A4">
        <w:t xml:space="preserve">ey Facts </w:t>
      </w:r>
    </w:p>
    <w:p w14:paraId="3A9947E5" w14:textId="4B40388D" w:rsidR="0042113D" w:rsidRDefault="00A41603" w:rsidP="001121FC">
      <w:pPr>
        <w:pStyle w:val="ListBullet"/>
      </w:pPr>
      <w:r>
        <w:t>The Government is investing in approaches to:</w:t>
      </w:r>
    </w:p>
    <w:p w14:paraId="2567F4D5" w14:textId="77777777" w:rsidR="00A41603" w:rsidRDefault="00A41603" w:rsidP="001635DB">
      <w:pPr>
        <w:pStyle w:val="ListBullet"/>
        <w:numPr>
          <w:ilvl w:val="0"/>
          <w:numId w:val="66"/>
        </w:numPr>
      </w:pPr>
      <w:r>
        <w:t>prevent problematic attitudes and beliefs before they lead to violence;</w:t>
      </w:r>
    </w:p>
    <w:p w14:paraId="202864A6" w14:textId="77777777" w:rsidR="00A41603" w:rsidRDefault="00A41603" w:rsidP="001635DB">
      <w:pPr>
        <w:pStyle w:val="ListBullet"/>
        <w:numPr>
          <w:ilvl w:val="0"/>
          <w:numId w:val="66"/>
        </w:numPr>
      </w:pPr>
      <w:r>
        <w:t>fund early intervention and responses so that violence doesn’t escalate and perpetrators are held to account, and</w:t>
      </w:r>
    </w:p>
    <w:p w14:paraId="48AA02E7" w14:textId="77777777" w:rsidR="00A41603" w:rsidRDefault="00A41603" w:rsidP="001635DB">
      <w:pPr>
        <w:pStyle w:val="ListBullet"/>
        <w:numPr>
          <w:ilvl w:val="0"/>
          <w:numId w:val="66"/>
        </w:numPr>
      </w:pPr>
      <w:proofErr w:type="gramStart"/>
      <w:r>
        <w:t>support</w:t>
      </w:r>
      <w:proofErr w:type="gramEnd"/>
      <w:r>
        <w:t xml:space="preserve"> victim-survivors with their recovery and healing.</w:t>
      </w:r>
    </w:p>
    <w:p w14:paraId="3D3E4683" w14:textId="77777777" w:rsidR="00EB47F5" w:rsidRDefault="00EB47F5" w:rsidP="001121FC">
      <w:pPr>
        <w:pStyle w:val="ListBullet"/>
      </w:pPr>
      <w:r w:rsidRPr="002E6AA6">
        <w:t>$</w:t>
      </w:r>
      <w:r w:rsidR="004B5607" w:rsidRPr="002E6AA6">
        <w:t>169.4</w:t>
      </w:r>
      <w:r w:rsidRPr="002E6AA6">
        <w:t xml:space="preserve"> million will support 500 new frontline workers to support women and children experienc</w:t>
      </w:r>
      <w:r w:rsidR="005C2566" w:rsidRPr="002E6AA6">
        <w:t>ing</w:t>
      </w:r>
      <w:r w:rsidRPr="002E6AA6">
        <w:t xml:space="preserve"> family,</w:t>
      </w:r>
      <w:r>
        <w:t xml:space="preserve"> domestic and sexual violence. </w:t>
      </w:r>
    </w:p>
    <w:p w14:paraId="1923ED54" w14:textId="77777777" w:rsidR="0042113D" w:rsidRDefault="0042113D" w:rsidP="001121FC">
      <w:pPr>
        <w:pStyle w:val="ListBullet"/>
      </w:pPr>
      <w:r>
        <w:t xml:space="preserve">Funding supports the new National Plan to End Violence against Women and Children 2022-2032. </w:t>
      </w:r>
    </w:p>
    <w:p w14:paraId="12546BE9" w14:textId="77777777" w:rsidR="001121FC" w:rsidRPr="00B77D94" w:rsidRDefault="001121FC" w:rsidP="001121FC">
      <w:pPr>
        <w:pStyle w:val="Heading1"/>
      </w:pPr>
      <w:r>
        <w:t>More information</w:t>
      </w:r>
    </w:p>
    <w:p w14:paraId="4BBC8C8E" w14:textId="77777777" w:rsidR="001121FC" w:rsidRPr="00E66E11" w:rsidRDefault="001121FC" w:rsidP="001121F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E66E11">
        <w:rPr>
          <w:rFonts w:cs="Arial"/>
          <w:color w:val="000000"/>
        </w:rPr>
        <w:t xml:space="preserve">For more information about this measure and other </w:t>
      </w:r>
      <w:hyperlink r:id="rId9" w:history="1">
        <w:r w:rsidRPr="00E66E11">
          <w:rPr>
            <w:rStyle w:val="Hyperlink"/>
            <w:rFonts w:cs="Arial"/>
          </w:rPr>
          <w:t>Department of Social Services’</w:t>
        </w:r>
      </w:hyperlink>
      <w:r w:rsidRPr="00E66E11">
        <w:rPr>
          <w:rFonts w:cs="Arial"/>
          <w:color w:val="000000"/>
        </w:rPr>
        <w:t xml:space="preserve"> Budget measures, visit the Department of Social Services website (</w:t>
      </w:r>
      <w:hyperlink r:id="rId10" w:history="1">
        <w:r w:rsidRPr="00E66E11">
          <w:rPr>
            <w:rStyle w:val="Hyperlink"/>
            <w:rFonts w:cs="Arial"/>
          </w:rPr>
          <w:t>dss.gov.au</w:t>
        </w:r>
      </w:hyperlink>
      <w:r w:rsidRPr="00E66E11">
        <w:rPr>
          <w:rFonts w:cs="Arial"/>
          <w:color w:val="000000"/>
        </w:rPr>
        <w:t xml:space="preserve">). </w:t>
      </w:r>
      <w:r>
        <w:rPr>
          <w:rFonts w:cs="Arial"/>
          <w:color w:val="000000"/>
        </w:rPr>
        <w:br/>
      </w:r>
    </w:p>
    <w:p w14:paraId="1B69054C" w14:textId="6C810608" w:rsidR="001121FC" w:rsidRDefault="001121FC" w:rsidP="001121FC">
      <w:r>
        <w:rPr>
          <w:rFonts w:cs="Arial"/>
          <w:color w:val="000000"/>
        </w:rPr>
        <w:t>For information about the 2022-23</w:t>
      </w:r>
      <w:r w:rsidRPr="00E66E11">
        <w:rPr>
          <w:rFonts w:cs="Arial"/>
          <w:color w:val="000000"/>
        </w:rPr>
        <w:t xml:space="preserve"> </w:t>
      </w:r>
      <w:r w:rsidR="006D6F50">
        <w:rPr>
          <w:rFonts w:cs="Arial"/>
          <w:color w:val="000000"/>
        </w:rPr>
        <w:t xml:space="preserve">October </w:t>
      </w:r>
      <w:r w:rsidRPr="00E66E11">
        <w:rPr>
          <w:rFonts w:cs="Arial"/>
          <w:color w:val="000000"/>
        </w:rPr>
        <w:t xml:space="preserve">Budget, visit the </w:t>
      </w:r>
      <w:hyperlink r:id="rId11" w:history="1">
        <w:r w:rsidRPr="00E66E11">
          <w:rPr>
            <w:rStyle w:val="Hyperlink"/>
            <w:rFonts w:cs="Arial"/>
          </w:rPr>
          <w:t>Australian Government budget</w:t>
        </w:r>
      </w:hyperlink>
      <w:r w:rsidRPr="00E66E11">
        <w:rPr>
          <w:rFonts w:cs="Arial"/>
          <w:color w:val="000000"/>
        </w:rPr>
        <w:t xml:space="preserve"> website (</w:t>
      </w:r>
      <w:hyperlink r:id="rId12" w:history="1">
        <w:r w:rsidRPr="00E66E11">
          <w:rPr>
            <w:rStyle w:val="Hyperlink"/>
            <w:rFonts w:cs="Arial"/>
          </w:rPr>
          <w:t>budget.gov.au</w:t>
        </w:r>
      </w:hyperlink>
      <w:r w:rsidRPr="00E66E11">
        <w:rPr>
          <w:rFonts w:cs="Arial"/>
          <w:color w:val="000000"/>
        </w:rPr>
        <w:t>).</w:t>
      </w:r>
    </w:p>
    <w:p w14:paraId="26FCE2B1" w14:textId="77777777" w:rsidR="001121FC" w:rsidRDefault="001121FC" w:rsidP="001121FC"/>
    <w:p w14:paraId="4E916EFA" w14:textId="77777777" w:rsidR="001121FC" w:rsidRPr="00D67463" w:rsidRDefault="001121FC" w:rsidP="001121FC"/>
    <w:bookmarkEnd w:id="0"/>
    <w:p w14:paraId="3C5B3C05" w14:textId="77777777" w:rsidR="001121FC" w:rsidRDefault="001121FC" w:rsidP="00342476"/>
    <w:sectPr w:rsidR="001121FC" w:rsidSect="001121FC">
      <w:headerReference w:type="first" r:id="rId13"/>
      <w:pgSz w:w="11906" w:h="16838" w:code="9"/>
      <w:pgMar w:top="568" w:right="1134" w:bottom="1134" w:left="85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08355" w14:textId="77777777" w:rsidR="00CD7F52" w:rsidRDefault="00CD7F52">
      <w:r>
        <w:separator/>
      </w:r>
    </w:p>
  </w:endnote>
  <w:endnote w:type="continuationSeparator" w:id="0">
    <w:p w14:paraId="079BF563" w14:textId="77777777" w:rsidR="00CD7F52" w:rsidRDefault="00CD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63B56" w14:textId="77777777" w:rsidR="00CD7F52" w:rsidRDefault="00CD7F52">
      <w:r>
        <w:separator/>
      </w:r>
    </w:p>
  </w:footnote>
  <w:footnote w:type="continuationSeparator" w:id="0">
    <w:p w14:paraId="19C5485E" w14:textId="77777777" w:rsidR="00CD7F52" w:rsidRDefault="00CD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443B5" w14:textId="73969CBD" w:rsidR="00142F3E" w:rsidRPr="002E6AA6" w:rsidRDefault="00CD7F52" w:rsidP="002E6AA6">
    <w:pPr>
      <w:pStyle w:val="Header"/>
      <w:jc w:val="cent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332F7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B06B7"/>
    <w:multiLevelType w:val="hybridMultilevel"/>
    <w:tmpl w:val="99225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43F92"/>
    <w:multiLevelType w:val="hybridMultilevel"/>
    <w:tmpl w:val="1C9E4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840EE"/>
    <w:multiLevelType w:val="hybridMultilevel"/>
    <w:tmpl w:val="7778969E"/>
    <w:lvl w:ilvl="0" w:tplc="0C090003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5" w15:restartNumberingAfterBreak="0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B246E0"/>
    <w:multiLevelType w:val="hybridMultilevel"/>
    <w:tmpl w:val="78143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C66005"/>
    <w:multiLevelType w:val="hybridMultilevel"/>
    <w:tmpl w:val="D9342F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F46A69"/>
    <w:multiLevelType w:val="hybridMultilevel"/>
    <w:tmpl w:val="35F45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9C4B7E"/>
    <w:multiLevelType w:val="hybridMultilevel"/>
    <w:tmpl w:val="C08AE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40"/>
  </w:num>
  <w:num w:numId="4">
    <w:abstractNumId w:val="13"/>
  </w:num>
  <w:num w:numId="5">
    <w:abstractNumId w:val="18"/>
  </w:num>
  <w:num w:numId="6">
    <w:abstractNumId w:val="60"/>
  </w:num>
  <w:num w:numId="7">
    <w:abstractNumId w:val="47"/>
  </w:num>
  <w:num w:numId="8">
    <w:abstractNumId w:val="52"/>
  </w:num>
  <w:num w:numId="9">
    <w:abstractNumId w:val="9"/>
  </w:num>
  <w:num w:numId="10">
    <w:abstractNumId w:val="59"/>
  </w:num>
  <w:num w:numId="11">
    <w:abstractNumId w:val="19"/>
  </w:num>
  <w:num w:numId="12">
    <w:abstractNumId w:val="44"/>
  </w:num>
  <w:num w:numId="13">
    <w:abstractNumId w:val="54"/>
  </w:num>
  <w:num w:numId="14">
    <w:abstractNumId w:val="37"/>
  </w:num>
  <w:num w:numId="15">
    <w:abstractNumId w:val="3"/>
  </w:num>
  <w:num w:numId="16">
    <w:abstractNumId w:val="15"/>
  </w:num>
  <w:num w:numId="17">
    <w:abstractNumId w:val="58"/>
  </w:num>
  <w:num w:numId="18">
    <w:abstractNumId w:val="51"/>
  </w:num>
  <w:num w:numId="19">
    <w:abstractNumId w:val="16"/>
  </w:num>
  <w:num w:numId="20">
    <w:abstractNumId w:val="2"/>
  </w:num>
  <w:num w:numId="21">
    <w:abstractNumId w:val="6"/>
  </w:num>
  <w:num w:numId="22">
    <w:abstractNumId w:val="23"/>
  </w:num>
  <w:num w:numId="23">
    <w:abstractNumId w:val="20"/>
  </w:num>
  <w:num w:numId="24">
    <w:abstractNumId w:val="64"/>
  </w:num>
  <w:num w:numId="25">
    <w:abstractNumId w:val="36"/>
  </w:num>
  <w:num w:numId="26">
    <w:abstractNumId w:val="41"/>
  </w:num>
  <w:num w:numId="27">
    <w:abstractNumId w:val="22"/>
  </w:num>
  <w:num w:numId="28">
    <w:abstractNumId w:val="62"/>
  </w:num>
  <w:num w:numId="29">
    <w:abstractNumId w:val="50"/>
  </w:num>
  <w:num w:numId="30">
    <w:abstractNumId w:val="28"/>
  </w:num>
  <w:num w:numId="31">
    <w:abstractNumId w:val="46"/>
  </w:num>
  <w:num w:numId="32">
    <w:abstractNumId w:val="55"/>
  </w:num>
  <w:num w:numId="33">
    <w:abstractNumId w:val="57"/>
  </w:num>
  <w:num w:numId="34">
    <w:abstractNumId w:val="4"/>
  </w:num>
  <w:num w:numId="35">
    <w:abstractNumId w:val="26"/>
  </w:num>
  <w:num w:numId="36">
    <w:abstractNumId w:val="49"/>
  </w:num>
  <w:num w:numId="37">
    <w:abstractNumId w:val="10"/>
  </w:num>
  <w:num w:numId="38">
    <w:abstractNumId w:val="31"/>
  </w:num>
  <w:num w:numId="39">
    <w:abstractNumId w:val="25"/>
  </w:num>
  <w:num w:numId="40">
    <w:abstractNumId w:val="35"/>
  </w:num>
  <w:num w:numId="41">
    <w:abstractNumId w:val="39"/>
  </w:num>
  <w:num w:numId="42">
    <w:abstractNumId w:val="24"/>
  </w:num>
  <w:num w:numId="43">
    <w:abstractNumId w:val="17"/>
  </w:num>
  <w:num w:numId="44">
    <w:abstractNumId w:val="43"/>
  </w:num>
  <w:num w:numId="45">
    <w:abstractNumId w:val="48"/>
  </w:num>
  <w:num w:numId="46">
    <w:abstractNumId w:val="34"/>
  </w:num>
  <w:num w:numId="47">
    <w:abstractNumId w:val="32"/>
  </w:num>
  <w:num w:numId="48">
    <w:abstractNumId w:val="1"/>
  </w:num>
  <w:num w:numId="49">
    <w:abstractNumId w:val="45"/>
  </w:num>
  <w:num w:numId="50">
    <w:abstractNumId w:val="56"/>
  </w:num>
  <w:num w:numId="51">
    <w:abstractNumId w:val="42"/>
  </w:num>
  <w:num w:numId="52">
    <w:abstractNumId w:val="11"/>
  </w:num>
  <w:num w:numId="53">
    <w:abstractNumId w:val="53"/>
  </w:num>
  <w:num w:numId="54">
    <w:abstractNumId w:val="27"/>
  </w:num>
  <w:num w:numId="55">
    <w:abstractNumId w:val="21"/>
  </w:num>
  <w:num w:numId="56">
    <w:abstractNumId w:val="30"/>
  </w:num>
  <w:num w:numId="57">
    <w:abstractNumId w:val="29"/>
  </w:num>
  <w:num w:numId="58">
    <w:abstractNumId w:val="12"/>
  </w:num>
  <w:num w:numId="59">
    <w:abstractNumId w:val="38"/>
  </w:num>
  <w:num w:numId="60">
    <w:abstractNumId w:val="8"/>
  </w:num>
  <w:num w:numId="61">
    <w:abstractNumId w:val="33"/>
  </w:num>
  <w:num w:numId="62">
    <w:abstractNumId w:val="5"/>
  </w:num>
  <w:num w:numId="63">
    <w:abstractNumId w:val="61"/>
  </w:num>
  <w:num w:numId="64">
    <w:abstractNumId w:val="63"/>
  </w:num>
  <w:num w:numId="65">
    <w:abstractNumId w:val="7"/>
  </w:num>
  <w:num w:numId="66">
    <w:abstractNumId w:val="1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attachedTemplate r:id="rId1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FC"/>
    <w:rsid w:val="00002C18"/>
    <w:rsid w:val="00010549"/>
    <w:rsid w:val="00012F84"/>
    <w:rsid w:val="00013F99"/>
    <w:rsid w:val="0001680B"/>
    <w:rsid w:val="00025376"/>
    <w:rsid w:val="00027B26"/>
    <w:rsid w:val="0003104E"/>
    <w:rsid w:val="00031195"/>
    <w:rsid w:val="00032861"/>
    <w:rsid w:val="00035CA1"/>
    <w:rsid w:val="0003679F"/>
    <w:rsid w:val="000435BB"/>
    <w:rsid w:val="00045CCD"/>
    <w:rsid w:val="00047524"/>
    <w:rsid w:val="00047ACD"/>
    <w:rsid w:val="000505B2"/>
    <w:rsid w:val="00050E5B"/>
    <w:rsid w:val="000547EF"/>
    <w:rsid w:val="00054B89"/>
    <w:rsid w:val="0006264C"/>
    <w:rsid w:val="00067CD0"/>
    <w:rsid w:val="00071E78"/>
    <w:rsid w:val="000743E8"/>
    <w:rsid w:val="00080F2E"/>
    <w:rsid w:val="00081CEB"/>
    <w:rsid w:val="00083791"/>
    <w:rsid w:val="00086E3C"/>
    <w:rsid w:val="00087B2C"/>
    <w:rsid w:val="00087DBD"/>
    <w:rsid w:val="00090570"/>
    <w:rsid w:val="00090753"/>
    <w:rsid w:val="00096F54"/>
    <w:rsid w:val="00097BFF"/>
    <w:rsid w:val="000A669D"/>
    <w:rsid w:val="000A66A8"/>
    <w:rsid w:val="000C014D"/>
    <w:rsid w:val="000D0178"/>
    <w:rsid w:val="000D4703"/>
    <w:rsid w:val="000D693C"/>
    <w:rsid w:val="000E12D4"/>
    <w:rsid w:val="00104669"/>
    <w:rsid w:val="00110028"/>
    <w:rsid w:val="001121FC"/>
    <w:rsid w:val="001133DD"/>
    <w:rsid w:val="00116EDF"/>
    <w:rsid w:val="00124B26"/>
    <w:rsid w:val="00130C4E"/>
    <w:rsid w:val="00131B54"/>
    <w:rsid w:val="001354B7"/>
    <w:rsid w:val="001404FA"/>
    <w:rsid w:val="001413C5"/>
    <w:rsid w:val="00142956"/>
    <w:rsid w:val="00143502"/>
    <w:rsid w:val="00144494"/>
    <w:rsid w:val="00144868"/>
    <w:rsid w:val="00157709"/>
    <w:rsid w:val="001635DB"/>
    <w:rsid w:val="00167330"/>
    <w:rsid w:val="00167CF4"/>
    <w:rsid w:val="00185327"/>
    <w:rsid w:val="00185F6A"/>
    <w:rsid w:val="001943DD"/>
    <w:rsid w:val="00195374"/>
    <w:rsid w:val="001A127F"/>
    <w:rsid w:val="001A1F53"/>
    <w:rsid w:val="001A3CA4"/>
    <w:rsid w:val="001A3EA4"/>
    <w:rsid w:val="001B3AEC"/>
    <w:rsid w:val="001B5000"/>
    <w:rsid w:val="001B6F28"/>
    <w:rsid w:val="001C1C89"/>
    <w:rsid w:val="001D4585"/>
    <w:rsid w:val="001D5D54"/>
    <w:rsid w:val="001E41C8"/>
    <w:rsid w:val="001F3AD7"/>
    <w:rsid w:val="001F45EB"/>
    <w:rsid w:val="0020032F"/>
    <w:rsid w:val="00207630"/>
    <w:rsid w:val="00213082"/>
    <w:rsid w:val="0021714E"/>
    <w:rsid w:val="00222187"/>
    <w:rsid w:val="00222C8D"/>
    <w:rsid w:val="00222E33"/>
    <w:rsid w:val="00227B95"/>
    <w:rsid w:val="0023523A"/>
    <w:rsid w:val="002353DF"/>
    <w:rsid w:val="00235F71"/>
    <w:rsid w:val="0025272A"/>
    <w:rsid w:val="00271922"/>
    <w:rsid w:val="0027204E"/>
    <w:rsid w:val="00273412"/>
    <w:rsid w:val="00274ACF"/>
    <w:rsid w:val="00281B34"/>
    <w:rsid w:val="00283D51"/>
    <w:rsid w:val="00285F1B"/>
    <w:rsid w:val="00295831"/>
    <w:rsid w:val="00296D30"/>
    <w:rsid w:val="00296F1B"/>
    <w:rsid w:val="002A6DF5"/>
    <w:rsid w:val="002C4F8C"/>
    <w:rsid w:val="002D00B0"/>
    <w:rsid w:val="002D2E16"/>
    <w:rsid w:val="002D2FF2"/>
    <w:rsid w:val="002E6AA6"/>
    <w:rsid w:val="002F19EF"/>
    <w:rsid w:val="00302415"/>
    <w:rsid w:val="00304A55"/>
    <w:rsid w:val="0030693C"/>
    <w:rsid w:val="003102F6"/>
    <w:rsid w:val="00313304"/>
    <w:rsid w:val="00313C48"/>
    <w:rsid w:val="00314D15"/>
    <w:rsid w:val="003162AD"/>
    <w:rsid w:val="00321148"/>
    <w:rsid w:val="00321798"/>
    <w:rsid w:val="00325F44"/>
    <w:rsid w:val="00326976"/>
    <w:rsid w:val="003311D7"/>
    <w:rsid w:val="00332B8B"/>
    <w:rsid w:val="00342476"/>
    <w:rsid w:val="00347104"/>
    <w:rsid w:val="0035213F"/>
    <w:rsid w:val="00352B60"/>
    <w:rsid w:val="003555D2"/>
    <w:rsid w:val="00363DF3"/>
    <w:rsid w:val="003656B1"/>
    <w:rsid w:val="0037056B"/>
    <w:rsid w:val="00377173"/>
    <w:rsid w:val="003774DA"/>
    <w:rsid w:val="00392557"/>
    <w:rsid w:val="003945C0"/>
    <w:rsid w:val="003A06C2"/>
    <w:rsid w:val="003B6D2E"/>
    <w:rsid w:val="003C430D"/>
    <w:rsid w:val="003C7404"/>
    <w:rsid w:val="003D3C5A"/>
    <w:rsid w:val="003D404A"/>
    <w:rsid w:val="003E60B0"/>
    <w:rsid w:val="003E6FDA"/>
    <w:rsid w:val="003F3072"/>
    <w:rsid w:val="00401A2A"/>
    <w:rsid w:val="004103D7"/>
    <w:rsid w:val="0041307C"/>
    <w:rsid w:val="004167B4"/>
    <w:rsid w:val="0042113D"/>
    <w:rsid w:val="00430D7E"/>
    <w:rsid w:val="00433B04"/>
    <w:rsid w:val="004351DB"/>
    <w:rsid w:val="00440BD3"/>
    <w:rsid w:val="00446F93"/>
    <w:rsid w:val="0045360F"/>
    <w:rsid w:val="004649E2"/>
    <w:rsid w:val="00464E8C"/>
    <w:rsid w:val="00466D36"/>
    <w:rsid w:val="00467185"/>
    <w:rsid w:val="0047050C"/>
    <w:rsid w:val="00475504"/>
    <w:rsid w:val="00480F21"/>
    <w:rsid w:val="00484FED"/>
    <w:rsid w:val="00485A84"/>
    <w:rsid w:val="004915EA"/>
    <w:rsid w:val="00495AF1"/>
    <w:rsid w:val="004B5607"/>
    <w:rsid w:val="004C5A38"/>
    <w:rsid w:val="004D1A29"/>
    <w:rsid w:val="004D44E8"/>
    <w:rsid w:val="004F775C"/>
    <w:rsid w:val="004F77BF"/>
    <w:rsid w:val="005015E4"/>
    <w:rsid w:val="0050291D"/>
    <w:rsid w:val="0050697E"/>
    <w:rsid w:val="00524B3C"/>
    <w:rsid w:val="005300B9"/>
    <w:rsid w:val="005315A9"/>
    <w:rsid w:val="005316BE"/>
    <w:rsid w:val="00532B56"/>
    <w:rsid w:val="00537B50"/>
    <w:rsid w:val="00540AD0"/>
    <w:rsid w:val="0054322A"/>
    <w:rsid w:val="00543923"/>
    <w:rsid w:val="005519C9"/>
    <w:rsid w:val="005523D1"/>
    <w:rsid w:val="00554A9C"/>
    <w:rsid w:val="00557624"/>
    <w:rsid w:val="0056023E"/>
    <w:rsid w:val="005658EF"/>
    <w:rsid w:val="00573C1D"/>
    <w:rsid w:val="005822A3"/>
    <w:rsid w:val="0059070B"/>
    <w:rsid w:val="00593B37"/>
    <w:rsid w:val="00594445"/>
    <w:rsid w:val="005B1225"/>
    <w:rsid w:val="005C09F4"/>
    <w:rsid w:val="005C2566"/>
    <w:rsid w:val="005C561A"/>
    <w:rsid w:val="005C5B93"/>
    <w:rsid w:val="005C66FF"/>
    <w:rsid w:val="005C785A"/>
    <w:rsid w:val="005D03CA"/>
    <w:rsid w:val="005D45AB"/>
    <w:rsid w:val="005E4662"/>
    <w:rsid w:val="005E7C2D"/>
    <w:rsid w:val="005F093F"/>
    <w:rsid w:val="005F214A"/>
    <w:rsid w:val="005F6BD6"/>
    <w:rsid w:val="00601C99"/>
    <w:rsid w:val="00607597"/>
    <w:rsid w:val="0062282D"/>
    <w:rsid w:val="006255E4"/>
    <w:rsid w:val="006325E2"/>
    <w:rsid w:val="0063758A"/>
    <w:rsid w:val="00641020"/>
    <w:rsid w:val="006410C1"/>
    <w:rsid w:val="00647F05"/>
    <w:rsid w:val="006530EF"/>
    <w:rsid w:val="00653F70"/>
    <w:rsid w:val="00654D06"/>
    <w:rsid w:val="00661536"/>
    <w:rsid w:val="006678ED"/>
    <w:rsid w:val="0067233D"/>
    <w:rsid w:val="006745AE"/>
    <w:rsid w:val="00675BEF"/>
    <w:rsid w:val="00676AF3"/>
    <w:rsid w:val="00676D10"/>
    <w:rsid w:val="00680F71"/>
    <w:rsid w:val="00682A53"/>
    <w:rsid w:val="0069174B"/>
    <w:rsid w:val="00693FA1"/>
    <w:rsid w:val="006B05E3"/>
    <w:rsid w:val="006B09BC"/>
    <w:rsid w:val="006B42A0"/>
    <w:rsid w:val="006B4E59"/>
    <w:rsid w:val="006C3402"/>
    <w:rsid w:val="006C3622"/>
    <w:rsid w:val="006C395C"/>
    <w:rsid w:val="006C45D4"/>
    <w:rsid w:val="006D2C60"/>
    <w:rsid w:val="006D6F50"/>
    <w:rsid w:val="006E1F3C"/>
    <w:rsid w:val="006E217F"/>
    <w:rsid w:val="006E6073"/>
    <w:rsid w:val="006F7300"/>
    <w:rsid w:val="00703C09"/>
    <w:rsid w:val="00712300"/>
    <w:rsid w:val="00720739"/>
    <w:rsid w:val="00721695"/>
    <w:rsid w:val="007242B4"/>
    <w:rsid w:val="00725FB2"/>
    <w:rsid w:val="00730C64"/>
    <w:rsid w:val="007322AF"/>
    <w:rsid w:val="00735477"/>
    <w:rsid w:val="00736DCA"/>
    <w:rsid w:val="00742399"/>
    <w:rsid w:val="007457E8"/>
    <w:rsid w:val="0074640C"/>
    <w:rsid w:val="0075003D"/>
    <w:rsid w:val="00751B37"/>
    <w:rsid w:val="00754D44"/>
    <w:rsid w:val="00767B7E"/>
    <w:rsid w:val="007746A9"/>
    <w:rsid w:val="00785465"/>
    <w:rsid w:val="00787656"/>
    <w:rsid w:val="007A67EA"/>
    <w:rsid w:val="007B15AF"/>
    <w:rsid w:val="007B7E83"/>
    <w:rsid w:val="007C1631"/>
    <w:rsid w:val="007C636F"/>
    <w:rsid w:val="007D0EF8"/>
    <w:rsid w:val="007D39EB"/>
    <w:rsid w:val="00800A4D"/>
    <w:rsid w:val="008131E7"/>
    <w:rsid w:val="00813711"/>
    <w:rsid w:val="00814279"/>
    <w:rsid w:val="008263C2"/>
    <w:rsid w:val="00842959"/>
    <w:rsid w:val="008438C5"/>
    <w:rsid w:val="008451DC"/>
    <w:rsid w:val="008451FE"/>
    <w:rsid w:val="008466A1"/>
    <w:rsid w:val="00846C1D"/>
    <w:rsid w:val="00851758"/>
    <w:rsid w:val="00856D5A"/>
    <w:rsid w:val="008609EB"/>
    <w:rsid w:val="00862D6D"/>
    <w:rsid w:val="008653E0"/>
    <w:rsid w:val="008657FB"/>
    <w:rsid w:val="00871D4F"/>
    <w:rsid w:val="00874FB3"/>
    <w:rsid w:val="00880BE3"/>
    <w:rsid w:val="008823D6"/>
    <w:rsid w:val="00882588"/>
    <w:rsid w:val="00895792"/>
    <w:rsid w:val="008A3738"/>
    <w:rsid w:val="008A384C"/>
    <w:rsid w:val="008A6981"/>
    <w:rsid w:val="008B298F"/>
    <w:rsid w:val="008B645B"/>
    <w:rsid w:val="008B67B8"/>
    <w:rsid w:val="008B774D"/>
    <w:rsid w:val="008C123E"/>
    <w:rsid w:val="008C3ED0"/>
    <w:rsid w:val="008C5585"/>
    <w:rsid w:val="008C5E94"/>
    <w:rsid w:val="008D4E4B"/>
    <w:rsid w:val="008E6E9D"/>
    <w:rsid w:val="008F1897"/>
    <w:rsid w:val="008F4774"/>
    <w:rsid w:val="008F68F7"/>
    <w:rsid w:val="008F7016"/>
    <w:rsid w:val="008F7480"/>
    <w:rsid w:val="009037B6"/>
    <w:rsid w:val="00906CBE"/>
    <w:rsid w:val="00906FFA"/>
    <w:rsid w:val="00910384"/>
    <w:rsid w:val="00912804"/>
    <w:rsid w:val="00913652"/>
    <w:rsid w:val="009139C0"/>
    <w:rsid w:val="009161C8"/>
    <w:rsid w:val="009164AD"/>
    <w:rsid w:val="00922289"/>
    <w:rsid w:val="00936F46"/>
    <w:rsid w:val="0094271E"/>
    <w:rsid w:val="00943142"/>
    <w:rsid w:val="00943A29"/>
    <w:rsid w:val="00944289"/>
    <w:rsid w:val="0095197E"/>
    <w:rsid w:val="00952AB2"/>
    <w:rsid w:val="009551E0"/>
    <w:rsid w:val="00955801"/>
    <w:rsid w:val="0095654E"/>
    <w:rsid w:val="00956F3C"/>
    <w:rsid w:val="0095779B"/>
    <w:rsid w:val="0096485D"/>
    <w:rsid w:val="00971B89"/>
    <w:rsid w:val="009900F0"/>
    <w:rsid w:val="00991769"/>
    <w:rsid w:val="00994E9F"/>
    <w:rsid w:val="00996931"/>
    <w:rsid w:val="009A0F18"/>
    <w:rsid w:val="009A4CD8"/>
    <w:rsid w:val="009A6AFA"/>
    <w:rsid w:val="009B3ED1"/>
    <w:rsid w:val="009C206F"/>
    <w:rsid w:val="009C433C"/>
    <w:rsid w:val="009C76CF"/>
    <w:rsid w:val="009D28B7"/>
    <w:rsid w:val="009D7E1A"/>
    <w:rsid w:val="009E2162"/>
    <w:rsid w:val="009F2339"/>
    <w:rsid w:val="009F2F95"/>
    <w:rsid w:val="00A006EB"/>
    <w:rsid w:val="00A03709"/>
    <w:rsid w:val="00A06C77"/>
    <w:rsid w:val="00A10147"/>
    <w:rsid w:val="00A13D26"/>
    <w:rsid w:val="00A146A5"/>
    <w:rsid w:val="00A17411"/>
    <w:rsid w:val="00A2223D"/>
    <w:rsid w:val="00A223EF"/>
    <w:rsid w:val="00A34A74"/>
    <w:rsid w:val="00A34BA1"/>
    <w:rsid w:val="00A35351"/>
    <w:rsid w:val="00A41603"/>
    <w:rsid w:val="00A42ADE"/>
    <w:rsid w:val="00A60693"/>
    <w:rsid w:val="00A67728"/>
    <w:rsid w:val="00A81A4F"/>
    <w:rsid w:val="00A82E14"/>
    <w:rsid w:val="00A901E9"/>
    <w:rsid w:val="00A9762C"/>
    <w:rsid w:val="00AA4067"/>
    <w:rsid w:val="00AB1A5B"/>
    <w:rsid w:val="00AC0A54"/>
    <w:rsid w:val="00AC125E"/>
    <w:rsid w:val="00AC45DF"/>
    <w:rsid w:val="00AC474D"/>
    <w:rsid w:val="00AC4DFD"/>
    <w:rsid w:val="00AC58FD"/>
    <w:rsid w:val="00AC60CD"/>
    <w:rsid w:val="00AD60E6"/>
    <w:rsid w:val="00AD793A"/>
    <w:rsid w:val="00AE457D"/>
    <w:rsid w:val="00AE5956"/>
    <w:rsid w:val="00AE619F"/>
    <w:rsid w:val="00AF373A"/>
    <w:rsid w:val="00AF7EFE"/>
    <w:rsid w:val="00B03BEE"/>
    <w:rsid w:val="00B049AA"/>
    <w:rsid w:val="00B0517E"/>
    <w:rsid w:val="00B056E2"/>
    <w:rsid w:val="00B11314"/>
    <w:rsid w:val="00B1192C"/>
    <w:rsid w:val="00B138E3"/>
    <w:rsid w:val="00B23267"/>
    <w:rsid w:val="00B25891"/>
    <w:rsid w:val="00B27149"/>
    <w:rsid w:val="00B40D26"/>
    <w:rsid w:val="00B4451B"/>
    <w:rsid w:val="00B51316"/>
    <w:rsid w:val="00B72D62"/>
    <w:rsid w:val="00B8025E"/>
    <w:rsid w:val="00B843C8"/>
    <w:rsid w:val="00B951E2"/>
    <w:rsid w:val="00B96F37"/>
    <w:rsid w:val="00BA607C"/>
    <w:rsid w:val="00BB0779"/>
    <w:rsid w:val="00BB0A46"/>
    <w:rsid w:val="00BB3E2A"/>
    <w:rsid w:val="00BB455F"/>
    <w:rsid w:val="00BC16F5"/>
    <w:rsid w:val="00BC287D"/>
    <w:rsid w:val="00BC4A76"/>
    <w:rsid w:val="00BD32E5"/>
    <w:rsid w:val="00BD7872"/>
    <w:rsid w:val="00BD7ADD"/>
    <w:rsid w:val="00BE2473"/>
    <w:rsid w:val="00BE41C3"/>
    <w:rsid w:val="00BE6767"/>
    <w:rsid w:val="00BE68D7"/>
    <w:rsid w:val="00BF0784"/>
    <w:rsid w:val="00BF7763"/>
    <w:rsid w:val="00C04D5E"/>
    <w:rsid w:val="00C1420C"/>
    <w:rsid w:val="00C24EA2"/>
    <w:rsid w:val="00C24F70"/>
    <w:rsid w:val="00C25D5B"/>
    <w:rsid w:val="00C325C4"/>
    <w:rsid w:val="00C33479"/>
    <w:rsid w:val="00C47BA2"/>
    <w:rsid w:val="00C60533"/>
    <w:rsid w:val="00C612DC"/>
    <w:rsid w:val="00C622CB"/>
    <w:rsid w:val="00C64D15"/>
    <w:rsid w:val="00C74F74"/>
    <w:rsid w:val="00C7554B"/>
    <w:rsid w:val="00C80192"/>
    <w:rsid w:val="00C83E31"/>
    <w:rsid w:val="00C916A4"/>
    <w:rsid w:val="00CA2108"/>
    <w:rsid w:val="00CA2A52"/>
    <w:rsid w:val="00CA2B15"/>
    <w:rsid w:val="00CA6490"/>
    <w:rsid w:val="00CB05BE"/>
    <w:rsid w:val="00CB5744"/>
    <w:rsid w:val="00CB5868"/>
    <w:rsid w:val="00CB7022"/>
    <w:rsid w:val="00CD1937"/>
    <w:rsid w:val="00CD5543"/>
    <w:rsid w:val="00CD7F52"/>
    <w:rsid w:val="00CE214C"/>
    <w:rsid w:val="00CE6858"/>
    <w:rsid w:val="00CF50BE"/>
    <w:rsid w:val="00CF553B"/>
    <w:rsid w:val="00CF6A52"/>
    <w:rsid w:val="00D03583"/>
    <w:rsid w:val="00D117B4"/>
    <w:rsid w:val="00D169F7"/>
    <w:rsid w:val="00D21382"/>
    <w:rsid w:val="00D26D01"/>
    <w:rsid w:val="00D308D0"/>
    <w:rsid w:val="00D33DA3"/>
    <w:rsid w:val="00D347A3"/>
    <w:rsid w:val="00D45D9D"/>
    <w:rsid w:val="00D4723B"/>
    <w:rsid w:val="00D50C87"/>
    <w:rsid w:val="00D55EE8"/>
    <w:rsid w:val="00D5785A"/>
    <w:rsid w:val="00D63D4F"/>
    <w:rsid w:val="00D64C48"/>
    <w:rsid w:val="00D731C4"/>
    <w:rsid w:val="00D76BB8"/>
    <w:rsid w:val="00D81BAA"/>
    <w:rsid w:val="00D85BE0"/>
    <w:rsid w:val="00D87C1A"/>
    <w:rsid w:val="00D87F42"/>
    <w:rsid w:val="00D87FD7"/>
    <w:rsid w:val="00D92167"/>
    <w:rsid w:val="00D9502B"/>
    <w:rsid w:val="00D97047"/>
    <w:rsid w:val="00D97108"/>
    <w:rsid w:val="00DA2836"/>
    <w:rsid w:val="00DB2BB6"/>
    <w:rsid w:val="00DB57A8"/>
    <w:rsid w:val="00DC2E87"/>
    <w:rsid w:val="00DC5665"/>
    <w:rsid w:val="00DD46FC"/>
    <w:rsid w:val="00DD4F44"/>
    <w:rsid w:val="00DD5D8B"/>
    <w:rsid w:val="00DE0F9E"/>
    <w:rsid w:val="00DE2EDC"/>
    <w:rsid w:val="00DE5D76"/>
    <w:rsid w:val="00E04C8D"/>
    <w:rsid w:val="00E10901"/>
    <w:rsid w:val="00E128D8"/>
    <w:rsid w:val="00E14DD5"/>
    <w:rsid w:val="00E151D4"/>
    <w:rsid w:val="00E228C0"/>
    <w:rsid w:val="00E30D45"/>
    <w:rsid w:val="00E42FE4"/>
    <w:rsid w:val="00E4609D"/>
    <w:rsid w:val="00E46FAA"/>
    <w:rsid w:val="00E50FB5"/>
    <w:rsid w:val="00E5750B"/>
    <w:rsid w:val="00E60E2E"/>
    <w:rsid w:val="00E63A24"/>
    <w:rsid w:val="00E66CE3"/>
    <w:rsid w:val="00E67913"/>
    <w:rsid w:val="00E71276"/>
    <w:rsid w:val="00E71A2D"/>
    <w:rsid w:val="00E8698A"/>
    <w:rsid w:val="00E923F2"/>
    <w:rsid w:val="00E93161"/>
    <w:rsid w:val="00EA31CC"/>
    <w:rsid w:val="00EB14DF"/>
    <w:rsid w:val="00EB2B64"/>
    <w:rsid w:val="00EB3A07"/>
    <w:rsid w:val="00EB4143"/>
    <w:rsid w:val="00EB4728"/>
    <w:rsid w:val="00EB47F5"/>
    <w:rsid w:val="00EB4E7F"/>
    <w:rsid w:val="00EC207A"/>
    <w:rsid w:val="00EC3F31"/>
    <w:rsid w:val="00ED372E"/>
    <w:rsid w:val="00ED3C91"/>
    <w:rsid w:val="00ED4112"/>
    <w:rsid w:val="00ED5A22"/>
    <w:rsid w:val="00EF1347"/>
    <w:rsid w:val="00EF2BEB"/>
    <w:rsid w:val="00F01129"/>
    <w:rsid w:val="00F03D93"/>
    <w:rsid w:val="00F03D9E"/>
    <w:rsid w:val="00F227BF"/>
    <w:rsid w:val="00F374B2"/>
    <w:rsid w:val="00F40AFC"/>
    <w:rsid w:val="00F4730E"/>
    <w:rsid w:val="00F50A92"/>
    <w:rsid w:val="00F53F24"/>
    <w:rsid w:val="00F63341"/>
    <w:rsid w:val="00F7536E"/>
    <w:rsid w:val="00F81F93"/>
    <w:rsid w:val="00F839A8"/>
    <w:rsid w:val="00F85B11"/>
    <w:rsid w:val="00F86F1B"/>
    <w:rsid w:val="00F92A21"/>
    <w:rsid w:val="00F92E9B"/>
    <w:rsid w:val="00F95814"/>
    <w:rsid w:val="00FA01D9"/>
    <w:rsid w:val="00FA031C"/>
    <w:rsid w:val="00FB13C1"/>
    <w:rsid w:val="00FB420B"/>
    <w:rsid w:val="00FC1C5F"/>
    <w:rsid w:val="00FC5A4D"/>
    <w:rsid w:val="00FC5C0C"/>
    <w:rsid w:val="00FC64EF"/>
    <w:rsid w:val="00FD2673"/>
    <w:rsid w:val="00FE22FA"/>
    <w:rsid w:val="00FE26C9"/>
    <w:rsid w:val="00FE2A29"/>
    <w:rsid w:val="00FF3801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BF89F0"/>
  <w15:docId w15:val="{D9CBA468-AD01-4B4C-991A-1243BF78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AFA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8D4E4B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005A7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8D4E4B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005A7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4F77BF"/>
    <w:pPr>
      <w:spacing w:before="240" w:line="240" w:lineRule="auto"/>
      <w:contextualSpacing/>
      <w:outlineLvl w:val="0"/>
    </w:pPr>
    <w:rPr>
      <w:rFonts w:ascii="Georgia" w:hAnsi="Georgia" w:cs="Arial"/>
      <w:bCs/>
      <w:color w:val="005A70"/>
      <w:spacing w:val="0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60"/>
      </w:numPr>
      <w:tabs>
        <w:tab w:val="left" w:pos="170"/>
      </w:tabs>
      <w:ind w:left="533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qFormat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8A384C"/>
    <w:pPr>
      <w:spacing w:before="120" w:after="120"/>
      <w:ind w:left="397"/>
      <w:contextualSpacing/>
    </w:pPr>
    <w:rPr>
      <w:rFonts w:ascii="Georgia" w:hAnsi="Georgia" w:cs="Arial"/>
      <w:bCs/>
      <w:iCs/>
      <w:color w:val="005A7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8D4E4B"/>
    <w:rPr>
      <w:rFonts w:ascii="Georgia" w:hAnsi="Georgia" w:cs="Arial"/>
      <w:bCs/>
      <w:iCs/>
      <w:color w:val="005A70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8A384C"/>
    <w:rPr>
      <w:rFonts w:ascii="Georgia" w:hAnsi="Georgia" w:cs="Arial"/>
      <w:bCs/>
      <w:iCs/>
      <w:color w:val="005A70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2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8D4E4B"/>
    <w:rPr>
      <w:rFonts w:ascii="Georgia" w:hAnsi="Georgia" w:cs="Arial"/>
      <w:bCs/>
      <w:color w:val="005A70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F77BF"/>
    <w:rPr>
      <w:rFonts w:ascii="Georgia" w:hAnsi="Georgia" w:cs="Arial"/>
      <w:bCs/>
      <w:color w:val="005A70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E4609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09D"/>
    <w:rPr>
      <w:rFonts w:ascii="Tahoma" w:hAnsi="Tahoma" w:cs="Tahoma"/>
      <w:spacing w:val="4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aliases w:val="Bulleted Para,CV text,Dot pt,F5 List Paragraph,FooterText,L,List Paragraph1,List Paragraph11,List Paragraph111,List Paragraph2,Medium Grid 1 - Accent 21,NFP GP Bulleted List,Numbered Paragraph,Recommendation,Table text,numbered,列出段落,列出段落1"/>
    <w:basedOn w:val="Normal"/>
    <w:link w:val="ListParagraphChar"/>
    <w:uiPriority w:val="34"/>
    <w:qFormat/>
    <w:rsid w:val="00C80192"/>
    <w:pPr>
      <w:ind w:left="720"/>
      <w:contextualSpacing/>
    </w:pPr>
  </w:style>
  <w:style w:type="table" w:styleId="ColorfulList-Accent2">
    <w:name w:val="Colorful List Accent 2"/>
    <w:basedOn w:val="TableNormal"/>
    <w:uiPriority w:val="72"/>
    <w:rsid w:val="008451DC"/>
    <w:rPr>
      <w:rFonts w:ascii="Arial" w:hAnsi="Arial"/>
      <w:color w:val="000000" w:themeColor="text1"/>
      <w:sz w:val="24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bottom w:val="single" w:sz="12" w:space="0" w:color="FFFFFF" w:themeColor="background1"/>
        </w:tcBorders>
        <w:shd w:val="clear" w:color="auto" w:fill="008C94" w:themeFill="accent2" w:themeFillShade="CC"/>
      </w:tcPr>
    </w:tblStylePr>
    <w:tblStylePr w:type="lastRow">
      <w:rPr>
        <w:b/>
        <w:bCs/>
        <w:color w:val="008C9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AFF" w:themeFill="accent2" w:themeFillTint="3F"/>
      </w:tcPr>
    </w:tblStylePr>
    <w:tblStylePr w:type="band2Horz">
      <w:rPr>
        <w:rFonts w:ascii="Arial" w:hAnsi="Arial"/>
        <w:sz w:val="24"/>
      </w:rPr>
    </w:tblStylePr>
  </w:style>
  <w:style w:type="table" w:customStyle="1" w:styleId="DSSDatatablestyle">
    <w:name w:val="DSS Data table style"/>
    <w:basedOn w:val="TableNormal"/>
    <w:uiPriority w:val="99"/>
    <w:rsid w:val="008451DC"/>
    <w:rPr>
      <w:rFonts w:ascii="Arial" w:eastAsia="Arial" w:hAnsi="Arial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005A70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character" w:customStyle="1" w:styleId="CABNETParagraphChar">
    <w:name w:val="CABNET Paragraph. Char"/>
    <w:basedOn w:val="DefaultParagraphFont"/>
    <w:link w:val="CABNETParagraph"/>
    <w:uiPriority w:val="98"/>
    <w:locked/>
    <w:rsid w:val="001121FC"/>
    <w:rPr>
      <w:rFonts w:ascii="Arial" w:hAnsi="Arial" w:cstheme="minorHAnsi"/>
    </w:rPr>
  </w:style>
  <w:style w:type="paragraph" w:customStyle="1" w:styleId="CABNETParagraph">
    <w:name w:val="CABNET Paragraph."/>
    <w:basedOn w:val="Normal"/>
    <w:link w:val="CABNETParagraphChar"/>
    <w:uiPriority w:val="98"/>
    <w:qFormat/>
    <w:rsid w:val="001121FC"/>
    <w:pPr>
      <w:spacing w:after="120" w:line="240" w:lineRule="auto"/>
    </w:pPr>
    <w:rPr>
      <w:rFonts w:cstheme="minorHAnsi"/>
      <w:spacing w:val="0"/>
      <w:sz w:val="20"/>
      <w:szCs w:val="20"/>
    </w:rPr>
  </w:style>
  <w:style w:type="character" w:customStyle="1" w:styleId="ListParagraphChar">
    <w:name w:val="List Paragraph Char"/>
    <w:aliases w:val="Bulleted Para Char,CV text Char,Dot pt Char,F5 List Paragraph Char,FooterText Char,L Char,List Paragraph1 Char,List Paragraph11 Char,List Paragraph111 Char,List Paragraph2 Char,Medium Grid 1 - Accent 21 Char,NFP GP Bulleted List Char"/>
    <w:link w:val="ListParagraph"/>
    <w:uiPriority w:val="34"/>
    <w:qFormat/>
    <w:locked/>
    <w:rsid w:val="001121FC"/>
    <w:rPr>
      <w:rFonts w:ascii="Arial" w:hAnsi="Arial"/>
      <w:spacing w:val="4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4428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442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4289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42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4289"/>
    <w:rPr>
      <w:rFonts w:ascii="Arial" w:hAnsi="Arial"/>
      <w:b/>
      <w:bCs/>
      <w:spacing w:val="4"/>
    </w:rPr>
  </w:style>
  <w:style w:type="paragraph" w:customStyle="1" w:styleId="BoxText">
    <w:name w:val="Box Text"/>
    <w:basedOn w:val="Normal"/>
    <w:link w:val="BoxTextChar"/>
    <w:qFormat/>
    <w:rsid w:val="00E71276"/>
    <w:pPr>
      <w:spacing w:after="120" w:line="240" w:lineRule="auto"/>
    </w:pPr>
    <w:rPr>
      <w:rFonts w:asciiTheme="minorHAnsi" w:hAnsiTheme="minorHAnsi"/>
      <w:spacing w:val="0"/>
      <w:sz w:val="19"/>
      <w:szCs w:val="20"/>
    </w:rPr>
  </w:style>
  <w:style w:type="character" w:customStyle="1" w:styleId="BoxTextChar">
    <w:name w:val="Box Text Char"/>
    <w:basedOn w:val="DefaultParagraphFont"/>
    <w:link w:val="BoxText"/>
    <w:rsid w:val="00E71276"/>
    <w:rPr>
      <w:rFonts w:asciiTheme="minorHAnsi" w:hAnsiTheme="minorHAnsi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dget.gov.a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dget.gov.a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ss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ss.gov.a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Factsheet%20Templates\DSS%20Fact%20Sheet%20Portrait%20Blue.dotm" TargetMode="External"/></Relationships>
</file>

<file path=word/theme/theme1.xml><?xml version="1.0" encoding="utf-8"?>
<a:theme xmlns:a="http://schemas.openxmlformats.org/drawingml/2006/main" name="Office Theme">
  <a:themeElements>
    <a:clrScheme name="DSS Blu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005A70"/>
      </a:accent4>
      <a:accent5>
        <a:srgbClr val="00B0B9"/>
      </a:accent5>
      <a:accent6>
        <a:srgbClr val="B1E4E3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C6340-1831-4C2D-9B70-331A9B0E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Fact Sheet Portrait Blue</Template>
  <TotalTime>0</TotalTime>
  <Pages>3</Pages>
  <Words>935</Words>
  <Characters>5569</Characters>
  <Application>Microsoft Office Word</Application>
  <DocSecurity>0</DocSecurity>
  <Lines>104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Document Title</vt:lpstr>
    </vt:vector>
  </TitlesOfParts>
  <Company>Department of Social Services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Document Title</dc:title>
  <dc:creator>URSICH, Sam</dc:creator>
  <cp:keywords>[SEC=PROTECTED, CAVEAT=SpecialHandling:CABINET]</cp:keywords>
  <cp:lastModifiedBy>URSICH, Sam</cp:lastModifiedBy>
  <cp:revision>3</cp:revision>
  <cp:lastPrinted>2014-08-12T05:56:00Z</cp:lastPrinted>
  <dcterms:created xsi:type="dcterms:W3CDTF">2022-10-23T04:23:00Z</dcterms:created>
  <dcterms:modified xsi:type="dcterms:W3CDTF">2022-10-25T02:24:00Z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PROTECTED CABINET</vt:lpwstr>
  </property>
  <property fmtid="{D5CDD505-2E9C-101B-9397-08002B2CF9AE}" pid="5" name="PM_Qualifier">
    <vt:lpwstr/>
  </property>
  <property fmtid="{D5CDD505-2E9C-101B-9397-08002B2CF9AE}" pid="6" name="PM_SecurityClassification">
    <vt:lpwstr>PROTECTED</vt:lpwstr>
  </property>
  <property fmtid="{D5CDD505-2E9C-101B-9397-08002B2CF9AE}" pid="7" name="PM_InsertionValue">
    <vt:lpwstr>PROTECTED</vt:lpwstr>
  </property>
  <property fmtid="{D5CDD505-2E9C-101B-9397-08002B2CF9AE}" pid="8" name="PM_Originating_FileId">
    <vt:lpwstr>29B317ACE86B4ADFB5B74D281CB32D34</vt:lpwstr>
  </property>
  <property fmtid="{D5CDD505-2E9C-101B-9397-08002B2CF9AE}" pid="9" name="PM_ProtectiveMarkingValue_Footer">
    <vt:lpwstr>PROTECTED CABINET</vt:lpwstr>
  </property>
  <property fmtid="{D5CDD505-2E9C-101B-9397-08002B2CF9AE}" pid="10" name="PM_Originator_Hash_SHA1">
    <vt:lpwstr>D28BC1499D6EEB448E99528339CF23E5E8301B6D</vt:lpwstr>
  </property>
  <property fmtid="{D5CDD505-2E9C-101B-9397-08002B2CF9AE}" pid="11" name="PM_OriginationTimeStamp">
    <vt:lpwstr>2022-10-25T02:24:55Z</vt:lpwstr>
  </property>
  <property fmtid="{D5CDD505-2E9C-101B-9397-08002B2CF9AE}" pid="12" name="PM_ProtectiveMarkingValue_Header">
    <vt:lpwstr>PROTECTED CABINET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PROTECTED CABINET</vt:lpwstr>
  </property>
  <property fmtid="{D5CDD505-2E9C-101B-9397-08002B2CF9AE}" pid="19" name="PM_Hash_Version">
    <vt:lpwstr>2018.0</vt:lpwstr>
  </property>
  <property fmtid="{D5CDD505-2E9C-101B-9397-08002B2CF9AE}" pid="20" name="PM_Hash_Salt_Prev">
    <vt:lpwstr>0B898EDBB924921F0F8E44C174A9AB30</vt:lpwstr>
  </property>
  <property fmtid="{D5CDD505-2E9C-101B-9397-08002B2CF9AE}" pid="21" name="PM_Hash_Salt">
    <vt:lpwstr>A353870CE9EA0BAF7FD52D3EF3009A87</vt:lpwstr>
  </property>
  <property fmtid="{D5CDD505-2E9C-101B-9397-08002B2CF9AE}" pid="22" name="PM_Hash_SHA1">
    <vt:lpwstr>423B17DA78292BE4D7A694CEE737905F1FE81A0A</vt:lpwstr>
  </property>
  <property fmtid="{D5CDD505-2E9C-101B-9397-08002B2CF9AE}" pid="23" name="PM_OriginatorUserAccountName_SHA256">
    <vt:lpwstr>5DA0F63A755172AC9AEA54DBDDC3DF9DE13086F3819B8983F54032CA842045AB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PROTECTED</vt:lpwstr>
  </property>
  <property fmtid="{D5CDD505-2E9C-101B-9397-08002B2CF9AE}" pid="27" name="PM_Qualifier_Prev">
    <vt:lpwstr/>
  </property>
  <property fmtid="{D5CDD505-2E9C-101B-9397-08002B2CF9AE}" pid="28" name="PM_SpecialHandlingCaveat">
    <vt:lpwstr>CABINET</vt:lpwstr>
  </property>
</Properties>
</file>