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3B86A" w14:textId="77777777" w:rsidR="004B02C4" w:rsidRPr="00770604" w:rsidRDefault="004B02C4" w:rsidP="00D02951">
      <w:pPr>
        <w:pStyle w:val="Title"/>
        <w:spacing w:before="5103"/>
        <w:rPr>
          <w:sz w:val="64"/>
          <w:szCs w:val="64"/>
        </w:rPr>
      </w:pPr>
      <w:bookmarkStart w:id="0" w:name="_Toc285025053"/>
      <w:bookmarkStart w:id="1" w:name="_Toc287542712"/>
      <w:bookmarkStart w:id="2" w:name="_Toc287542778"/>
      <w:bookmarkStart w:id="3" w:name="_Toc287542988"/>
      <w:r w:rsidRPr="00770604">
        <w:rPr>
          <w:sz w:val="64"/>
          <w:szCs w:val="64"/>
        </w:rPr>
        <w:t>Information Publication Scheme</w:t>
      </w:r>
      <w:bookmarkEnd w:id="0"/>
      <w:bookmarkEnd w:id="1"/>
      <w:bookmarkEnd w:id="2"/>
      <w:bookmarkEnd w:id="3"/>
    </w:p>
    <w:p w14:paraId="4ED6A4D5" w14:textId="77777777" w:rsidR="00770604" w:rsidRDefault="00770604" w:rsidP="00770604">
      <w:pPr>
        <w:pStyle w:val="Title"/>
      </w:pPr>
    </w:p>
    <w:p w14:paraId="1B7E4F8E" w14:textId="77777777" w:rsidR="004B02C4" w:rsidRDefault="00596D58" w:rsidP="00770604">
      <w:pPr>
        <w:pStyle w:val="Subtitle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A</w:t>
      </w:r>
      <w:r w:rsidR="004B02C4" w:rsidRPr="005C2ECF">
        <w:rPr>
          <w:color w:val="auto"/>
          <w:sz w:val="44"/>
          <w:szCs w:val="44"/>
        </w:rPr>
        <w:t xml:space="preserve">gency </w:t>
      </w:r>
      <w:r>
        <w:rPr>
          <w:color w:val="auto"/>
          <w:sz w:val="44"/>
          <w:szCs w:val="44"/>
        </w:rPr>
        <w:t>P</w:t>
      </w:r>
      <w:r w:rsidR="004B02C4" w:rsidRPr="005C2ECF">
        <w:rPr>
          <w:color w:val="auto"/>
          <w:sz w:val="44"/>
          <w:szCs w:val="44"/>
        </w:rPr>
        <w:t>lan</w:t>
      </w:r>
    </w:p>
    <w:p w14:paraId="57BEBBB3" w14:textId="77777777" w:rsidR="00770604" w:rsidRPr="00770604" w:rsidRDefault="00770604" w:rsidP="00770604">
      <w:pPr>
        <w:pStyle w:val="Subtitle"/>
        <w:rPr>
          <w:color w:val="auto"/>
          <w:sz w:val="44"/>
          <w:szCs w:val="44"/>
        </w:rPr>
      </w:pPr>
    </w:p>
    <w:p w14:paraId="4B3395F2" w14:textId="0611233C" w:rsidR="006677EB" w:rsidRDefault="00694848" w:rsidP="00770604">
      <w:pPr>
        <w:jc w:val="right"/>
        <w:rPr>
          <w:sz w:val="28"/>
          <w:szCs w:val="28"/>
        </w:rPr>
      </w:pPr>
      <w:r>
        <w:rPr>
          <w:sz w:val="28"/>
          <w:szCs w:val="28"/>
        </w:rPr>
        <w:t>2023 - 2025</w:t>
      </w:r>
    </w:p>
    <w:p w14:paraId="76E88187" w14:textId="3F74AC23" w:rsidR="00EC0A0E" w:rsidRDefault="00EC0A0E" w:rsidP="00770604">
      <w:pPr>
        <w:jc w:val="right"/>
        <w:rPr>
          <w:sz w:val="28"/>
          <w:szCs w:val="28"/>
        </w:rPr>
      </w:pPr>
    </w:p>
    <w:p w14:paraId="79FC990C" w14:textId="6B1D9E47" w:rsidR="00EC0A0E" w:rsidRDefault="00EC0A0E" w:rsidP="00770604">
      <w:pPr>
        <w:jc w:val="right"/>
        <w:rPr>
          <w:sz w:val="28"/>
          <w:szCs w:val="28"/>
        </w:rPr>
      </w:pPr>
    </w:p>
    <w:p w14:paraId="6A4E068C" w14:textId="4E5E1355" w:rsidR="00EC0A0E" w:rsidRDefault="00EC0A0E" w:rsidP="00770604">
      <w:pPr>
        <w:jc w:val="right"/>
        <w:rPr>
          <w:sz w:val="28"/>
          <w:szCs w:val="28"/>
        </w:rPr>
      </w:pPr>
    </w:p>
    <w:p w14:paraId="0A1881FE" w14:textId="7C305E03" w:rsidR="00EC0A0E" w:rsidRDefault="00EC0A0E" w:rsidP="00770604">
      <w:pPr>
        <w:jc w:val="right"/>
        <w:rPr>
          <w:sz w:val="28"/>
          <w:szCs w:val="28"/>
        </w:rPr>
      </w:pPr>
    </w:p>
    <w:p w14:paraId="66939804" w14:textId="191A889E" w:rsidR="00EC0A0E" w:rsidRDefault="00EC0A0E" w:rsidP="00770604">
      <w:pPr>
        <w:jc w:val="right"/>
        <w:rPr>
          <w:sz w:val="28"/>
          <w:szCs w:val="28"/>
        </w:rPr>
      </w:pPr>
    </w:p>
    <w:p w14:paraId="29F7D5EA" w14:textId="77777777" w:rsidR="00EC0A0E" w:rsidRDefault="00EC0A0E" w:rsidP="00770604">
      <w:pPr>
        <w:jc w:val="right"/>
        <w:rPr>
          <w:sz w:val="28"/>
          <w:szCs w:val="28"/>
        </w:rPr>
      </w:pPr>
    </w:p>
    <w:tbl>
      <w:tblPr>
        <w:tblStyle w:val="TableGrid"/>
        <w:tblW w:w="90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Description w:val="document version table"/>
      </w:tblPr>
      <w:tblGrid>
        <w:gridCol w:w="1099"/>
        <w:gridCol w:w="1182"/>
        <w:gridCol w:w="3940"/>
        <w:gridCol w:w="2818"/>
      </w:tblGrid>
      <w:tr w:rsidR="00EC0A0E" w:rsidRPr="00EC0A0E" w14:paraId="0C04D561" w14:textId="77777777" w:rsidTr="007225AA">
        <w:trPr>
          <w:tblHeader/>
        </w:trPr>
        <w:tc>
          <w:tcPr>
            <w:tcW w:w="1099" w:type="dxa"/>
          </w:tcPr>
          <w:p w14:paraId="2ED41D47" w14:textId="7460A735" w:rsidR="00EC0A0E" w:rsidRPr="00EC0A0E" w:rsidRDefault="00EC0A0E" w:rsidP="00EC0A0E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  <w:szCs w:val="28"/>
              </w:rPr>
            </w:pPr>
            <w:bookmarkStart w:id="4" w:name="_GoBack" w:colFirst="0" w:colLast="4"/>
            <w:r w:rsidRPr="00EC0A0E">
              <w:rPr>
                <w:b/>
                <w:color w:val="808080" w:themeColor="background1" w:themeShade="80"/>
                <w:sz w:val="20"/>
                <w:szCs w:val="28"/>
              </w:rPr>
              <w:t>Version</w:t>
            </w:r>
          </w:p>
        </w:tc>
        <w:tc>
          <w:tcPr>
            <w:tcW w:w="1182" w:type="dxa"/>
          </w:tcPr>
          <w:p w14:paraId="1A73F806" w14:textId="3D8FD92D" w:rsidR="00EC0A0E" w:rsidRPr="00EC0A0E" w:rsidRDefault="00EC0A0E" w:rsidP="00EC0A0E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  <w:szCs w:val="28"/>
              </w:rPr>
            </w:pPr>
            <w:r w:rsidRPr="00EC0A0E">
              <w:rPr>
                <w:b/>
                <w:color w:val="808080" w:themeColor="background1" w:themeShade="80"/>
                <w:sz w:val="20"/>
                <w:szCs w:val="28"/>
              </w:rPr>
              <w:t>Date</w:t>
            </w:r>
          </w:p>
        </w:tc>
        <w:tc>
          <w:tcPr>
            <w:tcW w:w="3940" w:type="dxa"/>
          </w:tcPr>
          <w:p w14:paraId="6DFEBFBD" w14:textId="1835C416" w:rsidR="00EC0A0E" w:rsidRPr="00EC0A0E" w:rsidRDefault="00EC0A0E" w:rsidP="00EC0A0E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  <w:szCs w:val="28"/>
              </w:rPr>
            </w:pPr>
            <w:r w:rsidRPr="00EC0A0E">
              <w:rPr>
                <w:b/>
                <w:color w:val="808080" w:themeColor="background1" w:themeShade="80"/>
                <w:sz w:val="20"/>
                <w:szCs w:val="28"/>
              </w:rPr>
              <w:t>Change Description</w:t>
            </w:r>
          </w:p>
        </w:tc>
        <w:tc>
          <w:tcPr>
            <w:tcW w:w="2818" w:type="dxa"/>
          </w:tcPr>
          <w:p w14:paraId="610EB363" w14:textId="39A4FA66" w:rsidR="00EC0A0E" w:rsidRPr="00EC0A0E" w:rsidRDefault="00EC0A0E" w:rsidP="00EC0A0E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  <w:szCs w:val="28"/>
              </w:rPr>
            </w:pPr>
            <w:r w:rsidRPr="00EC0A0E">
              <w:rPr>
                <w:b/>
                <w:color w:val="808080" w:themeColor="background1" w:themeShade="80"/>
                <w:sz w:val="20"/>
                <w:szCs w:val="28"/>
              </w:rPr>
              <w:t>Author</w:t>
            </w:r>
          </w:p>
        </w:tc>
      </w:tr>
      <w:bookmarkEnd w:id="4"/>
      <w:tr w:rsidR="00EC0A0E" w:rsidRPr="00EC0A0E" w14:paraId="3A9EE2C4" w14:textId="77777777" w:rsidTr="00EC0A0E">
        <w:tc>
          <w:tcPr>
            <w:tcW w:w="1099" w:type="dxa"/>
          </w:tcPr>
          <w:p w14:paraId="32B803F8" w14:textId="69D67BCB" w:rsidR="00EC0A0E" w:rsidRPr="00EC0A0E" w:rsidRDefault="009D4032" w:rsidP="00EC0A0E">
            <w:pPr>
              <w:spacing w:after="0"/>
              <w:jc w:val="right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1.0</w:t>
            </w:r>
          </w:p>
        </w:tc>
        <w:tc>
          <w:tcPr>
            <w:tcW w:w="1182" w:type="dxa"/>
          </w:tcPr>
          <w:p w14:paraId="587D1829" w14:textId="269F26B6" w:rsidR="00EC0A0E" w:rsidRPr="00EC0A0E" w:rsidRDefault="00B92101" w:rsidP="00EC0A0E">
            <w:pPr>
              <w:spacing w:after="0"/>
              <w:jc w:val="right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25/05</w:t>
            </w:r>
            <w:r w:rsidR="00EC0A0E" w:rsidRPr="00EC0A0E">
              <w:rPr>
                <w:color w:val="808080" w:themeColor="background1" w:themeShade="80"/>
                <w:sz w:val="20"/>
                <w:szCs w:val="28"/>
              </w:rPr>
              <w:t>/2018</w:t>
            </w:r>
          </w:p>
        </w:tc>
        <w:tc>
          <w:tcPr>
            <w:tcW w:w="3940" w:type="dxa"/>
          </w:tcPr>
          <w:p w14:paraId="5214B948" w14:textId="5F8393E1" w:rsidR="00EC0A0E" w:rsidRPr="00EC0A0E" w:rsidRDefault="009D4032" w:rsidP="009D4032">
            <w:pPr>
              <w:spacing w:after="0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A</w:t>
            </w:r>
            <w:r w:rsidR="00EC0A0E" w:rsidRPr="00EC0A0E">
              <w:rPr>
                <w:color w:val="808080" w:themeColor="background1" w:themeShade="80"/>
                <w:sz w:val="20"/>
                <w:szCs w:val="28"/>
              </w:rPr>
              <w:t>pproved version</w:t>
            </w:r>
          </w:p>
        </w:tc>
        <w:tc>
          <w:tcPr>
            <w:tcW w:w="2818" w:type="dxa"/>
          </w:tcPr>
          <w:p w14:paraId="0014D793" w14:textId="6D086605" w:rsidR="00EC0A0E" w:rsidRPr="00EC0A0E" w:rsidRDefault="00EC0A0E" w:rsidP="005B2A0F">
            <w:pPr>
              <w:spacing w:after="0"/>
              <w:jc w:val="both"/>
              <w:rPr>
                <w:color w:val="808080" w:themeColor="background1" w:themeShade="80"/>
                <w:sz w:val="20"/>
                <w:szCs w:val="28"/>
              </w:rPr>
            </w:pPr>
            <w:r w:rsidRPr="00EC0A0E">
              <w:rPr>
                <w:color w:val="808080" w:themeColor="background1" w:themeShade="80"/>
                <w:sz w:val="20"/>
                <w:szCs w:val="28"/>
              </w:rPr>
              <w:t>FOI Coordinator</w:t>
            </w:r>
          </w:p>
        </w:tc>
      </w:tr>
      <w:tr w:rsidR="00EC0A0E" w:rsidRPr="00EC0A0E" w14:paraId="751C5F53" w14:textId="77777777" w:rsidTr="00EC0A0E">
        <w:tc>
          <w:tcPr>
            <w:tcW w:w="1099" w:type="dxa"/>
          </w:tcPr>
          <w:p w14:paraId="29D9757C" w14:textId="098E8D09" w:rsidR="00EC0A0E" w:rsidRPr="00EC0A0E" w:rsidRDefault="00694848" w:rsidP="00EC0A0E">
            <w:pPr>
              <w:spacing w:after="0"/>
              <w:jc w:val="right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2.0</w:t>
            </w:r>
          </w:p>
        </w:tc>
        <w:tc>
          <w:tcPr>
            <w:tcW w:w="1182" w:type="dxa"/>
          </w:tcPr>
          <w:p w14:paraId="167CDCC8" w14:textId="39DB46C9" w:rsidR="00EC0A0E" w:rsidRPr="00EC0A0E" w:rsidRDefault="005B2A0F" w:rsidP="00F5197C">
            <w:pPr>
              <w:spacing w:after="0"/>
              <w:jc w:val="right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31</w:t>
            </w:r>
            <w:r w:rsidR="00694848">
              <w:rPr>
                <w:color w:val="808080" w:themeColor="background1" w:themeShade="80"/>
                <w:sz w:val="20"/>
                <w:szCs w:val="28"/>
              </w:rPr>
              <w:t>/</w:t>
            </w:r>
            <w:r w:rsidR="00F5197C">
              <w:rPr>
                <w:color w:val="808080" w:themeColor="background1" w:themeShade="80"/>
                <w:sz w:val="20"/>
                <w:szCs w:val="28"/>
              </w:rPr>
              <w:t>07</w:t>
            </w:r>
            <w:r w:rsidR="00694848">
              <w:rPr>
                <w:color w:val="808080" w:themeColor="background1" w:themeShade="80"/>
                <w:sz w:val="20"/>
                <w:szCs w:val="28"/>
              </w:rPr>
              <w:t>/2023</w:t>
            </w:r>
          </w:p>
        </w:tc>
        <w:tc>
          <w:tcPr>
            <w:tcW w:w="3940" w:type="dxa"/>
          </w:tcPr>
          <w:p w14:paraId="4F2EAA1D" w14:textId="2A35080B" w:rsidR="00EC0A0E" w:rsidRPr="00EC0A0E" w:rsidRDefault="005B2A0F" w:rsidP="005B2A0F">
            <w:pPr>
              <w:spacing w:after="0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Updated version</w:t>
            </w:r>
          </w:p>
        </w:tc>
        <w:tc>
          <w:tcPr>
            <w:tcW w:w="2818" w:type="dxa"/>
          </w:tcPr>
          <w:p w14:paraId="4C4102FC" w14:textId="0CF98F5C" w:rsidR="00EC0A0E" w:rsidRPr="00EC0A0E" w:rsidRDefault="005B2A0F" w:rsidP="005B2A0F">
            <w:pPr>
              <w:spacing w:after="0"/>
              <w:jc w:val="both"/>
              <w:rPr>
                <w:color w:val="808080" w:themeColor="background1" w:themeShade="80"/>
                <w:sz w:val="20"/>
                <w:szCs w:val="28"/>
              </w:rPr>
            </w:pPr>
            <w:r>
              <w:rPr>
                <w:color w:val="808080" w:themeColor="background1" w:themeShade="80"/>
                <w:sz w:val="20"/>
                <w:szCs w:val="28"/>
              </w:rPr>
              <w:t>FOI Director</w:t>
            </w:r>
          </w:p>
        </w:tc>
      </w:tr>
    </w:tbl>
    <w:p w14:paraId="4B034039" w14:textId="23601AD3" w:rsidR="00EC0A0E" w:rsidRPr="004B02C4" w:rsidRDefault="00EC0A0E" w:rsidP="00770604">
      <w:pPr>
        <w:jc w:val="right"/>
        <w:rPr>
          <w:sz w:val="28"/>
          <w:szCs w:val="28"/>
        </w:rPr>
      </w:pPr>
    </w:p>
    <w:p w14:paraId="150C4F8A" w14:textId="77777777" w:rsidR="00770604" w:rsidRPr="00770604" w:rsidRDefault="00770604">
      <w:pPr>
        <w:rPr>
          <w:sz w:val="28"/>
          <w:szCs w:val="28"/>
        </w:rPr>
        <w:sectPr w:rsidR="00770604" w:rsidRPr="00770604" w:rsidSect="00EC0A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1" w:bottom="426" w:left="1440" w:header="709" w:footer="709" w:gutter="0"/>
          <w:cols w:space="708"/>
          <w:titlePg/>
          <w:docGrid w:linePitch="360"/>
        </w:sectPr>
      </w:pPr>
    </w:p>
    <w:p w14:paraId="7B61F6EA" w14:textId="77777777" w:rsidR="004B02C4" w:rsidRPr="003C0E2D" w:rsidRDefault="004B02C4" w:rsidP="004B02C4">
      <w:pPr>
        <w:pStyle w:val="Heading1"/>
        <w:rPr>
          <w:rFonts w:cs="Calibri"/>
          <w:szCs w:val="36"/>
        </w:rPr>
      </w:pPr>
      <w:bookmarkStart w:id="5" w:name="_Toc284834398"/>
      <w:bookmarkStart w:id="6" w:name="_Toc284835126"/>
      <w:bookmarkStart w:id="7" w:name="_Toc284835445"/>
      <w:bookmarkStart w:id="8" w:name="_Toc284835458"/>
      <w:bookmarkStart w:id="9" w:name="_Toc285025056"/>
      <w:bookmarkStart w:id="10" w:name="_Toc287262186"/>
      <w:bookmarkStart w:id="11" w:name="_Toc287542781"/>
      <w:bookmarkStart w:id="12" w:name="_Toc287542991"/>
      <w:bookmarkStart w:id="13" w:name="_Toc291024044"/>
      <w:r w:rsidRPr="003C0E2D">
        <w:rPr>
          <w:rFonts w:cs="Calibri"/>
          <w:szCs w:val="36"/>
        </w:rPr>
        <w:lastRenderedPageBreak/>
        <w:t>Introduction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84A6AC9" w14:textId="31D4D3BE" w:rsidR="004B02C4" w:rsidRPr="000A265B" w:rsidRDefault="004B02C4" w:rsidP="004B02C4">
      <w:pPr>
        <w:rPr>
          <w:rFonts w:cs="Calibri"/>
          <w:szCs w:val="24"/>
          <w:lang w:eastAsia="en-AU"/>
        </w:rPr>
      </w:pPr>
      <w:r w:rsidRPr="000A265B">
        <w:rPr>
          <w:rFonts w:cs="Calibri"/>
          <w:szCs w:val="24"/>
          <w:lang w:eastAsia="en-AU"/>
        </w:rPr>
        <w:t xml:space="preserve">The Department of </w:t>
      </w:r>
      <w:r w:rsidR="00667EEB" w:rsidRPr="000A265B">
        <w:rPr>
          <w:rFonts w:cs="Calibri"/>
          <w:szCs w:val="24"/>
          <w:lang w:eastAsia="en-AU"/>
        </w:rPr>
        <w:t>Social</w:t>
      </w:r>
      <w:r w:rsidRPr="000A265B">
        <w:rPr>
          <w:rFonts w:cs="Calibri"/>
          <w:szCs w:val="24"/>
          <w:lang w:eastAsia="en-AU"/>
        </w:rPr>
        <w:t xml:space="preserve"> Services (</w:t>
      </w:r>
      <w:r w:rsidR="00596D58" w:rsidRPr="000A265B">
        <w:rPr>
          <w:rFonts w:cs="Calibri"/>
          <w:szCs w:val="24"/>
          <w:lang w:eastAsia="en-AU"/>
        </w:rPr>
        <w:t xml:space="preserve">the </w:t>
      </w:r>
      <w:r w:rsidR="00FD7307">
        <w:rPr>
          <w:rFonts w:cs="Calibri"/>
          <w:szCs w:val="24"/>
          <w:lang w:eastAsia="en-AU"/>
        </w:rPr>
        <w:t>d</w:t>
      </w:r>
      <w:r w:rsidR="00596D58" w:rsidRPr="000A265B">
        <w:rPr>
          <w:rFonts w:cs="Calibri"/>
          <w:szCs w:val="24"/>
          <w:lang w:eastAsia="en-AU"/>
        </w:rPr>
        <w:t>epartment</w:t>
      </w:r>
      <w:r w:rsidRPr="000A265B">
        <w:rPr>
          <w:rFonts w:cs="Calibri"/>
          <w:szCs w:val="24"/>
          <w:lang w:eastAsia="en-AU"/>
        </w:rPr>
        <w:t xml:space="preserve">) is an agency subject to the </w:t>
      </w:r>
      <w:hyperlink r:id="rId14" w:history="1">
        <w:r w:rsidRPr="00865F72">
          <w:rPr>
            <w:rStyle w:val="Hyperlink"/>
            <w:rFonts w:cs="Calibri"/>
            <w:i/>
            <w:szCs w:val="24"/>
            <w:lang w:eastAsia="en-AU"/>
          </w:rPr>
          <w:t>Freedom of Information Act 1982</w:t>
        </w:r>
      </w:hyperlink>
      <w:r w:rsidRPr="000A265B">
        <w:rPr>
          <w:rFonts w:cs="Calibri"/>
          <w:i/>
          <w:szCs w:val="24"/>
          <w:lang w:eastAsia="en-AU"/>
        </w:rPr>
        <w:t xml:space="preserve"> </w:t>
      </w:r>
      <w:r w:rsidRPr="000A265B">
        <w:rPr>
          <w:rFonts w:cs="Calibri"/>
          <w:szCs w:val="24"/>
          <w:lang w:eastAsia="en-AU"/>
        </w:rPr>
        <w:t>(FOI Act) and is required to comply with the Information Publication Scheme (</w:t>
      </w:r>
      <w:r w:rsidR="000D45CE" w:rsidRPr="000A265B">
        <w:rPr>
          <w:rFonts w:cs="Calibri"/>
          <w:szCs w:val="24"/>
          <w:lang w:eastAsia="en-AU"/>
        </w:rPr>
        <w:t>IPS</w:t>
      </w:r>
      <w:r w:rsidRPr="000A265B">
        <w:rPr>
          <w:rFonts w:cs="Calibri"/>
          <w:szCs w:val="24"/>
          <w:lang w:eastAsia="en-AU"/>
        </w:rPr>
        <w:t xml:space="preserve">) requirements. This plan describes how </w:t>
      </w:r>
      <w:r w:rsidR="00596D58" w:rsidRPr="000A265B">
        <w:rPr>
          <w:rFonts w:cs="Calibri"/>
          <w:szCs w:val="24"/>
          <w:lang w:eastAsia="en-AU"/>
        </w:rPr>
        <w:t xml:space="preserve">the </w:t>
      </w:r>
      <w:r w:rsidR="00FD7307">
        <w:rPr>
          <w:rFonts w:cs="Calibri"/>
          <w:szCs w:val="24"/>
          <w:lang w:eastAsia="en-AU"/>
        </w:rPr>
        <w:t>d</w:t>
      </w:r>
      <w:r w:rsidR="00596D58" w:rsidRPr="000A265B">
        <w:rPr>
          <w:rFonts w:cs="Calibri"/>
          <w:szCs w:val="24"/>
          <w:lang w:eastAsia="en-AU"/>
        </w:rPr>
        <w:t xml:space="preserve">epartment </w:t>
      </w:r>
      <w:r w:rsidRPr="000A265B">
        <w:rPr>
          <w:rFonts w:cs="Calibri"/>
          <w:szCs w:val="24"/>
          <w:lang w:eastAsia="en-AU"/>
        </w:rPr>
        <w:t>proposes</w:t>
      </w:r>
      <w:r w:rsidR="00596D58" w:rsidRPr="000A265B">
        <w:rPr>
          <w:rFonts w:cs="Calibri"/>
          <w:szCs w:val="24"/>
          <w:lang w:eastAsia="en-AU"/>
        </w:rPr>
        <w:t xml:space="preserve"> </w:t>
      </w:r>
      <w:r w:rsidRPr="000A265B">
        <w:rPr>
          <w:rFonts w:cs="Calibri"/>
          <w:szCs w:val="24"/>
          <w:lang w:eastAsia="en-AU"/>
        </w:rPr>
        <w:t xml:space="preserve">to do this, as required by </w:t>
      </w:r>
      <w:r w:rsidR="000A265B">
        <w:rPr>
          <w:rFonts w:cs="Calibri"/>
          <w:szCs w:val="24"/>
          <w:lang w:eastAsia="en-AU"/>
        </w:rPr>
        <w:t>sub</w:t>
      </w:r>
      <w:r w:rsidRPr="000A265B">
        <w:rPr>
          <w:rFonts w:cs="Calibri"/>
          <w:szCs w:val="24"/>
          <w:lang w:eastAsia="en-AU"/>
        </w:rPr>
        <w:t>s</w:t>
      </w:r>
      <w:r w:rsidR="000A265B">
        <w:rPr>
          <w:rFonts w:cs="Calibri"/>
          <w:szCs w:val="24"/>
          <w:lang w:eastAsia="en-AU"/>
        </w:rPr>
        <w:t>ection</w:t>
      </w:r>
      <w:r w:rsidRPr="000A265B">
        <w:rPr>
          <w:rFonts w:cs="Calibri"/>
          <w:szCs w:val="24"/>
          <w:lang w:eastAsia="en-AU"/>
        </w:rPr>
        <w:t xml:space="preserve"> 8(1) of the FOI</w:t>
      </w:r>
      <w:r w:rsidR="000D45CE" w:rsidRPr="000A265B">
        <w:rPr>
          <w:rFonts w:cs="Calibri"/>
          <w:szCs w:val="24"/>
          <w:lang w:eastAsia="en-AU"/>
        </w:rPr>
        <w:t> </w:t>
      </w:r>
      <w:r w:rsidRPr="000A265B">
        <w:rPr>
          <w:rFonts w:cs="Calibri"/>
          <w:szCs w:val="24"/>
          <w:lang w:eastAsia="en-AU"/>
        </w:rPr>
        <w:t xml:space="preserve">Act. </w:t>
      </w:r>
    </w:p>
    <w:p w14:paraId="59EFA3EB" w14:textId="77777777" w:rsidR="004B02C4" w:rsidRPr="00495DD4" w:rsidRDefault="004B02C4" w:rsidP="004B02C4">
      <w:pPr>
        <w:pStyle w:val="Heading1"/>
        <w:rPr>
          <w:rFonts w:cs="Calibri"/>
          <w:szCs w:val="36"/>
        </w:rPr>
      </w:pPr>
      <w:bookmarkStart w:id="14" w:name="_Toc284834399"/>
      <w:bookmarkStart w:id="15" w:name="_Toc284835127"/>
      <w:bookmarkStart w:id="16" w:name="_Toc284835446"/>
      <w:bookmarkStart w:id="17" w:name="_Toc284835459"/>
      <w:bookmarkStart w:id="18" w:name="_Toc285025057"/>
      <w:bookmarkStart w:id="19" w:name="_Toc287262187"/>
      <w:bookmarkStart w:id="20" w:name="_Toc287542782"/>
      <w:bookmarkStart w:id="21" w:name="_Toc287542992"/>
      <w:bookmarkStart w:id="22" w:name="_Toc291024045"/>
      <w:r w:rsidRPr="00495DD4">
        <w:rPr>
          <w:rFonts w:cs="Calibri"/>
          <w:szCs w:val="36"/>
        </w:rPr>
        <w:t>Purpose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97054CC" w14:textId="77777777" w:rsidR="004B02C4" w:rsidRPr="000A265B" w:rsidRDefault="004B02C4" w:rsidP="000A265B">
      <w:pPr>
        <w:rPr>
          <w:rFonts w:cs="Calibri"/>
          <w:szCs w:val="24"/>
          <w:lang w:eastAsia="en-AU"/>
        </w:rPr>
      </w:pPr>
      <w:r w:rsidRPr="000A265B">
        <w:rPr>
          <w:rFonts w:cs="Calibri"/>
          <w:szCs w:val="24"/>
          <w:lang w:eastAsia="en-AU"/>
        </w:rPr>
        <w:t>The purpose of this agency plan is to:</w:t>
      </w:r>
    </w:p>
    <w:p w14:paraId="4571FB90" w14:textId="11CC1EA0" w:rsidR="00E70599" w:rsidRDefault="00E70599" w:rsidP="007D0673">
      <w:pPr>
        <w:pStyle w:val="Bullets"/>
      </w:pPr>
      <w:r>
        <w:t xml:space="preserve">ensure that the </w:t>
      </w:r>
      <w:r w:rsidR="00FD7307">
        <w:t>d</w:t>
      </w:r>
      <w:r>
        <w:t xml:space="preserve">epartment </w:t>
      </w:r>
      <w:r w:rsidR="007D0673">
        <w:t>compl</w:t>
      </w:r>
      <w:r w:rsidR="000D45CE">
        <w:t>ies</w:t>
      </w:r>
      <w:r w:rsidR="007D0673">
        <w:t xml:space="preserve"> </w:t>
      </w:r>
      <w:r>
        <w:t xml:space="preserve">with </w:t>
      </w:r>
      <w:r w:rsidR="007D0673">
        <w:t>subsection 8(1) of the FOI Act</w:t>
      </w:r>
      <w:r w:rsidR="000C4A9F">
        <w:t>;</w:t>
      </w:r>
    </w:p>
    <w:p w14:paraId="40CC9AE7" w14:textId="29BC6938" w:rsidR="007D0673" w:rsidRDefault="007D0673" w:rsidP="007D0673">
      <w:pPr>
        <w:pStyle w:val="Bullets"/>
      </w:pPr>
      <w:r>
        <w:t xml:space="preserve">assist the </w:t>
      </w:r>
      <w:r w:rsidR="00FD7307">
        <w:t>d</w:t>
      </w:r>
      <w:r>
        <w:t>epartment in planning and developing its IPS entr</w:t>
      </w:r>
      <w:r w:rsidR="000D45CE">
        <w:t>ies</w:t>
      </w:r>
      <w:r w:rsidR="000C4A9F">
        <w:t>;</w:t>
      </w:r>
      <w:r w:rsidR="00B92101">
        <w:t xml:space="preserve"> and</w:t>
      </w:r>
    </w:p>
    <w:p w14:paraId="045F76B9" w14:textId="72D5C2D9" w:rsidR="004B02C4" w:rsidRPr="00401D0A" w:rsidRDefault="000C4A9F" w:rsidP="003C5D01">
      <w:pPr>
        <w:pStyle w:val="Bullets"/>
      </w:pPr>
      <w:r>
        <w:t>show</w:t>
      </w:r>
      <w:r w:rsidR="00FD7307">
        <w:t xml:space="preserve"> </w:t>
      </w:r>
      <w:r w:rsidR="007D0673">
        <w:t xml:space="preserve">what information the </w:t>
      </w:r>
      <w:r w:rsidR="00FD7307">
        <w:t>d</w:t>
      </w:r>
      <w:r w:rsidR="007D0673">
        <w:t>epartment proposes to publish (IPS holdings)</w:t>
      </w:r>
      <w:r w:rsidR="000E7C21">
        <w:t xml:space="preserve"> and</w:t>
      </w:r>
      <w:r>
        <w:t xml:space="preserve"> </w:t>
      </w:r>
      <w:r w:rsidR="007D0673">
        <w:t>how</w:t>
      </w:r>
      <w:r w:rsidR="00B92101">
        <w:t xml:space="preserve"> it will be published</w:t>
      </w:r>
      <w:r w:rsidR="007D0673">
        <w:t>.</w:t>
      </w:r>
    </w:p>
    <w:p w14:paraId="5D5A52C6" w14:textId="77777777" w:rsidR="004B02C4" w:rsidRPr="001235B0" w:rsidRDefault="004B02C4" w:rsidP="001235B0">
      <w:pPr>
        <w:pStyle w:val="Heading1"/>
        <w:rPr>
          <w:rFonts w:cs="Calibri"/>
          <w:szCs w:val="36"/>
        </w:rPr>
      </w:pPr>
      <w:bookmarkStart w:id="23" w:name="_Toc284834400"/>
      <w:bookmarkStart w:id="24" w:name="_Toc284835128"/>
      <w:bookmarkStart w:id="25" w:name="_Toc284835447"/>
      <w:bookmarkStart w:id="26" w:name="_Toc284835460"/>
      <w:bookmarkStart w:id="27" w:name="_Toc285025058"/>
      <w:bookmarkStart w:id="28" w:name="_Toc287262188"/>
      <w:bookmarkStart w:id="29" w:name="_Toc287542783"/>
      <w:bookmarkStart w:id="30" w:name="_Toc287542993"/>
      <w:bookmarkStart w:id="31" w:name="_Toc291024046"/>
      <w:r w:rsidRPr="001235B0">
        <w:rPr>
          <w:rFonts w:cs="Calibri"/>
          <w:szCs w:val="36"/>
        </w:rPr>
        <w:t>Objectives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D265F47" w14:textId="66964805" w:rsidR="004B02C4" w:rsidRPr="000A265B" w:rsidRDefault="00596D58" w:rsidP="000A265B">
      <w:pPr>
        <w:rPr>
          <w:rFonts w:cs="Calibri"/>
          <w:szCs w:val="24"/>
          <w:lang w:eastAsia="en-AU"/>
        </w:rPr>
      </w:pPr>
      <w:r w:rsidRPr="000A265B">
        <w:rPr>
          <w:rFonts w:cs="Calibri"/>
          <w:szCs w:val="24"/>
          <w:lang w:eastAsia="en-AU"/>
        </w:rPr>
        <w:t xml:space="preserve">The </w:t>
      </w:r>
      <w:r w:rsidR="00FD7307">
        <w:rPr>
          <w:rFonts w:cs="Calibri"/>
          <w:szCs w:val="24"/>
          <w:lang w:eastAsia="en-AU"/>
        </w:rPr>
        <w:t>d</w:t>
      </w:r>
      <w:r w:rsidR="00E16E05" w:rsidRPr="000A265B">
        <w:rPr>
          <w:rFonts w:cs="Calibri"/>
          <w:szCs w:val="24"/>
          <w:lang w:eastAsia="en-AU"/>
        </w:rPr>
        <w:t xml:space="preserve">epartment’s </w:t>
      </w:r>
      <w:r w:rsidRPr="000A265B">
        <w:rPr>
          <w:rFonts w:cs="Calibri"/>
          <w:szCs w:val="24"/>
          <w:lang w:eastAsia="en-AU"/>
        </w:rPr>
        <w:t>IPS</w:t>
      </w:r>
      <w:r w:rsidR="006B4543" w:rsidRPr="000A265B">
        <w:rPr>
          <w:rFonts w:cs="Calibri"/>
          <w:szCs w:val="24"/>
          <w:lang w:eastAsia="en-AU"/>
        </w:rPr>
        <w:t xml:space="preserve"> </w:t>
      </w:r>
      <w:r w:rsidR="004B02C4" w:rsidRPr="000A265B">
        <w:rPr>
          <w:rFonts w:cs="Calibri"/>
          <w:szCs w:val="24"/>
          <w:lang w:eastAsia="en-AU"/>
        </w:rPr>
        <w:t>objectives are</w:t>
      </w:r>
      <w:r w:rsidR="007D0673" w:rsidRPr="000A265B">
        <w:rPr>
          <w:rFonts w:cs="Calibri"/>
          <w:szCs w:val="24"/>
          <w:lang w:eastAsia="en-AU"/>
        </w:rPr>
        <w:t xml:space="preserve"> to</w:t>
      </w:r>
      <w:r w:rsidR="004B02C4" w:rsidRPr="000A265B">
        <w:rPr>
          <w:rFonts w:cs="Calibri"/>
          <w:szCs w:val="24"/>
          <w:lang w:eastAsia="en-AU"/>
        </w:rPr>
        <w:t>:</w:t>
      </w:r>
    </w:p>
    <w:p w14:paraId="74220F77" w14:textId="6968380F" w:rsidR="004B02C4" w:rsidRPr="00495DD4" w:rsidRDefault="00E16E05" w:rsidP="004B02C4">
      <w:pPr>
        <w:pStyle w:val="Bullets"/>
      </w:pPr>
      <w:r>
        <w:t xml:space="preserve">ensure proper </w:t>
      </w:r>
      <w:r w:rsidR="004B02C4" w:rsidRPr="00495DD4">
        <w:t>manage</w:t>
      </w:r>
      <w:r>
        <w:t>ment of</w:t>
      </w:r>
      <w:r w:rsidR="004B02C4" w:rsidRPr="00495DD4">
        <w:t xml:space="preserve"> </w:t>
      </w:r>
      <w:r w:rsidR="00E70599">
        <w:t xml:space="preserve">the </w:t>
      </w:r>
      <w:r w:rsidR="00FD7307">
        <w:t>d</w:t>
      </w:r>
      <w:r w:rsidR="00E70599">
        <w:t>epartment’s</w:t>
      </w:r>
      <w:r w:rsidR="006B4543" w:rsidRPr="00495DD4">
        <w:t xml:space="preserve"> </w:t>
      </w:r>
      <w:r w:rsidR="004B02C4" w:rsidRPr="00495DD4">
        <w:t xml:space="preserve">IPS </w:t>
      </w:r>
      <w:r w:rsidR="00FD7307">
        <w:t>entries</w:t>
      </w:r>
      <w:r w:rsidR="000C4A9F">
        <w:t>;</w:t>
      </w:r>
    </w:p>
    <w:p w14:paraId="59B83EFE" w14:textId="07690EBF" w:rsidR="004B02C4" w:rsidRDefault="004B02C4" w:rsidP="004B02C4">
      <w:pPr>
        <w:pStyle w:val="Bullets"/>
      </w:pPr>
      <w:r w:rsidRPr="003C0E2D">
        <w:t>identify and publish all information required to be published</w:t>
      </w:r>
      <w:r w:rsidR="000C4A9F">
        <w:t xml:space="preserve"> under </w:t>
      </w:r>
      <w:r w:rsidR="000C4A9F" w:rsidRPr="003C0E2D">
        <w:t>s</w:t>
      </w:r>
      <w:r w:rsidR="000C4A9F">
        <w:t>ubsection</w:t>
      </w:r>
      <w:r w:rsidR="000C4A9F" w:rsidRPr="003C0E2D">
        <w:t xml:space="preserve"> 8(2)</w:t>
      </w:r>
      <w:r w:rsidR="000C4A9F" w:rsidRPr="000C4A9F">
        <w:t xml:space="preserve"> </w:t>
      </w:r>
      <w:r w:rsidR="000C4A9F">
        <w:t>of the FOI Act;</w:t>
      </w:r>
    </w:p>
    <w:p w14:paraId="20665157" w14:textId="4CCBDAFE" w:rsidR="000C4A9F" w:rsidRPr="00350AC6" w:rsidRDefault="000C4A9F" w:rsidP="000C4A9F">
      <w:pPr>
        <w:pStyle w:val="Bullets"/>
      </w:pPr>
      <w:r w:rsidRPr="00350AC6">
        <w:t xml:space="preserve">ensure satisfactory conformance </w:t>
      </w:r>
      <w:r>
        <w:t xml:space="preserve">by DSS </w:t>
      </w:r>
      <w:r w:rsidRPr="00350AC6">
        <w:t xml:space="preserve">with the </w:t>
      </w:r>
      <w:r w:rsidRPr="00B24F0E">
        <w:rPr>
          <w:i/>
        </w:rPr>
        <w:t>Web Content Accessibility Guidelines</w:t>
      </w:r>
      <w:r w:rsidRPr="00350AC6">
        <w:t xml:space="preserve"> </w:t>
      </w:r>
      <w:r w:rsidRPr="00B24F0E">
        <w:rPr>
          <w:i/>
        </w:rPr>
        <w:t>(Version 2</w:t>
      </w:r>
      <w:r w:rsidR="00E231FE">
        <w:rPr>
          <w:i/>
        </w:rPr>
        <w:t>.1</w:t>
      </w:r>
      <w:r w:rsidRPr="00B24F0E">
        <w:rPr>
          <w:i/>
        </w:rPr>
        <w:t>)</w:t>
      </w:r>
      <w:r w:rsidRPr="00350AC6">
        <w:t xml:space="preserve"> (WCAG 2.</w:t>
      </w:r>
      <w:r w:rsidR="00E231FE">
        <w:t>1</w:t>
      </w:r>
      <w:r w:rsidRPr="00350AC6">
        <w:t>)</w:t>
      </w:r>
      <w:r>
        <w:t>;</w:t>
      </w:r>
      <w:r w:rsidR="00B92101">
        <w:t xml:space="preserve"> and</w:t>
      </w:r>
    </w:p>
    <w:p w14:paraId="40666753" w14:textId="2AC975F7" w:rsidR="000C4A9F" w:rsidRPr="001F340E" w:rsidRDefault="000C4A9F" w:rsidP="000C4A9F">
      <w:pPr>
        <w:pStyle w:val="Bullets"/>
      </w:pPr>
      <w:r w:rsidRPr="001F340E">
        <w:t>adopt best practice initiatives in implementing</w:t>
      </w:r>
      <w:r>
        <w:t xml:space="preserve">, </w:t>
      </w:r>
      <w:r w:rsidRPr="001F340E">
        <w:t xml:space="preserve">administering </w:t>
      </w:r>
      <w:r w:rsidR="00B92101">
        <w:t xml:space="preserve">and reviewing </w:t>
      </w:r>
      <w:r w:rsidR="000E7C21">
        <w:t xml:space="preserve">the </w:t>
      </w:r>
      <w:r w:rsidR="00B92101">
        <w:t>department’s</w:t>
      </w:r>
      <w:r>
        <w:t xml:space="preserve"> IPS holdings and</w:t>
      </w:r>
      <w:r w:rsidRPr="001D6221">
        <w:t xml:space="preserve"> </w:t>
      </w:r>
      <w:r>
        <w:t>contribution to the</w:t>
      </w:r>
      <w:r w:rsidRPr="001F340E">
        <w:t xml:space="preserve"> IPS. </w:t>
      </w:r>
    </w:p>
    <w:p w14:paraId="442B20AC" w14:textId="3ADEFE11" w:rsidR="000D45CE" w:rsidRDefault="000E7C21" w:rsidP="000D45CE">
      <w:pPr>
        <w:pStyle w:val="Heading1"/>
        <w:rPr>
          <w:rFonts w:cs="Calibri"/>
          <w:szCs w:val="36"/>
        </w:rPr>
      </w:pPr>
      <w:bookmarkStart w:id="32" w:name="_Toc284834401"/>
      <w:bookmarkStart w:id="33" w:name="_Toc284835129"/>
      <w:bookmarkStart w:id="34" w:name="_Toc284835448"/>
      <w:bookmarkStart w:id="35" w:name="_Toc284835461"/>
      <w:bookmarkStart w:id="36" w:name="_Toc285025059"/>
      <w:bookmarkStart w:id="37" w:name="_Toc287262189"/>
      <w:bookmarkStart w:id="38" w:name="_Toc291024047"/>
      <w:bookmarkStart w:id="39" w:name="_Toc287542784"/>
      <w:bookmarkStart w:id="40" w:name="_Toc287542994"/>
      <w:r w:rsidRPr="004001C3">
        <w:rPr>
          <w:rFonts w:cs="Calibri"/>
          <w:szCs w:val="36"/>
        </w:rPr>
        <w:t>I</w:t>
      </w:r>
      <w:r>
        <w:rPr>
          <w:rFonts w:cs="Calibri"/>
          <w:szCs w:val="36"/>
        </w:rPr>
        <w:t xml:space="preserve">nformation </w:t>
      </w:r>
      <w:r w:rsidRPr="004001C3">
        <w:rPr>
          <w:rFonts w:cs="Calibri"/>
          <w:szCs w:val="36"/>
        </w:rPr>
        <w:t>P</w:t>
      </w:r>
      <w:r>
        <w:rPr>
          <w:rFonts w:cs="Calibri"/>
          <w:szCs w:val="36"/>
        </w:rPr>
        <w:t xml:space="preserve">ublication </w:t>
      </w:r>
      <w:r w:rsidRPr="004001C3">
        <w:rPr>
          <w:rFonts w:cs="Calibri"/>
          <w:szCs w:val="36"/>
        </w:rPr>
        <w:t>S</w:t>
      </w:r>
      <w:r>
        <w:rPr>
          <w:rFonts w:cs="Calibri"/>
          <w:szCs w:val="36"/>
        </w:rPr>
        <w:t xml:space="preserve">cheme </w:t>
      </w:r>
      <w:r w:rsidR="000D45CE">
        <w:rPr>
          <w:rFonts w:cs="Calibri"/>
          <w:szCs w:val="36"/>
        </w:rPr>
        <w:t>accountability</w:t>
      </w:r>
    </w:p>
    <w:p w14:paraId="45914E1C" w14:textId="1F0C9338" w:rsidR="000D45CE" w:rsidRPr="000A265B" w:rsidRDefault="00185539" w:rsidP="000A265B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All </w:t>
      </w:r>
      <w:r w:rsidR="006C4861">
        <w:rPr>
          <w:rFonts w:cs="Calibri"/>
          <w:szCs w:val="24"/>
          <w:lang w:eastAsia="en-AU"/>
        </w:rPr>
        <w:t>Senior Executive Officers (SES o</w:t>
      </w:r>
      <w:r>
        <w:rPr>
          <w:rFonts w:cs="Calibri"/>
          <w:szCs w:val="24"/>
          <w:lang w:eastAsia="en-AU"/>
        </w:rPr>
        <w:t xml:space="preserve">fficers) in the department are </w:t>
      </w:r>
      <w:r w:rsidR="00406FDC" w:rsidRPr="00483DD1">
        <w:rPr>
          <w:rFonts w:cs="Calibri"/>
          <w:szCs w:val="24"/>
          <w:lang w:eastAsia="en-AU"/>
        </w:rPr>
        <w:t xml:space="preserve">accountable </w:t>
      </w:r>
      <w:r w:rsidR="00FD7307" w:rsidRPr="00483DD1">
        <w:rPr>
          <w:rFonts w:cs="Calibri"/>
          <w:szCs w:val="24"/>
          <w:lang w:eastAsia="en-AU"/>
        </w:rPr>
        <w:t xml:space="preserve">for ensuring </w:t>
      </w:r>
      <w:r>
        <w:rPr>
          <w:rFonts w:cs="Calibri"/>
          <w:szCs w:val="24"/>
          <w:lang w:eastAsia="en-AU"/>
        </w:rPr>
        <w:t xml:space="preserve">that </w:t>
      </w:r>
      <w:r w:rsidR="00FD7307" w:rsidRPr="00483DD1">
        <w:rPr>
          <w:rFonts w:cs="Calibri"/>
          <w:szCs w:val="24"/>
          <w:lang w:eastAsia="en-AU"/>
        </w:rPr>
        <w:t>the d</w:t>
      </w:r>
      <w:r w:rsidR="000D45CE" w:rsidRPr="00483DD1">
        <w:rPr>
          <w:rFonts w:cs="Calibri"/>
          <w:szCs w:val="24"/>
          <w:lang w:eastAsia="en-AU"/>
        </w:rPr>
        <w:t>epartment complies with its IPS obligations. The</w:t>
      </w:r>
      <w:r>
        <w:rPr>
          <w:rFonts w:cs="Calibri"/>
          <w:szCs w:val="24"/>
          <w:lang w:eastAsia="en-AU"/>
        </w:rPr>
        <w:t xml:space="preserve">y are supported </w:t>
      </w:r>
      <w:r w:rsidR="00483DD1">
        <w:rPr>
          <w:rFonts w:cs="Calibri"/>
          <w:szCs w:val="24"/>
          <w:lang w:eastAsia="en-AU"/>
        </w:rPr>
        <w:t xml:space="preserve"> by the Branch Manager,</w:t>
      </w:r>
      <w:r w:rsidR="00E231FE">
        <w:rPr>
          <w:rFonts w:cs="Calibri"/>
          <w:szCs w:val="24"/>
          <w:lang w:eastAsia="en-AU"/>
        </w:rPr>
        <w:t xml:space="preserve"> Corporate and Commercial Branch within the Legal Services Group</w:t>
      </w:r>
      <w:r w:rsidR="00483DD1">
        <w:rPr>
          <w:rFonts w:cs="Calibri"/>
          <w:szCs w:val="24"/>
          <w:lang w:eastAsia="en-AU"/>
        </w:rPr>
        <w:t xml:space="preserve"> </w:t>
      </w:r>
      <w:r>
        <w:rPr>
          <w:rFonts w:cs="Calibri"/>
          <w:szCs w:val="24"/>
          <w:lang w:eastAsia="en-AU"/>
        </w:rPr>
        <w:t xml:space="preserve">, and </w:t>
      </w:r>
      <w:r w:rsidR="006C4861">
        <w:rPr>
          <w:rFonts w:cs="Calibri"/>
          <w:szCs w:val="24"/>
          <w:lang w:eastAsia="en-AU"/>
        </w:rPr>
        <w:br/>
      </w:r>
      <w:r>
        <w:rPr>
          <w:rFonts w:cs="Calibri"/>
          <w:szCs w:val="24"/>
          <w:lang w:eastAsia="en-AU"/>
        </w:rPr>
        <w:t xml:space="preserve">the Director, FOI </w:t>
      </w:r>
      <w:r w:rsidR="00F5197C">
        <w:rPr>
          <w:rFonts w:cs="Calibri"/>
          <w:szCs w:val="24"/>
          <w:lang w:eastAsia="en-AU"/>
        </w:rPr>
        <w:t xml:space="preserve"> team</w:t>
      </w:r>
      <w:r w:rsidR="00483DD1">
        <w:rPr>
          <w:rFonts w:cs="Calibri"/>
          <w:szCs w:val="24"/>
          <w:lang w:eastAsia="en-AU"/>
        </w:rPr>
        <w:t xml:space="preserve">, </w:t>
      </w:r>
      <w:r w:rsidR="00B92101">
        <w:rPr>
          <w:rFonts w:cs="Calibri"/>
          <w:szCs w:val="24"/>
          <w:lang w:eastAsia="en-AU"/>
        </w:rPr>
        <w:t xml:space="preserve">who administer </w:t>
      </w:r>
      <w:r w:rsidR="000D45CE" w:rsidRPr="000A265B">
        <w:rPr>
          <w:rFonts w:cs="Calibri"/>
          <w:szCs w:val="24"/>
          <w:lang w:eastAsia="en-AU"/>
        </w:rPr>
        <w:t xml:space="preserve">the Scheme within </w:t>
      </w:r>
      <w:r w:rsidR="006C4861">
        <w:rPr>
          <w:rFonts w:cs="Calibri"/>
          <w:szCs w:val="24"/>
          <w:lang w:eastAsia="en-AU"/>
        </w:rPr>
        <w:br/>
      </w:r>
      <w:r w:rsidR="000D45CE" w:rsidRPr="000A265B">
        <w:rPr>
          <w:rFonts w:cs="Calibri"/>
          <w:szCs w:val="24"/>
          <w:lang w:eastAsia="en-AU"/>
        </w:rPr>
        <w:t xml:space="preserve">the </w:t>
      </w:r>
      <w:r w:rsidR="00406FDC">
        <w:rPr>
          <w:rFonts w:cs="Calibri"/>
          <w:szCs w:val="24"/>
          <w:lang w:eastAsia="en-AU"/>
        </w:rPr>
        <w:t>d</w:t>
      </w:r>
      <w:r w:rsidR="000D45CE" w:rsidRPr="000A265B">
        <w:rPr>
          <w:rFonts w:cs="Calibri"/>
          <w:szCs w:val="24"/>
          <w:lang w:eastAsia="en-AU"/>
        </w:rPr>
        <w:t>epartment.</w:t>
      </w:r>
    </w:p>
    <w:p w14:paraId="726E6A07" w14:textId="20CC7557" w:rsidR="004B02C4" w:rsidRDefault="00596D58" w:rsidP="004B02C4">
      <w:pPr>
        <w:pStyle w:val="Heading1"/>
        <w:rPr>
          <w:rFonts w:cs="Calibri"/>
          <w:szCs w:val="36"/>
        </w:rPr>
      </w:pPr>
      <w:r>
        <w:rPr>
          <w:rFonts w:cs="Calibri"/>
          <w:szCs w:val="36"/>
        </w:rPr>
        <w:t>A</w:t>
      </w:r>
      <w:r w:rsidR="004B02C4" w:rsidRPr="007E5290">
        <w:rPr>
          <w:rFonts w:cs="Calibri"/>
          <w:szCs w:val="36"/>
        </w:rPr>
        <w:t xml:space="preserve">dministering </w:t>
      </w:r>
      <w:r>
        <w:rPr>
          <w:rFonts w:cs="Calibri"/>
          <w:szCs w:val="36"/>
        </w:rPr>
        <w:t xml:space="preserve">the </w:t>
      </w:r>
      <w:r w:rsidR="00667EEB">
        <w:t>D</w:t>
      </w:r>
      <w:r>
        <w:t>epartment</w:t>
      </w:r>
      <w:r w:rsidR="006B4543">
        <w:t>’s</w:t>
      </w:r>
      <w:r w:rsidR="006B4543" w:rsidRPr="007E5290">
        <w:rPr>
          <w:rFonts w:cs="Calibri"/>
          <w:szCs w:val="36"/>
        </w:rPr>
        <w:t xml:space="preserve"> </w:t>
      </w:r>
      <w:bookmarkEnd w:id="32"/>
      <w:bookmarkEnd w:id="33"/>
      <w:bookmarkEnd w:id="34"/>
      <w:bookmarkEnd w:id="35"/>
      <w:r w:rsidR="004B02C4" w:rsidRPr="004001C3">
        <w:rPr>
          <w:rFonts w:cs="Calibri"/>
          <w:szCs w:val="36"/>
        </w:rPr>
        <w:t>I</w:t>
      </w:r>
      <w:r w:rsidR="00B92101">
        <w:rPr>
          <w:rFonts w:cs="Calibri"/>
          <w:szCs w:val="36"/>
        </w:rPr>
        <w:t xml:space="preserve">nformation </w:t>
      </w:r>
      <w:r w:rsidR="004B02C4" w:rsidRPr="004001C3">
        <w:rPr>
          <w:rFonts w:cs="Calibri"/>
          <w:szCs w:val="36"/>
        </w:rPr>
        <w:t>P</w:t>
      </w:r>
      <w:r w:rsidR="00B92101">
        <w:rPr>
          <w:rFonts w:cs="Calibri"/>
          <w:szCs w:val="36"/>
        </w:rPr>
        <w:t xml:space="preserve">ublication </w:t>
      </w:r>
      <w:r w:rsidR="004B02C4" w:rsidRPr="004001C3">
        <w:rPr>
          <w:rFonts w:cs="Calibri"/>
          <w:szCs w:val="36"/>
        </w:rPr>
        <w:t>S</w:t>
      </w:r>
      <w:bookmarkEnd w:id="36"/>
      <w:bookmarkEnd w:id="37"/>
      <w:bookmarkEnd w:id="38"/>
      <w:bookmarkEnd w:id="39"/>
      <w:bookmarkEnd w:id="40"/>
      <w:r w:rsidR="00B92101">
        <w:rPr>
          <w:rFonts w:cs="Calibri"/>
          <w:szCs w:val="36"/>
        </w:rPr>
        <w:t>cheme</w:t>
      </w:r>
    </w:p>
    <w:p w14:paraId="64900DD6" w14:textId="3139A84B" w:rsidR="00D1080C" w:rsidRDefault="00185539" w:rsidP="000A265B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All </w:t>
      </w:r>
      <w:r w:rsidR="00406FDC">
        <w:rPr>
          <w:rFonts w:cs="Calibri"/>
          <w:szCs w:val="24"/>
          <w:lang w:eastAsia="en-AU"/>
        </w:rPr>
        <w:t xml:space="preserve">SES </w:t>
      </w:r>
      <w:r w:rsidR="006C4861">
        <w:rPr>
          <w:rFonts w:cs="Calibri"/>
          <w:szCs w:val="24"/>
          <w:lang w:eastAsia="en-AU"/>
        </w:rPr>
        <w:t>o</w:t>
      </w:r>
      <w:r>
        <w:rPr>
          <w:rFonts w:cs="Calibri"/>
          <w:szCs w:val="24"/>
          <w:lang w:eastAsia="en-AU"/>
        </w:rPr>
        <w:t xml:space="preserve">fficers </w:t>
      </w:r>
      <w:r w:rsidR="00406FDC">
        <w:rPr>
          <w:rFonts w:cs="Calibri"/>
          <w:szCs w:val="24"/>
          <w:lang w:eastAsia="en-AU"/>
        </w:rPr>
        <w:t>are r</w:t>
      </w:r>
      <w:r w:rsidR="00596D58" w:rsidRPr="000A265B">
        <w:rPr>
          <w:rFonts w:cs="Calibri"/>
          <w:szCs w:val="24"/>
          <w:lang w:eastAsia="en-AU"/>
        </w:rPr>
        <w:t>esponsib</w:t>
      </w:r>
      <w:r w:rsidR="0017595A">
        <w:rPr>
          <w:rFonts w:cs="Calibri"/>
          <w:szCs w:val="24"/>
          <w:lang w:eastAsia="en-AU"/>
        </w:rPr>
        <w:t xml:space="preserve">le </w:t>
      </w:r>
      <w:r w:rsidR="00596D58" w:rsidRPr="000A265B">
        <w:rPr>
          <w:rFonts w:cs="Calibri"/>
          <w:szCs w:val="24"/>
          <w:lang w:eastAsia="en-AU"/>
        </w:rPr>
        <w:t>for</w:t>
      </w:r>
      <w:r w:rsidR="00406FDC">
        <w:rPr>
          <w:rFonts w:cs="Calibri"/>
          <w:szCs w:val="24"/>
          <w:lang w:eastAsia="en-AU"/>
        </w:rPr>
        <w:t xml:space="preserve"> ensuring</w:t>
      </w:r>
      <w:r w:rsidR="00D1080C">
        <w:rPr>
          <w:rFonts w:cs="Calibri"/>
          <w:szCs w:val="24"/>
          <w:lang w:eastAsia="en-AU"/>
        </w:rPr>
        <w:t>:</w:t>
      </w:r>
    </w:p>
    <w:p w14:paraId="02B001FE" w14:textId="7599AAEF" w:rsidR="00D1080C" w:rsidRDefault="00596D58" w:rsidP="00D1080C">
      <w:pPr>
        <w:pStyle w:val="Bullets"/>
      </w:pPr>
      <w:r w:rsidRPr="000A265B">
        <w:t>information</w:t>
      </w:r>
      <w:r w:rsidR="000D45CE" w:rsidRPr="000A265B">
        <w:t xml:space="preserve"> </w:t>
      </w:r>
      <w:r w:rsidR="00FE32A5" w:rsidRPr="000A265B">
        <w:t xml:space="preserve">required to be published </w:t>
      </w:r>
      <w:r w:rsidRPr="000A265B">
        <w:t>is published</w:t>
      </w:r>
      <w:r w:rsidR="00D1080C">
        <w:t xml:space="preserve"> as part of the data holdings (</w:t>
      </w:r>
      <w:r w:rsidR="00406FDC">
        <w:t xml:space="preserve">including </w:t>
      </w:r>
      <w:r w:rsidR="00B03179">
        <w:t xml:space="preserve">operational </w:t>
      </w:r>
      <w:r w:rsidR="00D1080C">
        <w:t>information)</w:t>
      </w:r>
      <w:r w:rsidR="00185539">
        <w:t>;</w:t>
      </w:r>
    </w:p>
    <w:p w14:paraId="6B273DE4" w14:textId="375979EC" w:rsidR="00D1080C" w:rsidRDefault="00D1080C" w:rsidP="00D1080C">
      <w:pPr>
        <w:pStyle w:val="Bullets"/>
      </w:pPr>
      <w:r>
        <w:lastRenderedPageBreak/>
        <w:t>the accuracy, currency and integrity of published information relevant to their responsibilities</w:t>
      </w:r>
      <w:r w:rsidR="00185539">
        <w:t>;</w:t>
      </w:r>
      <w:r w:rsidR="00B92101">
        <w:t xml:space="preserve"> and</w:t>
      </w:r>
    </w:p>
    <w:p w14:paraId="7386FA9A" w14:textId="44D09E7D" w:rsidR="00596D58" w:rsidRDefault="00D1080C" w:rsidP="00D1080C">
      <w:pPr>
        <w:pStyle w:val="Bullets"/>
      </w:pPr>
      <w:r>
        <w:t xml:space="preserve">appropriate resources </w:t>
      </w:r>
      <w:r w:rsidR="00406FDC">
        <w:t xml:space="preserve">are dedicated </w:t>
      </w:r>
      <w:r>
        <w:t>to comply</w:t>
      </w:r>
      <w:r w:rsidR="00406FDC">
        <w:t>ing</w:t>
      </w:r>
      <w:r>
        <w:t xml:space="preserve"> with the </w:t>
      </w:r>
      <w:r w:rsidR="00406FDC">
        <w:t>d</w:t>
      </w:r>
      <w:r>
        <w:t>epartment’s IPS</w:t>
      </w:r>
      <w:r w:rsidR="00406FDC">
        <w:t> </w:t>
      </w:r>
      <w:r>
        <w:t>obligations.</w:t>
      </w:r>
    </w:p>
    <w:p w14:paraId="125D05F8" w14:textId="77777777" w:rsidR="006C4861" w:rsidRDefault="006C4861" w:rsidP="006C4861">
      <w:pPr>
        <w:pStyle w:val="Bullets"/>
        <w:numPr>
          <w:ilvl w:val="0"/>
          <w:numId w:val="0"/>
        </w:numPr>
        <w:ind w:left="644"/>
      </w:pPr>
    </w:p>
    <w:p w14:paraId="0A96313C" w14:textId="50A65EA0" w:rsidR="001F418D" w:rsidRPr="001F418D" w:rsidRDefault="00E231FE" w:rsidP="006C4861">
      <w:pPr>
        <w:rPr>
          <w:rFonts w:cs="Calibri"/>
          <w:b/>
          <w:szCs w:val="24"/>
          <w:lang w:eastAsia="en-AU"/>
        </w:rPr>
      </w:pPr>
      <w:r>
        <w:rPr>
          <w:rFonts w:cs="Calibri"/>
          <w:b/>
          <w:szCs w:val="24"/>
          <w:lang w:eastAsia="en-AU"/>
        </w:rPr>
        <w:t>Corporate and Commercial Branch</w:t>
      </w:r>
    </w:p>
    <w:p w14:paraId="0AFE4F0F" w14:textId="2B356E56" w:rsidR="001F418D" w:rsidRDefault="00406FDC" w:rsidP="006C4861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The </w:t>
      </w:r>
      <w:r w:rsidR="00E231FE">
        <w:rPr>
          <w:rFonts w:cs="Calibri"/>
          <w:szCs w:val="24"/>
          <w:lang w:eastAsia="en-AU"/>
        </w:rPr>
        <w:t>Corporate and Commercial</w:t>
      </w:r>
      <w:r w:rsidR="001F418D">
        <w:rPr>
          <w:rFonts w:cs="Calibri"/>
          <w:szCs w:val="24"/>
          <w:lang w:eastAsia="en-AU"/>
        </w:rPr>
        <w:t xml:space="preserve"> </w:t>
      </w:r>
      <w:r w:rsidR="00185539">
        <w:rPr>
          <w:rFonts w:cs="Calibri"/>
          <w:szCs w:val="24"/>
          <w:lang w:eastAsia="en-AU"/>
        </w:rPr>
        <w:t xml:space="preserve">Branch </w:t>
      </w:r>
      <w:r>
        <w:rPr>
          <w:rFonts w:cs="Calibri"/>
          <w:szCs w:val="24"/>
          <w:lang w:eastAsia="en-AU"/>
        </w:rPr>
        <w:t xml:space="preserve">is responsible </w:t>
      </w:r>
      <w:r w:rsidR="001F418D" w:rsidRPr="000A265B">
        <w:rPr>
          <w:rFonts w:cs="Calibri"/>
          <w:szCs w:val="24"/>
          <w:lang w:eastAsia="en-AU"/>
        </w:rPr>
        <w:t>for</w:t>
      </w:r>
      <w:r w:rsidR="001F418D">
        <w:rPr>
          <w:rFonts w:cs="Calibri"/>
          <w:szCs w:val="24"/>
          <w:lang w:eastAsia="en-AU"/>
        </w:rPr>
        <w:t>:</w:t>
      </w:r>
    </w:p>
    <w:p w14:paraId="49DF1CD0" w14:textId="6CE84360" w:rsidR="00406FDC" w:rsidRDefault="00406FDC" w:rsidP="00406FDC">
      <w:pPr>
        <w:pStyle w:val="Bullets"/>
      </w:pPr>
      <w:r>
        <w:t xml:space="preserve">ensuring all SES </w:t>
      </w:r>
      <w:r w:rsidR="006C4861">
        <w:t>o</w:t>
      </w:r>
      <w:r w:rsidR="00B92101">
        <w:t xml:space="preserve">fficers </w:t>
      </w:r>
      <w:r>
        <w:t>are aware of their IPS responsibilities</w:t>
      </w:r>
      <w:r w:rsidR="00B92101">
        <w:t>;</w:t>
      </w:r>
    </w:p>
    <w:p w14:paraId="53D23698" w14:textId="0F6879EE" w:rsidR="001F418D" w:rsidRDefault="00BA3ED8" w:rsidP="001F418D">
      <w:pPr>
        <w:pStyle w:val="Bullets"/>
      </w:pPr>
      <w:r>
        <w:t xml:space="preserve">supporting the delegated accountable officer to meet all IPS obligations including through </w:t>
      </w:r>
      <w:r w:rsidR="00406FDC">
        <w:t xml:space="preserve">quarterly </w:t>
      </w:r>
      <w:r>
        <w:t xml:space="preserve">IPS entry </w:t>
      </w:r>
      <w:r w:rsidR="00406FDC">
        <w:t xml:space="preserve">compliance </w:t>
      </w:r>
      <w:r w:rsidR="00B92101">
        <w:t>reports; and</w:t>
      </w:r>
    </w:p>
    <w:p w14:paraId="33733E29" w14:textId="3BD6933D" w:rsidR="001F418D" w:rsidRPr="000A265B" w:rsidRDefault="00B3516F" w:rsidP="00BA3ED8">
      <w:pPr>
        <w:pStyle w:val="Bullets"/>
        <w:spacing w:after="240"/>
        <w:ind w:left="641" w:hanging="357"/>
      </w:pPr>
      <w:r>
        <w:t xml:space="preserve">reviewing and updating this Plan as appropriate and, at minimum, </w:t>
      </w:r>
      <w:r w:rsidR="00B92101">
        <w:br/>
      </w:r>
      <w:r>
        <w:t xml:space="preserve">by the end of </w:t>
      </w:r>
      <w:r w:rsidR="00E231FE">
        <w:t>2025</w:t>
      </w:r>
      <w:r w:rsidR="00D1080C">
        <w:t>.</w:t>
      </w:r>
    </w:p>
    <w:p w14:paraId="176C7BD8" w14:textId="1FEA61B6" w:rsidR="007D19D3" w:rsidRPr="007D19D3" w:rsidRDefault="007D19D3" w:rsidP="007D19D3">
      <w:pPr>
        <w:pStyle w:val="Heading1"/>
        <w:rPr>
          <w:rFonts w:cs="Calibri"/>
          <w:szCs w:val="36"/>
        </w:rPr>
      </w:pPr>
      <w:r>
        <w:rPr>
          <w:rFonts w:cs="Calibri"/>
          <w:szCs w:val="36"/>
        </w:rPr>
        <w:t>Publication</w:t>
      </w:r>
    </w:p>
    <w:p w14:paraId="3341F685" w14:textId="3043D922" w:rsidR="009D3F8E" w:rsidRPr="000A265B" w:rsidRDefault="00596D58" w:rsidP="00596D58">
      <w:pPr>
        <w:rPr>
          <w:rFonts w:cs="Calibri"/>
          <w:szCs w:val="24"/>
          <w:lang w:eastAsia="en-AU"/>
        </w:rPr>
      </w:pPr>
      <w:r w:rsidRPr="000A265B">
        <w:rPr>
          <w:rFonts w:cs="Calibri"/>
          <w:szCs w:val="24"/>
          <w:lang w:eastAsia="en-AU"/>
        </w:rPr>
        <w:t xml:space="preserve">Where possible, </w:t>
      </w:r>
      <w:r w:rsidR="003E5750" w:rsidRPr="000A265B">
        <w:rPr>
          <w:rFonts w:cs="Calibri"/>
          <w:szCs w:val="24"/>
          <w:lang w:eastAsia="en-AU"/>
        </w:rPr>
        <w:t xml:space="preserve">IPS </w:t>
      </w:r>
      <w:r w:rsidR="00F25716" w:rsidRPr="000A265B">
        <w:rPr>
          <w:rFonts w:cs="Calibri"/>
          <w:szCs w:val="24"/>
          <w:lang w:eastAsia="en-AU"/>
        </w:rPr>
        <w:t xml:space="preserve">holdings </w:t>
      </w:r>
      <w:r w:rsidRPr="000A265B">
        <w:rPr>
          <w:rFonts w:cs="Calibri"/>
          <w:szCs w:val="24"/>
          <w:lang w:eastAsia="en-AU"/>
        </w:rPr>
        <w:t xml:space="preserve">will be made available for downloading directly from the </w:t>
      </w:r>
      <w:r w:rsidR="007D19D3">
        <w:rPr>
          <w:rFonts w:cs="Calibri"/>
          <w:szCs w:val="24"/>
          <w:lang w:eastAsia="en-AU"/>
        </w:rPr>
        <w:t>d</w:t>
      </w:r>
      <w:r w:rsidRPr="000A265B">
        <w:rPr>
          <w:rFonts w:cs="Calibri"/>
          <w:szCs w:val="24"/>
          <w:lang w:eastAsia="en-AU"/>
        </w:rPr>
        <w:t xml:space="preserve">epartment’s website. Alternatively, IPS </w:t>
      </w:r>
      <w:r w:rsidR="00F25716" w:rsidRPr="000A265B">
        <w:rPr>
          <w:rFonts w:cs="Calibri"/>
          <w:szCs w:val="24"/>
          <w:lang w:eastAsia="en-AU"/>
        </w:rPr>
        <w:t xml:space="preserve">holdings </w:t>
      </w:r>
      <w:r w:rsidRPr="000A265B">
        <w:rPr>
          <w:rFonts w:cs="Calibri"/>
          <w:szCs w:val="24"/>
          <w:lang w:eastAsia="en-AU"/>
        </w:rPr>
        <w:t xml:space="preserve">will be </w:t>
      </w:r>
      <w:r w:rsidR="007D19D3">
        <w:rPr>
          <w:rFonts w:cs="Calibri"/>
          <w:szCs w:val="24"/>
          <w:lang w:eastAsia="en-AU"/>
        </w:rPr>
        <w:t xml:space="preserve">made </w:t>
      </w:r>
      <w:r w:rsidRPr="000A265B">
        <w:rPr>
          <w:rFonts w:cs="Calibri"/>
          <w:szCs w:val="24"/>
          <w:lang w:eastAsia="en-AU"/>
        </w:rPr>
        <w:t xml:space="preserve">available for downloading from linked websites </w:t>
      </w:r>
      <w:r w:rsidR="009D3F8E" w:rsidRPr="000A265B">
        <w:rPr>
          <w:rFonts w:cs="Calibri"/>
          <w:szCs w:val="24"/>
          <w:lang w:eastAsia="en-AU"/>
        </w:rPr>
        <w:t>or</w:t>
      </w:r>
      <w:r w:rsidR="007D19D3">
        <w:rPr>
          <w:rFonts w:cs="Calibri"/>
          <w:szCs w:val="24"/>
          <w:lang w:eastAsia="en-AU"/>
        </w:rPr>
        <w:t xml:space="preserve"> through direct requests via a nominated </w:t>
      </w:r>
      <w:r w:rsidR="009D3F8E" w:rsidRPr="000A265B">
        <w:rPr>
          <w:rFonts w:cs="Calibri"/>
          <w:szCs w:val="24"/>
          <w:lang w:eastAsia="en-AU"/>
        </w:rPr>
        <w:t xml:space="preserve">contact </w:t>
      </w:r>
      <w:r w:rsidR="007D19D3">
        <w:rPr>
          <w:rFonts w:cs="Calibri"/>
          <w:szCs w:val="24"/>
          <w:lang w:eastAsia="en-AU"/>
        </w:rPr>
        <w:t>officer</w:t>
      </w:r>
      <w:r w:rsidRPr="000A265B">
        <w:rPr>
          <w:rFonts w:cs="Calibri"/>
          <w:szCs w:val="24"/>
          <w:lang w:eastAsia="en-AU"/>
        </w:rPr>
        <w:t>.</w:t>
      </w:r>
    </w:p>
    <w:p w14:paraId="38C29636" w14:textId="77777777" w:rsidR="002147FC" w:rsidRDefault="002147FC" w:rsidP="007D19D3">
      <w:pPr>
        <w:pStyle w:val="Heading1"/>
        <w:rPr>
          <w:rFonts w:cs="Calibri"/>
          <w:szCs w:val="36"/>
        </w:rPr>
      </w:pPr>
      <w:r>
        <w:rPr>
          <w:rFonts w:cs="Calibri"/>
          <w:szCs w:val="36"/>
        </w:rPr>
        <w:t>Accessibility</w:t>
      </w:r>
    </w:p>
    <w:p w14:paraId="7A196EB4" w14:textId="520920EC" w:rsidR="002147FC" w:rsidRDefault="002147FC" w:rsidP="002147FC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Accessibility of published information by all members of the community is an important principle underlying the IPS, and requirement of all government agencies under the </w:t>
      </w:r>
      <w:r>
        <w:rPr>
          <w:rFonts w:cs="Calibri"/>
          <w:i/>
          <w:szCs w:val="24"/>
          <w:lang w:eastAsia="en-AU"/>
        </w:rPr>
        <w:t>Disability Discrimination Act 1992</w:t>
      </w:r>
      <w:r>
        <w:rPr>
          <w:rFonts w:cs="Calibri"/>
          <w:szCs w:val="24"/>
          <w:lang w:eastAsia="en-AU"/>
        </w:rPr>
        <w:t xml:space="preserve"> (Cth).</w:t>
      </w:r>
    </w:p>
    <w:p w14:paraId="0A3568A9" w14:textId="25F648EB" w:rsidR="002147FC" w:rsidRPr="002147FC" w:rsidRDefault="002147FC" w:rsidP="002147FC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All department officials who publish materials in accordance with the IPS, and FOI Act generally, are responsible for ensuring that all material, as far as possible, conforms to the </w:t>
      </w:r>
      <w:r>
        <w:rPr>
          <w:rFonts w:cs="Calibri"/>
          <w:i/>
          <w:szCs w:val="24"/>
          <w:lang w:eastAsia="en-AU"/>
        </w:rPr>
        <w:t>Web Content Accessibility Guidelines (Version 2.1)</w:t>
      </w:r>
      <w:r>
        <w:rPr>
          <w:rFonts w:cs="Calibri"/>
          <w:szCs w:val="24"/>
          <w:lang w:eastAsia="en-AU"/>
        </w:rPr>
        <w:t xml:space="preserve">. </w:t>
      </w:r>
    </w:p>
    <w:p w14:paraId="1E80A1C3" w14:textId="00D9A604" w:rsidR="00D1080C" w:rsidRPr="007D19D3" w:rsidRDefault="00D1080C" w:rsidP="007D19D3">
      <w:pPr>
        <w:pStyle w:val="Heading1"/>
        <w:rPr>
          <w:rFonts w:cs="Calibri"/>
          <w:szCs w:val="36"/>
        </w:rPr>
      </w:pPr>
      <w:r w:rsidRPr="007D19D3">
        <w:rPr>
          <w:rFonts w:cs="Calibri"/>
          <w:szCs w:val="36"/>
        </w:rPr>
        <w:t>Charges</w:t>
      </w:r>
    </w:p>
    <w:p w14:paraId="71B0AE54" w14:textId="2629298E" w:rsidR="009D3F8E" w:rsidRDefault="009D3F8E" w:rsidP="00BA3ED8">
      <w:r w:rsidRPr="000A265B">
        <w:rPr>
          <w:rFonts w:cs="Calibri"/>
          <w:szCs w:val="24"/>
          <w:lang w:eastAsia="en-AU"/>
        </w:rPr>
        <w:t xml:space="preserve">The </w:t>
      </w:r>
      <w:r w:rsidR="007D19D3">
        <w:rPr>
          <w:rFonts w:cs="Calibri"/>
          <w:szCs w:val="24"/>
          <w:lang w:eastAsia="en-AU"/>
        </w:rPr>
        <w:t>d</w:t>
      </w:r>
      <w:r w:rsidRPr="000A265B">
        <w:rPr>
          <w:rFonts w:cs="Calibri"/>
          <w:szCs w:val="24"/>
          <w:lang w:eastAsia="en-AU"/>
        </w:rPr>
        <w:t>epartment may charge a person for accessing an IPS document which is impracticable to publish online</w:t>
      </w:r>
      <w:r w:rsidR="00BA3ED8">
        <w:rPr>
          <w:rFonts w:cs="Calibri"/>
          <w:szCs w:val="24"/>
          <w:lang w:eastAsia="en-AU"/>
        </w:rPr>
        <w:t xml:space="preserve">. </w:t>
      </w:r>
      <w:r w:rsidR="00BA3ED8">
        <w:t xml:space="preserve">Any charges imposed will be consistent with charges in the </w:t>
      </w:r>
      <w:hyperlink r:id="rId15" w:history="1">
        <w:r w:rsidR="00BA3ED8" w:rsidRPr="00BB522A">
          <w:rPr>
            <w:rStyle w:val="Hyperlink"/>
            <w:i/>
          </w:rPr>
          <w:t>Freedom of Information (Charges) Regulations 1982</w:t>
        </w:r>
      </w:hyperlink>
      <w:r w:rsidR="00BA3ED8">
        <w:t xml:space="preserve"> and will represent the </w:t>
      </w:r>
      <w:r>
        <w:t>lowest reasonable cost</w:t>
      </w:r>
      <w:r w:rsidR="00BA3ED8">
        <w:t xml:space="preserve"> of </w:t>
      </w:r>
      <w:r>
        <w:t>reimburs</w:t>
      </w:r>
      <w:r w:rsidR="00BA3ED8">
        <w:t>ing</w:t>
      </w:r>
      <w:r>
        <w:t xml:space="preserve"> the department for specific reproduction costs or other specific incidental costs</w:t>
      </w:r>
      <w:r w:rsidR="009854CA">
        <w:t>.</w:t>
      </w:r>
    </w:p>
    <w:p w14:paraId="43851C02" w14:textId="44F9C61A" w:rsidR="004B02C4" w:rsidRPr="001235B0" w:rsidRDefault="004B02C4" w:rsidP="001235B0">
      <w:pPr>
        <w:pStyle w:val="Heading1"/>
        <w:rPr>
          <w:rFonts w:cs="Calibri"/>
          <w:szCs w:val="36"/>
        </w:rPr>
      </w:pPr>
      <w:bookmarkStart w:id="41" w:name="_Toc284834402"/>
      <w:bookmarkStart w:id="42" w:name="_Toc284835130"/>
      <w:bookmarkStart w:id="43" w:name="_Toc284835449"/>
      <w:bookmarkStart w:id="44" w:name="_Toc284835462"/>
      <w:bookmarkStart w:id="45" w:name="_Toc285025062"/>
      <w:bookmarkStart w:id="46" w:name="_Toc287262192"/>
      <w:bookmarkStart w:id="47" w:name="_Toc287542787"/>
      <w:bookmarkStart w:id="48" w:name="_Toc287542997"/>
      <w:bookmarkStart w:id="49" w:name="_Toc291024050"/>
      <w:r w:rsidRPr="001235B0">
        <w:rPr>
          <w:rFonts w:cs="Calibri"/>
          <w:szCs w:val="36"/>
        </w:rPr>
        <w:t>I</w:t>
      </w:r>
      <w:r w:rsidR="006C4861">
        <w:rPr>
          <w:rFonts w:cs="Calibri"/>
          <w:szCs w:val="36"/>
        </w:rPr>
        <w:t xml:space="preserve">nformation </w:t>
      </w:r>
      <w:r w:rsidRPr="001235B0">
        <w:rPr>
          <w:rFonts w:cs="Calibri"/>
          <w:szCs w:val="36"/>
        </w:rPr>
        <w:t>P</w:t>
      </w:r>
      <w:r w:rsidR="006C4861">
        <w:rPr>
          <w:rFonts w:cs="Calibri"/>
          <w:szCs w:val="36"/>
        </w:rPr>
        <w:t xml:space="preserve">ublication </w:t>
      </w:r>
      <w:r w:rsidRPr="001235B0">
        <w:rPr>
          <w:rFonts w:cs="Calibri"/>
          <w:szCs w:val="36"/>
        </w:rPr>
        <w:t>S</w:t>
      </w:r>
      <w:r w:rsidR="006C4861">
        <w:rPr>
          <w:rFonts w:cs="Calibri"/>
          <w:szCs w:val="36"/>
        </w:rPr>
        <w:t>cheme entries</w:t>
      </w:r>
      <w:r w:rsidRPr="001235B0">
        <w:rPr>
          <w:rFonts w:cs="Calibri"/>
          <w:szCs w:val="36"/>
        </w:rPr>
        <w:t xml:space="preserve"> architecture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F8B1B72" w14:textId="7927150A" w:rsidR="00926A9D" w:rsidRDefault="00596D58" w:rsidP="00596D58">
      <w:r>
        <w:rPr>
          <w:rFonts w:cs="Calibri"/>
          <w:szCs w:val="24"/>
          <w:lang w:eastAsia="en-AU"/>
        </w:rPr>
        <w:t xml:space="preserve">The </w:t>
      </w:r>
      <w:r w:rsidR="00B92101">
        <w:rPr>
          <w:rFonts w:cs="Calibri"/>
          <w:szCs w:val="24"/>
          <w:lang w:eastAsia="en-AU"/>
        </w:rPr>
        <w:t xml:space="preserve">Information </w:t>
      </w:r>
      <w:r w:rsidR="006E0B40">
        <w:rPr>
          <w:rFonts w:cs="Calibri"/>
          <w:szCs w:val="24"/>
          <w:lang w:eastAsia="en-AU"/>
        </w:rPr>
        <w:t>P</w:t>
      </w:r>
      <w:r w:rsidR="00B92101">
        <w:rPr>
          <w:rFonts w:cs="Calibri"/>
          <w:szCs w:val="24"/>
          <w:lang w:eastAsia="en-AU"/>
        </w:rPr>
        <w:t xml:space="preserve">ublication </w:t>
      </w:r>
      <w:r w:rsidR="006E0B40">
        <w:rPr>
          <w:rFonts w:cs="Calibri"/>
          <w:szCs w:val="24"/>
          <w:lang w:eastAsia="en-AU"/>
        </w:rPr>
        <w:t>S</w:t>
      </w:r>
      <w:r w:rsidR="00B92101">
        <w:rPr>
          <w:rFonts w:cs="Calibri"/>
          <w:szCs w:val="24"/>
          <w:lang w:eastAsia="en-AU"/>
        </w:rPr>
        <w:t>cheme</w:t>
      </w:r>
      <w:r w:rsidR="006E0B40">
        <w:rPr>
          <w:rFonts w:cs="Calibri"/>
          <w:szCs w:val="24"/>
          <w:lang w:eastAsia="en-AU"/>
        </w:rPr>
        <w:t xml:space="preserve"> entr</w:t>
      </w:r>
      <w:r w:rsidR="00BA3ED8">
        <w:rPr>
          <w:rFonts w:cs="Calibri"/>
          <w:szCs w:val="24"/>
          <w:lang w:eastAsia="en-AU"/>
        </w:rPr>
        <w:t>ies</w:t>
      </w:r>
      <w:r w:rsidR="006E0B40">
        <w:rPr>
          <w:rFonts w:cs="Calibri"/>
          <w:szCs w:val="24"/>
          <w:lang w:eastAsia="en-AU"/>
        </w:rPr>
        <w:t xml:space="preserve"> will be published in the </w:t>
      </w:r>
      <w:hyperlink r:id="rId16" w:history="1">
        <w:r w:rsidR="006E0B40" w:rsidRPr="00DC5E98">
          <w:rPr>
            <w:rStyle w:val="Hyperlink"/>
            <w:rFonts w:cs="Calibri"/>
            <w:szCs w:val="24"/>
            <w:lang w:eastAsia="en-AU"/>
          </w:rPr>
          <w:t xml:space="preserve">Information </w:t>
        </w:r>
        <w:r w:rsidR="00DC5E98" w:rsidRPr="00DC5E98">
          <w:rPr>
            <w:rStyle w:val="Hyperlink"/>
            <w:rFonts w:cs="Calibri"/>
            <w:szCs w:val="24"/>
            <w:lang w:eastAsia="en-AU"/>
          </w:rPr>
          <w:t>Publication Scheme section</w:t>
        </w:r>
      </w:hyperlink>
      <w:r w:rsidR="00DC5E98">
        <w:rPr>
          <w:rFonts w:cs="Calibri"/>
          <w:szCs w:val="24"/>
          <w:lang w:eastAsia="en-AU"/>
        </w:rPr>
        <w:t xml:space="preserve"> of </w:t>
      </w:r>
      <w:r w:rsidR="000E7C21">
        <w:rPr>
          <w:rFonts w:cs="Calibri"/>
          <w:szCs w:val="24"/>
          <w:lang w:eastAsia="en-AU"/>
        </w:rPr>
        <w:t xml:space="preserve">the </w:t>
      </w:r>
      <w:r w:rsidR="00926A9D">
        <w:rPr>
          <w:rFonts w:cs="Calibri"/>
          <w:szCs w:val="24"/>
          <w:lang w:eastAsia="en-AU"/>
        </w:rPr>
        <w:t>department’s</w:t>
      </w:r>
      <w:r w:rsidR="00DC5E98">
        <w:rPr>
          <w:rFonts w:cs="Calibri"/>
          <w:szCs w:val="24"/>
          <w:lang w:eastAsia="en-AU"/>
        </w:rPr>
        <w:t xml:space="preserve"> website, </w:t>
      </w:r>
      <w:r w:rsidR="00DC5E98">
        <w:t xml:space="preserve">this section </w:t>
      </w:r>
      <w:r w:rsidR="00B92101">
        <w:t xml:space="preserve">will be </w:t>
      </w:r>
      <w:r w:rsidR="00DC5E98">
        <w:t xml:space="preserve">on the </w:t>
      </w:r>
      <w:r w:rsidR="00DC5E98">
        <w:lastRenderedPageBreak/>
        <w:t>homepage</w:t>
      </w:r>
      <w:r w:rsidR="00926A9D">
        <w:t xml:space="preserve"> under ‘About the Department’ heading</w:t>
      </w:r>
      <w:r w:rsidR="006302C1">
        <w:t>, and navigating through to the ‘Freedom of Information’ heading</w:t>
      </w:r>
      <w:r>
        <w:t xml:space="preserve">. </w:t>
      </w:r>
    </w:p>
    <w:p w14:paraId="3FEF6798" w14:textId="3532F0F7" w:rsidR="00926A9D" w:rsidRDefault="00B92101" w:rsidP="00596D58">
      <w:r>
        <w:t>The d</w:t>
      </w:r>
      <w:r w:rsidR="00926A9D">
        <w:t>epartment’s website sitemap is available at the bottom of the main homepage</w:t>
      </w:r>
      <w:r>
        <w:t xml:space="preserve"> and the s</w:t>
      </w:r>
      <w:r w:rsidR="00926A9D">
        <w:t>earch function is provided at the top right hand corner.</w:t>
      </w:r>
    </w:p>
    <w:p w14:paraId="1BC7FDD7" w14:textId="572DACF4" w:rsidR="006E0B40" w:rsidRDefault="00DC5E98" w:rsidP="00596D58">
      <w:r>
        <w:t>The IPS entr</w:t>
      </w:r>
      <w:r w:rsidR="00B92101">
        <w:t>ies</w:t>
      </w:r>
      <w:r>
        <w:t xml:space="preserve"> </w:t>
      </w:r>
      <w:r w:rsidR="00926A9D">
        <w:t xml:space="preserve">are to be </w:t>
      </w:r>
      <w:r>
        <w:t>published under the following headings (in no particular order):</w:t>
      </w:r>
    </w:p>
    <w:p w14:paraId="5F60E82C" w14:textId="7211E858" w:rsidR="00DC5E98" w:rsidRPr="000A265B" w:rsidRDefault="00DC5E98" w:rsidP="00B92101">
      <w:pPr>
        <w:pStyle w:val="Heading2"/>
        <w:rPr>
          <w:szCs w:val="24"/>
          <w:lang w:eastAsia="en-AU"/>
        </w:rPr>
      </w:pPr>
      <w:r>
        <w:rPr>
          <w:sz w:val="24"/>
        </w:rPr>
        <w:t>About the scheme</w:t>
      </w:r>
      <w:r w:rsidR="00B92101">
        <w:rPr>
          <w:sz w:val="24"/>
        </w:rPr>
        <w:t xml:space="preserve"> - </w:t>
      </w:r>
      <w:r w:rsidR="00B92101">
        <w:rPr>
          <w:rFonts w:eastAsia="Times New Roman"/>
          <w:b w:val="0"/>
          <w:bCs w:val="0"/>
          <w:sz w:val="24"/>
          <w:szCs w:val="24"/>
          <w:lang w:eastAsia="en-AU"/>
        </w:rPr>
        <w:t>p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>rovides a background summary of the IPS.</w:t>
      </w:r>
    </w:p>
    <w:p w14:paraId="7C79F543" w14:textId="395405BE" w:rsidR="000A265B" w:rsidRPr="000A265B" w:rsidRDefault="00596D58" w:rsidP="00B92101">
      <w:pPr>
        <w:pStyle w:val="Heading2"/>
        <w:rPr>
          <w:szCs w:val="24"/>
          <w:lang w:eastAsia="en-AU"/>
        </w:rPr>
      </w:pPr>
      <w:r>
        <w:rPr>
          <w:sz w:val="24"/>
        </w:rPr>
        <w:t>Agency plan</w:t>
      </w:r>
      <w:r w:rsidR="00B92101">
        <w:rPr>
          <w:sz w:val="24"/>
        </w:rPr>
        <w:t xml:space="preserve"> - </w:t>
      </w:r>
      <w:r w:rsidR="00B92101" w:rsidRPr="00B92101">
        <w:rPr>
          <w:rFonts w:eastAsia="Times New Roman"/>
          <w:b w:val="0"/>
          <w:bCs w:val="0"/>
          <w:sz w:val="24"/>
          <w:szCs w:val="24"/>
          <w:lang w:eastAsia="en-AU"/>
        </w:rPr>
        <w:t>p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>rovides a copy of this Plan, complying with paragraph 8(2)(a) of the FOI Act.</w:t>
      </w:r>
      <w:r w:rsidR="00146E34">
        <w:rPr>
          <w:szCs w:val="24"/>
          <w:lang w:eastAsia="en-AU"/>
        </w:rPr>
        <w:t xml:space="preserve"> </w:t>
      </w:r>
    </w:p>
    <w:p w14:paraId="075E0A8E" w14:textId="37E410AD" w:rsidR="00596D58" w:rsidRPr="00B92101" w:rsidRDefault="00596D58" w:rsidP="00B92101">
      <w:pPr>
        <w:pStyle w:val="Heading2"/>
        <w:rPr>
          <w:rFonts w:eastAsia="Times New Roman"/>
          <w:b w:val="0"/>
          <w:bCs w:val="0"/>
          <w:sz w:val="24"/>
          <w:szCs w:val="24"/>
          <w:lang w:eastAsia="en-AU"/>
        </w:rPr>
      </w:pPr>
      <w:r>
        <w:rPr>
          <w:sz w:val="24"/>
        </w:rPr>
        <w:t>Who we are</w:t>
      </w:r>
      <w:r w:rsidR="00B92101">
        <w:rPr>
          <w:sz w:val="24"/>
        </w:rPr>
        <w:t xml:space="preserve"> - </w:t>
      </w:r>
      <w:r w:rsidR="00B92101" w:rsidRPr="00B92101">
        <w:rPr>
          <w:rFonts w:eastAsia="Times New Roman"/>
          <w:b w:val="0"/>
          <w:bCs w:val="0"/>
          <w:sz w:val="24"/>
          <w:szCs w:val="24"/>
          <w:lang w:eastAsia="en-AU"/>
        </w:rPr>
        <w:t>p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>rovides link</w:t>
      </w:r>
      <w:r w:rsidR="00D62F24" w:rsidRPr="00B92101">
        <w:rPr>
          <w:rFonts w:eastAsia="Times New Roman"/>
          <w:b w:val="0"/>
          <w:bCs w:val="0"/>
          <w:sz w:val="24"/>
          <w:szCs w:val="24"/>
          <w:lang w:eastAsia="en-AU"/>
        </w:rPr>
        <w:t>s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 xml:space="preserve"> to the </w:t>
      </w:r>
      <w:r w:rsidR="00BD03C1" w:rsidRPr="00B92101">
        <w:rPr>
          <w:rFonts w:eastAsia="Times New Roman"/>
          <w:b w:val="0"/>
          <w:bCs w:val="0"/>
          <w:sz w:val="24"/>
          <w:szCs w:val="24"/>
          <w:lang w:eastAsia="en-AU"/>
        </w:rPr>
        <w:t>d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>epartment’s organisational structure</w:t>
      </w:r>
      <w:r w:rsidR="00E268D5" w:rsidRPr="00B92101">
        <w:rPr>
          <w:rFonts w:eastAsia="Times New Roman"/>
          <w:b w:val="0"/>
          <w:bCs w:val="0"/>
          <w:sz w:val="24"/>
          <w:szCs w:val="24"/>
          <w:lang w:eastAsia="en-AU"/>
        </w:rPr>
        <w:t>, portfolio bodies’ websites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 xml:space="preserve"> and relevant statutory </w:t>
      </w:r>
      <w:r w:rsidR="00926A9D" w:rsidRPr="00B92101">
        <w:rPr>
          <w:rFonts w:eastAsia="Times New Roman"/>
          <w:b w:val="0"/>
          <w:bCs w:val="0"/>
          <w:sz w:val="24"/>
          <w:szCs w:val="24"/>
          <w:lang w:eastAsia="en-AU"/>
        </w:rPr>
        <w:t xml:space="preserve">office holders’ </w:t>
      </w:r>
      <w:r w:rsidR="000A265B" w:rsidRPr="00B92101">
        <w:rPr>
          <w:rFonts w:eastAsia="Times New Roman"/>
          <w:b w:val="0"/>
          <w:bCs w:val="0"/>
          <w:sz w:val="24"/>
          <w:szCs w:val="24"/>
          <w:lang w:eastAsia="en-AU"/>
        </w:rPr>
        <w:t>appointments, complying with paragraphs 8(2)(b) and 8(2)(d) of the FOI Act.</w:t>
      </w:r>
    </w:p>
    <w:p w14:paraId="4C143FB7" w14:textId="0E9EC58C" w:rsidR="00146E34" w:rsidRPr="000A265B" w:rsidRDefault="00146E34" w:rsidP="000A265B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Also provides additional links to the </w:t>
      </w:r>
      <w:r w:rsidR="00BD03C1">
        <w:rPr>
          <w:rFonts w:cs="Calibri"/>
          <w:szCs w:val="24"/>
          <w:lang w:eastAsia="en-AU"/>
        </w:rPr>
        <w:t>d</w:t>
      </w:r>
      <w:r>
        <w:rPr>
          <w:rFonts w:cs="Calibri"/>
          <w:szCs w:val="24"/>
          <w:lang w:eastAsia="en-AU"/>
        </w:rPr>
        <w:t>epartment’s Enterprise Agreement</w:t>
      </w:r>
      <w:r w:rsidR="00BD03C1">
        <w:rPr>
          <w:rFonts w:cs="Calibri"/>
          <w:szCs w:val="24"/>
          <w:lang w:eastAsia="en-AU"/>
        </w:rPr>
        <w:t xml:space="preserve"> </w:t>
      </w:r>
      <w:r>
        <w:rPr>
          <w:rFonts w:cs="Calibri"/>
          <w:szCs w:val="24"/>
          <w:lang w:eastAsia="en-AU"/>
        </w:rPr>
        <w:t xml:space="preserve">and </w:t>
      </w:r>
      <w:r w:rsidR="00BD03C1">
        <w:rPr>
          <w:rFonts w:cs="Calibri"/>
          <w:szCs w:val="24"/>
          <w:lang w:eastAsia="en-AU"/>
        </w:rPr>
        <w:t>j</w:t>
      </w:r>
      <w:r>
        <w:rPr>
          <w:rFonts w:cs="Calibri"/>
          <w:szCs w:val="24"/>
          <w:lang w:eastAsia="en-AU"/>
        </w:rPr>
        <w:t>ob</w:t>
      </w:r>
      <w:r w:rsidR="00BD03C1">
        <w:rPr>
          <w:rFonts w:cs="Calibri"/>
          <w:szCs w:val="24"/>
          <w:lang w:eastAsia="en-AU"/>
        </w:rPr>
        <w:t> v</w:t>
      </w:r>
      <w:r>
        <w:rPr>
          <w:rFonts w:cs="Calibri"/>
          <w:szCs w:val="24"/>
          <w:lang w:eastAsia="en-AU"/>
        </w:rPr>
        <w:t>acancies.</w:t>
      </w:r>
    </w:p>
    <w:p w14:paraId="689BC6FD" w14:textId="39039891" w:rsidR="00A00F75" w:rsidRPr="00B92101" w:rsidRDefault="00596D58" w:rsidP="00B92101">
      <w:pPr>
        <w:pStyle w:val="Heading2"/>
        <w:rPr>
          <w:rFonts w:eastAsia="Times New Roman"/>
          <w:b w:val="0"/>
          <w:bCs w:val="0"/>
          <w:sz w:val="24"/>
          <w:szCs w:val="24"/>
          <w:lang w:eastAsia="en-AU"/>
        </w:rPr>
      </w:pPr>
      <w:r>
        <w:rPr>
          <w:sz w:val="24"/>
        </w:rPr>
        <w:t>What we do</w:t>
      </w:r>
      <w:r w:rsidR="00B92101">
        <w:rPr>
          <w:sz w:val="24"/>
        </w:rPr>
        <w:t xml:space="preserve"> - </w:t>
      </w:r>
      <w:r w:rsidR="00B92101">
        <w:rPr>
          <w:rFonts w:eastAsia="Times New Roman"/>
          <w:b w:val="0"/>
          <w:bCs w:val="0"/>
          <w:sz w:val="24"/>
          <w:szCs w:val="24"/>
          <w:lang w:eastAsia="en-AU"/>
        </w:rPr>
        <w:t>p</w:t>
      </w:r>
      <w:r w:rsidR="00BD03C1" w:rsidRPr="00B92101">
        <w:rPr>
          <w:rFonts w:eastAsia="Times New Roman"/>
          <w:b w:val="0"/>
          <w:bCs w:val="0"/>
          <w:sz w:val="24"/>
          <w:szCs w:val="24"/>
          <w:lang w:eastAsia="en-AU"/>
        </w:rPr>
        <w:t xml:space="preserve">rovides various links to documents and pages containing </w:t>
      </w:r>
      <w:r w:rsidR="00A00F75" w:rsidRPr="00B92101">
        <w:rPr>
          <w:rFonts w:eastAsia="Times New Roman"/>
          <w:b w:val="0"/>
          <w:bCs w:val="0"/>
          <w:sz w:val="24"/>
          <w:szCs w:val="24"/>
          <w:lang w:eastAsia="en-AU"/>
        </w:rPr>
        <w:t xml:space="preserve">information about </w:t>
      </w:r>
      <w:r w:rsidR="00BD03C1" w:rsidRPr="00B92101">
        <w:rPr>
          <w:rFonts w:eastAsia="Times New Roman"/>
          <w:b w:val="0"/>
          <w:bCs w:val="0"/>
          <w:sz w:val="24"/>
          <w:szCs w:val="24"/>
          <w:lang w:eastAsia="en-AU"/>
        </w:rPr>
        <w:t xml:space="preserve">the department’s responsibilities including policies, </w:t>
      </w:r>
      <w:r w:rsidR="00A00F75" w:rsidRPr="00B92101">
        <w:rPr>
          <w:rFonts w:eastAsia="Times New Roman"/>
          <w:b w:val="0"/>
          <w:bCs w:val="0"/>
          <w:sz w:val="24"/>
          <w:szCs w:val="24"/>
          <w:lang w:eastAsia="en-AU"/>
        </w:rPr>
        <w:t>programs and legislation.</w:t>
      </w:r>
    </w:p>
    <w:p w14:paraId="2D55DB0A" w14:textId="77777777" w:rsidR="005D36BD" w:rsidRDefault="00BD03C1" w:rsidP="000A265B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This section also provides a link to operational information in accordance with section 8A of the FOI Act. </w:t>
      </w:r>
    </w:p>
    <w:p w14:paraId="015084E1" w14:textId="61767576" w:rsidR="00BD03C1" w:rsidRDefault="00BD03C1" w:rsidP="000A265B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>This section complies with paragraph</w:t>
      </w:r>
      <w:r w:rsidR="00144637">
        <w:rPr>
          <w:rFonts w:cs="Calibri"/>
          <w:szCs w:val="24"/>
          <w:lang w:eastAsia="en-AU"/>
        </w:rPr>
        <w:t>s</w:t>
      </w:r>
      <w:r>
        <w:rPr>
          <w:rFonts w:cs="Calibri"/>
          <w:szCs w:val="24"/>
          <w:lang w:eastAsia="en-AU"/>
        </w:rPr>
        <w:t xml:space="preserve"> </w:t>
      </w:r>
      <w:r w:rsidR="00144637">
        <w:rPr>
          <w:rFonts w:cs="Calibri"/>
          <w:szCs w:val="24"/>
          <w:lang w:eastAsia="en-AU"/>
        </w:rPr>
        <w:t xml:space="preserve">8(1)(c), 8(1)(e) and </w:t>
      </w:r>
      <w:r>
        <w:rPr>
          <w:rFonts w:cs="Calibri"/>
          <w:szCs w:val="24"/>
          <w:lang w:eastAsia="en-AU"/>
        </w:rPr>
        <w:t>8(1)(j) and subsection 8(4) of the FOI Act.</w:t>
      </w:r>
    </w:p>
    <w:p w14:paraId="75B165E3" w14:textId="7F09F50B" w:rsidR="00865F72" w:rsidRDefault="00DC5E98" w:rsidP="00532B28">
      <w:r>
        <w:rPr>
          <w:b/>
        </w:rPr>
        <w:t>R</w:t>
      </w:r>
      <w:r w:rsidRPr="00E16E05">
        <w:rPr>
          <w:b/>
        </w:rPr>
        <w:t>eports and responses to Parliament</w:t>
      </w:r>
      <w:r w:rsidR="00B92101">
        <w:rPr>
          <w:b/>
        </w:rPr>
        <w:t xml:space="preserve"> - </w:t>
      </w:r>
      <w:r w:rsidR="00B92101" w:rsidRPr="00B92101">
        <w:t>p</w:t>
      </w:r>
      <w:r w:rsidR="00B03179" w:rsidRPr="00B92101">
        <w:rPr>
          <w:rFonts w:cs="Calibri"/>
          <w:szCs w:val="24"/>
          <w:lang w:eastAsia="en-AU"/>
        </w:rPr>
        <w:t>ro</w:t>
      </w:r>
      <w:r w:rsidR="00B03179">
        <w:rPr>
          <w:rFonts w:cs="Calibri"/>
          <w:szCs w:val="24"/>
          <w:lang w:eastAsia="en-AU"/>
        </w:rPr>
        <w:t xml:space="preserve">vides links </w:t>
      </w:r>
      <w:r w:rsidR="00B03179" w:rsidRPr="000A265B">
        <w:rPr>
          <w:rFonts w:cs="Calibri"/>
          <w:szCs w:val="24"/>
          <w:lang w:eastAsia="en-AU"/>
        </w:rPr>
        <w:t>to</w:t>
      </w:r>
      <w:r w:rsidR="00B03179">
        <w:rPr>
          <w:rFonts w:cs="Calibri"/>
          <w:szCs w:val="24"/>
          <w:lang w:eastAsia="en-AU"/>
        </w:rPr>
        <w:t xml:space="preserve"> </w:t>
      </w:r>
      <w:r w:rsidR="00B6273C">
        <w:rPr>
          <w:rFonts w:cs="Calibri"/>
          <w:szCs w:val="24"/>
          <w:lang w:eastAsia="en-AU"/>
        </w:rPr>
        <w:t>information held by the department that is routinely provided to the Parliament in response to requests or orders from the Parliament such as a</w:t>
      </w:r>
      <w:r w:rsidR="00B03179" w:rsidRPr="00B03179">
        <w:t xml:space="preserve">nnual </w:t>
      </w:r>
      <w:r w:rsidR="00B6273C">
        <w:t>r</w:t>
      </w:r>
      <w:r w:rsidR="00B03179" w:rsidRPr="00B03179">
        <w:t>eports</w:t>
      </w:r>
      <w:r w:rsidR="00532B28">
        <w:t xml:space="preserve">, </w:t>
      </w:r>
      <w:r w:rsidR="00B6273C">
        <w:t>departmental f</w:t>
      </w:r>
      <w:r w:rsidR="00865F72">
        <w:t xml:space="preserve">ile </w:t>
      </w:r>
      <w:r w:rsidR="00B6273C">
        <w:t>i</w:t>
      </w:r>
      <w:r w:rsidR="00865F72">
        <w:t>ndex</w:t>
      </w:r>
      <w:r w:rsidR="00B6273C">
        <w:t xml:space="preserve">es, departmental contract and </w:t>
      </w:r>
      <w:hyperlink r:id="rId17" w:history="1">
        <w:r w:rsidR="00B6273C" w:rsidRPr="005A7502">
          <w:rPr>
            <w:rStyle w:val="Hyperlink"/>
          </w:rPr>
          <w:t>grants funding lists</w:t>
        </w:r>
      </w:hyperlink>
      <w:r w:rsidR="00B6273C">
        <w:t>.</w:t>
      </w:r>
    </w:p>
    <w:p w14:paraId="75B670A2" w14:textId="2D234CA6" w:rsidR="00865F72" w:rsidRDefault="00B6273C" w:rsidP="00B03179">
      <w:pPr>
        <w:rPr>
          <w:rFonts w:cs="Calibri"/>
          <w:szCs w:val="24"/>
          <w:lang w:eastAsia="en-AU"/>
        </w:rPr>
      </w:pPr>
      <w:r>
        <w:rPr>
          <w:rFonts w:cs="Calibri"/>
          <w:szCs w:val="24"/>
          <w:lang w:eastAsia="en-AU"/>
        </w:rPr>
        <w:t xml:space="preserve">This section </w:t>
      </w:r>
      <w:r w:rsidR="00865F72">
        <w:rPr>
          <w:rFonts w:cs="Calibri"/>
          <w:szCs w:val="24"/>
          <w:lang w:eastAsia="en-AU"/>
        </w:rPr>
        <w:t>compl</w:t>
      </w:r>
      <w:r>
        <w:rPr>
          <w:rFonts w:cs="Calibri"/>
          <w:szCs w:val="24"/>
          <w:lang w:eastAsia="en-AU"/>
        </w:rPr>
        <w:t xml:space="preserve">ies </w:t>
      </w:r>
      <w:r w:rsidR="00865F72">
        <w:rPr>
          <w:rFonts w:cs="Calibri"/>
          <w:szCs w:val="24"/>
          <w:lang w:eastAsia="en-AU"/>
        </w:rPr>
        <w:t>with paragraph 8(1)(h) and subsection 8(4) of the FOI Act.</w:t>
      </w:r>
    </w:p>
    <w:p w14:paraId="5D46F1CA" w14:textId="07AF3B08" w:rsidR="00B03179" w:rsidRPr="000A265B" w:rsidRDefault="00DC5E98" w:rsidP="00B92101">
      <w:pPr>
        <w:keepNext/>
        <w:rPr>
          <w:rFonts w:cs="Calibri"/>
          <w:szCs w:val="24"/>
          <w:lang w:eastAsia="en-AU"/>
        </w:rPr>
      </w:pPr>
      <w:r>
        <w:rPr>
          <w:b/>
        </w:rPr>
        <w:t>D</w:t>
      </w:r>
      <w:r w:rsidRPr="00F25716">
        <w:rPr>
          <w:b/>
        </w:rPr>
        <w:t>isclosure log</w:t>
      </w:r>
      <w:r w:rsidR="00B92101">
        <w:rPr>
          <w:b/>
        </w:rPr>
        <w:t xml:space="preserve"> - </w:t>
      </w:r>
      <w:r w:rsidR="00B92101" w:rsidRPr="00B92101">
        <w:t>p</w:t>
      </w:r>
      <w:r w:rsidR="00865F72" w:rsidRPr="00B92101">
        <w:rPr>
          <w:rFonts w:cs="Calibri"/>
          <w:szCs w:val="24"/>
          <w:lang w:eastAsia="en-AU"/>
        </w:rPr>
        <w:t>rovi</w:t>
      </w:r>
      <w:r w:rsidR="00865F72">
        <w:rPr>
          <w:rFonts w:cs="Calibri"/>
          <w:szCs w:val="24"/>
          <w:lang w:eastAsia="en-AU"/>
        </w:rPr>
        <w:t xml:space="preserve">des a link to the </w:t>
      </w:r>
      <w:r w:rsidR="009C68E5">
        <w:rPr>
          <w:rFonts w:cs="Calibri"/>
          <w:szCs w:val="24"/>
          <w:lang w:eastAsia="en-AU"/>
        </w:rPr>
        <w:t>d</w:t>
      </w:r>
      <w:r w:rsidR="00865F72">
        <w:rPr>
          <w:rFonts w:cs="Calibri"/>
          <w:szCs w:val="24"/>
          <w:lang w:eastAsia="en-AU"/>
        </w:rPr>
        <w:t>epartment’s Disclosure Log complying with p</w:t>
      </w:r>
      <w:r w:rsidR="00B03179">
        <w:rPr>
          <w:rFonts w:cs="Calibri"/>
          <w:szCs w:val="24"/>
          <w:lang w:eastAsia="en-AU"/>
        </w:rPr>
        <w:t>aragraph 8(1)(g)</w:t>
      </w:r>
      <w:r w:rsidR="00865F72">
        <w:rPr>
          <w:rFonts w:cs="Calibri"/>
          <w:szCs w:val="24"/>
          <w:lang w:eastAsia="en-AU"/>
        </w:rPr>
        <w:t xml:space="preserve"> of the FOI Act.</w:t>
      </w:r>
    </w:p>
    <w:p w14:paraId="2379717B" w14:textId="2CE6DB08" w:rsidR="003E5750" w:rsidRPr="000A265B" w:rsidRDefault="00596D58" w:rsidP="00B92101">
      <w:pPr>
        <w:keepNext/>
        <w:rPr>
          <w:rFonts w:cs="Calibri"/>
          <w:szCs w:val="24"/>
          <w:lang w:eastAsia="en-AU"/>
        </w:rPr>
      </w:pPr>
      <w:r w:rsidRPr="003E5750">
        <w:rPr>
          <w:b/>
        </w:rPr>
        <w:t>Consultation</w:t>
      </w:r>
      <w:r w:rsidR="00B92101">
        <w:rPr>
          <w:b/>
        </w:rPr>
        <w:t xml:space="preserve"> - </w:t>
      </w:r>
      <w:r w:rsidR="00B92101" w:rsidRPr="00B92101">
        <w:t>p</w:t>
      </w:r>
      <w:r w:rsidRPr="00B92101">
        <w:rPr>
          <w:rFonts w:cs="Calibri"/>
          <w:szCs w:val="24"/>
          <w:lang w:eastAsia="en-AU"/>
        </w:rPr>
        <w:t>rovid</w:t>
      </w:r>
      <w:r w:rsidRPr="000A265B">
        <w:rPr>
          <w:rFonts w:cs="Calibri"/>
          <w:szCs w:val="24"/>
          <w:lang w:eastAsia="en-AU"/>
        </w:rPr>
        <w:t xml:space="preserve">es </w:t>
      </w:r>
      <w:r w:rsidR="009C68E5">
        <w:rPr>
          <w:rFonts w:cs="Calibri"/>
          <w:szCs w:val="24"/>
          <w:lang w:eastAsia="en-AU"/>
        </w:rPr>
        <w:t xml:space="preserve">a link to the department’s </w:t>
      </w:r>
      <w:r w:rsidR="00034E4C">
        <w:rPr>
          <w:rFonts w:cs="Calibri"/>
          <w:szCs w:val="24"/>
          <w:lang w:eastAsia="en-AU"/>
        </w:rPr>
        <w:t xml:space="preserve">public </w:t>
      </w:r>
      <w:r w:rsidR="009C68E5">
        <w:rPr>
          <w:rFonts w:cs="Calibri"/>
          <w:szCs w:val="24"/>
          <w:lang w:eastAsia="en-AU"/>
        </w:rPr>
        <w:t>consultation</w:t>
      </w:r>
      <w:r w:rsidR="00B92101">
        <w:rPr>
          <w:rFonts w:cs="Calibri"/>
          <w:szCs w:val="24"/>
          <w:lang w:eastAsia="en-AU"/>
        </w:rPr>
        <w:t>s</w:t>
      </w:r>
      <w:r w:rsidR="009C68E5">
        <w:rPr>
          <w:rFonts w:cs="Calibri"/>
          <w:szCs w:val="24"/>
          <w:lang w:eastAsia="en-AU"/>
        </w:rPr>
        <w:t xml:space="preserve"> </w:t>
      </w:r>
      <w:r w:rsidR="00034E4C">
        <w:rPr>
          <w:rFonts w:cs="Calibri"/>
          <w:szCs w:val="24"/>
          <w:lang w:eastAsia="en-AU"/>
        </w:rPr>
        <w:t>web</w:t>
      </w:r>
      <w:r w:rsidR="009C68E5">
        <w:rPr>
          <w:rFonts w:cs="Calibri"/>
          <w:szCs w:val="24"/>
          <w:lang w:eastAsia="en-AU"/>
        </w:rPr>
        <w:t xml:space="preserve">site </w:t>
      </w:r>
      <w:r w:rsidR="00D1080C">
        <w:rPr>
          <w:rFonts w:cs="Calibri"/>
          <w:szCs w:val="24"/>
          <w:lang w:eastAsia="en-AU"/>
        </w:rPr>
        <w:t>compl</w:t>
      </w:r>
      <w:r w:rsidR="009C68E5">
        <w:rPr>
          <w:rFonts w:cs="Calibri"/>
          <w:szCs w:val="24"/>
          <w:lang w:eastAsia="en-AU"/>
        </w:rPr>
        <w:t xml:space="preserve">ying </w:t>
      </w:r>
      <w:r w:rsidR="00BB522A">
        <w:rPr>
          <w:rFonts w:cs="Calibri"/>
          <w:szCs w:val="24"/>
          <w:lang w:eastAsia="en-AU"/>
        </w:rPr>
        <w:t>with paragraph</w:t>
      </w:r>
      <w:r w:rsidR="009C68E5">
        <w:rPr>
          <w:rFonts w:cs="Calibri"/>
          <w:szCs w:val="24"/>
          <w:lang w:eastAsia="en-AU"/>
        </w:rPr>
        <w:t> </w:t>
      </w:r>
      <w:r w:rsidR="00BB522A">
        <w:rPr>
          <w:rFonts w:cs="Calibri"/>
          <w:szCs w:val="24"/>
          <w:lang w:eastAsia="en-AU"/>
        </w:rPr>
        <w:t>8(1)(f) of the FOI Act.</w:t>
      </w:r>
    </w:p>
    <w:p w14:paraId="7D0A717F" w14:textId="47F17F8C" w:rsidR="00DC5E98" w:rsidRPr="000A265B" w:rsidRDefault="00DC5E98" w:rsidP="000A265B">
      <w:pPr>
        <w:rPr>
          <w:rFonts w:cs="Calibri"/>
          <w:szCs w:val="24"/>
          <w:lang w:eastAsia="en-AU"/>
        </w:rPr>
      </w:pPr>
      <w:r>
        <w:rPr>
          <w:b/>
        </w:rPr>
        <w:t>Contact details</w:t>
      </w:r>
      <w:r w:rsidR="00B92101">
        <w:rPr>
          <w:b/>
        </w:rPr>
        <w:t xml:space="preserve"> - </w:t>
      </w:r>
      <w:r w:rsidR="00B92101" w:rsidRPr="00B92101">
        <w:t>p</w:t>
      </w:r>
      <w:r w:rsidRPr="00B92101">
        <w:rPr>
          <w:rFonts w:cs="Calibri"/>
          <w:szCs w:val="24"/>
          <w:lang w:eastAsia="en-AU"/>
        </w:rPr>
        <w:t>rovid</w:t>
      </w:r>
      <w:r w:rsidRPr="000A265B">
        <w:rPr>
          <w:rFonts w:cs="Calibri"/>
          <w:szCs w:val="24"/>
          <w:lang w:eastAsia="en-AU"/>
        </w:rPr>
        <w:t xml:space="preserve">es </w:t>
      </w:r>
      <w:r w:rsidR="009C68E5">
        <w:rPr>
          <w:rFonts w:cs="Calibri"/>
          <w:szCs w:val="24"/>
          <w:lang w:eastAsia="en-AU"/>
        </w:rPr>
        <w:t xml:space="preserve">an </w:t>
      </w:r>
      <w:r w:rsidR="00D1080C">
        <w:rPr>
          <w:rFonts w:cs="Calibri"/>
          <w:szCs w:val="24"/>
          <w:lang w:eastAsia="en-AU"/>
        </w:rPr>
        <w:t xml:space="preserve">email and postal address for the IPS Coordinator, complying </w:t>
      </w:r>
      <w:r w:rsidR="00BB522A">
        <w:rPr>
          <w:rFonts w:cs="Calibri"/>
          <w:szCs w:val="24"/>
          <w:lang w:eastAsia="en-AU"/>
        </w:rPr>
        <w:t>with paragraph 8(1)(i) of the FOI Act.</w:t>
      </w:r>
    </w:p>
    <w:p w14:paraId="576A83C1" w14:textId="681872B2" w:rsidR="00596D58" w:rsidRDefault="00596D58" w:rsidP="00596D58">
      <w:pPr>
        <w:pStyle w:val="Heading1"/>
        <w:rPr>
          <w:rFonts w:cs="Calibri"/>
          <w:szCs w:val="36"/>
        </w:rPr>
      </w:pPr>
      <w:r>
        <w:rPr>
          <w:rFonts w:cs="Calibri"/>
          <w:szCs w:val="36"/>
        </w:rPr>
        <w:t>How the Department otherwise complies with the IPS requirements</w:t>
      </w:r>
    </w:p>
    <w:p w14:paraId="2C4D6DD0" w14:textId="3BEFCEC1" w:rsidR="00596D58" w:rsidRPr="000A265B" w:rsidRDefault="00596D58" w:rsidP="00596D58">
      <w:pPr>
        <w:rPr>
          <w:rFonts w:cs="Calibri"/>
          <w:szCs w:val="24"/>
          <w:lang w:eastAsia="en-AU"/>
        </w:rPr>
      </w:pPr>
      <w:r w:rsidRPr="000A265B">
        <w:rPr>
          <w:rFonts w:cs="Calibri"/>
          <w:szCs w:val="24"/>
          <w:lang w:eastAsia="en-AU"/>
        </w:rPr>
        <w:t xml:space="preserve">The </w:t>
      </w:r>
      <w:r w:rsidR="009C68E5">
        <w:rPr>
          <w:rFonts w:cs="Calibri"/>
          <w:szCs w:val="24"/>
          <w:lang w:eastAsia="en-AU"/>
        </w:rPr>
        <w:t>d</w:t>
      </w:r>
      <w:r w:rsidRPr="000A265B">
        <w:rPr>
          <w:rFonts w:cs="Calibri"/>
          <w:szCs w:val="24"/>
          <w:lang w:eastAsia="en-AU"/>
        </w:rPr>
        <w:t xml:space="preserve">epartment </w:t>
      </w:r>
      <w:r w:rsidR="009C68E5">
        <w:rPr>
          <w:rFonts w:cs="Calibri"/>
          <w:szCs w:val="24"/>
          <w:lang w:eastAsia="en-AU"/>
        </w:rPr>
        <w:t xml:space="preserve">further </w:t>
      </w:r>
      <w:r w:rsidRPr="000A265B">
        <w:rPr>
          <w:rFonts w:cs="Calibri"/>
          <w:szCs w:val="24"/>
          <w:lang w:eastAsia="en-AU"/>
        </w:rPr>
        <w:t>complies with IPS requirements</w:t>
      </w:r>
      <w:r w:rsidR="00BB522A">
        <w:rPr>
          <w:rFonts w:cs="Calibri"/>
          <w:szCs w:val="24"/>
          <w:lang w:eastAsia="en-AU"/>
        </w:rPr>
        <w:t xml:space="preserve"> through</w:t>
      </w:r>
      <w:r w:rsidRPr="000A265B">
        <w:rPr>
          <w:rFonts w:cs="Calibri"/>
          <w:szCs w:val="24"/>
          <w:lang w:eastAsia="en-AU"/>
        </w:rPr>
        <w:t xml:space="preserve">: </w:t>
      </w:r>
    </w:p>
    <w:p w14:paraId="317A9137" w14:textId="50F70A08" w:rsidR="00596D58" w:rsidRDefault="00BB522A" w:rsidP="00596D58">
      <w:pPr>
        <w:pStyle w:val="Bullets"/>
        <w:numPr>
          <w:ilvl w:val="0"/>
          <w:numId w:val="4"/>
        </w:numPr>
      </w:pPr>
      <w:r>
        <w:lastRenderedPageBreak/>
        <w:t xml:space="preserve">having </w:t>
      </w:r>
      <w:r w:rsidR="00596D58">
        <w:t>regard to relevant guidelines issued by the Information</w:t>
      </w:r>
      <w:r>
        <w:t> </w:t>
      </w:r>
      <w:r w:rsidR="00596D58">
        <w:t>Commissioner under s</w:t>
      </w:r>
      <w:r>
        <w:t>ection</w:t>
      </w:r>
      <w:r w:rsidR="00596D58">
        <w:t xml:space="preserve"> 93A of the FOI Act</w:t>
      </w:r>
      <w:r w:rsidR="00B92101">
        <w:t>; and</w:t>
      </w:r>
    </w:p>
    <w:p w14:paraId="58B9F99E" w14:textId="1823593F" w:rsidR="004B02C4" w:rsidRDefault="00596D58" w:rsidP="00B12EF2">
      <w:pPr>
        <w:pStyle w:val="Bullets"/>
        <w:numPr>
          <w:ilvl w:val="0"/>
          <w:numId w:val="4"/>
        </w:numPr>
      </w:pPr>
      <w:r w:rsidRPr="00F25716">
        <w:t>cooperat</w:t>
      </w:r>
      <w:r w:rsidR="00BB522A">
        <w:t>ing</w:t>
      </w:r>
      <w:r w:rsidRPr="00F25716">
        <w:t xml:space="preserve"> with Information Commissioner reviews of the IPS</w:t>
      </w:r>
      <w:r w:rsidR="00B92101">
        <w:t>.</w:t>
      </w:r>
    </w:p>
    <w:sectPr w:rsidR="004B02C4" w:rsidSect="00406FDC">
      <w:headerReference w:type="default" r:id="rId18"/>
      <w:footerReference w:type="default" r:id="rId19"/>
      <w:pgSz w:w="11906" w:h="16838"/>
      <w:pgMar w:top="1440" w:right="1800" w:bottom="1134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4DA58" w14:textId="77777777" w:rsidR="00853325" w:rsidRDefault="00853325">
      <w:r>
        <w:separator/>
      </w:r>
    </w:p>
  </w:endnote>
  <w:endnote w:type="continuationSeparator" w:id="0">
    <w:p w14:paraId="6FBD63DF" w14:textId="77777777" w:rsidR="00853325" w:rsidRDefault="008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BDAA" w14:textId="77777777" w:rsidR="00F25716" w:rsidRDefault="00F25716" w:rsidP="004823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2F5F602" w14:textId="77777777" w:rsidR="00F25716" w:rsidRDefault="00F25716" w:rsidP="00DC73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6FA0" w14:textId="24C244BB" w:rsidR="00F25716" w:rsidRDefault="00F25716" w:rsidP="000C5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5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3237BF" w14:textId="77777777" w:rsidR="00F25716" w:rsidRDefault="00F25716" w:rsidP="00DC73C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64ACB" w14:textId="77777777" w:rsidR="007225AA" w:rsidRDefault="007225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F93E" w14:textId="1EB5B7BF" w:rsidR="00F25716" w:rsidRDefault="00F25716" w:rsidP="004823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5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EE9EAE" w14:textId="77777777" w:rsidR="00F25716" w:rsidRDefault="00F25716" w:rsidP="00DC73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21A1" w14:textId="77777777" w:rsidR="00853325" w:rsidRDefault="00853325">
      <w:r>
        <w:separator/>
      </w:r>
    </w:p>
  </w:footnote>
  <w:footnote w:type="continuationSeparator" w:id="0">
    <w:p w14:paraId="491DB128" w14:textId="77777777" w:rsidR="00853325" w:rsidRDefault="0085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CC31" w14:textId="77777777" w:rsidR="007225AA" w:rsidRDefault="00722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C2D6" w14:textId="77777777" w:rsidR="007225AA" w:rsidRDefault="00722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2751" w14:textId="77777777" w:rsidR="00F25716" w:rsidRDefault="00F25716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5C7B00AF" wp14:editId="75D613B6">
          <wp:extent cx="3600450" cy="733425"/>
          <wp:effectExtent l="0" t="0" r="0" b="0"/>
          <wp:docPr id="6" name="Picture 6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2D1DF" w14:textId="418533AD" w:rsidR="00F25716" w:rsidRDefault="005832CC" w:rsidP="007965D5">
    <w:pPr>
      <w:pStyle w:val="Header"/>
      <w:pBdr>
        <w:bottom w:val="single" w:sz="4" w:space="1" w:color="auto"/>
      </w:pBdr>
      <w:jc w:val="right"/>
    </w:pPr>
    <w:r>
      <w:t xml:space="preserve">DSS </w:t>
    </w:r>
    <w:r w:rsidR="00F25716">
      <w:t xml:space="preserve">Information Publication Scheme Agency Plan </w:t>
    </w:r>
    <w:r>
      <w:t>2018-</w:t>
    </w:r>
    <w:r w:rsidR="00BD6956">
      <w:t>20</w:t>
    </w:r>
    <w: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486"/>
    <w:multiLevelType w:val="hybridMultilevel"/>
    <w:tmpl w:val="183C0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0F8B"/>
    <w:multiLevelType w:val="hybridMultilevel"/>
    <w:tmpl w:val="E218570C"/>
    <w:lvl w:ilvl="0" w:tplc="C0BEB2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1397"/>
    <w:multiLevelType w:val="multilevel"/>
    <w:tmpl w:val="9BF0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14654"/>
    <w:multiLevelType w:val="hybridMultilevel"/>
    <w:tmpl w:val="35648380"/>
    <w:lvl w:ilvl="0" w:tplc="591E69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62C9B"/>
    <w:multiLevelType w:val="hybridMultilevel"/>
    <w:tmpl w:val="42BE026E"/>
    <w:lvl w:ilvl="0" w:tplc="7DDE1C20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0E15C3"/>
    <w:multiLevelType w:val="hybridMultilevel"/>
    <w:tmpl w:val="0F4E69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9B"/>
    <w:rsid w:val="00004DA6"/>
    <w:rsid w:val="00010E3D"/>
    <w:rsid w:val="00011C59"/>
    <w:rsid w:val="00011FB7"/>
    <w:rsid w:val="000219F6"/>
    <w:rsid w:val="00034E4C"/>
    <w:rsid w:val="0005725F"/>
    <w:rsid w:val="00072893"/>
    <w:rsid w:val="00073408"/>
    <w:rsid w:val="00086158"/>
    <w:rsid w:val="000A265B"/>
    <w:rsid w:val="000C4A9F"/>
    <w:rsid w:val="000C52D4"/>
    <w:rsid w:val="000D0166"/>
    <w:rsid w:val="000D0715"/>
    <w:rsid w:val="000D45CE"/>
    <w:rsid w:val="000E2554"/>
    <w:rsid w:val="000E7C21"/>
    <w:rsid w:val="00123521"/>
    <w:rsid w:val="001235B0"/>
    <w:rsid w:val="001325BB"/>
    <w:rsid w:val="0013489B"/>
    <w:rsid w:val="00144637"/>
    <w:rsid w:val="00146E34"/>
    <w:rsid w:val="00172827"/>
    <w:rsid w:val="00174D55"/>
    <w:rsid w:val="0017595A"/>
    <w:rsid w:val="00185539"/>
    <w:rsid w:val="001857B7"/>
    <w:rsid w:val="001876C1"/>
    <w:rsid w:val="00195843"/>
    <w:rsid w:val="001B543E"/>
    <w:rsid w:val="001D337A"/>
    <w:rsid w:val="001D5AB8"/>
    <w:rsid w:val="001F418D"/>
    <w:rsid w:val="002049CE"/>
    <w:rsid w:val="002147FC"/>
    <w:rsid w:val="00215652"/>
    <w:rsid w:val="0023743B"/>
    <w:rsid w:val="002563DB"/>
    <w:rsid w:val="00256E90"/>
    <w:rsid w:val="00271F7E"/>
    <w:rsid w:val="00275B99"/>
    <w:rsid w:val="0029106B"/>
    <w:rsid w:val="002972FE"/>
    <w:rsid w:val="002E5F5E"/>
    <w:rsid w:val="002E60E1"/>
    <w:rsid w:val="002F1E4E"/>
    <w:rsid w:val="002F32D0"/>
    <w:rsid w:val="003113F3"/>
    <w:rsid w:val="00322C60"/>
    <w:rsid w:val="00331372"/>
    <w:rsid w:val="00357BB5"/>
    <w:rsid w:val="003B72A0"/>
    <w:rsid w:val="003E03FA"/>
    <w:rsid w:val="003E3F30"/>
    <w:rsid w:val="003E5750"/>
    <w:rsid w:val="00406FDC"/>
    <w:rsid w:val="004117A5"/>
    <w:rsid w:val="00472E46"/>
    <w:rsid w:val="00473868"/>
    <w:rsid w:val="00474C98"/>
    <w:rsid w:val="004821C5"/>
    <w:rsid w:val="004823F0"/>
    <w:rsid w:val="00482D5E"/>
    <w:rsid w:val="00483DD1"/>
    <w:rsid w:val="004A24C2"/>
    <w:rsid w:val="004A4B5A"/>
    <w:rsid w:val="004A7FE6"/>
    <w:rsid w:val="004B02C4"/>
    <w:rsid w:val="005017B9"/>
    <w:rsid w:val="005059D9"/>
    <w:rsid w:val="00506307"/>
    <w:rsid w:val="005200DF"/>
    <w:rsid w:val="00521989"/>
    <w:rsid w:val="0053031C"/>
    <w:rsid w:val="00531661"/>
    <w:rsid w:val="00532819"/>
    <w:rsid w:val="00532B28"/>
    <w:rsid w:val="00571A47"/>
    <w:rsid w:val="005832CC"/>
    <w:rsid w:val="00596D58"/>
    <w:rsid w:val="005A5163"/>
    <w:rsid w:val="005A5784"/>
    <w:rsid w:val="005A7502"/>
    <w:rsid w:val="005B1743"/>
    <w:rsid w:val="005B2A0F"/>
    <w:rsid w:val="005C23FD"/>
    <w:rsid w:val="005D36BD"/>
    <w:rsid w:val="005F4F6F"/>
    <w:rsid w:val="006302C1"/>
    <w:rsid w:val="00660913"/>
    <w:rsid w:val="006677EB"/>
    <w:rsid w:val="00667EEB"/>
    <w:rsid w:val="00682EB9"/>
    <w:rsid w:val="00683558"/>
    <w:rsid w:val="0069278A"/>
    <w:rsid w:val="00694848"/>
    <w:rsid w:val="006B0567"/>
    <w:rsid w:val="006B4543"/>
    <w:rsid w:val="006C4861"/>
    <w:rsid w:val="006D3436"/>
    <w:rsid w:val="006E08E9"/>
    <w:rsid w:val="006E0B40"/>
    <w:rsid w:val="00707972"/>
    <w:rsid w:val="00717801"/>
    <w:rsid w:val="007225AA"/>
    <w:rsid w:val="00726CD7"/>
    <w:rsid w:val="0074171D"/>
    <w:rsid w:val="00753F69"/>
    <w:rsid w:val="00770604"/>
    <w:rsid w:val="00774A19"/>
    <w:rsid w:val="007858EE"/>
    <w:rsid w:val="007965D5"/>
    <w:rsid w:val="007A2E17"/>
    <w:rsid w:val="007B3ED6"/>
    <w:rsid w:val="007C4FA2"/>
    <w:rsid w:val="007D0673"/>
    <w:rsid w:val="007D19D3"/>
    <w:rsid w:val="007F13E1"/>
    <w:rsid w:val="00816DFD"/>
    <w:rsid w:val="008338B4"/>
    <w:rsid w:val="008532FD"/>
    <w:rsid w:val="00853325"/>
    <w:rsid w:val="00865F72"/>
    <w:rsid w:val="00867C83"/>
    <w:rsid w:val="0087482D"/>
    <w:rsid w:val="00880168"/>
    <w:rsid w:val="0089244F"/>
    <w:rsid w:val="008E52B5"/>
    <w:rsid w:val="008E6DBA"/>
    <w:rsid w:val="008E7612"/>
    <w:rsid w:val="0091522D"/>
    <w:rsid w:val="009164C8"/>
    <w:rsid w:val="00922213"/>
    <w:rsid w:val="00926A9D"/>
    <w:rsid w:val="00945D9D"/>
    <w:rsid w:val="009516D6"/>
    <w:rsid w:val="009579E8"/>
    <w:rsid w:val="0096238D"/>
    <w:rsid w:val="00967706"/>
    <w:rsid w:val="009854CA"/>
    <w:rsid w:val="009A0DE8"/>
    <w:rsid w:val="009B0A8E"/>
    <w:rsid w:val="009B49FF"/>
    <w:rsid w:val="009C68E5"/>
    <w:rsid w:val="009D105B"/>
    <w:rsid w:val="009D3F8E"/>
    <w:rsid w:val="009D4032"/>
    <w:rsid w:val="00A00F75"/>
    <w:rsid w:val="00A03592"/>
    <w:rsid w:val="00A12069"/>
    <w:rsid w:val="00A41C09"/>
    <w:rsid w:val="00A97171"/>
    <w:rsid w:val="00AB2EA5"/>
    <w:rsid w:val="00AC6623"/>
    <w:rsid w:val="00AD642C"/>
    <w:rsid w:val="00AF6628"/>
    <w:rsid w:val="00B03179"/>
    <w:rsid w:val="00B3516F"/>
    <w:rsid w:val="00B6273C"/>
    <w:rsid w:val="00B76EEE"/>
    <w:rsid w:val="00B85A5F"/>
    <w:rsid w:val="00B92101"/>
    <w:rsid w:val="00BA3ED8"/>
    <w:rsid w:val="00BA42FF"/>
    <w:rsid w:val="00BB522A"/>
    <w:rsid w:val="00BC2AE8"/>
    <w:rsid w:val="00BC6C26"/>
    <w:rsid w:val="00BD03C1"/>
    <w:rsid w:val="00BD6956"/>
    <w:rsid w:val="00BF0A5C"/>
    <w:rsid w:val="00BF575D"/>
    <w:rsid w:val="00C00370"/>
    <w:rsid w:val="00C050D9"/>
    <w:rsid w:val="00C234D5"/>
    <w:rsid w:val="00C33EC2"/>
    <w:rsid w:val="00C4404C"/>
    <w:rsid w:val="00C56DEE"/>
    <w:rsid w:val="00C6150E"/>
    <w:rsid w:val="00C77C01"/>
    <w:rsid w:val="00CF7EF1"/>
    <w:rsid w:val="00D02951"/>
    <w:rsid w:val="00D1080C"/>
    <w:rsid w:val="00D24F4A"/>
    <w:rsid w:val="00D400DB"/>
    <w:rsid w:val="00D4197F"/>
    <w:rsid w:val="00D47C25"/>
    <w:rsid w:val="00D52A9B"/>
    <w:rsid w:val="00D61554"/>
    <w:rsid w:val="00D62F24"/>
    <w:rsid w:val="00D6460C"/>
    <w:rsid w:val="00D66A94"/>
    <w:rsid w:val="00D802B6"/>
    <w:rsid w:val="00D84E4A"/>
    <w:rsid w:val="00D86684"/>
    <w:rsid w:val="00D86BF1"/>
    <w:rsid w:val="00D92BEC"/>
    <w:rsid w:val="00D9660F"/>
    <w:rsid w:val="00DC5E98"/>
    <w:rsid w:val="00DC6C35"/>
    <w:rsid w:val="00DC73CC"/>
    <w:rsid w:val="00DD774F"/>
    <w:rsid w:val="00DE4F27"/>
    <w:rsid w:val="00DE576A"/>
    <w:rsid w:val="00DE6B5F"/>
    <w:rsid w:val="00DE76D4"/>
    <w:rsid w:val="00E16E05"/>
    <w:rsid w:val="00E231FE"/>
    <w:rsid w:val="00E24789"/>
    <w:rsid w:val="00E268D5"/>
    <w:rsid w:val="00E462E2"/>
    <w:rsid w:val="00E51F50"/>
    <w:rsid w:val="00E70599"/>
    <w:rsid w:val="00E85ADB"/>
    <w:rsid w:val="00E869F9"/>
    <w:rsid w:val="00E96153"/>
    <w:rsid w:val="00EA0200"/>
    <w:rsid w:val="00EC0A0E"/>
    <w:rsid w:val="00EE593A"/>
    <w:rsid w:val="00F00C84"/>
    <w:rsid w:val="00F13EB9"/>
    <w:rsid w:val="00F1690A"/>
    <w:rsid w:val="00F25716"/>
    <w:rsid w:val="00F5197C"/>
    <w:rsid w:val="00F55E6B"/>
    <w:rsid w:val="00F77C6A"/>
    <w:rsid w:val="00F84504"/>
    <w:rsid w:val="00F903B6"/>
    <w:rsid w:val="00FA37BC"/>
    <w:rsid w:val="00FB22E9"/>
    <w:rsid w:val="00FC1BE9"/>
    <w:rsid w:val="00FC5D42"/>
    <w:rsid w:val="00FD2A64"/>
    <w:rsid w:val="00FD7307"/>
    <w:rsid w:val="00FE32A5"/>
    <w:rsid w:val="00FE386C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B7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C4"/>
    <w:pPr>
      <w:spacing w:after="240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2C4"/>
    <w:pPr>
      <w:keepNext/>
      <w:keepLines/>
      <w:spacing w:before="300"/>
      <w:outlineLvl w:val="0"/>
    </w:pPr>
    <w:rPr>
      <w:rFonts w:eastAsia="Calibr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B02C4"/>
    <w:pPr>
      <w:keepNext/>
      <w:keepLines/>
      <w:spacing w:before="240" w:after="180"/>
      <w:outlineLvl w:val="1"/>
    </w:pPr>
    <w:rPr>
      <w:rFonts w:eastAsia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B02C4"/>
    <w:pPr>
      <w:spacing w:before="240" w:after="120"/>
      <w:jc w:val="right"/>
    </w:pPr>
    <w:rPr>
      <w:rFonts w:eastAsia="Calibri" w:cs="Calibri"/>
      <w:b/>
      <w:smallCaps/>
      <w:spacing w:val="5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locked/>
    <w:rsid w:val="004B02C4"/>
    <w:rPr>
      <w:rFonts w:ascii="Calibri" w:eastAsia="Calibri" w:hAnsi="Calibri" w:cs="Calibri"/>
      <w:b/>
      <w:smallCaps/>
      <w:spacing w:val="5"/>
      <w:kern w:val="28"/>
      <w:sz w:val="60"/>
      <w:szCs w:val="60"/>
      <w:lang w:val="en-AU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4B02C4"/>
    <w:pPr>
      <w:numPr>
        <w:ilvl w:val="1"/>
      </w:numPr>
      <w:spacing w:before="120"/>
      <w:jc w:val="right"/>
    </w:pPr>
    <w:rPr>
      <w:rFonts w:eastAsia="Calibri" w:cs="Calibri"/>
      <w:b/>
      <w:iCs/>
      <w:color w:val="000000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locked/>
    <w:rsid w:val="004B02C4"/>
    <w:rPr>
      <w:rFonts w:ascii="Calibri" w:eastAsia="Calibri" w:hAnsi="Calibri" w:cs="Calibri"/>
      <w:b/>
      <w:iCs/>
      <w:color w:val="000000"/>
      <w:spacing w:val="15"/>
      <w:sz w:val="36"/>
      <w:szCs w:val="36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4B02C4"/>
    <w:rPr>
      <w:rFonts w:ascii="Calibri" w:eastAsia="Calibri" w:hAnsi="Calibri"/>
      <w:b/>
      <w:bCs/>
      <w:sz w:val="36"/>
      <w:szCs w:val="28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4B02C4"/>
    <w:rPr>
      <w:rFonts w:ascii="Calibri" w:eastAsia="Calibri" w:hAnsi="Calibri" w:cs="Calibri"/>
      <w:b/>
      <w:bCs/>
      <w:sz w:val="28"/>
      <w:szCs w:val="28"/>
      <w:lang w:val="en-AU" w:eastAsia="en-US" w:bidi="ar-SA"/>
    </w:rPr>
  </w:style>
  <w:style w:type="paragraph" w:styleId="ListParagraph">
    <w:name w:val="List Paragraph"/>
    <w:basedOn w:val="Normal"/>
    <w:qFormat/>
    <w:rsid w:val="004B02C4"/>
    <w:pPr>
      <w:numPr>
        <w:numId w:val="1"/>
      </w:numPr>
      <w:spacing w:before="120" w:after="120"/>
      <w:ind w:hanging="578"/>
    </w:pPr>
  </w:style>
  <w:style w:type="character" w:styleId="Hyperlink">
    <w:name w:val="Hyperlink"/>
    <w:basedOn w:val="DefaultParagraphFont"/>
    <w:rsid w:val="004B02C4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rsid w:val="004B02C4"/>
    <w:pPr>
      <w:spacing w:before="120" w:after="120"/>
    </w:pPr>
    <w:rPr>
      <w:b/>
      <w:sz w:val="26"/>
    </w:rPr>
  </w:style>
  <w:style w:type="paragraph" w:styleId="TOC2">
    <w:name w:val="toc 2"/>
    <w:basedOn w:val="Normal"/>
    <w:next w:val="Normal"/>
    <w:autoRedefine/>
    <w:rsid w:val="004B02C4"/>
    <w:pPr>
      <w:tabs>
        <w:tab w:val="right" w:leader="dot" w:pos="8756"/>
      </w:tabs>
      <w:spacing w:after="120"/>
    </w:pPr>
  </w:style>
  <w:style w:type="paragraph" w:customStyle="1" w:styleId="Bullets">
    <w:name w:val="Bullets"/>
    <w:basedOn w:val="Normal"/>
    <w:qFormat/>
    <w:rsid w:val="004B02C4"/>
    <w:pPr>
      <w:numPr>
        <w:numId w:val="2"/>
      </w:numPr>
      <w:tabs>
        <w:tab w:val="left" w:pos="709"/>
      </w:tabs>
      <w:spacing w:before="120" w:after="120"/>
    </w:pPr>
    <w:rPr>
      <w:rFonts w:cs="Calibri"/>
      <w:szCs w:val="24"/>
      <w:lang w:eastAsia="en-AU"/>
    </w:rPr>
  </w:style>
  <w:style w:type="paragraph" w:styleId="NormalWeb">
    <w:name w:val="Normal (Web)"/>
    <w:basedOn w:val="Normal"/>
    <w:rsid w:val="00D86684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CommentReference">
    <w:name w:val="annotation reference"/>
    <w:basedOn w:val="DefaultParagraphFont"/>
    <w:semiHidden/>
    <w:rsid w:val="00B76EEE"/>
    <w:rPr>
      <w:sz w:val="16"/>
      <w:szCs w:val="16"/>
    </w:rPr>
  </w:style>
  <w:style w:type="paragraph" w:styleId="CommentText">
    <w:name w:val="annotation text"/>
    <w:basedOn w:val="Normal"/>
    <w:semiHidden/>
    <w:rsid w:val="00B76EEE"/>
    <w:rPr>
      <w:sz w:val="20"/>
    </w:rPr>
  </w:style>
  <w:style w:type="paragraph" w:styleId="CommentSubject">
    <w:name w:val="annotation subject"/>
    <w:basedOn w:val="CommentText"/>
    <w:next w:val="CommentText"/>
    <w:semiHidden/>
    <w:rsid w:val="00B76EEE"/>
    <w:rPr>
      <w:b/>
      <w:bCs/>
    </w:rPr>
  </w:style>
  <w:style w:type="paragraph" w:styleId="BalloonText">
    <w:name w:val="Balloon Text"/>
    <w:basedOn w:val="Normal"/>
    <w:semiHidden/>
    <w:rsid w:val="00B76E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C73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73CC"/>
  </w:style>
  <w:style w:type="paragraph" w:styleId="Header">
    <w:name w:val="header"/>
    <w:basedOn w:val="Normal"/>
    <w:rsid w:val="00770604"/>
    <w:pPr>
      <w:tabs>
        <w:tab w:val="center" w:pos="4153"/>
        <w:tab w:val="right" w:pos="8306"/>
      </w:tabs>
    </w:pPr>
  </w:style>
  <w:style w:type="paragraph" w:customStyle="1" w:styleId="ContactDetails">
    <w:name w:val="ContactDetails"/>
    <w:basedOn w:val="Header"/>
    <w:rsid w:val="00770604"/>
    <w:pPr>
      <w:framePr w:w="2829" w:h="1060" w:hSpace="181" w:wrap="around" w:vAnchor="page" w:hAnchor="page" w:x="8352" w:y="2305" w:anchorLock="1"/>
      <w:tabs>
        <w:tab w:val="clear" w:pos="4153"/>
        <w:tab w:val="clear" w:pos="8306"/>
        <w:tab w:val="center" w:pos="4320"/>
        <w:tab w:val="right" w:pos="8640"/>
      </w:tabs>
      <w:spacing w:after="0" w:line="240" w:lineRule="exact"/>
    </w:pPr>
    <w:rPr>
      <w:rFonts w:ascii="Arial" w:hAnsi="Arial"/>
      <w:color w:val="000000"/>
      <w:sz w:val="16"/>
    </w:rPr>
  </w:style>
  <w:style w:type="paragraph" w:styleId="Revision">
    <w:name w:val="Revision"/>
    <w:hidden/>
    <w:uiPriority w:val="99"/>
    <w:semiHidden/>
    <w:rsid w:val="00DE76D4"/>
    <w:rPr>
      <w:rFonts w:ascii="Calibri" w:hAnsi="Calibri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2CC"/>
    <w:rPr>
      <w:color w:val="800080" w:themeColor="followedHyperlink"/>
      <w:u w:val="single"/>
    </w:rPr>
  </w:style>
  <w:style w:type="table" w:styleId="TableGrid">
    <w:name w:val="Table Grid"/>
    <w:basedOn w:val="TableNormal"/>
    <w:rsid w:val="00EC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dss.gov.au/grants/grants-fun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ss.gov.au/about-the-department/freedom-of-information/information-publication-sche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au/Series/F1996B00817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gov.au/Series/C2004A0256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70B0-3C4B-4637-B5CA-56AE2D33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5119</Characters>
  <Application>Microsoft Office Word</Application>
  <DocSecurity>0</DocSecurity>
  <Lines>127</Lines>
  <Paragraphs>67</Paragraphs>
  <ScaleCrop>false</ScaleCrop>
  <LinksUpToDate>false</LinksUpToDate>
  <CharactersWithSpaces>5955</CharactersWithSpaces>
  <SharedDoc>false</SharedDoc>
  <HLinks>
    <vt:vector size="156" baseType="variant">
      <vt:variant>
        <vt:i4>6815777</vt:i4>
      </vt:variant>
      <vt:variant>
        <vt:i4>147</vt:i4>
      </vt:variant>
      <vt:variant>
        <vt:i4>0</vt:i4>
      </vt:variant>
      <vt:variant>
        <vt:i4>5</vt:i4>
      </vt:variant>
      <vt:variant>
        <vt:lpwstr>http://www.fahcsia.gov.au/</vt:lpwstr>
      </vt:variant>
      <vt:variant>
        <vt:lpwstr/>
      </vt:variant>
      <vt:variant>
        <vt:i4>1507392</vt:i4>
      </vt:variant>
      <vt:variant>
        <vt:i4>144</vt:i4>
      </vt:variant>
      <vt:variant>
        <vt:i4>0</vt:i4>
      </vt:variant>
      <vt:variant>
        <vt:i4>5</vt:i4>
      </vt:variant>
      <vt:variant>
        <vt:lpwstr>http://www.directory.gov.au/</vt:lpwstr>
      </vt:variant>
      <vt:variant>
        <vt:lpwstr/>
      </vt:variant>
      <vt:variant>
        <vt:i4>6815777</vt:i4>
      </vt:variant>
      <vt:variant>
        <vt:i4>141</vt:i4>
      </vt:variant>
      <vt:variant>
        <vt:i4>0</vt:i4>
      </vt:variant>
      <vt:variant>
        <vt:i4>5</vt:i4>
      </vt:variant>
      <vt:variant>
        <vt:lpwstr>http://www.fahcsia.gov.au/</vt:lpwstr>
      </vt:variant>
      <vt:variant>
        <vt:lpwstr/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_Toc291024066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_Toc291024065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_Toc291024064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_Toc291024063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_Toc291024062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_Toc291024061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_Toc291024060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_Toc291024059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_Toc291024058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_Toc291024057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_Toc291024056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_Toc291024055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_Toc291024054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_Toc291024053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_Toc291024052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_Toc291024051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_Toc291024050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_Toc291024049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_Toc291024048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_Toc291024047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_Toc291024046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_Toc291024045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_Toc291024044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2023-07-31T03:18:00Z</dcterms:created>
  <dcterms:modified xsi:type="dcterms:W3CDTF">2023-07-31T03:22:00Z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57C12B159A644CB7A57C3CD2D5A8DF94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2023-07-31T03:22:35Z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EBAB3D46F8F1494230F571800D2468BF</vt:lpwstr>
  </property>
  <property fmtid="{D5CDD505-2E9C-101B-9397-08002B2CF9AE}" pid="21" name="PM_Hash_Salt">
    <vt:lpwstr>F30D128345F9EDE1C2738BF96264CE6F</vt:lpwstr>
  </property>
  <property fmtid="{D5CDD505-2E9C-101B-9397-08002B2CF9AE}" pid="22" name="PM_Hash_SHA1">
    <vt:lpwstr>FB6AD4CD19C823F27F194D961A064E2DEC2811C2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