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80" w:rsidRDefault="00915E80" w:rsidP="00B810F0">
      <w:pPr>
        <w:pStyle w:val="Heading1"/>
        <w:ind w:left="454"/>
      </w:pPr>
      <w:bookmarkStart w:id="0" w:name="_Toc391890680"/>
      <w:bookmarkStart w:id="1" w:name="_GoBack"/>
      <w:bookmarkEnd w:id="1"/>
      <w:r>
        <w:t xml:space="preserve">Try, Test and Learn Fund </w:t>
      </w:r>
    </w:p>
    <w:p w:rsidR="001712D9" w:rsidRDefault="001712D9" w:rsidP="00973694">
      <w:pPr>
        <w:pStyle w:val="Heading1"/>
        <w:spacing w:before="240" w:after="240"/>
        <w:ind w:left="454"/>
        <w:rPr>
          <w:i/>
        </w:rPr>
      </w:pPr>
      <w:r w:rsidRPr="00915E80">
        <w:rPr>
          <w:i/>
        </w:rPr>
        <w:t>–</w:t>
      </w:r>
      <w:r w:rsidR="007F7843" w:rsidRPr="00915E80">
        <w:rPr>
          <w:i/>
        </w:rPr>
        <w:t xml:space="preserve"> </w:t>
      </w:r>
      <w:r w:rsidR="00800BE0">
        <w:rPr>
          <w:i/>
        </w:rPr>
        <w:t>Migrants and refugees on income support</w:t>
      </w:r>
    </w:p>
    <w:p w:rsidR="00263CFF" w:rsidRPr="00263CFF" w:rsidRDefault="00263CFF" w:rsidP="00263CFF">
      <w:pPr>
        <w:pBdr>
          <w:top w:val="single" w:sz="4" w:space="12" w:color="78BE20" w:themeColor="accent4"/>
          <w:left w:val="single" w:sz="4" w:space="12" w:color="78BE20" w:themeColor="accent4"/>
          <w:bottom w:val="single" w:sz="4" w:space="12" w:color="78BE20" w:themeColor="accent4"/>
          <w:right w:val="single" w:sz="4" w:space="12" w:color="78BE20" w:themeColor="accent4"/>
        </w:pBdr>
        <w:ind w:left="709"/>
        <w:sectPr w:rsidR="00263CFF" w:rsidRPr="00263CFF" w:rsidSect="00263CFF">
          <w:headerReference w:type="even" r:id="rId7"/>
          <w:headerReference w:type="default" r:id="rId8"/>
          <w:footerReference w:type="even" r:id="rId9"/>
          <w:footerReference w:type="default" r:id="rId10"/>
          <w:headerReference w:type="first" r:id="rId11"/>
          <w:footerReference w:type="first" r:id="rId12"/>
          <w:pgSz w:w="11906" w:h="16838" w:code="9"/>
          <w:pgMar w:top="2801" w:right="1558" w:bottom="1134" w:left="737" w:header="737" w:footer="1489" w:gutter="0"/>
          <w:cols w:space="708"/>
          <w:titlePg/>
          <w:docGrid w:linePitch="360"/>
        </w:sectPr>
      </w:pPr>
      <w:r w:rsidRPr="003677B8">
        <w:rPr>
          <w:rFonts w:asciiTheme="minorHAnsi" w:hAnsiTheme="minorHAnsi" w:cstheme="minorHAnsi"/>
          <w:szCs w:val="22"/>
        </w:rPr>
        <w:t xml:space="preserve">The Priority Investment Approach is a new way of looking at the </w:t>
      </w:r>
      <w:r>
        <w:rPr>
          <w:rFonts w:asciiTheme="minorHAnsi" w:hAnsiTheme="minorHAnsi" w:cstheme="minorHAnsi"/>
          <w:szCs w:val="22"/>
        </w:rPr>
        <w:t>welfare</w:t>
      </w:r>
      <w:r w:rsidRPr="003677B8">
        <w:rPr>
          <w:rFonts w:asciiTheme="minorHAnsi" w:hAnsiTheme="minorHAnsi" w:cstheme="minorHAnsi"/>
          <w:szCs w:val="22"/>
        </w:rPr>
        <w:t xml:space="preserve"> system</w:t>
      </w:r>
      <w:r>
        <w:rPr>
          <w:rFonts w:asciiTheme="minorHAnsi" w:hAnsiTheme="minorHAnsi" w:cstheme="minorHAnsi"/>
          <w:szCs w:val="22"/>
        </w:rPr>
        <w:t>. It uses</w:t>
      </w:r>
      <w:r w:rsidRPr="003677B8">
        <w:rPr>
          <w:rFonts w:asciiTheme="minorHAnsi" w:hAnsiTheme="minorHAnsi" w:cstheme="minorHAnsi"/>
          <w:szCs w:val="22"/>
        </w:rPr>
        <w:t xml:space="preserve"> </w:t>
      </w:r>
      <w:r>
        <w:rPr>
          <w:rFonts w:asciiTheme="minorHAnsi" w:hAnsiTheme="minorHAnsi" w:cstheme="minorHAnsi"/>
          <w:szCs w:val="22"/>
        </w:rPr>
        <w:t xml:space="preserve">data analysis to provide </w:t>
      </w:r>
      <w:r w:rsidRPr="003677B8">
        <w:rPr>
          <w:rFonts w:asciiTheme="minorHAnsi" w:hAnsiTheme="minorHAnsi" w:cstheme="minorHAnsi"/>
          <w:szCs w:val="22"/>
        </w:rPr>
        <w:t xml:space="preserve">insights into how </w:t>
      </w:r>
      <w:r>
        <w:rPr>
          <w:rFonts w:asciiTheme="minorHAnsi" w:hAnsiTheme="minorHAnsi" w:cstheme="minorHAnsi"/>
          <w:szCs w:val="22"/>
        </w:rPr>
        <w:t xml:space="preserve">the system </w:t>
      </w:r>
      <w:r w:rsidRPr="003677B8">
        <w:rPr>
          <w:rFonts w:asciiTheme="minorHAnsi" w:hAnsiTheme="minorHAnsi" w:cstheme="minorHAnsi"/>
          <w:szCs w:val="22"/>
        </w:rPr>
        <w:t>is working and us</w:t>
      </w:r>
      <w:r>
        <w:rPr>
          <w:rFonts w:asciiTheme="minorHAnsi" w:hAnsiTheme="minorHAnsi" w:cstheme="minorHAnsi"/>
          <w:szCs w:val="22"/>
        </w:rPr>
        <w:t>es</w:t>
      </w:r>
      <w:r w:rsidRPr="003677B8">
        <w:rPr>
          <w:rFonts w:asciiTheme="minorHAnsi" w:hAnsiTheme="minorHAnsi" w:cstheme="minorHAnsi"/>
          <w:szCs w:val="22"/>
        </w:rPr>
        <w:t xml:space="preserve"> those insights to find innovative ways of helping </w:t>
      </w:r>
      <w:r>
        <w:rPr>
          <w:rFonts w:asciiTheme="minorHAnsi" w:hAnsiTheme="minorHAnsi" w:cstheme="minorHAnsi"/>
          <w:szCs w:val="22"/>
        </w:rPr>
        <w:t xml:space="preserve">more </w:t>
      </w:r>
      <w:r w:rsidRPr="003677B8">
        <w:rPr>
          <w:rFonts w:asciiTheme="minorHAnsi" w:hAnsiTheme="minorHAnsi" w:cstheme="minorHAnsi"/>
          <w:szCs w:val="22"/>
        </w:rPr>
        <w:t xml:space="preserve">Australians </w:t>
      </w:r>
      <w:r>
        <w:rPr>
          <w:rFonts w:asciiTheme="minorHAnsi" w:hAnsiTheme="minorHAnsi" w:cstheme="minorHAnsi"/>
          <w:szCs w:val="22"/>
        </w:rPr>
        <w:t>live independently of welfare.</w:t>
      </w:r>
    </w:p>
    <w:bookmarkEnd w:id="0"/>
    <w:p w:rsidR="001F4B82" w:rsidRDefault="001F4B82" w:rsidP="00263CFF">
      <w:pPr>
        <w:pStyle w:val="Heading2"/>
        <w:spacing w:before="120"/>
        <w:sectPr w:rsidR="001F4B82" w:rsidSect="001C6104">
          <w:headerReference w:type="first" r:id="rId13"/>
          <w:footerReference w:type="first" r:id="rId14"/>
          <w:type w:val="continuous"/>
          <w:pgSz w:w="11906" w:h="16838" w:code="9"/>
          <w:pgMar w:top="737" w:right="2268" w:bottom="1134" w:left="737" w:header="737" w:footer="454" w:gutter="0"/>
          <w:cols w:space="708"/>
          <w:titlePg/>
          <w:docGrid w:linePitch="360"/>
        </w:sectPr>
      </w:pPr>
    </w:p>
    <w:p w:rsidR="003E2D56" w:rsidRDefault="00D62AA4" w:rsidP="00973694">
      <w:pPr>
        <w:pStyle w:val="Heading2"/>
        <w:spacing w:before="0"/>
        <w:contextualSpacing w:val="0"/>
      </w:pPr>
      <w:r>
        <w:t xml:space="preserve">What </w:t>
      </w:r>
      <w:r w:rsidR="002D2DF5">
        <w:t>we know</w:t>
      </w:r>
    </w:p>
    <w:p w:rsidR="0088444C" w:rsidRPr="0088444C" w:rsidRDefault="0088444C" w:rsidP="0088444C">
      <w:pPr>
        <w:rPr>
          <w:rFonts w:eastAsiaTheme="majorEastAsia"/>
        </w:rPr>
      </w:pPr>
      <w:r w:rsidRPr="0088444C">
        <w:rPr>
          <w:rFonts w:eastAsiaTheme="majorEastAsia"/>
        </w:rPr>
        <w:t xml:space="preserve">At 30 June </w:t>
      </w:r>
      <w:proofErr w:type="gramStart"/>
      <w:r w:rsidRPr="0088444C">
        <w:rPr>
          <w:rFonts w:eastAsiaTheme="majorEastAsia"/>
        </w:rPr>
        <w:t>2017</w:t>
      </w:r>
      <w:proofErr w:type="gramEnd"/>
      <w:r w:rsidRPr="0088444C">
        <w:rPr>
          <w:rFonts w:eastAsiaTheme="majorEastAsia"/>
        </w:rPr>
        <w:t xml:space="preserve"> there were 299,400 working age Australians from migrant and refugee backgrounds on working age payments, 35 per cent male and 65 per cent female. The latest Priority Investment Approach valuation shows the expected average future lifetime cost for migrants and refugees receiving working age payments is $340,000 per person.</w:t>
      </w:r>
    </w:p>
    <w:p w:rsidR="0088444C" w:rsidRPr="0088444C" w:rsidRDefault="0088444C" w:rsidP="0088444C">
      <w:pPr>
        <w:rPr>
          <w:rFonts w:eastAsiaTheme="majorEastAsia"/>
        </w:rPr>
      </w:pPr>
      <w:r w:rsidRPr="0088444C">
        <w:rPr>
          <w:rFonts w:eastAsiaTheme="majorEastAsia"/>
        </w:rPr>
        <w:t xml:space="preserve">The estimated total future lifetime cost for the group is $101.9 billion. On average, this group </w:t>
      </w:r>
      <w:proofErr w:type="gramStart"/>
      <w:r w:rsidRPr="0088444C">
        <w:rPr>
          <w:rFonts w:eastAsiaTheme="majorEastAsia"/>
        </w:rPr>
        <w:t>is expected</w:t>
      </w:r>
      <w:proofErr w:type="gramEnd"/>
      <w:r w:rsidRPr="0088444C">
        <w:rPr>
          <w:rFonts w:eastAsiaTheme="majorEastAsia"/>
        </w:rPr>
        <w:t xml:space="preserve"> to receive income support for some or all of 30 years over the rest of their lives. Thirty-two per cent </w:t>
      </w:r>
      <w:proofErr w:type="gramStart"/>
      <w:r w:rsidRPr="0088444C">
        <w:rPr>
          <w:rFonts w:eastAsiaTheme="majorEastAsia"/>
        </w:rPr>
        <w:t>are expected</w:t>
      </w:r>
      <w:proofErr w:type="gramEnd"/>
      <w:r w:rsidRPr="0088444C">
        <w:rPr>
          <w:rFonts w:eastAsiaTheme="majorEastAsia"/>
        </w:rPr>
        <w:t xml:space="preserve"> to receive income support for some or all of every year for the rest of their lives.</w:t>
      </w:r>
    </w:p>
    <w:p w:rsidR="00B810F0" w:rsidRDefault="0088444C" w:rsidP="0088444C">
      <w:pPr>
        <w:rPr>
          <w:rStyle w:val="BookTitle"/>
          <w:rFonts w:ascii="Georgia" w:eastAsiaTheme="majorEastAsia" w:hAnsi="Georgia" w:cs="Arial"/>
          <w:bCs/>
          <w:i w:val="0"/>
          <w:iCs w:val="0"/>
          <w:smallCaps w:val="0"/>
          <w:color w:val="275D38" w:themeColor="accent5"/>
          <w:sz w:val="32"/>
          <w:szCs w:val="28"/>
        </w:rPr>
      </w:pPr>
      <w:r w:rsidRPr="0088444C">
        <w:rPr>
          <w:rFonts w:eastAsiaTheme="majorEastAsia"/>
        </w:rPr>
        <w:t>If nothing changes, 56 per cent will be receiving income support payments in 10 years, and 52 per cent will be receiving income support payments in 20 years.</w:t>
      </w:r>
    </w:p>
    <w:p w:rsidR="00B810F0" w:rsidRPr="00A153AE" w:rsidRDefault="00800BE0" w:rsidP="00B810F0">
      <w:pPr>
        <w:pStyle w:val="Heading2"/>
      </w:pPr>
      <w:r>
        <w:t>Migrants and refugees</w:t>
      </w:r>
    </w:p>
    <w:p w:rsidR="0088444C" w:rsidRDefault="0088444C" w:rsidP="0088444C">
      <w:r>
        <w:t xml:space="preserve">This priority group </w:t>
      </w:r>
      <w:proofErr w:type="gramStart"/>
      <w:r>
        <w:t>is defined</w:t>
      </w:r>
      <w:proofErr w:type="gramEnd"/>
      <w:r>
        <w:t xml:space="preserve"> as migrants and refugees aged 16 to 64 years who are on working age payments.</w:t>
      </w:r>
    </w:p>
    <w:p w:rsidR="0088444C" w:rsidRDefault="0088444C" w:rsidP="0088444C">
      <w:r>
        <w:t>Humanitarian entrants are generally entitled to income support without having to serve any waiting periods including the Newly Arrived Residents Waiting Period.</w:t>
      </w:r>
    </w:p>
    <w:p w:rsidR="0088444C" w:rsidRDefault="0088444C" w:rsidP="0088444C"/>
    <w:p w:rsidR="00AF171A" w:rsidRPr="006E6845" w:rsidRDefault="0088444C" w:rsidP="0088444C">
      <w:r>
        <w:t>Most migrants (other than humanitarian migrants) do not have immediate access to income support payments when they first arrive in Australia with most being required to serve the 104 week Newly Arrived Residents Waiting Period for income support payments and a 10 year qualifying residency period for Age Pension and Disability Support Pension.</w:t>
      </w:r>
    </w:p>
    <w:tbl>
      <w:tblPr>
        <w:tblStyle w:val="MediumGrid1-Accent4"/>
        <w:tblpPr w:leftFromText="180" w:rightFromText="180" w:vertAnchor="text" w:horzAnchor="margin" w:tblpXSpec="right" w:tblpY="43"/>
        <w:tblW w:w="4385" w:type="dxa"/>
        <w:tblLook w:val="04A0" w:firstRow="1" w:lastRow="0" w:firstColumn="1" w:lastColumn="0" w:noHBand="0" w:noVBand="1"/>
        <w:tblCaption w:val="Lifetime cost of Parenting Payment"/>
        <w:tblDescription w:val="The Government will spend an estimated $191 billion on future welfare payments for all people currently receiving Parenting Payment. &#10;People currently receiving Parenting Payment have the highest average future lifetime cost of all payment groups at $441,000 per person.&#10;Young parents are expected to have a higher average future lifetime cost at $547,000 per person.&#10;"/>
      </w:tblPr>
      <w:tblGrid>
        <w:gridCol w:w="4385"/>
      </w:tblGrid>
      <w:tr w:rsidR="00915E80" w:rsidTr="00973694">
        <w:trPr>
          <w:cnfStyle w:val="100000000000" w:firstRow="1" w:lastRow="0" w:firstColumn="0" w:lastColumn="0" w:oddVBand="0" w:evenVBand="0" w:oddHBand="0" w:evenHBand="0" w:firstRowFirstColumn="0" w:firstRowLastColumn="0" w:lastRowFirstColumn="0" w:lastRowLastColumn="0"/>
          <w:trHeight w:val="1401"/>
          <w:tblHeader/>
        </w:trPr>
        <w:tc>
          <w:tcPr>
            <w:cnfStyle w:val="001000000000" w:firstRow="0" w:lastRow="0" w:firstColumn="1" w:lastColumn="0" w:oddVBand="0" w:evenVBand="0" w:oddHBand="0" w:evenHBand="0" w:firstRowFirstColumn="0" w:firstRowLastColumn="0" w:lastRowFirstColumn="0" w:lastRowLastColumn="0"/>
            <w:tcW w:w="4385" w:type="dxa"/>
          </w:tcPr>
          <w:p w:rsidR="00915E80" w:rsidRPr="00915E80" w:rsidRDefault="00AF171A" w:rsidP="00915E80">
            <w:pPr>
              <w:rPr>
                <w:rFonts w:cs="Arial"/>
              </w:rPr>
            </w:pPr>
            <w:r>
              <w:rPr>
                <w:rFonts w:cs="Arial"/>
              </w:rPr>
              <w:t>Migrants and refugees on income support</w:t>
            </w:r>
          </w:p>
          <w:p w:rsidR="00AF171A" w:rsidRPr="00AF171A" w:rsidRDefault="00AF171A" w:rsidP="00AF171A">
            <w:pPr>
              <w:pStyle w:val="ListParagraph"/>
              <w:numPr>
                <w:ilvl w:val="0"/>
                <w:numId w:val="65"/>
              </w:numPr>
              <w:rPr>
                <w:rFonts w:cs="Arial"/>
                <w:b w:val="0"/>
              </w:rPr>
            </w:pPr>
            <w:r w:rsidRPr="00AF171A">
              <w:rPr>
                <w:rFonts w:cs="Arial"/>
                <w:b w:val="0"/>
              </w:rPr>
              <w:t xml:space="preserve">65 per cent are female </w:t>
            </w:r>
          </w:p>
          <w:p w:rsidR="00AF171A" w:rsidRPr="00AF171A" w:rsidRDefault="00AF171A" w:rsidP="00AF171A">
            <w:pPr>
              <w:pStyle w:val="ListParagraph"/>
              <w:numPr>
                <w:ilvl w:val="0"/>
                <w:numId w:val="65"/>
              </w:numPr>
              <w:rPr>
                <w:rFonts w:cs="Arial"/>
                <w:b w:val="0"/>
              </w:rPr>
            </w:pPr>
            <w:r w:rsidRPr="00AF171A">
              <w:rPr>
                <w:rFonts w:cs="Arial"/>
                <w:b w:val="0"/>
              </w:rPr>
              <w:t>85 per cent live in major cities</w:t>
            </w:r>
          </w:p>
          <w:p w:rsidR="00915E80" w:rsidRPr="00915E80" w:rsidRDefault="00AF171A" w:rsidP="00AF171A">
            <w:pPr>
              <w:pStyle w:val="ListParagraph"/>
              <w:numPr>
                <w:ilvl w:val="0"/>
                <w:numId w:val="65"/>
              </w:numPr>
              <w:rPr>
                <w:rFonts w:cs="Arial"/>
                <w:b w:val="0"/>
              </w:rPr>
            </w:pPr>
            <w:r w:rsidRPr="00AF171A">
              <w:rPr>
                <w:rFonts w:cs="Arial"/>
                <w:b w:val="0"/>
              </w:rPr>
              <w:t>78 per cent have a non-English speaking background</w:t>
            </w:r>
          </w:p>
          <w:p w:rsidR="00AF171A" w:rsidRPr="00915E80" w:rsidRDefault="00AF171A" w:rsidP="00AF171A">
            <w:pPr>
              <w:rPr>
                <w:rFonts w:cs="Arial"/>
              </w:rPr>
            </w:pPr>
            <w:r>
              <w:rPr>
                <w:rFonts w:cs="Arial"/>
              </w:rPr>
              <w:t>Refugees on income support</w:t>
            </w:r>
          </w:p>
          <w:p w:rsidR="00AF171A" w:rsidRPr="00AF171A" w:rsidRDefault="00AF171A" w:rsidP="00AF171A">
            <w:pPr>
              <w:pStyle w:val="ListParagraph"/>
              <w:numPr>
                <w:ilvl w:val="0"/>
                <w:numId w:val="65"/>
              </w:numPr>
              <w:rPr>
                <w:rFonts w:cs="Arial"/>
                <w:b w:val="0"/>
              </w:rPr>
            </w:pPr>
            <w:r w:rsidRPr="00AF171A">
              <w:rPr>
                <w:rFonts w:cs="Arial"/>
                <w:b w:val="0"/>
              </w:rPr>
              <w:t xml:space="preserve">58 per cent are female </w:t>
            </w:r>
          </w:p>
          <w:p w:rsidR="00AF171A" w:rsidRPr="00AF171A" w:rsidRDefault="00AF171A" w:rsidP="00AF171A">
            <w:pPr>
              <w:pStyle w:val="ListParagraph"/>
              <w:numPr>
                <w:ilvl w:val="0"/>
                <w:numId w:val="65"/>
              </w:numPr>
              <w:rPr>
                <w:rFonts w:cs="Arial"/>
                <w:b w:val="0"/>
              </w:rPr>
            </w:pPr>
            <w:r w:rsidRPr="00AF171A">
              <w:rPr>
                <w:rFonts w:cs="Arial"/>
                <w:b w:val="0"/>
              </w:rPr>
              <w:t>91 per cent live in major cities</w:t>
            </w:r>
          </w:p>
          <w:p w:rsidR="00915E80" w:rsidRPr="00AF171A" w:rsidRDefault="00AF171A" w:rsidP="00AF171A">
            <w:pPr>
              <w:pStyle w:val="ListParagraph"/>
              <w:numPr>
                <w:ilvl w:val="0"/>
                <w:numId w:val="65"/>
              </w:numPr>
              <w:rPr>
                <w:rFonts w:cs="Arial"/>
                <w:b w:val="0"/>
              </w:rPr>
            </w:pPr>
            <w:r w:rsidRPr="00AF171A">
              <w:rPr>
                <w:rFonts w:cs="Arial"/>
                <w:b w:val="0"/>
              </w:rPr>
              <w:t>64 per cent are on Newstart Allowance</w:t>
            </w:r>
          </w:p>
        </w:tc>
      </w:tr>
    </w:tbl>
    <w:p w:rsidR="00B810F0" w:rsidRPr="00B70572" w:rsidRDefault="00B810F0" w:rsidP="00B810F0">
      <w:pPr>
        <w:pStyle w:val="Heading2"/>
      </w:pPr>
      <w:r w:rsidRPr="00B70572">
        <w:t>Try, Test</w:t>
      </w:r>
      <w:r>
        <w:t xml:space="preserve"> and</w:t>
      </w:r>
      <w:r w:rsidRPr="00B70572">
        <w:t xml:space="preserve"> Learn Fund</w:t>
      </w:r>
    </w:p>
    <w:p w:rsidR="00B810F0" w:rsidRPr="00B70572" w:rsidRDefault="00B810F0" w:rsidP="00B810F0">
      <w:r w:rsidRPr="00B70572">
        <w:t>The Try, Test and Learn Fund will seek new and innovative policy responses that support groups identified by Priority Investment Approach analysis as being at risk of long-term welfare dependency.</w:t>
      </w:r>
    </w:p>
    <w:sectPr w:rsidR="00B810F0" w:rsidRPr="00B70572" w:rsidSect="0011088C">
      <w:type w:val="continuous"/>
      <w:pgSz w:w="11906" w:h="16838" w:code="9"/>
      <w:pgMar w:top="737" w:right="1274" w:bottom="1418" w:left="1134" w:header="737"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5A" w:rsidRDefault="000C1F5A">
      <w:r>
        <w:separator/>
      </w:r>
    </w:p>
  </w:endnote>
  <w:endnote w:type="continuationSeparator" w:id="0">
    <w:p w:rsidR="000C1F5A" w:rsidRDefault="000C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C2" w:rsidRDefault="00EF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Pr="00846C1D" w:rsidRDefault="00205CE6" w:rsidP="00846C1D">
    <w:pPr>
      <w:pStyle w:val="Footer"/>
    </w:pPr>
    <w:r>
      <w:rPr>
        <w:noProof/>
      </w:rPr>
      <mc:AlternateContent>
        <mc:Choice Requires="wps">
          <w:drawing>
            <wp:anchor distT="0" distB="0" distL="114300" distR="114300" simplePos="0" relativeHeight="251665408" behindDoc="0" locked="0" layoutInCell="1" allowOverlap="1" wp14:anchorId="381A7CEC" wp14:editId="6B3746DE">
              <wp:simplePos x="0" y="0"/>
              <wp:positionH relativeFrom="column">
                <wp:posOffset>46023</wp:posOffset>
              </wp:positionH>
              <wp:positionV relativeFrom="paragraph">
                <wp:posOffset>-290195</wp:posOffset>
              </wp:positionV>
              <wp:extent cx="6524625"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171A" w:rsidRPr="0098780E" w:rsidRDefault="00AF171A" w:rsidP="00AF171A">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communitygrants.gov.au</w:t>
                          </w:r>
                        </w:p>
                        <w:p w:rsidR="00205CE6" w:rsidRPr="0098780E" w:rsidRDefault="00205CE6" w:rsidP="00205CE6">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7CEC" id="_x0000_t202" coordsize="21600,21600" o:spt="202" path="m,l,21600r21600,l21600,xe">
              <v:stroke joinstyle="miter"/>
              <v:path gradientshapeok="t" o:connecttype="rect"/>
            </v:shapetype>
            <v:shape id="Text Box 5" o:spid="_x0000_s1026" type="#_x0000_t202" style="position:absolute;margin-left:3.6pt;margin-top:-22.85pt;width:513.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" filled="f" stroked="f" strokeweight=".5pt">
              <v:textbox>
                <w:txbxContent>
                  <w:p w:rsidR="00AF171A" w:rsidRPr="0098780E" w:rsidRDefault="00AF171A" w:rsidP="00AF171A">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communitygrants.gov.au</w:t>
                    </w:r>
                  </w:p>
                  <w:p w:rsidR="00205CE6" w:rsidRPr="0098780E" w:rsidRDefault="00205CE6" w:rsidP="00205CE6">
                    <w:pPr>
                      <w:contextualSpacing/>
                      <w:jc w:val="right"/>
                      <w:rPr>
                        <w:b/>
                        <w:sz w:val="24"/>
                      </w:rPr>
                    </w:pPr>
                  </w:p>
                </w:txbxContent>
              </v:textbox>
            </v:shape>
          </w:pict>
        </mc:Fallback>
      </mc:AlternateContent>
    </w:r>
    <w:r>
      <w:rPr>
        <w:noProof/>
      </w:rPr>
      <w:drawing>
        <wp:anchor distT="0" distB="0" distL="114300" distR="114300" simplePos="0" relativeHeight="251663360" behindDoc="0" locked="0" layoutInCell="1" allowOverlap="1" wp14:anchorId="0EE3557C" wp14:editId="42532E65">
          <wp:simplePos x="0" y="0"/>
          <wp:positionH relativeFrom="column">
            <wp:posOffset>-684530</wp:posOffset>
          </wp:positionH>
          <wp:positionV relativeFrom="paragraph">
            <wp:posOffset>-630378</wp:posOffset>
          </wp:positionV>
          <wp:extent cx="7559675" cy="1081405"/>
          <wp:effectExtent l="0" t="0" r="3175" b="4445"/>
          <wp:wrapNone/>
          <wp:docPr id="44" name="Picture 44"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r w:rsidR="001712D9">
      <w:tab/>
    </w:r>
    <w:r w:rsidR="001712D9">
      <w:fldChar w:fldCharType="begin"/>
    </w:r>
    <w:r w:rsidR="001712D9">
      <w:instrText xml:space="preserve"> PAGE   \* MERGEFORMAT </w:instrText>
    </w:r>
    <w:r w:rsidR="001712D9">
      <w:fldChar w:fldCharType="separate"/>
    </w:r>
    <w:r w:rsidR="0088444C">
      <w:rPr>
        <w:noProof/>
      </w:rPr>
      <w:t>2</w:t>
    </w:r>
    <w:r w:rsidR="001712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Footer"/>
    </w:pPr>
    <w:r>
      <w:rPr>
        <w:noProof/>
      </w:rPr>
      <mc:AlternateContent>
        <mc:Choice Requires="wps">
          <w:drawing>
            <wp:anchor distT="0" distB="0" distL="114300" distR="114300" simplePos="0" relativeHeight="251660288" behindDoc="0" locked="0" layoutInCell="1" allowOverlap="1" wp14:anchorId="2D6217F6" wp14:editId="273E10DC">
              <wp:simplePos x="0" y="0"/>
              <wp:positionH relativeFrom="column">
                <wp:posOffset>274955</wp:posOffset>
              </wp:positionH>
              <wp:positionV relativeFrom="paragraph">
                <wp:posOffset>331742</wp:posOffset>
              </wp:positionV>
              <wp:extent cx="6524625"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217F6" id="_x0000_t202" coordsize="21600,21600" o:spt="202" path="m,l,21600r21600,l21600,xe">
              <v:stroke joinstyle="miter"/>
              <v:path gradientshapeok="t" o:connecttype="rect"/>
            </v:shapetype>
            <v:shape id="Text Box 4" o:spid="_x0000_s1027" type="#_x0000_t202" style="position:absolute;margin-left:21.65pt;margin-top:26.1pt;width:51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" filled="f" stroked="f" strokeweight=".5pt">
              <v:textbo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v:textbox>
            </v:shape>
          </w:pict>
        </mc:Fallback>
      </mc:AlternateContent>
    </w:r>
    <w:r>
      <w:rPr>
        <w:noProof/>
      </w:rPr>
      <w:drawing>
        <wp:anchor distT="0" distB="0" distL="114300" distR="114300" simplePos="0" relativeHeight="251659264" behindDoc="0" locked="0" layoutInCell="1" allowOverlap="1" wp14:anchorId="13198F42" wp14:editId="56998774">
          <wp:simplePos x="0" y="0"/>
          <wp:positionH relativeFrom="column">
            <wp:posOffset>-467995</wp:posOffset>
          </wp:positionH>
          <wp:positionV relativeFrom="paragraph">
            <wp:posOffset>19685</wp:posOffset>
          </wp:positionV>
          <wp:extent cx="7559675" cy="1081405"/>
          <wp:effectExtent l="0" t="0" r="3175" b="4445"/>
          <wp:wrapNone/>
          <wp:docPr id="46" name="Picture 46"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rsidP="0026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5A" w:rsidRDefault="000C1F5A">
      <w:r>
        <w:separator/>
      </w:r>
    </w:p>
  </w:footnote>
  <w:footnote w:type="continuationSeparator" w:id="0">
    <w:p w:rsidR="000C1F5A" w:rsidRDefault="000C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C2" w:rsidRDefault="00EF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pPr>
    <w:r>
      <w:rPr>
        <w:noProof/>
      </w:rPr>
      <mc:AlternateContent>
        <mc:Choice Requires="wps">
          <w:drawing>
            <wp:inline distT="0" distB="0" distL="0" distR="0" wp14:anchorId="229FF828" wp14:editId="6DFFDF0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59FFAD"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rPr>
        <w:noProof/>
      </w:rPr>
    </w:pPr>
    <w:r>
      <w:rPr>
        <w:noProof/>
      </w:rPr>
      <w:drawing>
        <wp:anchor distT="0" distB="0" distL="114300" distR="114300" simplePos="0" relativeHeight="251661312" behindDoc="1" locked="0" layoutInCell="1" allowOverlap="1" wp14:anchorId="25A1B9AD" wp14:editId="485CDB9E">
          <wp:simplePos x="0" y="0"/>
          <wp:positionH relativeFrom="column">
            <wp:posOffset>-467626</wp:posOffset>
          </wp:positionH>
          <wp:positionV relativeFrom="paragraph">
            <wp:posOffset>-201915</wp:posOffset>
          </wp:positionV>
          <wp:extent cx="7146925" cy="3376930"/>
          <wp:effectExtent l="0" t="0" r="0" b="0"/>
          <wp:wrapNone/>
          <wp:docPr id="45" name="Picture 45" descr="Background branding for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146925" cy="337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B26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CD7492C6"/>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178B8"/>
    <w:multiLevelType w:val="hybridMultilevel"/>
    <w:tmpl w:val="0586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73FF7"/>
    <w:multiLevelType w:val="hybridMultilevel"/>
    <w:tmpl w:val="4836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BE4ED7"/>
    <w:multiLevelType w:val="hybridMultilevel"/>
    <w:tmpl w:val="C240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F710E"/>
    <w:multiLevelType w:val="hybridMultilevel"/>
    <w:tmpl w:val="FD94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7"/>
  </w:num>
  <w:num w:numId="6">
    <w:abstractNumId w:val="60"/>
  </w:num>
  <w:num w:numId="7">
    <w:abstractNumId w:val="47"/>
  </w:num>
  <w:num w:numId="8">
    <w:abstractNumId w:val="52"/>
  </w:num>
  <w:num w:numId="9">
    <w:abstractNumId w:val="7"/>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5"/>
  </w:num>
  <w:num w:numId="22">
    <w:abstractNumId w:val="22"/>
  </w:num>
  <w:num w:numId="23">
    <w:abstractNumId w:val="19"/>
  </w:num>
  <w:num w:numId="24">
    <w:abstractNumId w:val="62"/>
  </w:num>
  <w:num w:numId="25">
    <w:abstractNumId w:val="34"/>
  </w:num>
  <w:num w:numId="26">
    <w:abstractNumId w:val="41"/>
  </w:num>
  <w:num w:numId="27">
    <w:abstractNumId w:val="21"/>
  </w:num>
  <w:num w:numId="28">
    <w:abstractNumId w:val="61"/>
  </w:num>
  <w:num w:numId="29">
    <w:abstractNumId w:val="50"/>
  </w:num>
  <w:num w:numId="30">
    <w:abstractNumId w:val="27"/>
  </w:num>
  <w:num w:numId="31">
    <w:abstractNumId w:val="46"/>
  </w:num>
  <w:num w:numId="32">
    <w:abstractNumId w:val="55"/>
  </w:num>
  <w:num w:numId="33">
    <w:abstractNumId w:val="57"/>
  </w:num>
  <w:num w:numId="34">
    <w:abstractNumId w:val="4"/>
  </w:num>
  <w:num w:numId="35">
    <w:abstractNumId w:val="25"/>
  </w:num>
  <w:num w:numId="36">
    <w:abstractNumId w:val="49"/>
  </w:num>
  <w:num w:numId="37">
    <w:abstractNumId w:val="8"/>
  </w:num>
  <w:num w:numId="38">
    <w:abstractNumId w:val="30"/>
  </w:num>
  <w:num w:numId="39">
    <w:abstractNumId w:val="24"/>
  </w:num>
  <w:num w:numId="40">
    <w:abstractNumId w:val="33"/>
  </w:num>
  <w:num w:numId="41">
    <w:abstractNumId w:val="39"/>
  </w:num>
  <w:num w:numId="42">
    <w:abstractNumId w:val="23"/>
  </w:num>
  <w:num w:numId="43">
    <w:abstractNumId w:val="16"/>
  </w:num>
  <w:num w:numId="44">
    <w:abstractNumId w:val="43"/>
  </w:num>
  <w:num w:numId="45">
    <w:abstractNumId w:val="48"/>
  </w:num>
  <w:num w:numId="46">
    <w:abstractNumId w:val="32"/>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6"/>
  </w:num>
  <w:num w:numId="55">
    <w:abstractNumId w:val="20"/>
  </w:num>
  <w:num w:numId="56">
    <w:abstractNumId w:val="29"/>
  </w:num>
  <w:num w:numId="57">
    <w:abstractNumId w:val="28"/>
  </w:num>
  <w:num w:numId="58">
    <w:abstractNumId w:val="10"/>
  </w:num>
  <w:num w:numId="59">
    <w:abstractNumId w:val="38"/>
  </w:num>
  <w:num w:numId="60">
    <w:abstractNumId w:val="6"/>
  </w:num>
  <w:num w:numId="61">
    <w:abstractNumId w:val="12"/>
  </w:num>
  <w:num w:numId="62">
    <w:abstractNumId w:val="6"/>
  </w:num>
  <w:num w:numId="63">
    <w:abstractNumId w:val="36"/>
  </w:num>
  <w:num w:numId="64">
    <w:abstractNumId w:val="13"/>
  </w:num>
  <w:num w:numId="6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CE"/>
    <w:rsid w:val="00002C18"/>
    <w:rsid w:val="00005FED"/>
    <w:rsid w:val="00010549"/>
    <w:rsid w:val="00010A66"/>
    <w:rsid w:val="00012F84"/>
    <w:rsid w:val="00025376"/>
    <w:rsid w:val="000260C5"/>
    <w:rsid w:val="00026D41"/>
    <w:rsid w:val="00027B26"/>
    <w:rsid w:val="0003104E"/>
    <w:rsid w:val="00031195"/>
    <w:rsid w:val="00032861"/>
    <w:rsid w:val="00035CA1"/>
    <w:rsid w:val="0003679F"/>
    <w:rsid w:val="000373DB"/>
    <w:rsid w:val="000435BB"/>
    <w:rsid w:val="000450E5"/>
    <w:rsid w:val="00045CCD"/>
    <w:rsid w:val="00047524"/>
    <w:rsid w:val="00047ACD"/>
    <w:rsid w:val="000505B2"/>
    <w:rsid w:val="00050E5B"/>
    <w:rsid w:val="00052943"/>
    <w:rsid w:val="000547EF"/>
    <w:rsid w:val="00054B89"/>
    <w:rsid w:val="00055692"/>
    <w:rsid w:val="00065114"/>
    <w:rsid w:val="00067CD0"/>
    <w:rsid w:val="0007607D"/>
    <w:rsid w:val="00076207"/>
    <w:rsid w:val="00080F2E"/>
    <w:rsid w:val="00081CEB"/>
    <w:rsid w:val="00083791"/>
    <w:rsid w:val="00086E3C"/>
    <w:rsid w:val="00087B2C"/>
    <w:rsid w:val="00087DBD"/>
    <w:rsid w:val="00090570"/>
    <w:rsid w:val="00090753"/>
    <w:rsid w:val="00097BFF"/>
    <w:rsid w:val="000A669D"/>
    <w:rsid w:val="000A66A8"/>
    <w:rsid w:val="000C014D"/>
    <w:rsid w:val="000C1F5A"/>
    <w:rsid w:val="000C5309"/>
    <w:rsid w:val="000D3D8E"/>
    <w:rsid w:val="000D4703"/>
    <w:rsid w:val="000D64F9"/>
    <w:rsid w:val="000D693C"/>
    <w:rsid w:val="000E0564"/>
    <w:rsid w:val="000E12D4"/>
    <w:rsid w:val="000E2CA6"/>
    <w:rsid w:val="00104669"/>
    <w:rsid w:val="001073A9"/>
    <w:rsid w:val="00110028"/>
    <w:rsid w:val="0011088C"/>
    <w:rsid w:val="00115D09"/>
    <w:rsid w:val="00116EDF"/>
    <w:rsid w:val="00124B26"/>
    <w:rsid w:val="00130C4E"/>
    <w:rsid w:val="00131B54"/>
    <w:rsid w:val="001354B7"/>
    <w:rsid w:val="001404FA"/>
    <w:rsid w:val="001413C5"/>
    <w:rsid w:val="00142956"/>
    <w:rsid w:val="00143502"/>
    <w:rsid w:val="00144494"/>
    <w:rsid w:val="00144868"/>
    <w:rsid w:val="00144A74"/>
    <w:rsid w:val="0015179E"/>
    <w:rsid w:val="001533E5"/>
    <w:rsid w:val="00155D32"/>
    <w:rsid w:val="00157709"/>
    <w:rsid w:val="00167330"/>
    <w:rsid w:val="00167CF4"/>
    <w:rsid w:val="001712D9"/>
    <w:rsid w:val="00183CBC"/>
    <w:rsid w:val="00185F6A"/>
    <w:rsid w:val="001939FF"/>
    <w:rsid w:val="001943DD"/>
    <w:rsid w:val="00194DA0"/>
    <w:rsid w:val="00195374"/>
    <w:rsid w:val="001A127F"/>
    <w:rsid w:val="001A3CA4"/>
    <w:rsid w:val="001A3EA4"/>
    <w:rsid w:val="001A525B"/>
    <w:rsid w:val="001B3352"/>
    <w:rsid w:val="001B3AEC"/>
    <w:rsid w:val="001B42F6"/>
    <w:rsid w:val="001B5000"/>
    <w:rsid w:val="001B6F28"/>
    <w:rsid w:val="001C6104"/>
    <w:rsid w:val="001D4585"/>
    <w:rsid w:val="001D5D54"/>
    <w:rsid w:val="001D5E07"/>
    <w:rsid w:val="001E41C8"/>
    <w:rsid w:val="001E5C60"/>
    <w:rsid w:val="001F3AD7"/>
    <w:rsid w:val="001F4B82"/>
    <w:rsid w:val="00205CE6"/>
    <w:rsid w:val="0020637F"/>
    <w:rsid w:val="00207630"/>
    <w:rsid w:val="00213082"/>
    <w:rsid w:val="00214BA3"/>
    <w:rsid w:val="00216105"/>
    <w:rsid w:val="0021714E"/>
    <w:rsid w:val="0021781A"/>
    <w:rsid w:val="00221F68"/>
    <w:rsid w:val="00222187"/>
    <w:rsid w:val="00222C8D"/>
    <w:rsid w:val="00222E33"/>
    <w:rsid w:val="00225DB9"/>
    <w:rsid w:val="00226221"/>
    <w:rsid w:val="00227B95"/>
    <w:rsid w:val="00234444"/>
    <w:rsid w:val="0023523A"/>
    <w:rsid w:val="002353DF"/>
    <w:rsid w:val="00235F71"/>
    <w:rsid w:val="002465DC"/>
    <w:rsid w:val="0025272A"/>
    <w:rsid w:val="002527BC"/>
    <w:rsid w:val="00254055"/>
    <w:rsid w:val="00260812"/>
    <w:rsid w:val="00261A54"/>
    <w:rsid w:val="00263CDE"/>
    <w:rsid w:val="00263CFF"/>
    <w:rsid w:val="00266985"/>
    <w:rsid w:val="00271922"/>
    <w:rsid w:val="0027204E"/>
    <w:rsid w:val="00273412"/>
    <w:rsid w:val="00274ACF"/>
    <w:rsid w:val="00285F1B"/>
    <w:rsid w:val="0028605C"/>
    <w:rsid w:val="0028775C"/>
    <w:rsid w:val="00287E66"/>
    <w:rsid w:val="002904F7"/>
    <w:rsid w:val="00294078"/>
    <w:rsid w:val="002956E4"/>
    <w:rsid w:val="00295831"/>
    <w:rsid w:val="00296F1B"/>
    <w:rsid w:val="002A0139"/>
    <w:rsid w:val="002A2A6A"/>
    <w:rsid w:val="002A6DF5"/>
    <w:rsid w:val="002C1D92"/>
    <w:rsid w:val="002D004A"/>
    <w:rsid w:val="002D00B0"/>
    <w:rsid w:val="002D09B8"/>
    <w:rsid w:val="002D2DF5"/>
    <w:rsid w:val="002D2E16"/>
    <w:rsid w:val="002D3138"/>
    <w:rsid w:val="002F1411"/>
    <w:rsid w:val="002F19EF"/>
    <w:rsid w:val="002F4E33"/>
    <w:rsid w:val="002F56D2"/>
    <w:rsid w:val="002F7B3B"/>
    <w:rsid w:val="00302415"/>
    <w:rsid w:val="00303971"/>
    <w:rsid w:val="00307100"/>
    <w:rsid w:val="003102F6"/>
    <w:rsid w:val="00313304"/>
    <w:rsid w:val="00313C48"/>
    <w:rsid w:val="003162AD"/>
    <w:rsid w:val="003210F1"/>
    <w:rsid w:val="00321148"/>
    <w:rsid w:val="00321798"/>
    <w:rsid w:val="0032414C"/>
    <w:rsid w:val="00325F44"/>
    <w:rsid w:val="00326976"/>
    <w:rsid w:val="003311D7"/>
    <w:rsid w:val="00332B8B"/>
    <w:rsid w:val="00343660"/>
    <w:rsid w:val="00347104"/>
    <w:rsid w:val="0035213F"/>
    <w:rsid w:val="00355132"/>
    <w:rsid w:val="003555D2"/>
    <w:rsid w:val="00363DF3"/>
    <w:rsid w:val="003656B1"/>
    <w:rsid w:val="00367B52"/>
    <w:rsid w:val="003703CE"/>
    <w:rsid w:val="0037056B"/>
    <w:rsid w:val="00377173"/>
    <w:rsid w:val="003774DA"/>
    <w:rsid w:val="00383A65"/>
    <w:rsid w:val="003918E3"/>
    <w:rsid w:val="00392557"/>
    <w:rsid w:val="003945C0"/>
    <w:rsid w:val="00395D3F"/>
    <w:rsid w:val="00397A51"/>
    <w:rsid w:val="00397D57"/>
    <w:rsid w:val="003A06C2"/>
    <w:rsid w:val="003B6D2E"/>
    <w:rsid w:val="003C430D"/>
    <w:rsid w:val="003C7404"/>
    <w:rsid w:val="003D3C5A"/>
    <w:rsid w:val="003D404A"/>
    <w:rsid w:val="003E2D56"/>
    <w:rsid w:val="003E4047"/>
    <w:rsid w:val="003E6FDA"/>
    <w:rsid w:val="003F0B98"/>
    <w:rsid w:val="003F3072"/>
    <w:rsid w:val="00401A2A"/>
    <w:rsid w:val="00402E2B"/>
    <w:rsid w:val="004030E4"/>
    <w:rsid w:val="004103D7"/>
    <w:rsid w:val="0041307C"/>
    <w:rsid w:val="004149BD"/>
    <w:rsid w:val="0041643E"/>
    <w:rsid w:val="004167B4"/>
    <w:rsid w:val="00424ED9"/>
    <w:rsid w:val="00430D7E"/>
    <w:rsid w:val="00431531"/>
    <w:rsid w:val="00433B04"/>
    <w:rsid w:val="00440BD3"/>
    <w:rsid w:val="00446F93"/>
    <w:rsid w:val="00452B29"/>
    <w:rsid w:val="004635CF"/>
    <w:rsid w:val="004649E2"/>
    <w:rsid w:val="00464E8C"/>
    <w:rsid w:val="00466D36"/>
    <w:rsid w:val="00467185"/>
    <w:rsid w:val="0047050C"/>
    <w:rsid w:val="00475504"/>
    <w:rsid w:val="00480F21"/>
    <w:rsid w:val="004811E6"/>
    <w:rsid w:val="00484FED"/>
    <w:rsid w:val="00495AF1"/>
    <w:rsid w:val="004A2FFB"/>
    <w:rsid w:val="004B6069"/>
    <w:rsid w:val="004B74EB"/>
    <w:rsid w:val="004B77D3"/>
    <w:rsid w:val="004C6B46"/>
    <w:rsid w:val="004C7954"/>
    <w:rsid w:val="004C7BBB"/>
    <w:rsid w:val="004D33BD"/>
    <w:rsid w:val="004D7AD1"/>
    <w:rsid w:val="004E5664"/>
    <w:rsid w:val="004F5232"/>
    <w:rsid w:val="004F775C"/>
    <w:rsid w:val="00500B02"/>
    <w:rsid w:val="005015E4"/>
    <w:rsid w:val="0050291D"/>
    <w:rsid w:val="0050697E"/>
    <w:rsid w:val="00511193"/>
    <w:rsid w:val="00521E14"/>
    <w:rsid w:val="00524B3C"/>
    <w:rsid w:val="005315A9"/>
    <w:rsid w:val="00532B56"/>
    <w:rsid w:val="00534EA5"/>
    <w:rsid w:val="00540AD0"/>
    <w:rsid w:val="0054322A"/>
    <w:rsid w:val="00543923"/>
    <w:rsid w:val="00543A4F"/>
    <w:rsid w:val="00544399"/>
    <w:rsid w:val="005519C9"/>
    <w:rsid w:val="005523D1"/>
    <w:rsid w:val="00554A9C"/>
    <w:rsid w:val="00557624"/>
    <w:rsid w:val="0056023E"/>
    <w:rsid w:val="005658EF"/>
    <w:rsid w:val="005822A3"/>
    <w:rsid w:val="0058371B"/>
    <w:rsid w:val="0059070B"/>
    <w:rsid w:val="00594445"/>
    <w:rsid w:val="005A098C"/>
    <w:rsid w:val="005B1225"/>
    <w:rsid w:val="005B1CAA"/>
    <w:rsid w:val="005B5640"/>
    <w:rsid w:val="005B76B0"/>
    <w:rsid w:val="005C09F4"/>
    <w:rsid w:val="005C561A"/>
    <w:rsid w:val="005C5B93"/>
    <w:rsid w:val="005C66FF"/>
    <w:rsid w:val="005C673E"/>
    <w:rsid w:val="005C785A"/>
    <w:rsid w:val="005D03CA"/>
    <w:rsid w:val="005D161F"/>
    <w:rsid w:val="005D45AB"/>
    <w:rsid w:val="005E4662"/>
    <w:rsid w:val="005E6C9D"/>
    <w:rsid w:val="005F093F"/>
    <w:rsid w:val="005F214A"/>
    <w:rsid w:val="005F6BD6"/>
    <w:rsid w:val="00601C99"/>
    <w:rsid w:val="00607597"/>
    <w:rsid w:val="00615F6D"/>
    <w:rsid w:val="006255E4"/>
    <w:rsid w:val="006262F3"/>
    <w:rsid w:val="00630503"/>
    <w:rsid w:val="00635874"/>
    <w:rsid w:val="00641020"/>
    <w:rsid w:val="006410C1"/>
    <w:rsid w:val="00647F05"/>
    <w:rsid w:val="006530EF"/>
    <w:rsid w:val="00654D06"/>
    <w:rsid w:val="006551DE"/>
    <w:rsid w:val="00661536"/>
    <w:rsid w:val="0067233D"/>
    <w:rsid w:val="006745AE"/>
    <w:rsid w:val="00675BEF"/>
    <w:rsid w:val="00676AF3"/>
    <w:rsid w:val="00676D10"/>
    <w:rsid w:val="00680F71"/>
    <w:rsid w:val="00682A53"/>
    <w:rsid w:val="00690761"/>
    <w:rsid w:val="0069174B"/>
    <w:rsid w:val="00691C27"/>
    <w:rsid w:val="00693FA1"/>
    <w:rsid w:val="006B05E3"/>
    <w:rsid w:val="006B09BC"/>
    <w:rsid w:val="006B42A0"/>
    <w:rsid w:val="006B4E59"/>
    <w:rsid w:val="006B5FC5"/>
    <w:rsid w:val="006C3402"/>
    <w:rsid w:val="006C3622"/>
    <w:rsid w:val="006C395C"/>
    <w:rsid w:val="006C413D"/>
    <w:rsid w:val="006C45D4"/>
    <w:rsid w:val="006C5F47"/>
    <w:rsid w:val="006D67CC"/>
    <w:rsid w:val="006E1F3C"/>
    <w:rsid w:val="006E6073"/>
    <w:rsid w:val="006E7BDD"/>
    <w:rsid w:val="006F7300"/>
    <w:rsid w:val="00703C09"/>
    <w:rsid w:val="00705C4A"/>
    <w:rsid w:val="00710AFD"/>
    <w:rsid w:val="00712300"/>
    <w:rsid w:val="0071506D"/>
    <w:rsid w:val="00720739"/>
    <w:rsid w:val="00721695"/>
    <w:rsid w:val="00721ABF"/>
    <w:rsid w:val="007242B4"/>
    <w:rsid w:val="00725FB2"/>
    <w:rsid w:val="00730C64"/>
    <w:rsid w:val="007322AF"/>
    <w:rsid w:val="00733CCE"/>
    <w:rsid w:val="00735477"/>
    <w:rsid w:val="00736DCA"/>
    <w:rsid w:val="00742399"/>
    <w:rsid w:val="0074640C"/>
    <w:rsid w:val="0075003D"/>
    <w:rsid w:val="00751B37"/>
    <w:rsid w:val="00754D44"/>
    <w:rsid w:val="00767B7E"/>
    <w:rsid w:val="007746A9"/>
    <w:rsid w:val="00785465"/>
    <w:rsid w:val="00787656"/>
    <w:rsid w:val="007A4027"/>
    <w:rsid w:val="007A4C86"/>
    <w:rsid w:val="007A67EA"/>
    <w:rsid w:val="007B15AF"/>
    <w:rsid w:val="007B7E83"/>
    <w:rsid w:val="007C0878"/>
    <w:rsid w:val="007C0A40"/>
    <w:rsid w:val="007C1631"/>
    <w:rsid w:val="007C5A60"/>
    <w:rsid w:val="007C636F"/>
    <w:rsid w:val="007D08C4"/>
    <w:rsid w:val="007D0EF8"/>
    <w:rsid w:val="007D39EB"/>
    <w:rsid w:val="007F6C76"/>
    <w:rsid w:val="007F7843"/>
    <w:rsid w:val="00800BE0"/>
    <w:rsid w:val="008103A6"/>
    <w:rsid w:val="008131E7"/>
    <w:rsid w:val="00813711"/>
    <w:rsid w:val="00814279"/>
    <w:rsid w:val="008263C2"/>
    <w:rsid w:val="00835250"/>
    <w:rsid w:val="00835EF8"/>
    <w:rsid w:val="0083653B"/>
    <w:rsid w:val="00840450"/>
    <w:rsid w:val="00841884"/>
    <w:rsid w:val="00842959"/>
    <w:rsid w:val="00843FAD"/>
    <w:rsid w:val="008451FE"/>
    <w:rsid w:val="008466A1"/>
    <w:rsid w:val="00846C1D"/>
    <w:rsid w:val="00851758"/>
    <w:rsid w:val="00856D5A"/>
    <w:rsid w:val="008609EB"/>
    <w:rsid w:val="00862D6D"/>
    <w:rsid w:val="008653E0"/>
    <w:rsid w:val="008657FB"/>
    <w:rsid w:val="0086581F"/>
    <w:rsid w:val="00871D4F"/>
    <w:rsid w:val="00874FB3"/>
    <w:rsid w:val="00880BE3"/>
    <w:rsid w:val="00882588"/>
    <w:rsid w:val="0088444C"/>
    <w:rsid w:val="008952D8"/>
    <w:rsid w:val="00895792"/>
    <w:rsid w:val="008A0EA6"/>
    <w:rsid w:val="008A3738"/>
    <w:rsid w:val="008B1A62"/>
    <w:rsid w:val="008B294C"/>
    <w:rsid w:val="008B645B"/>
    <w:rsid w:val="008B67B8"/>
    <w:rsid w:val="008B774D"/>
    <w:rsid w:val="008C123E"/>
    <w:rsid w:val="008C3ED0"/>
    <w:rsid w:val="008C5585"/>
    <w:rsid w:val="008C5E94"/>
    <w:rsid w:val="008D6790"/>
    <w:rsid w:val="008E4A76"/>
    <w:rsid w:val="008E6E9D"/>
    <w:rsid w:val="008F68F7"/>
    <w:rsid w:val="008F7480"/>
    <w:rsid w:val="009037B6"/>
    <w:rsid w:val="00904D1D"/>
    <w:rsid w:val="00906CBE"/>
    <w:rsid w:val="00906FFA"/>
    <w:rsid w:val="00910384"/>
    <w:rsid w:val="009139C0"/>
    <w:rsid w:val="00915E80"/>
    <w:rsid w:val="009161C8"/>
    <w:rsid w:val="009164AD"/>
    <w:rsid w:val="00922289"/>
    <w:rsid w:val="00926CFA"/>
    <w:rsid w:val="00931F20"/>
    <w:rsid w:val="00936F46"/>
    <w:rsid w:val="0094271E"/>
    <w:rsid w:val="00943142"/>
    <w:rsid w:val="00943A29"/>
    <w:rsid w:val="0095197E"/>
    <w:rsid w:val="00952AB2"/>
    <w:rsid w:val="009551E0"/>
    <w:rsid w:val="00955801"/>
    <w:rsid w:val="0095654E"/>
    <w:rsid w:val="00956F3C"/>
    <w:rsid w:val="0095779B"/>
    <w:rsid w:val="00960B77"/>
    <w:rsid w:val="00973694"/>
    <w:rsid w:val="0098780E"/>
    <w:rsid w:val="009900F0"/>
    <w:rsid w:val="00991769"/>
    <w:rsid w:val="00994E9F"/>
    <w:rsid w:val="00996696"/>
    <w:rsid w:val="00996931"/>
    <w:rsid w:val="009A187D"/>
    <w:rsid w:val="009A4CD8"/>
    <w:rsid w:val="009B1C61"/>
    <w:rsid w:val="009B3ED1"/>
    <w:rsid w:val="009B761B"/>
    <w:rsid w:val="009C433C"/>
    <w:rsid w:val="009C49A3"/>
    <w:rsid w:val="009D28B7"/>
    <w:rsid w:val="009D6475"/>
    <w:rsid w:val="009D66BA"/>
    <w:rsid w:val="009D7342"/>
    <w:rsid w:val="009D7E1A"/>
    <w:rsid w:val="009D7E26"/>
    <w:rsid w:val="009E2162"/>
    <w:rsid w:val="009E787C"/>
    <w:rsid w:val="009F2E2D"/>
    <w:rsid w:val="00A006EB"/>
    <w:rsid w:val="00A03709"/>
    <w:rsid w:val="00A06C77"/>
    <w:rsid w:val="00A10147"/>
    <w:rsid w:val="00A13D26"/>
    <w:rsid w:val="00A146A5"/>
    <w:rsid w:val="00A1567F"/>
    <w:rsid w:val="00A17411"/>
    <w:rsid w:val="00A2223D"/>
    <w:rsid w:val="00A32062"/>
    <w:rsid w:val="00A34A74"/>
    <w:rsid w:val="00A35351"/>
    <w:rsid w:val="00A42ADE"/>
    <w:rsid w:val="00A60693"/>
    <w:rsid w:val="00A67728"/>
    <w:rsid w:val="00A81A4F"/>
    <w:rsid w:val="00A82E14"/>
    <w:rsid w:val="00A901E9"/>
    <w:rsid w:val="00A9710B"/>
    <w:rsid w:val="00A9762C"/>
    <w:rsid w:val="00AA4067"/>
    <w:rsid w:val="00AB1A5B"/>
    <w:rsid w:val="00AB35A1"/>
    <w:rsid w:val="00AB781B"/>
    <w:rsid w:val="00AC0A54"/>
    <w:rsid w:val="00AC125E"/>
    <w:rsid w:val="00AC45DF"/>
    <w:rsid w:val="00AC474D"/>
    <w:rsid w:val="00AC4DFD"/>
    <w:rsid w:val="00AC58FD"/>
    <w:rsid w:val="00AC60CD"/>
    <w:rsid w:val="00AD2107"/>
    <w:rsid w:val="00AD60E6"/>
    <w:rsid w:val="00AD793A"/>
    <w:rsid w:val="00AE2C1B"/>
    <w:rsid w:val="00AE5956"/>
    <w:rsid w:val="00AE619F"/>
    <w:rsid w:val="00AE6239"/>
    <w:rsid w:val="00AF171A"/>
    <w:rsid w:val="00AF373A"/>
    <w:rsid w:val="00AF7268"/>
    <w:rsid w:val="00AF7EFE"/>
    <w:rsid w:val="00B03BEE"/>
    <w:rsid w:val="00B049AA"/>
    <w:rsid w:val="00B0517E"/>
    <w:rsid w:val="00B056E2"/>
    <w:rsid w:val="00B11314"/>
    <w:rsid w:val="00B1192C"/>
    <w:rsid w:val="00B138E3"/>
    <w:rsid w:val="00B13E04"/>
    <w:rsid w:val="00B15896"/>
    <w:rsid w:val="00B23267"/>
    <w:rsid w:val="00B25891"/>
    <w:rsid w:val="00B27149"/>
    <w:rsid w:val="00B33D33"/>
    <w:rsid w:val="00B40D26"/>
    <w:rsid w:val="00B426BE"/>
    <w:rsid w:val="00B43FFF"/>
    <w:rsid w:val="00B4451B"/>
    <w:rsid w:val="00B52CA3"/>
    <w:rsid w:val="00B550EB"/>
    <w:rsid w:val="00B72D62"/>
    <w:rsid w:val="00B810F0"/>
    <w:rsid w:val="00B843C8"/>
    <w:rsid w:val="00B8457B"/>
    <w:rsid w:val="00B845C5"/>
    <w:rsid w:val="00B951E2"/>
    <w:rsid w:val="00B96F37"/>
    <w:rsid w:val="00BA607C"/>
    <w:rsid w:val="00BB3E2A"/>
    <w:rsid w:val="00BB5551"/>
    <w:rsid w:val="00BC16F5"/>
    <w:rsid w:val="00BC1D5D"/>
    <w:rsid w:val="00BC287D"/>
    <w:rsid w:val="00BC4A76"/>
    <w:rsid w:val="00BC75B6"/>
    <w:rsid w:val="00BD0774"/>
    <w:rsid w:val="00BD32E5"/>
    <w:rsid w:val="00BD3FDC"/>
    <w:rsid w:val="00BD5C92"/>
    <w:rsid w:val="00BD7ADD"/>
    <w:rsid w:val="00BE41C3"/>
    <w:rsid w:val="00BE6767"/>
    <w:rsid w:val="00BE68D7"/>
    <w:rsid w:val="00BF7763"/>
    <w:rsid w:val="00C04D5E"/>
    <w:rsid w:val="00C21E92"/>
    <w:rsid w:val="00C24EA2"/>
    <w:rsid w:val="00C24F70"/>
    <w:rsid w:val="00C33479"/>
    <w:rsid w:val="00C350A1"/>
    <w:rsid w:val="00C35C04"/>
    <w:rsid w:val="00C36D06"/>
    <w:rsid w:val="00C436AF"/>
    <w:rsid w:val="00C47BA2"/>
    <w:rsid w:val="00C539B6"/>
    <w:rsid w:val="00C612DC"/>
    <w:rsid w:val="00C622CB"/>
    <w:rsid w:val="00C64D15"/>
    <w:rsid w:val="00C74F74"/>
    <w:rsid w:val="00C7554B"/>
    <w:rsid w:val="00C83E31"/>
    <w:rsid w:val="00C916A4"/>
    <w:rsid w:val="00CA2A52"/>
    <w:rsid w:val="00CA2B15"/>
    <w:rsid w:val="00CA6490"/>
    <w:rsid w:val="00CB4450"/>
    <w:rsid w:val="00CB5744"/>
    <w:rsid w:val="00CB7022"/>
    <w:rsid w:val="00CD1937"/>
    <w:rsid w:val="00CE214C"/>
    <w:rsid w:val="00CE6858"/>
    <w:rsid w:val="00CE6D61"/>
    <w:rsid w:val="00CF34DF"/>
    <w:rsid w:val="00CF50BE"/>
    <w:rsid w:val="00CF6A52"/>
    <w:rsid w:val="00D03583"/>
    <w:rsid w:val="00D117B4"/>
    <w:rsid w:val="00D141C2"/>
    <w:rsid w:val="00D169F7"/>
    <w:rsid w:val="00D24ED8"/>
    <w:rsid w:val="00D26D01"/>
    <w:rsid w:val="00D33DA3"/>
    <w:rsid w:val="00D34C06"/>
    <w:rsid w:val="00D360BA"/>
    <w:rsid w:val="00D405D6"/>
    <w:rsid w:val="00D4723B"/>
    <w:rsid w:val="00D55EE8"/>
    <w:rsid w:val="00D5785A"/>
    <w:rsid w:val="00D62AA4"/>
    <w:rsid w:val="00D63BF3"/>
    <w:rsid w:val="00D64C48"/>
    <w:rsid w:val="00D731C4"/>
    <w:rsid w:val="00D81BAA"/>
    <w:rsid w:val="00D83A0C"/>
    <w:rsid w:val="00D85BE0"/>
    <w:rsid w:val="00D86E3D"/>
    <w:rsid w:val="00D87C1A"/>
    <w:rsid w:val="00D87FD7"/>
    <w:rsid w:val="00D92167"/>
    <w:rsid w:val="00D93D89"/>
    <w:rsid w:val="00D9502B"/>
    <w:rsid w:val="00D950B5"/>
    <w:rsid w:val="00D97047"/>
    <w:rsid w:val="00D97108"/>
    <w:rsid w:val="00DA4BA0"/>
    <w:rsid w:val="00DA5460"/>
    <w:rsid w:val="00DB13C6"/>
    <w:rsid w:val="00DC5665"/>
    <w:rsid w:val="00DD0B0C"/>
    <w:rsid w:val="00DD4806"/>
    <w:rsid w:val="00DD4F44"/>
    <w:rsid w:val="00DD5D8B"/>
    <w:rsid w:val="00DE0F9E"/>
    <w:rsid w:val="00DE5D76"/>
    <w:rsid w:val="00DF1D50"/>
    <w:rsid w:val="00E0078A"/>
    <w:rsid w:val="00E0283D"/>
    <w:rsid w:val="00E04C8D"/>
    <w:rsid w:val="00E1279C"/>
    <w:rsid w:val="00E128D8"/>
    <w:rsid w:val="00E17FD7"/>
    <w:rsid w:val="00E300C0"/>
    <w:rsid w:val="00E30D45"/>
    <w:rsid w:val="00E36C13"/>
    <w:rsid w:val="00E42FE4"/>
    <w:rsid w:val="00E46FAA"/>
    <w:rsid w:val="00E566F2"/>
    <w:rsid w:val="00E5750B"/>
    <w:rsid w:val="00E60E2E"/>
    <w:rsid w:val="00E63A24"/>
    <w:rsid w:val="00E71A2D"/>
    <w:rsid w:val="00E8698A"/>
    <w:rsid w:val="00E923F2"/>
    <w:rsid w:val="00E92BFF"/>
    <w:rsid w:val="00E95E1B"/>
    <w:rsid w:val="00EA31CC"/>
    <w:rsid w:val="00EB14DF"/>
    <w:rsid w:val="00EB2B64"/>
    <w:rsid w:val="00EB312E"/>
    <w:rsid w:val="00EB3A07"/>
    <w:rsid w:val="00EB4143"/>
    <w:rsid w:val="00EB4728"/>
    <w:rsid w:val="00EC06A8"/>
    <w:rsid w:val="00EC207A"/>
    <w:rsid w:val="00EC381E"/>
    <w:rsid w:val="00EC3F31"/>
    <w:rsid w:val="00EC4853"/>
    <w:rsid w:val="00ED3C91"/>
    <w:rsid w:val="00ED4112"/>
    <w:rsid w:val="00ED51DA"/>
    <w:rsid w:val="00EE1C82"/>
    <w:rsid w:val="00EF10C2"/>
    <w:rsid w:val="00EF1347"/>
    <w:rsid w:val="00EF2BEB"/>
    <w:rsid w:val="00F01129"/>
    <w:rsid w:val="00F03D93"/>
    <w:rsid w:val="00F03D9E"/>
    <w:rsid w:val="00F05384"/>
    <w:rsid w:val="00F20277"/>
    <w:rsid w:val="00F227BF"/>
    <w:rsid w:val="00F30D3F"/>
    <w:rsid w:val="00F374B2"/>
    <w:rsid w:val="00F40AFC"/>
    <w:rsid w:val="00F4730E"/>
    <w:rsid w:val="00F50A92"/>
    <w:rsid w:val="00F53F24"/>
    <w:rsid w:val="00F63341"/>
    <w:rsid w:val="00F63697"/>
    <w:rsid w:val="00F73C07"/>
    <w:rsid w:val="00F7536E"/>
    <w:rsid w:val="00F81F93"/>
    <w:rsid w:val="00F86F1B"/>
    <w:rsid w:val="00F92A21"/>
    <w:rsid w:val="00F92E9B"/>
    <w:rsid w:val="00F95814"/>
    <w:rsid w:val="00F96D66"/>
    <w:rsid w:val="00FA01D9"/>
    <w:rsid w:val="00FA031C"/>
    <w:rsid w:val="00FA2A48"/>
    <w:rsid w:val="00FB13C1"/>
    <w:rsid w:val="00FB420B"/>
    <w:rsid w:val="00FC1C5F"/>
    <w:rsid w:val="00FC5C0C"/>
    <w:rsid w:val="00FC64EF"/>
    <w:rsid w:val="00FC69EB"/>
    <w:rsid w:val="00FD2673"/>
    <w:rsid w:val="00FD311A"/>
    <w:rsid w:val="00FD451F"/>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EB"/>
    <w:pPr>
      <w:spacing w:before="120" w:after="120" w:line="240" w:lineRule="atLeast"/>
    </w:pPr>
    <w:rPr>
      <w:rFonts w:ascii="Arial" w:hAnsi="Arial"/>
      <w:sz w:val="22"/>
      <w:szCs w:val="24"/>
    </w:rPr>
  </w:style>
  <w:style w:type="paragraph" w:styleId="Heading1">
    <w:name w:val="heading 1"/>
    <w:basedOn w:val="Normal"/>
    <w:next w:val="Normal"/>
    <w:link w:val="Heading1Char"/>
    <w:uiPriority w:val="2"/>
    <w:qFormat/>
    <w:rsid w:val="00DA4BA0"/>
    <w:pPr>
      <w:keepNext/>
      <w:keepLines/>
      <w:spacing w:before="36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2465DC"/>
    <w:pPr>
      <w:keepNext/>
      <w:keepLines/>
      <w:spacing w:before="30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DA5460"/>
    <w:tblPr>
      <w:tblInd w:w="108" w:type="dxa"/>
      <w:tblBorders>
        <w:top w:val="single" w:sz="4" w:space="0" w:color="78BE20" w:themeColor="accent4"/>
        <w:left w:val="single" w:sz="4" w:space="0" w:color="78BE20" w:themeColor="accent4"/>
        <w:bottom w:val="single" w:sz="4" w:space="0" w:color="78BE20" w:themeColor="accent4"/>
        <w:right w:val="single" w:sz="4" w:space="0" w:color="78BE20" w:themeColor="accent4"/>
        <w:insideH w:val="single" w:sz="4" w:space="0" w:color="78BE20" w:themeColor="accent4"/>
        <w:insideV w:val="single" w:sz="4" w:space="0" w:color="78BE20" w:themeColor="accent4"/>
      </w:tblBorders>
    </w:tblPr>
    <w:tcPr>
      <w:shd w:val="clear" w:color="auto" w:fill="FFFFFF" w:themeFill="background1"/>
    </w:tc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2465DC"/>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DA4BA0"/>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character" w:styleId="CommentReference">
    <w:name w:val="annotation reference"/>
    <w:basedOn w:val="DefaultParagraphFont"/>
    <w:uiPriority w:val="99"/>
    <w:unhideWhenUsed/>
    <w:rsid w:val="00DD4806"/>
    <w:rPr>
      <w:sz w:val="16"/>
      <w:szCs w:val="16"/>
    </w:rPr>
  </w:style>
  <w:style w:type="paragraph" w:styleId="CommentText">
    <w:name w:val="annotation text"/>
    <w:basedOn w:val="Normal"/>
    <w:link w:val="CommentTextChar"/>
    <w:uiPriority w:val="99"/>
    <w:unhideWhenUsed/>
    <w:rsid w:val="00DD4806"/>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DD4806"/>
    <w:rPr>
      <w:rFonts w:ascii="Arial" w:eastAsiaTheme="minorHAnsi" w:hAnsi="Arial" w:cstheme="minorBidi"/>
      <w:lang w:eastAsia="en-US"/>
    </w:rPr>
  </w:style>
  <w:style w:type="paragraph" w:styleId="ListParagraph">
    <w:name w:val="List Paragraph"/>
    <w:basedOn w:val="Normal"/>
    <w:uiPriority w:val="34"/>
    <w:rsid w:val="00B550EB"/>
    <w:pPr>
      <w:ind w:left="720"/>
      <w:contextualSpacing/>
    </w:pPr>
  </w:style>
  <w:style w:type="paragraph" w:styleId="CommentSubject">
    <w:name w:val="annotation subject"/>
    <w:basedOn w:val="CommentText"/>
    <w:next w:val="CommentText"/>
    <w:link w:val="CommentSubjectChar"/>
    <w:rsid w:val="009D66BA"/>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rsid w:val="009D66BA"/>
    <w:rPr>
      <w:rFonts w:ascii="Arial" w:eastAsiaTheme="minorHAnsi" w:hAnsi="Arial" w:cstheme="minorBidi"/>
      <w:b/>
      <w:bCs/>
      <w:lang w:eastAsia="en-US"/>
    </w:rPr>
  </w:style>
  <w:style w:type="paragraph" w:styleId="Revision">
    <w:name w:val="Revision"/>
    <w:hidden/>
    <w:uiPriority w:val="99"/>
    <w:semiHidden/>
    <w:rsid w:val="00EC06A8"/>
    <w:rPr>
      <w:rFonts w:ascii="Arial" w:hAnsi="Arial"/>
      <w:szCs w:val="24"/>
    </w:rPr>
  </w:style>
  <w:style w:type="character" w:styleId="BookTitle">
    <w:name w:val="Book Title"/>
    <w:uiPriority w:val="33"/>
    <w:qFormat/>
    <w:rsid w:val="008D6790"/>
    <w:rPr>
      <w:i/>
      <w:iCs/>
      <w:smallCaps/>
      <w:spacing w:val="5"/>
    </w:rPr>
  </w:style>
  <w:style w:type="table" w:styleId="MediumGrid1-Accent4">
    <w:name w:val="Medium Grid 1 Accent 4"/>
    <w:basedOn w:val="TableNormal"/>
    <w:uiPriority w:val="67"/>
    <w:rsid w:val="002F1411"/>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paragraph" w:customStyle="1" w:styleId="Default">
    <w:name w:val="Default"/>
    <w:rsid w:val="00B43F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017">
      <w:bodyDiv w:val="1"/>
      <w:marLeft w:val="0"/>
      <w:marRight w:val="0"/>
      <w:marTop w:val="0"/>
      <w:marBottom w:val="0"/>
      <w:divBdr>
        <w:top w:val="none" w:sz="0" w:space="0" w:color="auto"/>
        <w:left w:val="none" w:sz="0" w:space="0" w:color="auto"/>
        <w:bottom w:val="none" w:sz="0" w:space="0" w:color="auto"/>
        <w:right w:val="none" w:sz="0" w:space="0" w:color="auto"/>
      </w:divBdr>
    </w:div>
    <w:div w:id="63047680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47198056">
      <w:bodyDiv w:val="1"/>
      <w:marLeft w:val="0"/>
      <w:marRight w:val="0"/>
      <w:marTop w:val="0"/>
      <w:marBottom w:val="0"/>
      <w:divBdr>
        <w:top w:val="none" w:sz="0" w:space="0" w:color="auto"/>
        <w:left w:val="none" w:sz="0" w:space="0" w:color="auto"/>
        <w:bottom w:val="none" w:sz="0" w:space="0" w:color="auto"/>
        <w:right w:val="none" w:sz="0" w:space="0" w:color="auto"/>
      </w:divBdr>
    </w:div>
    <w:div w:id="126519347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8024257">
      <w:bodyDiv w:val="1"/>
      <w:marLeft w:val="0"/>
      <w:marRight w:val="0"/>
      <w:marTop w:val="0"/>
      <w:marBottom w:val="0"/>
      <w:divBdr>
        <w:top w:val="none" w:sz="0" w:space="0" w:color="auto"/>
        <w:left w:val="none" w:sz="0" w:space="0" w:color="auto"/>
        <w:bottom w:val="none" w:sz="0" w:space="0" w:color="auto"/>
        <w:right w:val="none" w:sz="0" w:space="0" w:color="auto"/>
      </w:divBdr>
    </w:div>
    <w:div w:id="1361398605">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74267285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2017-11-22T00:21:00Z</dcterms:created>
  <dcterms:modified xsi:type="dcterms:W3CDTF">2017-11-22T00:37:00Z</dcterms:modified>
  <cp:category/>
</cp:coreProperties>
</file>