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F388E" w14:textId="77777777" w:rsidR="005316BE" w:rsidRDefault="00CF553B" w:rsidP="00537B50">
      <w:pPr>
        <w:spacing w:before="0" w:after="0"/>
        <w:ind w:left="-850"/>
      </w:pPr>
      <w:bookmarkStart w:id="0" w:name="_GoBack"/>
      <w:bookmarkEnd w:id="0"/>
      <w:r>
        <w:rPr>
          <w:noProof/>
        </w:rPr>
        <w:drawing>
          <wp:inline distT="0" distB="0" distL="0" distR="0" wp14:anchorId="28FAF120" wp14:editId="3E012248">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355980FE" w14:textId="06292CE6" w:rsidR="00C80192" w:rsidRPr="0037544B" w:rsidRDefault="003256DA" w:rsidP="00537B50">
      <w:pPr>
        <w:pStyle w:val="Smalltext"/>
        <w:ind w:right="-427"/>
      </w:pPr>
      <w:r w:rsidRPr="0037544B">
        <w:t xml:space="preserve">DSS </w:t>
      </w:r>
      <w:r>
        <w:t>2783.09.22</w:t>
      </w:r>
    </w:p>
    <w:p w14:paraId="45B66F35" w14:textId="77777777" w:rsidR="007424D2" w:rsidRPr="0037544B" w:rsidRDefault="007424D2" w:rsidP="007424D2">
      <w:pPr>
        <w:pStyle w:val="Title"/>
        <w:rPr>
          <w:b/>
        </w:rPr>
      </w:pPr>
      <w:r w:rsidRPr="0037544B">
        <w:rPr>
          <w:b/>
        </w:rPr>
        <w:t>National Consumer Protection Framework for online wagering</w:t>
      </w:r>
    </w:p>
    <w:p w14:paraId="02D5236B" w14:textId="3CCEC0E3" w:rsidR="007424D2" w:rsidRPr="0037544B" w:rsidRDefault="007424D2" w:rsidP="0037544B">
      <w:pPr>
        <w:pStyle w:val="Subtitle"/>
        <w:rPr>
          <w:b/>
        </w:rPr>
      </w:pPr>
      <w:r w:rsidRPr="0037544B">
        <w:rPr>
          <w:b/>
        </w:rPr>
        <w:t xml:space="preserve">Staff </w:t>
      </w:r>
      <w:r w:rsidRPr="007424D2">
        <w:rPr>
          <w:b/>
        </w:rPr>
        <w:t>training</w:t>
      </w:r>
      <w:r w:rsidRPr="0037544B">
        <w:rPr>
          <w:b/>
        </w:rPr>
        <w:t xml:space="preserve"> measure implementation plan</w:t>
      </w:r>
    </w:p>
    <w:p w14:paraId="45BC6735" w14:textId="77777777" w:rsidR="007424D2" w:rsidRPr="007424D2" w:rsidRDefault="007424D2" w:rsidP="0037544B">
      <w:pPr>
        <w:pStyle w:val="Heading1"/>
      </w:pPr>
      <w:bookmarkStart w:id="1" w:name="_Toc391890680"/>
      <w:r w:rsidRPr="007424D2">
        <w:t>Purpose</w:t>
      </w:r>
    </w:p>
    <w:p w14:paraId="67D043F4" w14:textId="4CD7FA8D" w:rsidR="007424D2" w:rsidRPr="007424D2" w:rsidRDefault="007424D2" w:rsidP="007424D2">
      <w:bookmarkStart w:id="2" w:name="_Toc391890681"/>
      <w:bookmarkEnd w:id="1"/>
      <w:r w:rsidRPr="007424D2">
        <w:t>To formally notify online wagering service providers of the requirement to implement the staff training measure of the National Framework</w:t>
      </w:r>
      <w:r>
        <w:t xml:space="preserve"> within 6</w:t>
      </w:r>
      <w:r w:rsidRPr="007424D2">
        <w:t xml:space="preserve"> months of 30</w:t>
      </w:r>
      <w:r w:rsidR="00D82036">
        <w:t> September </w:t>
      </w:r>
      <w:r w:rsidRPr="007424D2">
        <w:t>2022 (the formal notification date</w:t>
      </w:r>
      <w:r w:rsidR="00A04B6B">
        <w:t>)</w:t>
      </w:r>
      <w:r w:rsidRPr="007424D2">
        <w:t>. Online wagering providers are required to implement the staff training measure, including the training of all existing staff</w:t>
      </w:r>
      <w:r w:rsidR="00466C7A">
        <w:t xml:space="preserve"> </w:t>
      </w:r>
      <w:r w:rsidR="00D606DE">
        <w:t>by undertaking</w:t>
      </w:r>
      <w:r w:rsidR="00466C7A">
        <w:t xml:space="preserve"> the initial micro-credential</w:t>
      </w:r>
      <w:r w:rsidR="00D606DE">
        <w:t xml:space="preserve"> course by 30 March 2023</w:t>
      </w:r>
      <w:r w:rsidR="00466C7A">
        <w:t xml:space="preserve">, and then annually </w:t>
      </w:r>
      <w:r w:rsidR="00D606DE">
        <w:t>by undertaking</w:t>
      </w:r>
      <w:r w:rsidR="00466C7A">
        <w:t xml:space="preserve"> the refresher course</w:t>
      </w:r>
      <w:r w:rsidR="00E62666">
        <w:t xml:space="preserve">. </w:t>
      </w:r>
      <w:r w:rsidR="00257172">
        <w:t xml:space="preserve">State and territory regulators will not consider </w:t>
      </w:r>
      <w:r w:rsidR="00466C7A">
        <w:t xml:space="preserve">exceptions </w:t>
      </w:r>
      <w:r w:rsidR="00257172">
        <w:t xml:space="preserve">to this </w:t>
      </w:r>
      <w:r w:rsidR="00466C7A">
        <w:t>requirement</w:t>
      </w:r>
      <w:r w:rsidR="00380C61">
        <w:t xml:space="preserve">, and failure to meet </w:t>
      </w:r>
      <w:r w:rsidR="00466C7A">
        <w:t>these training schedules</w:t>
      </w:r>
      <w:r w:rsidR="00380C61">
        <w:t xml:space="preserve"> could result in disciplinary action by the relevant regulator.</w:t>
      </w:r>
      <w:r w:rsidRPr="007424D2">
        <w:t xml:space="preserve"> </w:t>
      </w:r>
    </w:p>
    <w:p w14:paraId="3BCBE778" w14:textId="77777777" w:rsidR="007424D2" w:rsidRPr="007424D2" w:rsidRDefault="007424D2" w:rsidP="007424D2">
      <w:r w:rsidRPr="007424D2">
        <w:t>This measure will be enacted through existing state and territory government laws, regulations and licenses and will be funded by the online wagering industry.</w:t>
      </w:r>
    </w:p>
    <w:p w14:paraId="187BBBCA" w14:textId="77777777" w:rsidR="007424D2" w:rsidRDefault="007424D2" w:rsidP="0037544B">
      <w:pPr>
        <w:pStyle w:val="Heading1"/>
      </w:pPr>
      <w:r>
        <w:t>Implementation</w:t>
      </w:r>
    </w:p>
    <w:p w14:paraId="5DDFFC03" w14:textId="77777777" w:rsidR="007424D2" w:rsidRPr="0037544B" w:rsidRDefault="007424D2" w:rsidP="007424D2">
      <w:pPr>
        <w:rPr>
          <w:rFonts w:asciiTheme="minorHAnsi" w:hAnsiTheme="minorHAnsi"/>
        </w:rPr>
      </w:pPr>
      <w:r w:rsidRPr="0037544B">
        <w:rPr>
          <w:rFonts w:asciiTheme="minorHAnsi" w:hAnsiTheme="minorHAnsi"/>
        </w:rPr>
        <w:t xml:space="preserve">Online wagering service providers are required to train all staff involved in the provision of wagering services, or with the capacity to influence the wagering service, in line with the minimum requirements set out in the National Unit of Competency </w:t>
      </w:r>
      <w:r w:rsidRPr="0037544B">
        <w:rPr>
          <w:rFonts w:asciiTheme="minorHAnsi" w:hAnsiTheme="minorHAnsi"/>
          <w:i/>
        </w:rPr>
        <w:t>CHCFIN005 – Provide responsible online wagering services</w:t>
      </w:r>
      <w:r w:rsidRPr="0037544B">
        <w:rPr>
          <w:rFonts w:asciiTheme="minorHAnsi" w:hAnsiTheme="minorHAnsi"/>
        </w:rPr>
        <w:t xml:space="preserve"> (</w:t>
      </w:r>
      <w:proofErr w:type="spellStart"/>
      <w:r w:rsidRPr="0037544B">
        <w:rPr>
          <w:rFonts w:asciiTheme="minorHAnsi" w:hAnsiTheme="minorHAnsi"/>
        </w:rPr>
        <w:t>UoC</w:t>
      </w:r>
      <w:proofErr w:type="spellEnd"/>
      <w:r w:rsidRPr="0037544B">
        <w:rPr>
          <w:rFonts w:asciiTheme="minorHAnsi" w:hAnsiTheme="minorHAnsi"/>
        </w:rPr>
        <w:t>), in order to create a culture on responsible gambling within the organisation.</w:t>
      </w:r>
    </w:p>
    <w:p w14:paraId="74D3F1CD" w14:textId="77777777" w:rsidR="007424D2" w:rsidRPr="0037544B" w:rsidRDefault="007424D2" w:rsidP="0037544B">
      <w:pPr>
        <w:spacing w:before="80" w:after="80"/>
        <w:rPr>
          <w:rFonts w:asciiTheme="minorHAnsi" w:hAnsiTheme="minorHAnsi"/>
        </w:rPr>
      </w:pPr>
      <w:r w:rsidRPr="0037544B">
        <w:rPr>
          <w:rFonts w:asciiTheme="minorHAnsi" w:hAnsiTheme="minorHAnsi"/>
        </w:rPr>
        <w:t>Online wagering service providers can choose from the following training delivery options:</w:t>
      </w:r>
    </w:p>
    <w:p w14:paraId="01F04933" w14:textId="13C3D7B8" w:rsidR="007424D2" w:rsidRPr="0037544B" w:rsidRDefault="007424D2" w:rsidP="0037544B">
      <w:pPr>
        <w:spacing w:before="80" w:after="80"/>
        <w:ind w:left="720"/>
        <w:rPr>
          <w:rFonts w:asciiTheme="minorHAnsi" w:hAnsiTheme="minorHAnsi"/>
        </w:rPr>
      </w:pPr>
      <w:r w:rsidRPr="0037544B">
        <w:rPr>
          <w:rFonts w:asciiTheme="minorHAnsi" w:hAnsiTheme="minorHAnsi"/>
          <w:b/>
        </w:rPr>
        <w:t xml:space="preserve">External training </w:t>
      </w:r>
      <w:r w:rsidRPr="0037544B">
        <w:rPr>
          <w:rFonts w:asciiTheme="minorHAnsi" w:hAnsiTheme="minorHAnsi"/>
        </w:rPr>
        <w:t>-</w:t>
      </w:r>
      <w:r w:rsidRPr="0037544B">
        <w:rPr>
          <w:rFonts w:asciiTheme="minorHAnsi" w:hAnsiTheme="minorHAnsi"/>
          <w:b/>
        </w:rPr>
        <w:t xml:space="preserve"> </w:t>
      </w:r>
      <w:r w:rsidRPr="0037544B">
        <w:rPr>
          <w:rFonts w:asciiTheme="minorHAnsi" w:hAnsiTheme="minorHAnsi"/>
        </w:rPr>
        <w:t>Providers can choose between</w:t>
      </w:r>
      <w:r w:rsidR="008223BC" w:rsidRPr="0037544B">
        <w:rPr>
          <w:rFonts w:asciiTheme="minorHAnsi" w:hAnsiTheme="minorHAnsi"/>
        </w:rPr>
        <w:t xml:space="preserve"> </w:t>
      </w:r>
      <w:r w:rsidR="008223BC">
        <w:rPr>
          <w:rFonts w:asciiTheme="minorHAnsi" w:hAnsiTheme="minorHAnsi" w:cstheme="minorHAnsi"/>
        </w:rPr>
        <w:t>2</w:t>
      </w:r>
      <w:r w:rsidRPr="0037544B">
        <w:rPr>
          <w:rFonts w:asciiTheme="minorHAnsi" w:hAnsiTheme="minorHAnsi"/>
        </w:rPr>
        <w:t xml:space="preserve"> options for external training:</w:t>
      </w:r>
    </w:p>
    <w:p w14:paraId="7A34E996" w14:textId="54246A13" w:rsidR="007424D2" w:rsidRPr="0037544B" w:rsidRDefault="007424D2" w:rsidP="005E67C1">
      <w:pPr>
        <w:pStyle w:val="ListParagraph"/>
        <w:numPr>
          <w:ilvl w:val="0"/>
          <w:numId w:val="62"/>
        </w:numPr>
        <w:spacing w:before="80" w:after="80" w:line="276" w:lineRule="auto"/>
        <w:rPr>
          <w:rFonts w:asciiTheme="minorHAnsi" w:hAnsiTheme="minorHAnsi"/>
        </w:rPr>
      </w:pPr>
      <w:r w:rsidRPr="0037544B">
        <w:rPr>
          <w:rFonts w:asciiTheme="minorHAnsi" w:hAnsiTheme="minorHAnsi"/>
        </w:rPr>
        <w:t>Online micro-credential operated by TAFE Queensland, with a cost to the online wagering service provider of $38.50 per participant</w:t>
      </w:r>
      <w:r w:rsidR="00466C7A">
        <w:rPr>
          <w:rFonts w:asciiTheme="minorHAnsi" w:hAnsiTheme="minorHAnsi"/>
        </w:rPr>
        <w:t xml:space="preserve"> for the initial micro-credential (upon employment) and the </w:t>
      </w:r>
      <w:r w:rsidR="005E67C1">
        <w:rPr>
          <w:rFonts w:asciiTheme="minorHAnsi" w:hAnsiTheme="minorHAnsi"/>
        </w:rPr>
        <w:t xml:space="preserve">annual </w:t>
      </w:r>
      <w:r w:rsidR="00466C7A">
        <w:rPr>
          <w:rFonts w:asciiTheme="minorHAnsi" w:hAnsiTheme="minorHAnsi"/>
        </w:rPr>
        <w:t xml:space="preserve">refresher </w:t>
      </w:r>
      <w:r w:rsidR="005E67C1">
        <w:rPr>
          <w:rFonts w:asciiTheme="minorHAnsi" w:hAnsiTheme="minorHAnsi"/>
        </w:rPr>
        <w:t>training</w:t>
      </w:r>
      <w:r w:rsidRPr="0037544B">
        <w:rPr>
          <w:rFonts w:asciiTheme="minorHAnsi" w:hAnsiTheme="minorHAnsi"/>
        </w:rPr>
        <w:t>.</w:t>
      </w:r>
      <w:r w:rsidR="000F38D9">
        <w:rPr>
          <w:rFonts w:asciiTheme="minorHAnsi" w:hAnsiTheme="minorHAnsi" w:cstheme="minorHAnsi"/>
        </w:rPr>
        <w:t xml:space="preserve"> The training is available at </w:t>
      </w:r>
      <w:hyperlink r:id="rId9" w:history="1">
        <w:r w:rsidR="000F38D9">
          <w:rPr>
            <w:rStyle w:val="Hyperlink"/>
          </w:rPr>
          <w:t>Responsible Service of Online Wagering (tafeqld.edu.au)</w:t>
        </w:r>
      </w:hyperlink>
      <w:r w:rsidR="005E67C1">
        <w:rPr>
          <w:rStyle w:val="Hyperlink"/>
        </w:rPr>
        <w:br/>
      </w:r>
      <w:r w:rsidR="005E67C1" w:rsidRPr="005E67C1">
        <w:rPr>
          <w:rFonts w:asciiTheme="minorHAnsi" w:hAnsiTheme="minorHAnsi"/>
        </w:rPr>
        <w:t>The annual refresh</w:t>
      </w:r>
      <w:r w:rsidR="005E67C1">
        <w:rPr>
          <w:rFonts w:asciiTheme="minorHAnsi" w:hAnsiTheme="minorHAnsi"/>
        </w:rPr>
        <w:t>er training can be found at:</w:t>
      </w:r>
      <w:r w:rsidR="005E67C1">
        <w:rPr>
          <w:rFonts w:asciiTheme="minorHAnsi" w:hAnsiTheme="minorHAnsi"/>
        </w:rPr>
        <w:br/>
      </w:r>
      <w:hyperlink r:id="rId10" w:history="1">
        <w:r w:rsidR="00BD5EBD">
          <w:rPr>
            <w:rStyle w:val="Hyperlink"/>
            <w:rFonts w:asciiTheme="minorHAnsi" w:hAnsiTheme="minorHAnsi"/>
          </w:rPr>
          <w:t>Responsible Service of Online Wagering - Refresher</w:t>
        </w:r>
      </w:hyperlink>
    </w:p>
    <w:p w14:paraId="5AF22B4F" w14:textId="77777777" w:rsidR="007424D2" w:rsidRPr="0037544B" w:rsidRDefault="007424D2" w:rsidP="0037544B">
      <w:pPr>
        <w:pStyle w:val="ListParagraph"/>
        <w:numPr>
          <w:ilvl w:val="0"/>
          <w:numId w:val="62"/>
        </w:numPr>
        <w:spacing w:before="80" w:after="80" w:line="276" w:lineRule="auto"/>
        <w:rPr>
          <w:rFonts w:asciiTheme="minorHAnsi" w:hAnsiTheme="minorHAnsi"/>
        </w:rPr>
      </w:pPr>
      <w:r w:rsidRPr="0037544B">
        <w:rPr>
          <w:rFonts w:asciiTheme="minorHAnsi" w:hAnsiTheme="minorHAnsi"/>
        </w:rPr>
        <w:t xml:space="preserve">Accredited Training of the </w:t>
      </w:r>
      <w:proofErr w:type="spellStart"/>
      <w:r w:rsidRPr="0037544B">
        <w:rPr>
          <w:rFonts w:asciiTheme="minorHAnsi" w:hAnsiTheme="minorHAnsi"/>
        </w:rPr>
        <w:t>UoC</w:t>
      </w:r>
      <w:proofErr w:type="spellEnd"/>
      <w:r w:rsidRPr="0037544B">
        <w:rPr>
          <w:rFonts w:asciiTheme="minorHAnsi" w:hAnsiTheme="minorHAnsi"/>
        </w:rPr>
        <w:t xml:space="preserve"> developed by a Registered Training Organisation or TAFE (market price).</w:t>
      </w:r>
    </w:p>
    <w:p w14:paraId="1774645F" w14:textId="77777777" w:rsidR="007424D2" w:rsidRPr="0037544B" w:rsidRDefault="007424D2" w:rsidP="0037544B">
      <w:pPr>
        <w:spacing w:before="80" w:after="80"/>
        <w:ind w:left="720"/>
        <w:rPr>
          <w:rFonts w:asciiTheme="minorHAnsi" w:hAnsiTheme="minorHAnsi"/>
        </w:rPr>
      </w:pPr>
      <w:r w:rsidRPr="0037544B">
        <w:rPr>
          <w:rFonts w:asciiTheme="minorHAnsi" w:hAnsiTheme="minorHAnsi"/>
          <w:b/>
        </w:rPr>
        <w:lastRenderedPageBreak/>
        <w:t xml:space="preserve">In-house training </w:t>
      </w:r>
      <w:r w:rsidRPr="0037544B">
        <w:rPr>
          <w:rFonts w:asciiTheme="minorHAnsi" w:hAnsiTheme="minorHAnsi"/>
        </w:rPr>
        <w:t xml:space="preserve">- Providers can choose to develop and deliver training in-house based on the </w:t>
      </w:r>
      <w:proofErr w:type="spellStart"/>
      <w:r w:rsidRPr="0037544B">
        <w:rPr>
          <w:rFonts w:asciiTheme="minorHAnsi" w:hAnsiTheme="minorHAnsi"/>
        </w:rPr>
        <w:t>UoC</w:t>
      </w:r>
      <w:proofErr w:type="spellEnd"/>
      <w:r w:rsidRPr="0037544B">
        <w:rPr>
          <w:rFonts w:asciiTheme="minorHAnsi" w:hAnsiTheme="minorHAnsi"/>
        </w:rPr>
        <w:t>. For training delivered in-house, it is a requirement that one of the following quality assurance methods is used:</w:t>
      </w:r>
    </w:p>
    <w:p w14:paraId="673B4EDA" w14:textId="77777777" w:rsidR="007424D2" w:rsidRPr="0037544B" w:rsidRDefault="007424D2" w:rsidP="0037544B">
      <w:pPr>
        <w:pStyle w:val="ListParagraph"/>
        <w:numPr>
          <w:ilvl w:val="0"/>
          <w:numId w:val="62"/>
        </w:numPr>
        <w:spacing w:before="80" w:after="80" w:line="276" w:lineRule="auto"/>
        <w:rPr>
          <w:rFonts w:asciiTheme="minorHAnsi" w:hAnsiTheme="minorHAnsi"/>
        </w:rPr>
      </w:pPr>
      <w:r w:rsidRPr="0037544B">
        <w:rPr>
          <w:rFonts w:asciiTheme="minorHAnsi" w:hAnsiTheme="minorHAnsi"/>
        </w:rPr>
        <w:t>training participants pass the micro-credential knowledge test, with a cost to the online wagering service provider of $38.50 per participant (which includes access to the micro-credential training materials for reference); or</w:t>
      </w:r>
    </w:p>
    <w:p w14:paraId="694CDFD4" w14:textId="77777777" w:rsidR="007424D2" w:rsidRPr="0037544B" w:rsidRDefault="007424D2" w:rsidP="0037544B">
      <w:pPr>
        <w:pStyle w:val="ListParagraph"/>
        <w:numPr>
          <w:ilvl w:val="0"/>
          <w:numId w:val="62"/>
        </w:numPr>
        <w:spacing w:before="80" w:after="80" w:line="276" w:lineRule="auto"/>
        <w:rPr>
          <w:rFonts w:asciiTheme="minorHAnsi" w:hAnsiTheme="minorHAnsi"/>
        </w:rPr>
      </w:pPr>
      <w:r w:rsidRPr="0037544B">
        <w:rPr>
          <w:rFonts w:asciiTheme="minorHAnsi" w:hAnsiTheme="minorHAnsi"/>
        </w:rPr>
        <w:t xml:space="preserve">provider engages an independent reviewer to confirm in-house training meets the standards outlined in the </w:t>
      </w:r>
      <w:proofErr w:type="spellStart"/>
      <w:r w:rsidRPr="0037544B">
        <w:rPr>
          <w:rFonts w:asciiTheme="minorHAnsi" w:hAnsiTheme="minorHAnsi"/>
        </w:rPr>
        <w:t>UoC</w:t>
      </w:r>
      <w:proofErr w:type="spellEnd"/>
      <w:r w:rsidRPr="0037544B">
        <w:rPr>
          <w:rFonts w:asciiTheme="minorHAnsi" w:hAnsiTheme="minorHAnsi"/>
        </w:rPr>
        <w:t>, and provides report to the state or territory regulator.</w:t>
      </w:r>
    </w:p>
    <w:p w14:paraId="4533B1AA" w14:textId="77777777" w:rsidR="007424D2" w:rsidRDefault="007424D2" w:rsidP="0037544B">
      <w:pPr>
        <w:pStyle w:val="Heading1"/>
      </w:pPr>
      <w:r>
        <w:t>Key Timeframes</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Caption w:val="Table with key dates"/>
        <w:tblDescription w:val="1 July 2022 - training module goes live, 31 Dec 2022 - staff training measure must be implemented."/>
      </w:tblPr>
      <w:tblGrid>
        <w:gridCol w:w="2405"/>
        <w:gridCol w:w="6696"/>
      </w:tblGrid>
      <w:tr w:rsidR="007424D2" w:rsidRPr="009458F4" w14:paraId="6A0997A9" w14:textId="77777777" w:rsidTr="004D0F6B">
        <w:trPr>
          <w:tblHeader/>
        </w:trPr>
        <w:tc>
          <w:tcPr>
            <w:tcW w:w="2405" w:type="dxa"/>
            <w:shd w:val="clear" w:color="auto" w:fill="B1E4E3"/>
          </w:tcPr>
          <w:p w14:paraId="6B33A4F1" w14:textId="77777777" w:rsidR="007424D2" w:rsidRPr="0037544B" w:rsidRDefault="007424D2" w:rsidP="0037544B">
            <w:pPr>
              <w:pStyle w:val="BodyText"/>
              <w:spacing w:before="120" w:line="276" w:lineRule="auto"/>
              <w:rPr>
                <w:rFonts w:ascii="Calibri Light" w:hAnsi="Calibri Light"/>
                <w:b/>
              </w:rPr>
            </w:pPr>
            <w:r w:rsidRPr="0037544B">
              <w:rPr>
                <w:rFonts w:ascii="Calibri Light" w:hAnsi="Calibri Light"/>
                <w:b/>
              </w:rPr>
              <w:t>Date</w:t>
            </w:r>
          </w:p>
        </w:tc>
        <w:tc>
          <w:tcPr>
            <w:tcW w:w="6696" w:type="dxa"/>
            <w:shd w:val="clear" w:color="auto" w:fill="B1E4E3"/>
          </w:tcPr>
          <w:p w14:paraId="374B97C1" w14:textId="77777777" w:rsidR="007424D2" w:rsidRPr="0037544B" w:rsidRDefault="007424D2" w:rsidP="0037544B">
            <w:pPr>
              <w:pStyle w:val="BodyText"/>
              <w:spacing w:before="120" w:line="276" w:lineRule="auto"/>
              <w:rPr>
                <w:rFonts w:ascii="Calibri Light" w:hAnsi="Calibri Light"/>
                <w:highlight w:val="yellow"/>
              </w:rPr>
            </w:pPr>
            <w:r w:rsidRPr="0037544B">
              <w:rPr>
                <w:rFonts w:ascii="Calibri Light" w:hAnsi="Calibri Light"/>
                <w:b/>
              </w:rPr>
              <w:t xml:space="preserve">Activity </w:t>
            </w:r>
          </w:p>
        </w:tc>
      </w:tr>
      <w:tr w:rsidR="007424D2" w:rsidRPr="009458F4" w14:paraId="6E412738" w14:textId="77777777" w:rsidTr="004D0F6B">
        <w:trPr>
          <w:tblHeader/>
        </w:trPr>
        <w:tc>
          <w:tcPr>
            <w:tcW w:w="2405" w:type="dxa"/>
          </w:tcPr>
          <w:p w14:paraId="0D0C125A" w14:textId="45A12601" w:rsidR="007424D2" w:rsidRPr="0037544B" w:rsidRDefault="00E62666" w:rsidP="0037544B">
            <w:pPr>
              <w:pStyle w:val="BodyText"/>
              <w:spacing w:before="120" w:line="276" w:lineRule="auto"/>
              <w:rPr>
                <w:rFonts w:asciiTheme="minorHAnsi" w:hAnsiTheme="minorHAnsi"/>
                <w:b/>
              </w:rPr>
            </w:pPr>
            <w:r w:rsidRPr="009328DA">
              <w:rPr>
                <w:rFonts w:asciiTheme="minorHAnsi" w:hAnsiTheme="minorHAnsi" w:cstheme="minorHAnsi"/>
                <w:b/>
              </w:rPr>
              <w:t>28 September</w:t>
            </w:r>
            <w:r w:rsidR="007424D2" w:rsidRPr="0037544B">
              <w:rPr>
                <w:rFonts w:asciiTheme="minorHAnsi" w:hAnsiTheme="minorHAnsi"/>
                <w:b/>
                <w:sz w:val="24"/>
              </w:rPr>
              <w:t xml:space="preserve"> 2022</w:t>
            </w:r>
          </w:p>
        </w:tc>
        <w:tc>
          <w:tcPr>
            <w:tcW w:w="6696" w:type="dxa"/>
          </w:tcPr>
          <w:p w14:paraId="2328C603" w14:textId="77777777" w:rsidR="007424D2" w:rsidRPr="0037544B" w:rsidRDefault="007424D2" w:rsidP="0037544B">
            <w:pPr>
              <w:pStyle w:val="ListParagraph"/>
              <w:spacing w:after="120"/>
              <w:ind w:left="0"/>
              <w:rPr>
                <w:rFonts w:asciiTheme="minorHAnsi" w:hAnsiTheme="minorHAnsi"/>
              </w:rPr>
            </w:pPr>
            <w:r w:rsidRPr="0037544B">
              <w:rPr>
                <w:rFonts w:asciiTheme="minorHAnsi" w:hAnsiTheme="minorHAnsi"/>
              </w:rPr>
              <w:t>Micro-credential training module and knowledge test goes live.</w:t>
            </w:r>
          </w:p>
        </w:tc>
      </w:tr>
      <w:tr w:rsidR="004D0F6B" w:rsidRPr="009458F4" w14:paraId="37718AF0" w14:textId="77777777" w:rsidTr="004D0F6B">
        <w:trPr>
          <w:tblHeader/>
        </w:trPr>
        <w:tc>
          <w:tcPr>
            <w:tcW w:w="2405" w:type="dxa"/>
          </w:tcPr>
          <w:p w14:paraId="22EDB7F2" w14:textId="53D4C2A1" w:rsidR="004D0F6B" w:rsidRPr="009328DA" w:rsidRDefault="004D0F6B" w:rsidP="0037544B">
            <w:pPr>
              <w:pStyle w:val="BodyText"/>
              <w:spacing w:before="120" w:line="276" w:lineRule="auto"/>
              <w:rPr>
                <w:rFonts w:asciiTheme="minorHAnsi" w:hAnsiTheme="minorHAnsi" w:cstheme="minorHAnsi"/>
                <w:b/>
              </w:rPr>
            </w:pPr>
            <w:r>
              <w:rPr>
                <w:rFonts w:asciiTheme="minorHAnsi" w:hAnsiTheme="minorHAnsi" w:cstheme="minorHAnsi"/>
                <w:b/>
              </w:rPr>
              <w:t>30 September 2022</w:t>
            </w:r>
          </w:p>
        </w:tc>
        <w:tc>
          <w:tcPr>
            <w:tcW w:w="6696" w:type="dxa"/>
          </w:tcPr>
          <w:p w14:paraId="14B679F6" w14:textId="059FD28B" w:rsidR="004D0F6B" w:rsidRPr="0037544B" w:rsidRDefault="004D0F6B" w:rsidP="0037544B">
            <w:pPr>
              <w:pStyle w:val="ListParagraph"/>
              <w:spacing w:after="120"/>
              <w:ind w:left="0"/>
              <w:rPr>
                <w:rFonts w:asciiTheme="minorHAnsi" w:hAnsiTheme="minorHAnsi"/>
              </w:rPr>
            </w:pPr>
            <w:r>
              <w:rPr>
                <w:rFonts w:asciiTheme="minorHAnsi" w:hAnsiTheme="minorHAnsi"/>
              </w:rPr>
              <w:t>Formal notification to wagering service providers to implement the measure within 6 months</w:t>
            </w:r>
          </w:p>
        </w:tc>
      </w:tr>
      <w:tr w:rsidR="004D0F6B" w:rsidRPr="009458F4" w14:paraId="1BB943B0" w14:textId="77777777" w:rsidTr="004D0F6B">
        <w:trPr>
          <w:tblHeader/>
        </w:trPr>
        <w:tc>
          <w:tcPr>
            <w:tcW w:w="2405" w:type="dxa"/>
          </w:tcPr>
          <w:p w14:paraId="6D42E69B" w14:textId="175FFB2D" w:rsidR="004D0F6B" w:rsidRPr="009328DA" w:rsidRDefault="004D0F6B" w:rsidP="0037544B">
            <w:pPr>
              <w:pStyle w:val="BodyText"/>
              <w:spacing w:before="120" w:line="276" w:lineRule="auto"/>
              <w:rPr>
                <w:rFonts w:asciiTheme="minorHAnsi" w:hAnsiTheme="minorHAnsi" w:cstheme="minorHAnsi"/>
                <w:b/>
              </w:rPr>
            </w:pPr>
            <w:r w:rsidRPr="009328DA">
              <w:rPr>
                <w:rFonts w:asciiTheme="minorHAnsi" w:hAnsiTheme="minorHAnsi" w:cstheme="minorHAnsi"/>
                <w:b/>
              </w:rPr>
              <w:t>30 September 2022 – 30  March 2023</w:t>
            </w:r>
          </w:p>
        </w:tc>
        <w:tc>
          <w:tcPr>
            <w:tcW w:w="6696" w:type="dxa"/>
          </w:tcPr>
          <w:p w14:paraId="3A95B122" w14:textId="3D9E5D4F" w:rsidR="004D0F6B" w:rsidRPr="0037544B" w:rsidRDefault="004D0F6B" w:rsidP="0037544B">
            <w:pPr>
              <w:pStyle w:val="ListParagraph"/>
              <w:spacing w:after="120"/>
              <w:ind w:left="0"/>
              <w:rPr>
                <w:rFonts w:asciiTheme="minorHAnsi" w:hAnsiTheme="minorHAnsi"/>
              </w:rPr>
            </w:pPr>
            <w:r w:rsidRPr="009328DA">
              <w:rPr>
                <w:rFonts w:asciiTheme="minorHAnsi" w:eastAsia="Cambria" w:hAnsiTheme="minorHAnsi" w:cstheme="minorHAnsi"/>
                <w:spacing w:val="0"/>
              </w:rPr>
              <w:t>States and territories will implement the measure through existing legislation, regulation or ministerial direction.</w:t>
            </w:r>
          </w:p>
        </w:tc>
      </w:tr>
      <w:tr w:rsidR="004D0F6B" w:rsidRPr="009458F4" w14:paraId="6E891FC0" w14:textId="77777777" w:rsidTr="004D0F6B">
        <w:trPr>
          <w:tblHeader/>
        </w:trPr>
        <w:tc>
          <w:tcPr>
            <w:tcW w:w="2405" w:type="dxa"/>
          </w:tcPr>
          <w:p w14:paraId="416F8BB9" w14:textId="0AF5CD8F" w:rsidR="004D0F6B" w:rsidRPr="009328DA" w:rsidRDefault="004D0F6B" w:rsidP="0037544B">
            <w:pPr>
              <w:pStyle w:val="BodyText"/>
              <w:spacing w:before="120" w:line="276" w:lineRule="auto"/>
              <w:rPr>
                <w:rFonts w:asciiTheme="minorHAnsi" w:hAnsiTheme="minorHAnsi" w:cstheme="minorHAnsi"/>
                <w:b/>
              </w:rPr>
            </w:pPr>
            <w:r w:rsidRPr="009328DA">
              <w:rPr>
                <w:rFonts w:asciiTheme="minorHAnsi" w:hAnsiTheme="minorHAnsi" w:cstheme="minorHAnsi"/>
                <w:b/>
              </w:rPr>
              <w:t>30 March 2023</w:t>
            </w:r>
          </w:p>
        </w:tc>
        <w:tc>
          <w:tcPr>
            <w:tcW w:w="6696" w:type="dxa"/>
          </w:tcPr>
          <w:p w14:paraId="6F5016D7" w14:textId="30ECA70B" w:rsidR="004D0F6B" w:rsidRPr="0037544B" w:rsidRDefault="004D0F6B" w:rsidP="0037544B">
            <w:pPr>
              <w:pStyle w:val="ListParagraph"/>
              <w:spacing w:after="120"/>
              <w:ind w:left="0"/>
              <w:rPr>
                <w:rFonts w:asciiTheme="minorHAnsi" w:hAnsiTheme="minorHAnsi"/>
              </w:rPr>
            </w:pPr>
            <w:r w:rsidRPr="0037544B">
              <w:rPr>
                <w:rFonts w:asciiTheme="minorHAnsi" w:hAnsiTheme="minorHAnsi"/>
              </w:rPr>
              <w:t>The staff training measure must be implemented by online wagering service providers, including training undertaken by all existing staff.</w:t>
            </w:r>
          </w:p>
        </w:tc>
      </w:tr>
      <w:tr w:rsidR="00466C7A" w:rsidRPr="009458F4" w14:paraId="76BFB4D9" w14:textId="77777777" w:rsidTr="004D0F6B">
        <w:trPr>
          <w:tblHeader/>
        </w:trPr>
        <w:tc>
          <w:tcPr>
            <w:tcW w:w="2405" w:type="dxa"/>
          </w:tcPr>
          <w:p w14:paraId="1E1D8D85" w14:textId="140637F7" w:rsidR="00466C7A" w:rsidRPr="009328DA" w:rsidRDefault="0013654F" w:rsidP="0037544B">
            <w:pPr>
              <w:pStyle w:val="BodyText"/>
              <w:spacing w:before="120" w:line="276" w:lineRule="auto"/>
              <w:rPr>
                <w:rFonts w:asciiTheme="minorHAnsi" w:hAnsiTheme="minorHAnsi" w:cstheme="minorHAnsi"/>
                <w:b/>
              </w:rPr>
            </w:pPr>
            <w:r>
              <w:rPr>
                <w:rFonts w:asciiTheme="minorHAnsi" w:hAnsiTheme="minorHAnsi" w:cstheme="minorHAnsi"/>
                <w:b/>
              </w:rPr>
              <w:t>24</w:t>
            </w:r>
            <w:r w:rsidR="00D606DE">
              <w:rPr>
                <w:rFonts w:asciiTheme="minorHAnsi" w:hAnsiTheme="minorHAnsi" w:cstheme="minorHAnsi"/>
                <w:b/>
              </w:rPr>
              <w:t xml:space="preserve"> November</w:t>
            </w:r>
            <w:r w:rsidR="00466C7A">
              <w:rPr>
                <w:rFonts w:asciiTheme="minorHAnsi" w:hAnsiTheme="minorHAnsi" w:cstheme="minorHAnsi"/>
                <w:b/>
              </w:rPr>
              <w:t xml:space="preserve"> 2023</w:t>
            </w:r>
          </w:p>
        </w:tc>
        <w:tc>
          <w:tcPr>
            <w:tcW w:w="6696" w:type="dxa"/>
          </w:tcPr>
          <w:p w14:paraId="6ECAD7A5" w14:textId="4D9DC922" w:rsidR="00466C7A" w:rsidRPr="0037544B" w:rsidRDefault="00466C7A" w:rsidP="005E67C1">
            <w:pPr>
              <w:pStyle w:val="ListParagraph"/>
              <w:spacing w:after="120"/>
              <w:ind w:left="0"/>
              <w:rPr>
                <w:rFonts w:asciiTheme="minorHAnsi" w:hAnsiTheme="minorHAnsi"/>
              </w:rPr>
            </w:pPr>
            <w:r>
              <w:rPr>
                <w:rFonts w:asciiTheme="minorHAnsi" w:hAnsiTheme="minorHAnsi"/>
              </w:rPr>
              <w:t xml:space="preserve">Refresher micro-credential training module and knowledge test </w:t>
            </w:r>
            <w:r w:rsidR="005E67C1">
              <w:rPr>
                <w:rFonts w:asciiTheme="minorHAnsi" w:hAnsiTheme="minorHAnsi"/>
              </w:rPr>
              <w:t>is</w:t>
            </w:r>
            <w:r>
              <w:rPr>
                <w:rFonts w:asciiTheme="minorHAnsi" w:hAnsiTheme="minorHAnsi"/>
              </w:rPr>
              <w:t xml:space="preserve"> live</w:t>
            </w:r>
          </w:p>
        </w:tc>
      </w:tr>
    </w:tbl>
    <w:p w14:paraId="43B27772" w14:textId="77777777" w:rsidR="00E62666" w:rsidRPr="00E62666" w:rsidRDefault="00E62666" w:rsidP="00E62666">
      <w:pPr>
        <w:pStyle w:val="Heading2"/>
      </w:pPr>
      <w:r w:rsidRPr="00E62666">
        <w:t>List of attachments</w:t>
      </w:r>
    </w:p>
    <w:p w14:paraId="309D3678" w14:textId="77777777" w:rsidR="00E62666" w:rsidRPr="00E62666" w:rsidRDefault="00E62666" w:rsidP="00BF2143">
      <w:pPr>
        <w:numPr>
          <w:ilvl w:val="0"/>
          <w:numId w:val="63"/>
        </w:numPr>
      </w:pPr>
      <w:r w:rsidRPr="00E62666">
        <w:t>National Consumer Protection Framework - National Policy Statement: 9. Staff Training.</w:t>
      </w:r>
    </w:p>
    <w:p w14:paraId="1A3F7336" w14:textId="77777777" w:rsidR="00E62666" w:rsidRDefault="00E62666" w:rsidP="00BF2143">
      <w:pPr>
        <w:numPr>
          <w:ilvl w:val="0"/>
          <w:numId w:val="63"/>
        </w:numPr>
      </w:pPr>
      <w:r w:rsidRPr="00E62666">
        <w:t>Independent Review Guidelines</w:t>
      </w:r>
    </w:p>
    <w:p w14:paraId="0F339B63" w14:textId="77777777" w:rsidR="00FE74CB" w:rsidRDefault="00FE74CB" w:rsidP="00BF2143">
      <w:pPr>
        <w:numPr>
          <w:ilvl w:val="0"/>
          <w:numId w:val="63"/>
        </w:numPr>
      </w:pPr>
      <w:r>
        <w:t xml:space="preserve">TAFE Queensland </w:t>
      </w:r>
      <w:r w:rsidRPr="00E62666">
        <w:t>Course Gateway instructions</w:t>
      </w:r>
    </w:p>
    <w:p w14:paraId="49DCE45B" w14:textId="77777777" w:rsidR="008223BC" w:rsidRPr="008223BC" w:rsidRDefault="008223BC" w:rsidP="003E127F">
      <w:pPr>
        <w:pStyle w:val="Heading2"/>
      </w:pPr>
      <w:r w:rsidRPr="008223BC">
        <w:t>Further information</w:t>
      </w:r>
    </w:p>
    <w:p w14:paraId="0F10AF37" w14:textId="77777777" w:rsidR="00D82036" w:rsidRDefault="008223BC" w:rsidP="00FE74CB">
      <w:pPr>
        <w:spacing w:before="0" w:after="0" w:line="240" w:lineRule="auto"/>
      </w:pPr>
      <w:r w:rsidRPr="008223BC">
        <w:t xml:space="preserve">For more information about the National Consumer Protection Framework for Online Wagering measures and Department of Social Services gambling reforms, please contact the Implementation Governance Committee secretariat at </w:t>
      </w:r>
      <w:hyperlink r:id="rId11" w:history="1">
        <w:r w:rsidR="00FE74CB" w:rsidRPr="00FE74CB">
          <w:rPr>
            <w:rStyle w:val="Hyperlink"/>
          </w:rPr>
          <w:t>gambling@dss.gov.au</w:t>
        </w:r>
      </w:hyperlink>
      <w:r w:rsidR="00FE74CB">
        <w:t xml:space="preserve"> or go to </w:t>
      </w:r>
      <w:hyperlink r:id="rId12" w:history="1">
        <w:r w:rsidR="00FE74CB" w:rsidRPr="00FE74CB">
          <w:rPr>
            <w:rStyle w:val="Hyperlink"/>
          </w:rPr>
          <w:t>www.dss.gov.au/gambling</w:t>
        </w:r>
      </w:hyperlink>
      <w:r w:rsidR="00FE74CB">
        <w:t xml:space="preserve">. </w:t>
      </w:r>
    </w:p>
    <w:p w14:paraId="0E1E8E0D" w14:textId="77777777" w:rsidR="00D82036" w:rsidRDefault="00D82036" w:rsidP="00FE74CB">
      <w:pPr>
        <w:spacing w:before="0" w:after="0" w:line="240" w:lineRule="auto"/>
      </w:pPr>
    </w:p>
    <w:p w14:paraId="453C3D9F" w14:textId="77777777" w:rsidR="008223BC" w:rsidRPr="008223BC" w:rsidRDefault="008223BC" w:rsidP="003E127F">
      <w:pPr>
        <w:spacing w:before="0" w:after="0" w:line="240" w:lineRule="auto"/>
      </w:pPr>
      <w:r w:rsidRPr="008223BC">
        <w:t>Any concerns regarding compliance should be directed to the relevant state or territory regulator.</w:t>
      </w:r>
    </w:p>
    <w:p w14:paraId="3314DFBE" w14:textId="77777777" w:rsidR="00E62666" w:rsidRDefault="00E62666">
      <w:pPr>
        <w:spacing w:before="0" w:after="0" w:line="240" w:lineRule="auto"/>
      </w:pPr>
    </w:p>
    <w:p w14:paraId="42D853D7" w14:textId="77777777" w:rsidR="00FE74CB" w:rsidRDefault="00FE74CB">
      <w:pPr>
        <w:spacing w:before="0" w:after="0" w:line="240" w:lineRule="auto"/>
      </w:pPr>
    </w:p>
    <w:bookmarkEnd w:id="2"/>
    <w:p w14:paraId="284A5682" w14:textId="76E1B8EE" w:rsidR="00FE74CB" w:rsidRDefault="00FE74CB" w:rsidP="00E62666">
      <w:pPr>
        <w:sectPr w:rsidR="00FE74CB" w:rsidSect="00E62666">
          <w:headerReference w:type="default" r:id="rId13"/>
          <w:footerReference w:type="default" r:id="rId14"/>
          <w:headerReference w:type="first" r:id="rId15"/>
          <w:pgSz w:w="11906" w:h="16838" w:code="9"/>
          <w:pgMar w:top="720" w:right="720" w:bottom="720" w:left="720" w:header="0" w:footer="471" w:gutter="0"/>
          <w:cols w:space="708"/>
          <w:titlePg/>
          <w:docGrid w:linePitch="360"/>
        </w:sectPr>
      </w:pPr>
    </w:p>
    <w:tbl>
      <w:tblPr>
        <w:tblStyle w:val="ListTable3-Accent1"/>
        <w:tblpPr w:leftFromText="180" w:rightFromText="180" w:vertAnchor="page" w:horzAnchor="margin" w:tblpXSpec="center" w:tblpY="1991"/>
        <w:tblW w:w="15311" w:type="dxa"/>
        <w:tblLook w:val="04A0" w:firstRow="1" w:lastRow="0" w:firstColumn="1" w:lastColumn="0" w:noHBand="0" w:noVBand="1"/>
        <w:tblCaption w:val="National Policy statement"/>
        <w:tblDescription w:val="Table describing the staff training measure of the National Policy measure"/>
      </w:tblPr>
      <w:tblGrid>
        <w:gridCol w:w="2978"/>
        <w:gridCol w:w="7797"/>
        <w:gridCol w:w="4536"/>
      </w:tblGrid>
      <w:tr w:rsidR="00FE74CB" w:rsidRPr="00FE74CB" w14:paraId="0359FADF" w14:textId="77777777" w:rsidTr="00B741E9">
        <w:trPr>
          <w:cnfStyle w:val="100000000000" w:firstRow="1" w:lastRow="0" w:firstColumn="0" w:lastColumn="0" w:oddVBand="0" w:evenVBand="0" w:oddHBand="0" w:evenHBand="0" w:firstRowFirstColumn="0" w:firstRowLastColumn="0" w:lastRowFirstColumn="0" w:lastRowLastColumn="0"/>
          <w:cantSplit/>
          <w:trHeight w:val="571"/>
          <w:tblHeader/>
        </w:trPr>
        <w:tc>
          <w:tcPr>
            <w:cnfStyle w:val="001000000100" w:firstRow="0" w:lastRow="0" w:firstColumn="1" w:lastColumn="0" w:oddVBand="0" w:evenVBand="0" w:oddHBand="0" w:evenHBand="0" w:firstRowFirstColumn="1" w:firstRowLastColumn="0" w:lastRowFirstColumn="0" w:lastRowLastColumn="0"/>
            <w:tcW w:w="2978" w:type="dxa"/>
          </w:tcPr>
          <w:p w14:paraId="46E58595" w14:textId="7ACDA71B" w:rsidR="00FE74CB" w:rsidRPr="00FE74CB" w:rsidRDefault="00FE74CB" w:rsidP="00C20E33"/>
        </w:tc>
        <w:tc>
          <w:tcPr>
            <w:tcW w:w="7797" w:type="dxa"/>
          </w:tcPr>
          <w:p w14:paraId="6E427320" w14:textId="282050EF" w:rsidR="00FE74CB" w:rsidRPr="00FE74CB" w:rsidRDefault="00FE74CB" w:rsidP="00C20E33">
            <w:pPr>
              <w:cnfStyle w:val="100000000000" w:firstRow="1" w:lastRow="0" w:firstColumn="0" w:lastColumn="0" w:oddVBand="0" w:evenVBand="0" w:oddHBand="0" w:evenHBand="0" w:firstRowFirstColumn="0" w:firstRowLastColumn="0" w:lastRowFirstColumn="0" w:lastRowLastColumn="0"/>
            </w:pPr>
          </w:p>
        </w:tc>
        <w:tc>
          <w:tcPr>
            <w:tcW w:w="4536" w:type="dxa"/>
          </w:tcPr>
          <w:p w14:paraId="06479634" w14:textId="64A1A413" w:rsidR="00FE74CB" w:rsidRPr="00FE74CB" w:rsidRDefault="00FE74CB" w:rsidP="00C20E33">
            <w:pPr>
              <w:cnfStyle w:val="100000000000" w:firstRow="1" w:lastRow="0" w:firstColumn="0" w:lastColumn="0" w:oddVBand="0" w:evenVBand="0" w:oddHBand="0" w:evenHBand="0" w:firstRowFirstColumn="0" w:firstRowLastColumn="0" w:lastRowFirstColumn="0" w:lastRowLastColumn="0"/>
            </w:pPr>
          </w:p>
        </w:tc>
      </w:tr>
      <w:tr w:rsidR="0037544B" w:rsidRPr="00FE74CB" w14:paraId="56A5F9C1" w14:textId="77777777" w:rsidTr="00C20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29D04C3" w14:textId="77777777" w:rsidR="0037544B" w:rsidRPr="00FE74CB" w:rsidRDefault="0037544B" w:rsidP="0037544B">
            <w:r w:rsidRPr="00FE74CB">
              <w:t xml:space="preserve">9: Staff training </w:t>
            </w:r>
          </w:p>
          <w:p w14:paraId="3CCC973D" w14:textId="77777777" w:rsidR="0037544B" w:rsidRPr="00D82036" w:rsidRDefault="0037544B" w:rsidP="0037544B">
            <w:pPr>
              <w:rPr>
                <w:b w:val="0"/>
              </w:rPr>
            </w:pPr>
            <w:r w:rsidRPr="00D82036">
              <w:rPr>
                <w:b w:val="0"/>
              </w:rPr>
              <w:t>This measure provides for the training of certain staff in the responsible service of online gambling.</w:t>
            </w:r>
          </w:p>
          <w:p w14:paraId="0FD2D64E" w14:textId="77777777" w:rsidR="0037544B" w:rsidRPr="00FE74CB" w:rsidRDefault="0037544B" w:rsidP="0037544B"/>
          <w:p w14:paraId="17845610" w14:textId="77777777" w:rsidR="0037544B" w:rsidRPr="00FE74CB" w:rsidRDefault="0037544B" w:rsidP="0037544B"/>
        </w:tc>
        <w:tc>
          <w:tcPr>
            <w:tcW w:w="7797" w:type="dxa"/>
          </w:tcPr>
          <w:p w14:paraId="26742B54" w14:textId="77777777" w:rsidR="0037544B" w:rsidRPr="00FE74CB" w:rsidRDefault="0037544B" w:rsidP="0037544B">
            <w:pPr>
              <w:numPr>
                <w:ilvl w:val="0"/>
                <w:numId w:val="68"/>
              </w:numPr>
              <w:cnfStyle w:val="000000100000" w:firstRow="0" w:lastRow="0" w:firstColumn="0" w:lastColumn="0" w:oddVBand="0" w:evenVBand="0" w:oddHBand="1" w:evenHBand="0" w:firstRowFirstColumn="0" w:firstRowLastColumn="0" w:lastRowFirstColumn="0" w:lastRowLastColumn="0"/>
              <w:rPr>
                <w:iCs/>
              </w:rPr>
            </w:pPr>
            <w:r w:rsidRPr="00FE74CB">
              <w:rPr>
                <w:i/>
                <w:iCs/>
              </w:rPr>
              <w:t>All staff involved in the provision of wagering services, or with the capacity to influence the wagering service, must undertake responsible service of gambling training to create a culture of responsible gambling within the organisation.</w:t>
            </w:r>
          </w:p>
          <w:p w14:paraId="51AF09CF" w14:textId="77777777" w:rsidR="0037544B" w:rsidRPr="00FE74CB" w:rsidRDefault="0037544B" w:rsidP="0037544B">
            <w:pPr>
              <w:numPr>
                <w:ilvl w:val="0"/>
                <w:numId w:val="68"/>
              </w:numPr>
              <w:cnfStyle w:val="000000100000" w:firstRow="0" w:lastRow="0" w:firstColumn="0" w:lastColumn="0" w:oddVBand="0" w:evenVBand="0" w:oddHBand="1" w:evenHBand="0" w:firstRowFirstColumn="0" w:firstRowLastColumn="0" w:lastRowFirstColumn="0" w:lastRowLastColumn="0"/>
            </w:pPr>
            <w:r w:rsidRPr="00FE74CB">
              <w:rPr>
                <w:i/>
                <w:iCs/>
              </w:rPr>
              <w:t>Of these staff members, online training program must be undertaken by:</w:t>
            </w:r>
          </w:p>
          <w:p w14:paraId="4318314D" w14:textId="77777777" w:rsidR="0037544B" w:rsidRPr="00FE74CB" w:rsidRDefault="0037544B" w:rsidP="00257172">
            <w:pPr>
              <w:numPr>
                <w:ilvl w:val="0"/>
                <w:numId w:val="69"/>
              </w:numPr>
              <w:ind w:left="641" w:hanging="357"/>
              <w:cnfStyle w:val="000000100000" w:firstRow="0" w:lastRow="0" w:firstColumn="0" w:lastColumn="0" w:oddVBand="0" w:evenVBand="0" w:oddHBand="1" w:evenHBand="0" w:firstRowFirstColumn="0" w:firstRowLastColumn="0" w:lastRowFirstColumn="0" w:lastRowLastColumn="0"/>
              <w:rPr>
                <w:iCs/>
              </w:rPr>
            </w:pPr>
            <w:r w:rsidRPr="00FE74CB">
              <w:rPr>
                <w:i/>
                <w:iCs/>
              </w:rPr>
              <w:t xml:space="preserve">new staff within one month of commencing work with the interactive wagering service provider but before interacting with a customer about, or influencing, the provision of a service </w:t>
            </w:r>
          </w:p>
          <w:p w14:paraId="12282E6B" w14:textId="77777777" w:rsidR="0037544B" w:rsidRPr="00FE74CB" w:rsidRDefault="0037544B" w:rsidP="00257172">
            <w:pPr>
              <w:numPr>
                <w:ilvl w:val="0"/>
                <w:numId w:val="69"/>
              </w:numPr>
              <w:ind w:left="641" w:hanging="357"/>
              <w:cnfStyle w:val="000000100000" w:firstRow="0" w:lastRow="0" w:firstColumn="0" w:lastColumn="0" w:oddVBand="0" w:evenVBand="0" w:oddHBand="1" w:evenHBand="0" w:firstRowFirstColumn="0" w:firstRowLastColumn="0" w:lastRowFirstColumn="0" w:lastRowLastColumn="0"/>
              <w:rPr>
                <w:iCs/>
              </w:rPr>
            </w:pPr>
            <w:r w:rsidRPr="00FE74CB">
              <w:rPr>
                <w:i/>
                <w:iCs/>
              </w:rPr>
              <w:t>existing staff within 6 months of the online training program coming into effect.</w:t>
            </w:r>
          </w:p>
          <w:p w14:paraId="2A897160" w14:textId="77777777" w:rsidR="0037544B" w:rsidRPr="00FE74CB" w:rsidRDefault="0037544B" w:rsidP="0037544B">
            <w:pPr>
              <w:numPr>
                <w:ilvl w:val="0"/>
                <w:numId w:val="68"/>
              </w:numPr>
              <w:cnfStyle w:val="000000100000" w:firstRow="0" w:lastRow="0" w:firstColumn="0" w:lastColumn="0" w:oddVBand="0" w:evenVBand="0" w:oddHBand="1" w:evenHBand="0" w:firstRowFirstColumn="0" w:firstRowLastColumn="0" w:lastRowFirstColumn="0" w:lastRowLastColumn="0"/>
              <w:rPr>
                <w:iCs/>
              </w:rPr>
            </w:pPr>
            <w:r w:rsidRPr="00FE74CB">
              <w:rPr>
                <w:i/>
                <w:iCs/>
              </w:rPr>
              <w:t>All staff who have undertaken the approved online training program must undertake an annual refresher training course to refresh content knowledge and information on any recent changes in consumer protection and/or gambling harm.</w:t>
            </w:r>
          </w:p>
          <w:p w14:paraId="20E61345" w14:textId="75CF33AF" w:rsidR="0037544B" w:rsidRPr="00FE74CB" w:rsidRDefault="0037544B" w:rsidP="0037544B">
            <w:pPr>
              <w:numPr>
                <w:ilvl w:val="0"/>
                <w:numId w:val="68"/>
              </w:numPr>
              <w:cnfStyle w:val="000000100000" w:firstRow="0" w:lastRow="0" w:firstColumn="0" w:lastColumn="0" w:oddVBand="0" w:evenVBand="0" w:oddHBand="1" w:evenHBand="0" w:firstRowFirstColumn="0" w:firstRowLastColumn="0" w:lastRowFirstColumn="0" w:lastRowLastColumn="0"/>
            </w:pPr>
            <w:r w:rsidRPr="00FE74CB">
              <w:rPr>
                <w:i/>
                <w:iCs/>
              </w:rPr>
              <w:t>The approved online training program (including refresher training course) must be industry funded.</w:t>
            </w:r>
          </w:p>
        </w:tc>
        <w:tc>
          <w:tcPr>
            <w:tcW w:w="4536" w:type="dxa"/>
          </w:tcPr>
          <w:p w14:paraId="28FEA92D" w14:textId="77777777" w:rsidR="0037544B" w:rsidRPr="00FE74CB" w:rsidRDefault="0037544B" w:rsidP="0037544B">
            <w:pPr>
              <w:cnfStyle w:val="000000100000" w:firstRow="0" w:lastRow="0" w:firstColumn="0" w:lastColumn="0" w:oddVBand="0" w:evenVBand="0" w:oddHBand="1" w:evenHBand="0" w:firstRowFirstColumn="0" w:firstRowLastColumn="0" w:lastRowFirstColumn="0" w:lastRowLastColumn="0"/>
            </w:pPr>
            <w:r w:rsidRPr="00FE74CB">
              <w:t>State and territory governments will enact this measure through existing laws, regulations, and licenses.</w:t>
            </w:r>
          </w:p>
          <w:p w14:paraId="4CACECB4" w14:textId="77777777" w:rsidR="0037544B" w:rsidRPr="00FE74CB" w:rsidRDefault="0037544B" w:rsidP="0037544B">
            <w:pPr>
              <w:cnfStyle w:val="000000100000" w:firstRow="0" w:lastRow="0" w:firstColumn="0" w:lastColumn="0" w:oddVBand="0" w:evenVBand="0" w:oddHBand="1" w:evenHBand="0" w:firstRowFirstColumn="0" w:firstRowLastColumn="0" w:lastRowFirstColumn="0" w:lastRowLastColumn="0"/>
            </w:pPr>
            <w:r w:rsidRPr="00FE74CB">
              <w:t xml:space="preserve">The Commonwealth is facilitating the development of an online national training competency which will be completed within </w:t>
            </w:r>
            <w:r w:rsidRPr="00FE74CB">
              <w:rPr>
                <w:b/>
              </w:rPr>
              <w:t>12 months</w:t>
            </w:r>
            <w:r w:rsidRPr="00FE74CB">
              <w:t xml:space="preserve"> from the commencement of the National Framework.</w:t>
            </w:r>
          </w:p>
          <w:p w14:paraId="21018890" w14:textId="77777777" w:rsidR="0037544B" w:rsidRPr="00FE74CB" w:rsidRDefault="0037544B" w:rsidP="0037544B">
            <w:pPr>
              <w:cnfStyle w:val="000000100000" w:firstRow="0" w:lastRow="0" w:firstColumn="0" w:lastColumn="0" w:oddVBand="0" w:evenVBand="0" w:oddHBand="1" w:evenHBand="0" w:firstRowFirstColumn="0" w:firstRowLastColumn="0" w:lastRowFirstColumn="0" w:lastRowLastColumn="0"/>
            </w:pPr>
            <w:r w:rsidRPr="00FE74CB">
              <w:t xml:space="preserve">This measure takes effect </w:t>
            </w:r>
            <w:r w:rsidRPr="00FE74CB">
              <w:rPr>
                <w:b/>
              </w:rPr>
              <w:t>6 months</w:t>
            </w:r>
            <w:r w:rsidRPr="00FE74CB">
              <w:t xml:space="preserve"> following the completion of an online national training competency.  </w:t>
            </w:r>
          </w:p>
          <w:p w14:paraId="09D1F4B8" w14:textId="77777777" w:rsidR="0037544B" w:rsidRPr="00FE74CB" w:rsidRDefault="0037544B" w:rsidP="0037544B">
            <w:pPr>
              <w:cnfStyle w:val="000000100000" w:firstRow="0" w:lastRow="0" w:firstColumn="0" w:lastColumn="0" w:oddVBand="0" w:evenVBand="0" w:oddHBand="1" w:evenHBand="0" w:firstRowFirstColumn="0" w:firstRowLastColumn="0" w:lastRowFirstColumn="0" w:lastRowLastColumn="0"/>
            </w:pPr>
          </w:p>
        </w:tc>
      </w:tr>
    </w:tbl>
    <w:p w14:paraId="386B42D2" w14:textId="77777777" w:rsidR="00C20E33" w:rsidRDefault="00FE74CB" w:rsidP="00FE74CB">
      <w:pPr>
        <w:pStyle w:val="Subtitle"/>
      </w:pPr>
      <w:r w:rsidRPr="00FE74CB">
        <w:t xml:space="preserve">National Consumer Protection Framework - National Policy Statement: </w:t>
      </w:r>
    </w:p>
    <w:p w14:paraId="05EF46BD" w14:textId="77777777" w:rsidR="00FE74CB" w:rsidRDefault="00FE74CB" w:rsidP="00FE74CB">
      <w:pPr>
        <w:pStyle w:val="Subtitle"/>
      </w:pPr>
      <w:r w:rsidRPr="00FE74CB">
        <w:t>9. Staff Training.</w:t>
      </w:r>
    </w:p>
    <w:p w14:paraId="477968F9" w14:textId="77777777" w:rsidR="00FE74CB" w:rsidRDefault="00FE74CB" w:rsidP="00E62666"/>
    <w:p w14:paraId="450FF1A5" w14:textId="77777777" w:rsidR="00FE74CB" w:rsidRDefault="00FE74CB" w:rsidP="00E62666">
      <w:pPr>
        <w:sectPr w:rsidR="00FE74CB" w:rsidSect="00FE74CB">
          <w:pgSz w:w="16838" w:h="11906" w:orient="landscape" w:code="9"/>
          <w:pgMar w:top="720" w:right="720" w:bottom="720" w:left="720" w:header="0" w:footer="471" w:gutter="0"/>
          <w:cols w:space="708"/>
          <w:titlePg/>
          <w:docGrid w:linePitch="360"/>
        </w:sectPr>
      </w:pPr>
    </w:p>
    <w:p w14:paraId="0FB62A13" w14:textId="77777777" w:rsidR="00FE74CB" w:rsidRDefault="00FE74CB" w:rsidP="00FE74CB">
      <w:pPr>
        <w:pStyle w:val="Subtitle"/>
        <w:spacing w:after="360"/>
      </w:pPr>
      <w:r w:rsidRPr="00FE74CB">
        <w:lastRenderedPageBreak/>
        <w:t>Independent Review Guidelines</w:t>
      </w:r>
    </w:p>
    <w:p w14:paraId="5A78DA4A" w14:textId="77777777" w:rsidR="00FE74CB" w:rsidRPr="00FE74CB" w:rsidRDefault="00FE74CB" w:rsidP="00FE74CB">
      <w:pPr>
        <w:spacing w:before="0" w:after="200" w:line="276" w:lineRule="auto"/>
        <w:rPr>
          <w:rFonts w:ascii="Georgia" w:eastAsia="Calibri" w:hAnsi="Georgia"/>
          <w:b/>
          <w:spacing w:val="0"/>
          <w:sz w:val="22"/>
          <w:szCs w:val="22"/>
          <w:lang w:eastAsia="en-US"/>
        </w:rPr>
      </w:pPr>
      <w:r w:rsidRPr="00FE74CB">
        <w:rPr>
          <w:rFonts w:ascii="Georgia" w:eastAsia="Calibri" w:hAnsi="Georgia"/>
          <w:b/>
          <w:spacing w:val="0"/>
          <w:sz w:val="22"/>
          <w:szCs w:val="22"/>
          <w:lang w:eastAsia="en-US"/>
        </w:rPr>
        <w:t>Independent review reporting guidelines</w:t>
      </w:r>
    </w:p>
    <w:tbl>
      <w:tblPr>
        <w:tblStyle w:val="ListTable3-Accent4"/>
        <w:tblW w:w="0" w:type="auto"/>
        <w:tblBorders>
          <w:insideH w:val="single" w:sz="4" w:space="0" w:color="005A70" w:themeColor="accent4"/>
          <w:insideV w:val="single" w:sz="4" w:space="0" w:color="005A70" w:themeColor="accent4"/>
        </w:tblBorders>
        <w:tblLook w:val="04A0" w:firstRow="1" w:lastRow="0" w:firstColumn="1" w:lastColumn="0" w:noHBand="0" w:noVBand="1"/>
        <w:tblCaption w:val="blank table"/>
        <w:tblDescription w:val="Blank table to complete Independent review reporting guidelines"/>
      </w:tblPr>
      <w:tblGrid>
        <w:gridCol w:w="3820"/>
        <w:gridCol w:w="1542"/>
        <w:gridCol w:w="1560"/>
        <w:gridCol w:w="1430"/>
        <w:gridCol w:w="1375"/>
        <w:gridCol w:w="1328"/>
        <w:gridCol w:w="2003"/>
        <w:gridCol w:w="1524"/>
      </w:tblGrid>
      <w:tr w:rsidR="00FE74CB" w:rsidRPr="00FE74CB" w14:paraId="6C26F8A6" w14:textId="77777777" w:rsidTr="00B741E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5299" w:type="dxa"/>
            <w:gridSpan w:val="8"/>
            <w:tcBorders>
              <w:bottom w:val="none" w:sz="0" w:space="0" w:color="auto"/>
              <w:right w:val="none" w:sz="0" w:space="0" w:color="auto"/>
            </w:tcBorders>
          </w:tcPr>
          <w:p w14:paraId="695B3C58" w14:textId="77777777" w:rsidR="00FE74CB" w:rsidRPr="00FE74CB" w:rsidRDefault="00FE74CB" w:rsidP="00FE74CB">
            <w:pPr>
              <w:spacing w:before="0" w:after="200" w:line="276" w:lineRule="auto"/>
              <w:jc w:val="center"/>
              <w:rPr>
                <w:rFonts w:ascii="Georgia" w:hAnsi="Georgia"/>
                <w:spacing w:val="0"/>
                <w:sz w:val="22"/>
                <w:szCs w:val="22"/>
              </w:rPr>
            </w:pPr>
            <w:r w:rsidRPr="00FE74CB">
              <w:rPr>
                <w:rFonts w:ascii="Georgia" w:hAnsi="Georgia"/>
                <w:spacing w:val="0"/>
                <w:sz w:val="22"/>
                <w:szCs w:val="22"/>
              </w:rPr>
              <w:t>Online wagering service provider details</w:t>
            </w:r>
          </w:p>
        </w:tc>
      </w:tr>
      <w:tr w:rsidR="00FE74CB" w:rsidRPr="00FE74CB" w14:paraId="3536AECD" w14:textId="77777777" w:rsidTr="00FE74C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0" w:type="dxa"/>
            <w:tcBorders>
              <w:top w:val="none" w:sz="0" w:space="0" w:color="auto"/>
              <w:bottom w:val="none" w:sz="0" w:space="0" w:color="auto"/>
              <w:right w:val="none" w:sz="0" w:space="0" w:color="auto"/>
            </w:tcBorders>
            <w:shd w:val="clear" w:color="auto" w:fill="005A70" w:themeFill="accent4"/>
          </w:tcPr>
          <w:p w14:paraId="2E1DDBBC"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Provider name:</w:t>
            </w:r>
          </w:p>
        </w:tc>
        <w:tc>
          <w:tcPr>
            <w:tcW w:w="11299" w:type="dxa"/>
            <w:gridSpan w:val="7"/>
            <w:tcBorders>
              <w:top w:val="none" w:sz="0" w:space="0" w:color="auto"/>
              <w:bottom w:val="none" w:sz="0" w:space="0" w:color="auto"/>
            </w:tcBorders>
          </w:tcPr>
          <w:p w14:paraId="4A8396A2"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r>
      <w:tr w:rsidR="00FE74CB" w:rsidRPr="00FE74CB" w14:paraId="6932F8A6" w14:textId="77777777" w:rsidTr="00FE74CB">
        <w:trPr>
          <w:trHeight w:val="991"/>
        </w:trPr>
        <w:tc>
          <w:tcPr>
            <w:cnfStyle w:val="001000000000" w:firstRow="0" w:lastRow="0" w:firstColumn="1" w:lastColumn="0" w:oddVBand="0" w:evenVBand="0" w:oddHBand="0" w:evenHBand="0" w:firstRowFirstColumn="0" w:firstRowLastColumn="0" w:lastRowFirstColumn="0" w:lastRowLastColumn="0"/>
            <w:tcW w:w="4000" w:type="dxa"/>
            <w:tcBorders>
              <w:right w:val="none" w:sz="0" w:space="0" w:color="auto"/>
            </w:tcBorders>
            <w:shd w:val="clear" w:color="auto" w:fill="005A70" w:themeFill="accent4"/>
          </w:tcPr>
          <w:p w14:paraId="0DDCC22C"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 xml:space="preserve">Contact details of person responsible for the development of staff training materials: </w:t>
            </w:r>
          </w:p>
        </w:tc>
        <w:tc>
          <w:tcPr>
            <w:tcW w:w="11299" w:type="dxa"/>
            <w:gridSpan w:val="7"/>
          </w:tcPr>
          <w:p w14:paraId="6911C156"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spacing w:val="0"/>
                <w:sz w:val="22"/>
                <w:szCs w:val="22"/>
              </w:rPr>
            </w:pPr>
          </w:p>
        </w:tc>
      </w:tr>
      <w:tr w:rsidR="00FE74CB" w:rsidRPr="00FE74CB" w14:paraId="1B7AB8BE" w14:textId="77777777" w:rsidTr="00FE74CB">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4000" w:type="dxa"/>
            <w:tcBorders>
              <w:top w:val="none" w:sz="0" w:space="0" w:color="auto"/>
              <w:bottom w:val="none" w:sz="0" w:space="0" w:color="auto"/>
              <w:right w:val="none" w:sz="0" w:space="0" w:color="auto"/>
            </w:tcBorders>
            <w:shd w:val="clear" w:color="auto" w:fill="005A70" w:themeFill="accent4"/>
          </w:tcPr>
          <w:p w14:paraId="6379F489"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Date of previous independent review of staff training materials (if applicable).</w:t>
            </w:r>
          </w:p>
        </w:tc>
        <w:tc>
          <w:tcPr>
            <w:tcW w:w="11299" w:type="dxa"/>
            <w:gridSpan w:val="7"/>
            <w:tcBorders>
              <w:top w:val="none" w:sz="0" w:space="0" w:color="auto"/>
              <w:bottom w:val="none" w:sz="0" w:space="0" w:color="auto"/>
            </w:tcBorders>
          </w:tcPr>
          <w:p w14:paraId="58A70BC0"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r>
      <w:tr w:rsidR="00FE74CB" w:rsidRPr="00FE74CB" w14:paraId="74F6A350" w14:textId="77777777" w:rsidTr="00FE74CB">
        <w:trPr>
          <w:trHeight w:val="1003"/>
        </w:trPr>
        <w:tc>
          <w:tcPr>
            <w:cnfStyle w:val="001000000000" w:firstRow="0" w:lastRow="0" w:firstColumn="1" w:lastColumn="0" w:oddVBand="0" w:evenVBand="0" w:oddHBand="0" w:evenHBand="0" w:firstRowFirstColumn="0" w:firstRowLastColumn="0" w:lastRowFirstColumn="0" w:lastRowLastColumn="0"/>
            <w:tcW w:w="4000" w:type="dxa"/>
            <w:tcBorders>
              <w:right w:val="none" w:sz="0" w:space="0" w:color="auto"/>
            </w:tcBorders>
            <w:shd w:val="clear" w:color="auto" w:fill="005A70" w:themeFill="accent4"/>
          </w:tcPr>
          <w:p w14:paraId="4E0E0B64"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 xml:space="preserve">Have there been any updates to this training material since the last independent review? </w:t>
            </w:r>
          </w:p>
        </w:tc>
        <w:tc>
          <w:tcPr>
            <w:tcW w:w="11299" w:type="dxa"/>
            <w:gridSpan w:val="7"/>
          </w:tcPr>
          <w:p w14:paraId="0BD7E847"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spacing w:val="0"/>
                <w:sz w:val="22"/>
                <w:szCs w:val="22"/>
              </w:rPr>
            </w:pPr>
          </w:p>
        </w:tc>
      </w:tr>
      <w:tr w:rsidR="00FE74CB" w:rsidRPr="00FE74CB" w14:paraId="7F642AE5" w14:textId="77777777" w:rsidTr="00FE74C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000" w:type="dxa"/>
            <w:tcBorders>
              <w:top w:val="none" w:sz="0" w:space="0" w:color="auto"/>
              <w:bottom w:val="none" w:sz="0" w:space="0" w:color="auto"/>
              <w:right w:val="none" w:sz="0" w:space="0" w:color="auto"/>
            </w:tcBorders>
            <w:shd w:val="clear" w:color="auto" w:fill="005A70" w:themeFill="accent4"/>
          </w:tcPr>
          <w:p w14:paraId="34E424C1"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 xml:space="preserve">Are the materials presented for review the same as those undertaken by new and existing staff within your organisation? </w:t>
            </w:r>
          </w:p>
        </w:tc>
        <w:tc>
          <w:tcPr>
            <w:tcW w:w="11299" w:type="dxa"/>
            <w:gridSpan w:val="7"/>
            <w:tcBorders>
              <w:top w:val="none" w:sz="0" w:space="0" w:color="auto"/>
              <w:bottom w:val="none" w:sz="0" w:space="0" w:color="auto"/>
            </w:tcBorders>
          </w:tcPr>
          <w:p w14:paraId="2F62E126"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r>
      <w:tr w:rsidR="00FE74CB" w:rsidRPr="00FE74CB" w14:paraId="175B0E33" w14:textId="77777777" w:rsidTr="00FE74CB">
        <w:trPr>
          <w:trHeight w:val="435"/>
        </w:trPr>
        <w:tc>
          <w:tcPr>
            <w:cnfStyle w:val="001000000000" w:firstRow="0" w:lastRow="0" w:firstColumn="1" w:lastColumn="0" w:oddVBand="0" w:evenVBand="0" w:oddHBand="0" w:evenHBand="0" w:firstRowFirstColumn="0" w:firstRowLastColumn="0" w:lastRowFirstColumn="0" w:lastRowLastColumn="0"/>
            <w:tcW w:w="4000" w:type="dxa"/>
            <w:tcBorders>
              <w:right w:val="none" w:sz="0" w:space="0" w:color="auto"/>
            </w:tcBorders>
            <w:shd w:val="clear" w:color="auto" w:fill="005A70" w:themeFill="accent4"/>
          </w:tcPr>
          <w:p w14:paraId="40CE86F5"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Number of staff members who undertook training</w:t>
            </w:r>
          </w:p>
        </w:tc>
        <w:tc>
          <w:tcPr>
            <w:tcW w:w="1646" w:type="dxa"/>
          </w:tcPr>
          <w:p w14:paraId="4E1C30E8"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spacing w:val="0"/>
                <w:sz w:val="22"/>
                <w:szCs w:val="22"/>
              </w:rPr>
            </w:pPr>
          </w:p>
        </w:tc>
        <w:tc>
          <w:tcPr>
            <w:tcW w:w="1606" w:type="dxa"/>
            <w:shd w:val="clear" w:color="auto" w:fill="005A70" w:themeFill="accent4"/>
          </w:tcPr>
          <w:p w14:paraId="2A8D0E32"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1</w:t>
            </w:r>
            <w:r w:rsidRPr="00FE74CB">
              <w:rPr>
                <w:rFonts w:ascii="Georgia" w:hAnsi="Georgia"/>
                <w:color w:val="FFFFFF" w:themeColor="background1"/>
                <w:spacing w:val="0"/>
                <w:sz w:val="22"/>
                <w:szCs w:val="22"/>
                <w:vertAlign w:val="superscript"/>
              </w:rPr>
              <w:t>st</w:t>
            </w:r>
            <w:r w:rsidRPr="00FE74CB">
              <w:rPr>
                <w:rFonts w:ascii="Georgia" w:hAnsi="Georgia"/>
                <w:color w:val="FFFFFF" w:themeColor="background1"/>
                <w:spacing w:val="0"/>
                <w:sz w:val="22"/>
                <w:szCs w:val="22"/>
              </w:rPr>
              <w:t xml:space="preserve"> attempt pass rate (%)</w:t>
            </w:r>
          </w:p>
        </w:tc>
        <w:tc>
          <w:tcPr>
            <w:tcW w:w="1526" w:type="dxa"/>
          </w:tcPr>
          <w:p w14:paraId="00666CCF"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spacing w:val="0"/>
                <w:sz w:val="22"/>
                <w:szCs w:val="22"/>
              </w:rPr>
            </w:pPr>
          </w:p>
        </w:tc>
        <w:tc>
          <w:tcPr>
            <w:tcW w:w="1406" w:type="dxa"/>
            <w:shd w:val="clear" w:color="auto" w:fill="005A70" w:themeFill="accent4"/>
          </w:tcPr>
          <w:p w14:paraId="7468F01A"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1</w:t>
            </w:r>
            <w:r w:rsidRPr="00FE74CB">
              <w:rPr>
                <w:rFonts w:ascii="Georgia" w:hAnsi="Georgia"/>
                <w:color w:val="FFFFFF" w:themeColor="background1"/>
                <w:spacing w:val="0"/>
                <w:sz w:val="22"/>
                <w:szCs w:val="22"/>
                <w:vertAlign w:val="superscript"/>
              </w:rPr>
              <w:t>st</w:t>
            </w:r>
            <w:r w:rsidRPr="00FE74CB">
              <w:rPr>
                <w:rFonts w:ascii="Georgia" w:hAnsi="Georgia"/>
                <w:color w:val="FFFFFF" w:themeColor="background1"/>
                <w:spacing w:val="0"/>
                <w:sz w:val="22"/>
                <w:szCs w:val="22"/>
              </w:rPr>
              <w:t xml:space="preserve"> attempt fail rate (%)</w:t>
            </w:r>
          </w:p>
        </w:tc>
        <w:tc>
          <w:tcPr>
            <w:tcW w:w="1416" w:type="dxa"/>
          </w:tcPr>
          <w:p w14:paraId="78D00A68"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spacing w:val="0"/>
                <w:sz w:val="22"/>
                <w:szCs w:val="22"/>
              </w:rPr>
            </w:pPr>
          </w:p>
        </w:tc>
        <w:tc>
          <w:tcPr>
            <w:tcW w:w="2072" w:type="dxa"/>
            <w:shd w:val="clear" w:color="auto" w:fill="005A70" w:themeFill="accent4"/>
          </w:tcPr>
          <w:p w14:paraId="602C34D6"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 xml:space="preserve">Number requiring second attempt </w:t>
            </w:r>
          </w:p>
        </w:tc>
        <w:tc>
          <w:tcPr>
            <w:tcW w:w="1627" w:type="dxa"/>
          </w:tcPr>
          <w:p w14:paraId="1AF3D5BA"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spacing w:val="0"/>
                <w:sz w:val="22"/>
                <w:szCs w:val="22"/>
              </w:rPr>
            </w:pPr>
          </w:p>
        </w:tc>
      </w:tr>
      <w:tr w:rsidR="00FE74CB" w:rsidRPr="00FE74CB" w14:paraId="73046319" w14:textId="77777777" w:rsidTr="00FE74CB">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4000" w:type="dxa"/>
            <w:tcBorders>
              <w:top w:val="none" w:sz="0" w:space="0" w:color="auto"/>
              <w:bottom w:val="none" w:sz="0" w:space="0" w:color="auto"/>
              <w:right w:val="none" w:sz="0" w:space="0" w:color="auto"/>
            </w:tcBorders>
            <w:shd w:val="clear" w:color="auto" w:fill="005A70" w:themeFill="accent4"/>
          </w:tcPr>
          <w:p w14:paraId="1B3C74E6"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Number of staff members who undertook refresher training</w:t>
            </w:r>
          </w:p>
        </w:tc>
        <w:tc>
          <w:tcPr>
            <w:tcW w:w="1646" w:type="dxa"/>
            <w:tcBorders>
              <w:top w:val="none" w:sz="0" w:space="0" w:color="auto"/>
              <w:bottom w:val="none" w:sz="0" w:space="0" w:color="auto"/>
            </w:tcBorders>
          </w:tcPr>
          <w:p w14:paraId="795D6222"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c>
          <w:tcPr>
            <w:tcW w:w="1606" w:type="dxa"/>
            <w:tcBorders>
              <w:top w:val="none" w:sz="0" w:space="0" w:color="auto"/>
              <w:bottom w:val="none" w:sz="0" w:space="0" w:color="auto"/>
            </w:tcBorders>
            <w:shd w:val="clear" w:color="auto" w:fill="005A70" w:themeFill="accent4"/>
          </w:tcPr>
          <w:p w14:paraId="0E8AB69A"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1</w:t>
            </w:r>
            <w:r w:rsidRPr="00FE74CB">
              <w:rPr>
                <w:rFonts w:ascii="Georgia" w:hAnsi="Georgia"/>
                <w:color w:val="FFFFFF" w:themeColor="background1"/>
                <w:spacing w:val="0"/>
                <w:sz w:val="22"/>
                <w:szCs w:val="22"/>
                <w:vertAlign w:val="superscript"/>
              </w:rPr>
              <w:t>st</w:t>
            </w:r>
            <w:r w:rsidRPr="00FE74CB">
              <w:rPr>
                <w:rFonts w:ascii="Georgia" w:hAnsi="Georgia"/>
                <w:color w:val="FFFFFF" w:themeColor="background1"/>
                <w:spacing w:val="0"/>
                <w:sz w:val="22"/>
                <w:szCs w:val="22"/>
              </w:rPr>
              <w:t xml:space="preserve"> attempt pass rate (%)</w:t>
            </w:r>
          </w:p>
        </w:tc>
        <w:tc>
          <w:tcPr>
            <w:tcW w:w="1526" w:type="dxa"/>
            <w:tcBorders>
              <w:top w:val="none" w:sz="0" w:space="0" w:color="auto"/>
              <w:bottom w:val="none" w:sz="0" w:space="0" w:color="auto"/>
            </w:tcBorders>
          </w:tcPr>
          <w:p w14:paraId="7A8BFC59"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c>
          <w:tcPr>
            <w:tcW w:w="1406" w:type="dxa"/>
            <w:tcBorders>
              <w:top w:val="none" w:sz="0" w:space="0" w:color="auto"/>
              <w:bottom w:val="none" w:sz="0" w:space="0" w:color="auto"/>
            </w:tcBorders>
            <w:shd w:val="clear" w:color="auto" w:fill="005A70" w:themeFill="accent4"/>
          </w:tcPr>
          <w:p w14:paraId="675CCA55"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1</w:t>
            </w:r>
            <w:r w:rsidRPr="00FE74CB">
              <w:rPr>
                <w:rFonts w:ascii="Georgia" w:hAnsi="Georgia"/>
                <w:color w:val="FFFFFF" w:themeColor="background1"/>
                <w:spacing w:val="0"/>
                <w:sz w:val="22"/>
                <w:szCs w:val="22"/>
                <w:vertAlign w:val="superscript"/>
              </w:rPr>
              <w:t>st</w:t>
            </w:r>
            <w:r w:rsidRPr="00FE74CB">
              <w:rPr>
                <w:rFonts w:ascii="Georgia" w:hAnsi="Georgia"/>
                <w:color w:val="FFFFFF" w:themeColor="background1"/>
                <w:spacing w:val="0"/>
                <w:sz w:val="22"/>
                <w:szCs w:val="22"/>
              </w:rPr>
              <w:t xml:space="preserve"> attempt fail rate (%)</w:t>
            </w:r>
          </w:p>
        </w:tc>
        <w:tc>
          <w:tcPr>
            <w:tcW w:w="1416" w:type="dxa"/>
            <w:tcBorders>
              <w:top w:val="none" w:sz="0" w:space="0" w:color="auto"/>
              <w:bottom w:val="none" w:sz="0" w:space="0" w:color="auto"/>
            </w:tcBorders>
          </w:tcPr>
          <w:p w14:paraId="6DCAFD36"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c>
          <w:tcPr>
            <w:tcW w:w="2072" w:type="dxa"/>
            <w:tcBorders>
              <w:top w:val="none" w:sz="0" w:space="0" w:color="auto"/>
              <w:bottom w:val="none" w:sz="0" w:space="0" w:color="auto"/>
            </w:tcBorders>
            <w:shd w:val="clear" w:color="auto" w:fill="005A70" w:themeFill="accent4"/>
          </w:tcPr>
          <w:p w14:paraId="1F60F4C2"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Number requiring second attempt</w:t>
            </w:r>
          </w:p>
        </w:tc>
        <w:tc>
          <w:tcPr>
            <w:tcW w:w="1627" w:type="dxa"/>
            <w:tcBorders>
              <w:top w:val="none" w:sz="0" w:space="0" w:color="auto"/>
              <w:bottom w:val="none" w:sz="0" w:space="0" w:color="auto"/>
            </w:tcBorders>
          </w:tcPr>
          <w:p w14:paraId="659A7EEE"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r>
      <w:tr w:rsidR="00FE74CB" w:rsidRPr="00FE74CB" w14:paraId="0C746A18" w14:textId="77777777" w:rsidTr="00FE74CB">
        <w:trPr>
          <w:gridAfter w:val="6"/>
          <w:wAfter w:w="9653" w:type="dxa"/>
          <w:trHeight w:val="627"/>
        </w:trPr>
        <w:tc>
          <w:tcPr>
            <w:cnfStyle w:val="001000000000" w:firstRow="0" w:lastRow="0" w:firstColumn="1" w:lastColumn="0" w:oddVBand="0" w:evenVBand="0" w:oddHBand="0" w:evenHBand="0" w:firstRowFirstColumn="0" w:firstRowLastColumn="0" w:lastRowFirstColumn="0" w:lastRowLastColumn="0"/>
            <w:tcW w:w="4000" w:type="dxa"/>
            <w:tcBorders>
              <w:right w:val="none" w:sz="0" w:space="0" w:color="auto"/>
            </w:tcBorders>
            <w:shd w:val="clear" w:color="auto" w:fill="005A70" w:themeFill="accent4"/>
          </w:tcPr>
          <w:p w14:paraId="0A5AB2D7"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t>Number of staff members who were required to undertake training</w:t>
            </w:r>
          </w:p>
        </w:tc>
        <w:tc>
          <w:tcPr>
            <w:tcW w:w="1646" w:type="dxa"/>
          </w:tcPr>
          <w:p w14:paraId="548BA637" w14:textId="77777777" w:rsidR="00FE74CB" w:rsidRPr="00FE74CB" w:rsidRDefault="00FE74CB" w:rsidP="00FE74CB">
            <w:pPr>
              <w:spacing w:before="0" w:after="200" w:line="276" w:lineRule="auto"/>
              <w:cnfStyle w:val="000000000000" w:firstRow="0" w:lastRow="0" w:firstColumn="0" w:lastColumn="0" w:oddVBand="0" w:evenVBand="0" w:oddHBand="0" w:evenHBand="0" w:firstRowFirstColumn="0" w:firstRowLastColumn="0" w:lastRowFirstColumn="0" w:lastRowLastColumn="0"/>
              <w:rPr>
                <w:rFonts w:ascii="Georgia" w:hAnsi="Georgia"/>
                <w:spacing w:val="0"/>
                <w:sz w:val="22"/>
                <w:szCs w:val="22"/>
              </w:rPr>
            </w:pPr>
          </w:p>
        </w:tc>
      </w:tr>
      <w:tr w:rsidR="00FE74CB" w:rsidRPr="00FE74CB" w14:paraId="04132443" w14:textId="77777777" w:rsidTr="00FE74CB">
        <w:trPr>
          <w:gridAfter w:val="6"/>
          <w:cnfStyle w:val="000000100000" w:firstRow="0" w:lastRow="0" w:firstColumn="0" w:lastColumn="0" w:oddVBand="0" w:evenVBand="0" w:oddHBand="1" w:evenHBand="0" w:firstRowFirstColumn="0" w:firstRowLastColumn="0" w:lastRowFirstColumn="0" w:lastRowLastColumn="0"/>
          <w:wAfter w:w="9653" w:type="dxa"/>
          <w:trHeight w:val="627"/>
        </w:trPr>
        <w:tc>
          <w:tcPr>
            <w:cnfStyle w:val="001000000000" w:firstRow="0" w:lastRow="0" w:firstColumn="1" w:lastColumn="0" w:oddVBand="0" w:evenVBand="0" w:oddHBand="0" w:evenHBand="0" w:firstRowFirstColumn="0" w:firstRowLastColumn="0" w:lastRowFirstColumn="0" w:lastRowLastColumn="0"/>
            <w:tcW w:w="4000" w:type="dxa"/>
            <w:tcBorders>
              <w:top w:val="none" w:sz="0" w:space="0" w:color="auto"/>
              <w:bottom w:val="none" w:sz="0" w:space="0" w:color="auto"/>
              <w:right w:val="none" w:sz="0" w:space="0" w:color="auto"/>
            </w:tcBorders>
            <w:shd w:val="clear" w:color="auto" w:fill="005A70" w:themeFill="accent4"/>
          </w:tcPr>
          <w:p w14:paraId="6916D396" w14:textId="77777777" w:rsidR="00FE74CB" w:rsidRPr="00FE74CB" w:rsidRDefault="00FE74CB" w:rsidP="00FE74CB">
            <w:pPr>
              <w:spacing w:before="0" w:after="200" w:line="276" w:lineRule="auto"/>
              <w:jc w:val="right"/>
              <w:rPr>
                <w:rFonts w:ascii="Georgia" w:hAnsi="Georgia"/>
                <w:b w:val="0"/>
                <w:color w:val="FFFFFF" w:themeColor="background1"/>
                <w:spacing w:val="0"/>
                <w:sz w:val="22"/>
                <w:szCs w:val="22"/>
              </w:rPr>
            </w:pPr>
            <w:r w:rsidRPr="00FE74CB">
              <w:rPr>
                <w:rFonts w:ascii="Georgia" w:hAnsi="Georgia"/>
                <w:b w:val="0"/>
                <w:color w:val="FFFFFF" w:themeColor="background1"/>
                <w:spacing w:val="0"/>
                <w:sz w:val="22"/>
                <w:szCs w:val="22"/>
              </w:rPr>
              <w:lastRenderedPageBreak/>
              <w:t>Number of staff members who were required to undertake refresher training</w:t>
            </w:r>
          </w:p>
        </w:tc>
        <w:tc>
          <w:tcPr>
            <w:tcW w:w="1646" w:type="dxa"/>
            <w:tcBorders>
              <w:top w:val="none" w:sz="0" w:space="0" w:color="auto"/>
              <w:bottom w:val="none" w:sz="0" w:space="0" w:color="auto"/>
            </w:tcBorders>
          </w:tcPr>
          <w:p w14:paraId="2BC01C87" w14:textId="77777777" w:rsidR="00FE74CB" w:rsidRPr="00FE74CB" w:rsidRDefault="00FE74CB" w:rsidP="00FE74CB">
            <w:pPr>
              <w:spacing w:before="0" w:after="200" w:line="276" w:lineRule="auto"/>
              <w:cnfStyle w:val="000000100000" w:firstRow="0" w:lastRow="0" w:firstColumn="0" w:lastColumn="0" w:oddVBand="0" w:evenVBand="0" w:oddHBand="1" w:evenHBand="0" w:firstRowFirstColumn="0" w:firstRowLastColumn="0" w:lastRowFirstColumn="0" w:lastRowLastColumn="0"/>
              <w:rPr>
                <w:rFonts w:ascii="Georgia" w:hAnsi="Georgia"/>
                <w:spacing w:val="0"/>
                <w:sz w:val="22"/>
                <w:szCs w:val="22"/>
              </w:rPr>
            </w:pPr>
          </w:p>
        </w:tc>
      </w:tr>
    </w:tbl>
    <w:p w14:paraId="6D62E12C" w14:textId="77777777" w:rsidR="00FE74CB" w:rsidRPr="00FE74CB" w:rsidRDefault="00FE74CB" w:rsidP="00FE74CB">
      <w:pPr>
        <w:spacing w:before="0" w:after="200" w:line="276" w:lineRule="auto"/>
        <w:rPr>
          <w:rFonts w:eastAsia="Calibri"/>
          <w:spacing w:val="0"/>
          <w:sz w:val="22"/>
          <w:szCs w:val="22"/>
          <w:lang w:eastAsia="en-US"/>
        </w:rPr>
      </w:pPr>
    </w:p>
    <w:tbl>
      <w:tblPr>
        <w:tblStyle w:val="TableGrid2"/>
        <w:tblW w:w="0" w:type="auto"/>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Blank Table"/>
        <w:tblDescription w:val="Blank table to complete independent review details"/>
      </w:tblPr>
      <w:tblGrid>
        <w:gridCol w:w="3954"/>
        <w:gridCol w:w="10628"/>
      </w:tblGrid>
      <w:tr w:rsidR="00B70865" w:rsidRPr="00FE74CB" w14:paraId="1BA462A3" w14:textId="77777777" w:rsidTr="00B741E9">
        <w:trPr>
          <w:cantSplit/>
          <w:trHeight w:val="265"/>
          <w:tblHeader/>
        </w:trPr>
        <w:tc>
          <w:tcPr>
            <w:tcW w:w="15551" w:type="dxa"/>
            <w:gridSpan w:val="2"/>
            <w:shd w:val="clear" w:color="auto" w:fill="005A70" w:themeFill="accent4"/>
          </w:tcPr>
          <w:p w14:paraId="05655617" w14:textId="77777777" w:rsidR="00FE74CB" w:rsidRPr="00FE74CB" w:rsidRDefault="00FE74CB" w:rsidP="00FE74CB">
            <w:pPr>
              <w:tabs>
                <w:tab w:val="left" w:pos="4415"/>
                <w:tab w:val="center" w:pos="7653"/>
              </w:tabs>
              <w:spacing w:before="0" w:after="200" w:line="276" w:lineRule="auto"/>
              <w:rPr>
                <w:rFonts w:ascii="Georgia" w:hAnsi="Georgia"/>
                <w:b/>
                <w:color w:val="FFFFFF" w:themeColor="background1"/>
                <w:spacing w:val="0"/>
                <w:sz w:val="22"/>
                <w:szCs w:val="22"/>
              </w:rPr>
            </w:pPr>
            <w:r w:rsidRPr="00FE74CB">
              <w:rPr>
                <w:rFonts w:ascii="Georgia" w:hAnsi="Georgia"/>
                <w:b/>
                <w:color w:val="FFFFFF" w:themeColor="background1"/>
                <w:spacing w:val="0"/>
                <w:szCs w:val="22"/>
              </w:rPr>
              <w:tab/>
            </w:r>
            <w:r w:rsidRPr="00FE74CB">
              <w:rPr>
                <w:rFonts w:ascii="Georgia" w:hAnsi="Georgia"/>
                <w:b/>
                <w:color w:val="FFFFFF" w:themeColor="background1"/>
                <w:spacing w:val="0"/>
                <w:szCs w:val="22"/>
              </w:rPr>
              <w:tab/>
              <w:t>Independent reviewer details</w:t>
            </w:r>
          </w:p>
        </w:tc>
      </w:tr>
      <w:tr w:rsidR="00FE74CB" w:rsidRPr="00FE74CB" w14:paraId="5E2B9384" w14:textId="77777777" w:rsidTr="00B741E9">
        <w:trPr>
          <w:cantSplit/>
          <w:trHeight w:val="434"/>
          <w:tblHeader/>
        </w:trPr>
        <w:tc>
          <w:tcPr>
            <w:tcW w:w="4061" w:type="dxa"/>
            <w:shd w:val="clear" w:color="auto" w:fill="005A70" w:themeFill="accent4"/>
          </w:tcPr>
          <w:p w14:paraId="0C68B620" w14:textId="77777777" w:rsidR="00FE74CB" w:rsidRPr="00FE74CB" w:rsidRDefault="00FE74CB" w:rsidP="00FE74CB">
            <w:pPr>
              <w:spacing w:before="0" w:after="200" w:line="276" w:lineRule="auto"/>
              <w:jc w:val="right"/>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Independent reviewer name:</w:t>
            </w:r>
          </w:p>
        </w:tc>
        <w:tc>
          <w:tcPr>
            <w:tcW w:w="11490" w:type="dxa"/>
          </w:tcPr>
          <w:p w14:paraId="281F91DD"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585AD593" w14:textId="77777777" w:rsidTr="00B741E9">
        <w:trPr>
          <w:cantSplit/>
          <w:trHeight w:val="425"/>
          <w:tblHeader/>
        </w:trPr>
        <w:tc>
          <w:tcPr>
            <w:tcW w:w="4061" w:type="dxa"/>
            <w:shd w:val="clear" w:color="auto" w:fill="005A70" w:themeFill="accent4"/>
          </w:tcPr>
          <w:p w14:paraId="48C70CB0" w14:textId="77777777" w:rsidR="00FE74CB" w:rsidRPr="00FE74CB" w:rsidRDefault="00FE74CB" w:rsidP="00FE74CB">
            <w:pPr>
              <w:spacing w:before="0" w:after="200" w:line="276" w:lineRule="auto"/>
              <w:jc w:val="right"/>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Name of employer:</w:t>
            </w:r>
          </w:p>
        </w:tc>
        <w:tc>
          <w:tcPr>
            <w:tcW w:w="11490" w:type="dxa"/>
          </w:tcPr>
          <w:p w14:paraId="173E9EB2"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21D3C413" w14:textId="77777777" w:rsidTr="00B741E9">
        <w:trPr>
          <w:cantSplit/>
          <w:trHeight w:val="417"/>
          <w:tblHeader/>
        </w:trPr>
        <w:tc>
          <w:tcPr>
            <w:tcW w:w="4061" w:type="dxa"/>
            <w:shd w:val="clear" w:color="auto" w:fill="005A70" w:themeFill="accent4"/>
          </w:tcPr>
          <w:p w14:paraId="2FC04A1C" w14:textId="77777777" w:rsidR="00FE74CB" w:rsidRPr="00FE74CB" w:rsidRDefault="00FE74CB" w:rsidP="00FE74CB">
            <w:pPr>
              <w:spacing w:before="0" w:after="200" w:line="276" w:lineRule="auto"/>
              <w:jc w:val="right"/>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Qualifications:</w:t>
            </w:r>
          </w:p>
        </w:tc>
        <w:tc>
          <w:tcPr>
            <w:tcW w:w="11490" w:type="dxa"/>
          </w:tcPr>
          <w:p w14:paraId="7EE7E89D"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15A1155D" w14:textId="77777777" w:rsidTr="00B741E9">
        <w:trPr>
          <w:cantSplit/>
          <w:trHeight w:val="1115"/>
          <w:tblHeader/>
        </w:trPr>
        <w:tc>
          <w:tcPr>
            <w:tcW w:w="4061" w:type="dxa"/>
            <w:shd w:val="clear" w:color="auto" w:fill="005A70" w:themeFill="accent4"/>
          </w:tcPr>
          <w:p w14:paraId="5415DC40" w14:textId="77777777" w:rsidR="00FE74CB" w:rsidRPr="00FE74CB" w:rsidRDefault="00FE74CB" w:rsidP="00FE74CB">
            <w:pPr>
              <w:spacing w:before="0" w:after="200" w:line="276" w:lineRule="auto"/>
              <w:jc w:val="right"/>
              <w:rPr>
                <w:rFonts w:ascii="Georgia" w:hAnsi="Georgia"/>
                <w:color w:val="FFFFFF" w:themeColor="background1"/>
                <w:spacing w:val="0"/>
                <w:sz w:val="22"/>
                <w:szCs w:val="22"/>
              </w:rPr>
            </w:pPr>
            <w:r w:rsidRPr="00FE74CB">
              <w:rPr>
                <w:rFonts w:ascii="Georgia" w:hAnsi="Georgia"/>
                <w:color w:val="FFFFFF" w:themeColor="background1"/>
                <w:spacing w:val="0"/>
                <w:sz w:val="22"/>
                <w:szCs w:val="22"/>
              </w:rPr>
              <w:t>Has the reviewer been involved in the development or delivery of these training materials, in any way?</w:t>
            </w:r>
          </w:p>
        </w:tc>
        <w:tc>
          <w:tcPr>
            <w:tcW w:w="11490" w:type="dxa"/>
          </w:tcPr>
          <w:p w14:paraId="65AF6ACD"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464D8400" w14:textId="77777777" w:rsidTr="00B741E9">
        <w:trPr>
          <w:cantSplit/>
          <w:trHeight w:val="1400"/>
          <w:tblHeader/>
        </w:trPr>
        <w:tc>
          <w:tcPr>
            <w:tcW w:w="4061" w:type="dxa"/>
            <w:shd w:val="clear" w:color="auto" w:fill="005A70" w:themeFill="accent4"/>
          </w:tcPr>
          <w:p w14:paraId="5FBD50EC" w14:textId="77777777" w:rsidR="00FE74CB" w:rsidRPr="00FE74CB" w:rsidRDefault="00FE74CB" w:rsidP="00FE74CB">
            <w:pPr>
              <w:spacing w:before="0" w:after="200" w:line="276" w:lineRule="auto"/>
              <w:jc w:val="right"/>
              <w:rPr>
                <w:rFonts w:ascii="Georgia" w:hAnsi="Georgia"/>
                <w:color w:val="FFFFFF" w:themeColor="background1"/>
                <w:spacing w:val="0"/>
                <w:sz w:val="22"/>
              </w:rPr>
            </w:pPr>
            <w:r w:rsidRPr="00FE74CB">
              <w:rPr>
                <w:rFonts w:ascii="Georgia" w:hAnsi="Georgia"/>
                <w:color w:val="FFFFFF" w:themeColor="background1"/>
                <w:spacing w:val="0"/>
                <w:sz w:val="22"/>
              </w:rPr>
              <w:t>Has the reviewer read and understood the aims of the Staff Training Measure of the National Consumer Protection Framework for Online Wagering?</w:t>
            </w:r>
          </w:p>
        </w:tc>
        <w:tc>
          <w:tcPr>
            <w:tcW w:w="11490" w:type="dxa"/>
          </w:tcPr>
          <w:p w14:paraId="7CD65A27"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0E4E5A01" w14:textId="77777777" w:rsidTr="00B741E9">
        <w:trPr>
          <w:cantSplit/>
          <w:trHeight w:val="1407"/>
          <w:tblHeader/>
        </w:trPr>
        <w:tc>
          <w:tcPr>
            <w:tcW w:w="4061" w:type="dxa"/>
            <w:shd w:val="clear" w:color="auto" w:fill="005A70" w:themeFill="accent4"/>
          </w:tcPr>
          <w:p w14:paraId="26CDDB54" w14:textId="77777777" w:rsidR="00FE74CB" w:rsidRPr="00FE74CB" w:rsidRDefault="00FE74CB" w:rsidP="00FE74CB">
            <w:pPr>
              <w:spacing w:before="0" w:after="200" w:line="276" w:lineRule="auto"/>
              <w:jc w:val="right"/>
              <w:rPr>
                <w:rFonts w:ascii="Georgia" w:hAnsi="Georgia"/>
                <w:color w:val="FFFFFF" w:themeColor="background1"/>
                <w:spacing w:val="0"/>
                <w:sz w:val="22"/>
              </w:rPr>
            </w:pPr>
            <w:r w:rsidRPr="00FE74CB">
              <w:rPr>
                <w:rFonts w:ascii="Georgia" w:hAnsi="Georgia"/>
                <w:color w:val="FFFFFF" w:themeColor="background1"/>
                <w:spacing w:val="0"/>
                <w:sz w:val="22"/>
              </w:rPr>
              <w:t xml:space="preserve">Does the reviewer understand the staff training requirements in the National Unit of Competency </w:t>
            </w:r>
            <w:r w:rsidRPr="00FE74CB">
              <w:rPr>
                <w:rFonts w:ascii="Georgia" w:hAnsi="Georgia"/>
                <w:i/>
                <w:color w:val="FFFFFF" w:themeColor="background1"/>
                <w:spacing w:val="0"/>
                <w:sz w:val="22"/>
              </w:rPr>
              <w:t>CHCFIN005 - Provide responsible online wagering services</w:t>
            </w:r>
            <w:r w:rsidRPr="00FE74CB">
              <w:rPr>
                <w:rFonts w:ascii="Georgia" w:hAnsi="Georgia"/>
                <w:color w:val="FFFFFF" w:themeColor="background1"/>
                <w:spacing w:val="0"/>
                <w:sz w:val="22"/>
              </w:rPr>
              <w:t xml:space="preserve"> (</w:t>
            </w:r>
            <w:proofErr w:type="spellStart"/>
            <w:r w:rsidRPr="00FE74CB">
              <w:rPr>
                <w:rFonts w:ascii="Georgia" w:hAnsi="Georgia"/>
                <w:color w:val="FFFFFF" w:themeColor="background1"/>
                <w:spacing w:val="0"/>
                <w:sz w:val="22"/>
              </w:rPr>
              <w:t>UoC</w:t>
            </w:r>
            <w:proofErr w:type="spellEnd"/>
            <w:r w:rsidRPr="00FE74CB">
              <w:rPr>
                <w:rFonts w:ascii="Georgia" w:hAnsi="Georgia"/>
                <w:color w:val="FFFFFF" w:themeColor="background1"/>
                <w:spacing w:val="0"/>
                <w:sz w:val="22"/>
              </w:rPr>
              <w:t>).</w:t>
            </w:r>
          </w:p>
        </w:tc>
        <w:tc>
          <w:tcPr>
            <w:tcW w:w="11490" w:type="dxa"/>
          </w:tcPr>
          <w:p w14:paraId="4263EB80" w14:textId="77777777" w:rsidR="00FE74CB" w:rsidRPr="00FE74CB" w:rsidRDefault="00FE74CB" w:rsidP="00FE74CB">
            <w:pPr>
              <w:spacing w:before="0" w:after="200" w:line="276" w:lineRule="auto"/>
              <w:rPr>
                <w:rFonts w:ascii="Georgia" w:hAnsi="Georgia"/>
                <w:spacing w:val="0"/>
                <w:sz w:val="22"/>
                <w:szCs w:val="22"/>
              </w:rPr>
            </w:pPr>
          </w:p>
        </w:tc>
      </w:tr>
    </w:tbl>
    <w:p w14:paraId="6EDF9D4B" w14:textId="77777777" w:rsidR="00FE74CB" w:rsidRPr="00FE74CB" w:rsidRDefault="00FE74CB" w:rsidP="00FE74CB">
      <w:pPr>
        <w:spacing w:before="0" w:after="200" w:line="276" w:lineRule="auto"/>
        <w:rPr>
          <w:rFonts w:ascii="Georgia" w:eastAsia="Calibri" w:hAnsi="Georgia"/>
          <w:spacing w:val="0"/>
          <w:sz w:val="22"/>
          <w:szCs w:val="22"/>
          <w:lang w:eastAsia="en-US"/>
        </w:rPr>
      </w:pPr>
    </w:p>
    <w:p w14:paraId="13A24AA6" w14:textId="77777777" w:rsidR="00FE74CB" w:rsidRPr="00FE74CB" w:rsidRDefault="00FE74CB" w:rsidP="00FE74CB">
      <w:pPr>
        <w:spacing w:before="0" w:after="200" w:line="276" w:lineRule="auto"/>
        <w:rPr>
          <w:rFonts w:ascii="Georgia" w:eastAsia="Calibri" w:hAnsi="Georgia"/>
          <w:b/>
          <w:spacing w:val="0"/>
          <w:sz w:val="22"/>
          <w:szCs w:val="22"/>
          <w:lang w:eastAsia="en-US"/>
        </w:rPr>
      </w:pPr>
      <w:r w:rsidRPr="00FE74CB">
        <w:rPr>
          <w:rFonts w:ascii="Georgia" w:eastAsia="Calibri" w:hAnsi="Georgia"/>
          <w:b/>
          <w:spacing w:val="0"/>
          <w:sz w:val="22"/>
          <w:szCs w:val="22"/>
          <w:lang w:eastAsia="en-US"/>
        </w:rPr>
        <w:br w:type="page"/>
      </w:r>
    </w:p>
    <w:p w14:paraId="54167448" w14:textId="77777777" w:rsidR="00FE74CB" w:rsidRPr="00FE74CB" w:rsidRDefault="00FE74CB" w:rsidP="00FE74CB">
      <w:pPr>
        <w:spacing w:before="0" w:after="200" w:line="276" w:lineRule="auto"/>
        <w:rPr>
          <w:rFonts w:ascii="Georgia" w:eastAsia="Calibri" w:hAnsi="Georgia"/>
          <w:b/>
          <w:spacing w:val="0"/>
          <w:sz w:val="22"/>
          <w:szCs w:val="22"/>
          <w:lang w:eastAsia="en-US"/>
        </w:rPr>
      </w:pPr>
      <w:r w:rsidRPr="00FE74CB">
        <w:rPr>
          <w:rFonts w:ascii="Georgia" w:eastAsia="Calibri" w:hAnsi="Georgia"/>
          <w:b/>
          <w:spacing w:val="0"/>
          <w:sz w:val="22"/>
          <w:szCs w:val="22"/>
          <w:lang w:eastAsia="en-US"/>
        </w:rPr>
        <w:lastRenderedPageBreak/>
        <w:t xml:space="preserve">National Unit of Competency elements and performance criteria </w:t>
      </w:r>
    </w:p>
    <w:p w14:paraId="7C77CDE9" w14:textId="77777777" w:rsidR="00FE74CB" w:rsidRPr="00FE74CB" w:rsidRDefault="00FE74CB" w:rsidP="00FE74CB">
      <w:pPr>
        <w:spacing w:before="0" w:after="200" w:line="276" w:lineRule="auto"/>
        <w:rPr>
          <w:rFonts w:ascii="Georgia" w:eastAsia="Calibri" w:hAnsi="Georgia"/>
          <w:spacing w:val="0"/>
          <w:sz w:val="22"/>
          <w:szCs w:val="22"/>
          <w:lang w:eastAsia="en-US"/>
        </w:rPr>
      </w:pPr>
      <w:r w:rsidRPr="00FE74CB">
        <w:rPr>
          <w:rFonts w:ascii="Georgia" w:eastAsia="Calibri" w:hAnsi="Georgia"/>
          <w:spacing w:val="0"/>
          <w:sz w:val="22"/>
          <w:szCs w:val="22"/>
          <w:lang w:eastAsia="en-US"/>
        </w:rPr>
        <w:t xml:space="preserve">In the opinion of the reviewer, do the training materials cover the relevant elements and performance criteria and put the participant in a position to be able to effectively: </w:t>
      </w:r>
    </w:p>
    <w:tbl>
      <w:tblPr>
        <w:tblStyle w:val="TableGrid3"/>
        <w:tblW w:w="15304" w:type="dxa"/>
        <w:jc w:val="center"/>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ayout w:type="fixed"/>
        <w:tblLook w:val="04A0" w:firstRow="1" w:lastRow="0" w:firstColumn="1" w:lastColumn="0" w:noHBand="0" w:noVBand="1"/>
        <w:tblCaption w:val="Blank table"/>
        <w:tblDescription w:val="Blank table to complete National Unit of Competency elements and performance criteria "/>
      </w:tblPr>
      <w:tblGrid>
        <w:gridCol w:w="677"/>
        <w:gridCol w:w="6831"/>
        <w:gridCol w:w="1259"/>
        <w:gridCol w:w="1293"/>
        <w:gridCol w:w="5244"/>
      </w:tblGrid>
      <w:tr w:rsidR="00FE74CB" w:rsidRPr="00FE74CB" w14:paraId="184C55E5" w14:textId="77777777" w:rsidTr="00B70865">
        <w:trPr>
          <w:cantSplit/>
          <w:tblHeader/>
          <w:jc w:val="center"/>
        </w:trPr>
        <w:tc>
          <w:tcPr>
            <w:tcW w:w="7508" w:type="dxa"/>
            <w:gridSpan w:val="2"/>
            <w:tcBorders>
              <w:top w:val="nil"/>
              <w:left w:val="nil"/>
            </w:tcBorders>
            <w:shd w:val="clear" w:color="auto" w:fill="auto"/>
          </w:tcPr>
          <w:p w14:paraId="1B236918" w14:textId="77777777" w:rsidR="00FE74CB" w:rsidRPr="00FE74CB" w:rsidRDefault="00FE74CB" w:rsidP="00FE74CB">
            <w:pPr>
              <w:spacing w:before="0" w:after="200" w:line="276" w:lineRule="auto"/>
              <w:ind w:left="309" w:hanging="309"/>
              <w:rPr>
                <w:rFonts w:ascii="Georgia" w:hAnsi="Georgia"/>
                <w:color w:val="FFFFFF" w:themeColor="background1"/>
                <w:spacing w:val="0"/>
                <w:sz w:val="22"/>
                <w:szCs w:val="22"/>
              </w:rPr>
            </w:pPr>
          </w:p>
        </w:tc>
        <w:tc>
          <w:tcPr>
            <w:tcW w:w="1259" w:type="dxa"/>
            <w:shd w:val="clear" w:color="auto" w:fill="005A70" w:themeFill="accent4"/>
          </w:tcPr>
          <w:p w14:paraId="38838487"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Yes</w:t>
            </w:r>
          </w:p>
        </w:tc>
        <w:tc>
          <w:tcPr>
            <w:tcW w:w="1293" w:type="dxa"/>
            <w:shd w:val="clear" w:color="auto" w:fill="005A70" w:themeFill="accent4"/>
          </w:tcPr>
          <w:p w14:paraId="287FFB79"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No</w:t>
            </w:r>
          </w:p>
        </w:tc>
        <w:tc>
          <w:tcPr>
            <w:tcW w:w="5244" w:type="dxa"/>
            <w:shd w:val="clear" w:color="auto" w:fill="005A70" w:themeFill="accent4"/>
          </w:tcPr>
          <w:p w14:paraId="50DF0EEC"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 xml:space="preserve">Comments </w:t>
            </w:r>
          </w:p>
        </w:tc>
      </w:tr>
      <w:tr w:rsidR="00B70865" w:rsidRPr="00FE74CB" w14:paraId="4F37E628" w14:textId="77777777" w:rsidTr="00B70865">
        <w:trPr>
          <w:cantSplit/>
          <w:jc w:val="center"/>
        </w:trPr>
        <w:tc>
          <w:tcPr>
            <w:tcW w:w="15304" w:type="dxa"/>
            <w:gridSpan w:val="5"/>
            <w:shd w:val="clear" w:color="auto" w:fill="005A70" w:themeFill="accent4"/>
          </w:tcPr>
          <w:p w14:paraId="4387E3B8" w14:textId="77777777" w:rsidR="00B70865" w:rsidRPr="00FE74CB" w:rsidRDefault="00B70865" w:rsidP="00BF2143">
            <w:pPr>
              <w:numPr>
                <w:ilvl w:val="0"/>
                <w:numId w:val="70"/>
              </w:numPr>
              <w:spacing w:before="0" w:after="0" w:line="240" w:lineRule="auto"/>
              <w:contextualSpacing/>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Comply with legislative and regulatory requirements and industry and organisational codes of conduct for online wagering</w:t>
            </w:r>
          </w:p>
        </w:tc>
      </w:tr>
      <w:tr w:rsidR="00FE74CB" w:rsidRPr="00FE74CB" w14:paraId="244E263A" w14:textId="77777777" w:rsidTr="00B70865">
        <w:trPr>
          <w:cantSplit/>
          <w:jc w:val="center"/>
        </w:trPr>
        <w:tc>
          <w:tcPr>
            <w:tcW w:w="677" w:type="dxa"/>
          </w:tcPr>
          <w:p w14:paraId="2E855DFB" w14:textId="77777777" w:rsidR="00FE74CB" w:rsidRPr="00FE74CB" w:rsidRDefault="00FE74CB" w:rsidP="00FE74CB">
            <w:pPr>
              <w:spacing w:before="0" w:after="200" w:line="276" w:lineRule="auto"/>
              <w:ind w:left="450" w:hanging="450"/>
              <w:rPr>
                <w:rFonts w:ascii="Georgia" w:hAnsi="Georgia"/>
                <w:spacing w:val="0"/>
                <w:sz w:val="22"/>
                <w:szCs w:val="22"/>
              </w:rPr>
            </w:pPr>
            <w:r w:rsidRPr="00FE74CB">
              <w:rPr>
                <w:rFonts w:ascii="Georgia" w:hAnsi="Georgia"/>
                <w:spacing w:val="0"/>
                <w:sz w:val="22"/>
                <w:szCs w:val="22"/>
              </w:rPr>
              <w:t>1.1</w:t>
            </w:r>
          </w:p>
          <w:p w14:paraId="4D732AAB" w14:textId="77777777" w:rsidR="00FE74CB" w:rsidRPr="00FE74CB" w:rsidRDefault="00FE74CB" w:rsidP="00FE74CB">
            <w:pPr>
              <w:spacing w:before="0" w:after="200" w:line="276" w:lineRule="auto"/>
              <w:rPr>
                <w:rFonts w:ascii="Georgia" w:hAnsi="Georgia"/>
                <w:spacing w:val="0"/>
                <w:sz w:val="22"/>
                <w:szCs w:val="22"/>
              </w:rPr>
            </w:pPr>
          </w:p>
        </w:tc>
        <w:tc>
          <w:tcPr>
            <w:tcW w:w="6831" w:type="dxa"/>
          </w:tcPr>
          <w:p w14:paraId="5638BCB5"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Evaluate contents of relevant legislation, regulatory information and industry codes of conduct and their significance to own job role. </w:t>
            </w:r>
          </w:p>
        </w:tc>
        <w:tc>
          <w:tcPr>
            <w:tcW w:w="1259" w:type="dxa"/>
          </w:tcPr>
          <w:p w14:paraId="59AC5CBF" w14:textId="77777777" w:rsidR="00FE74CB" w:rsidRPr="00FE74CB" w:rsidRDefault="00FE74CB" w:rsidP="00FE74CB">
            <w:pPr>
              <w:tabs>
                <w:tab w:val="left" w:pos="1239"/>
              </w:tabs>
              <w:spacing w:before="0" w:after="200" w:line="276" w:lineRule="auto"/>
              <w:rPr>
                <w:rFonts w:ascii="Georgia" w:hAnsi="Georgia"/>
                <w:spacing w:val="0"/>
                <w:sz w:val="22"/>
                <w:szCs w:val="22"/>
              </w:rPr>
            </w:pPr>
            <w:r w:rsidRPr="00FE74CB">
              <w:rPr>
                <w:rFonts w:ascii="Georgia" w:hAnsi="Georgia"/>
                <w:spacing w:val="0"/>
                <w:sz w:val="22"/>
                <w:szCs w:val="22"/>
              </w:rPr>
              <w:tab/>
            </w:r>
          </w:p>
        </w:tc>
        <w:tc>
          <w:tcPr>
            <w:tcW w:w="1293" w:type="dxa"/>
          </w:tcPr>
          <w:p w14:paraId="446EE1EE" w14:textId="77777777" w:rsidR="00FE74CB" w:rsidRPr="00FE74CB" w:rsidRDefault="00FE74CB" w:rsidP="00FE74CB">
            <w:pPr>
              <w:tabs>
                <w:tab w:val="left" w:pos="1239"/>
              </w:tabs>
              <w:spacing w:before="0" w:after="200" w:line="276" w:lineRule="auto"/>
              <w:rPr>
                <w:rFonts w:ascii="Georgia" w:hAnsi="Georgia"/>
                <w:spacing w:val="0"/>
                <w:sz w:val="22"/>
                <w:szCs w:val="22"/>
              </w:rPr>
            </w:pPr>
          </w:p>
        </w:tc>
        <w:tc>
          <w:tcPr>
            <w:tcW w:w="5244" w:type="dxa"/>
          </w:tcPr>
          <w:p w14:paraId="6CDE396E" w14:textId="77777777" w:rsidR="00FE74CB" w:rsidRPr="00FE74CB" w:rsidRDefault="00FE74CB" w:rsidP="00FE74CB">
            <w:pPr>
              <w:tabs>
                <w:tab w:val="left" w:pos="1239"/>
              </w:tabs>
              <w:spacing w:before="0" w:after="200" w:line="276" w:lineRule="auto"/>
              <w:rPr>
                <w:rFonts w:ascii="Georgia" w:hAnsi="Georgia"/>
                <w:spacing w:val="0"/>
                <w:sz w:val="22"/>
                <w:szCs w:val="22"/>
              </w:rPr>
            </w:pPr>
          </w:p>
        </w:tc>
      </w:tr>
      <w:tr w:rsidR="00FE74CB" w:rsidRPr="00FE74CB" w14:paraId="70AA4D3B" w14:textId="77777777" w:rsidTr="00B70865">
        <w:trPr>
          <w:cantSplit/>
          <w:jc w:val="center"/>
        </w:trPr>
        <w:tc>
          <w:tcPr>
            <w:tcW w:w="677" w:type="dxa"/>
          </w:tcPr>
          <w:p w14:paraId="651D3CE2" w14:textId="77777777" w:rsidR="00FE74CB" w:rsidRPr="00FE74CB" w:rsidRDefault="00FE74CB" w:rsidP="00FE74CB">
            <w:pPr>
              <w:spacing w:before="0" w:after="200" w:line="276" w:lineRule="auto"/>
              <w:ind w:left="450" w:hanging="450"/>
              <w:rPr>
                <w:rFonts w:ascii="Georgia" w:hAnsi="Georgia"/>
                <w:spacing w:val="0"/>
                <w:sz w:val="22"/>
                <w:szCs w:val="22"/>
              </w:rPr>
            </w:pPr>
            <w:r w:rsidRPr="00FE74CB">
              <w:rPr>
                <w:rFonts w:ascii="Georgia" w:hAnsi="Georgia"/>
                <w:spacing w:val="0"/>
                <w:sz w:val="22"/>
                <w:szCs w:val="22"/>
              </w:rPr>
              <w:t>1.2</w:t>
            </w:r>
          </w:p>
          <w:p w14:paraId="2DB5A4B0" w14:textId="77777777" w:rsidR="00FE74CB" w:rsidRPr="00FE74CB" w:rsidRDefault="00FE74CB" w:rsidP="00FE74CB">
            <w:pPr>
              <w:spacing w:before="0" w:after="200" w:line="276" w:lineRule="auto"/>
              <w:rPr>
                <w:rFonts w:ascii="Georgia" w:hAnsi="Georgia"/>
                <w:spacing w:val="0"/>
                <w:sz w:val="22"/>
                <w:szCs w:val="22"/>
              </w:rPr>
            </w:pPr>
          </w:p>
        </w:tc>
        <w:tc>
          <w:tcPr>
            <w:tcW w:w="6831" w:type="dxa"/>
          </w:tcPr>
          <w:p w14:paraId="2C7BADB5"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Clarify requirements of regulations and codes of practice with relevant personnel to ensure understanding and compliance.</w:t>
            </w:r>
          </w:p>
        </w:tc>
        <w:tc>
          <w:tcPr>
            <w:tcW w:w="1259" w:type="dxa"/>
          </w:tcPr>
          <w:p w14:paraId="1FC3D452" w14:textId="77777777" w:rsidR="00FE74CB" w:rsidRPr="00FE74CB" w:rsidRDefault="00FE74CB" w:rsidP="00FE74CB">
            <w:pPr>
              <w:tabs>
                <w:tab w:val="left" w:pos="1239"/>
              </w:tabs>
              <w:spacing w:before="0" w:after="200" w:line="276" w:lineRule="auto"/>
              <w:rPr>
                <w:rFonts w:ascii="Georgia" w:hAnsi="Georgia"/>
                <w:spacing w:val="0"/>
                <w:sz w:val="22"/>
                <w:szCs w:val="22"/>
              </w:rPr>
            </w:pPr>
          </w:p>
        </w:tc>
        <w:tc>
          <w:tcPr>
            <w:tcW w:w="1293" w:type="dxa"/>
          </w:tcPr>
          <w:p w14:paraId="36B4FFEB" w14:textId="77777777" w:rsidR="00FE74CB" w:rsidRPr="00FE74CB" w:rsidRDefault="00FE74CB" w:rsidP="00FE74CB">
            <w:pPr>
              <w:tabs>
                <w:tab w:val="left" w:pos="1239"/>
              </w:tabs>
              <w:spacing w:before="0" w:after="200" w:line="276" w:lineRule="auto"/>
              <w:rPr>
                <w:rFonts w:ascii="Georgia" w:hAnsi="Georgia"/>
                <w:spacing w:val="0"/>
                <w:sz w:val="22"/>
                <w:szCs w:val="22"/>
              </w:rPr>
            </w:pPr>
          </w:p>
        </w:tc>
        <w:tc>
          <w:tcPr>
            <w:tcW w:w="5244" w:type="dxa"/>
          </w:tcPr>
          <w:p w14:paraId="58CAA1B4"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314DEA21" w14:textId="77777777" w:rsidTr="00B70865">
        <w:trPr>
          <w:cantSplit/>
          <w:jc w:val="center"/>
        </w:trPr>
        <w:tc>
          <w:tcPr>
            <w:tcW w:w="677" w:type="dxa"/>
          </w:tcPr>
          <w:p w14:paraId="5061BE47" w14:textId="77777777" w:rsidR="00FE74CB" w:rsidRPr="00FE74CB" w:rsidRDefault="00FE74CB" w:rsidP="00FE74CB">
            <w:pPr>
              <w:spacing w:before="0" w:after="200" w:line="276" w:lineRule="auto"/>
              <w:ind w:left="450" w:hanging="450"/>
              <w:rPr>
                <w:rFonts w:ascii="Georgia" w:hAnsi="Georgia"/>
                <w:spacing w:val="0"/>
                <w:sz w:val="22"/>
                <w:szCs w:val="22"/>
              </w:rPr>
            </w:pPr>
            <w:r w:rsidRPr="00FE74CB">
              <w:rPr>
                <w:rFonts w:ascii="Georgia" w:hAnsi="Georgia"/>
                <w:spacing w:val="0"/>
                <w:sz w:val="22"/>
                <w:szCs w:val="22"/>
              </w:rPr>
              <w:t>1.3</w:t>
            </w:r>
          </w:p>
          <w:p w14:paraId="50CD8EB8" w14:textId="77777777" w:rsidR="00FE74CB" w:rsidRPr="00FE74CB" w:rsidRDefault="00FE74CB" w:rsidP="00FE74CB">
            <w:pPr>
              <w:spacing w:before="0" w:after="200" w:line="276" w:lineRule="auto"/>
              <w:ind w:left="450" w:hanging="450"/>
              <w:rPr>
                <w:rFonts w:ascii="Georgia" w:hAnsi="Georgia"/>
                <w:spacing w:val="0"/>
                <w:sz w:val="22"/>
                <w:szCs w:val="22"/>
              </w:rPr>
            </w:pPr>
          </w:p>
          <w:p w14:paraId="78E91C61" w14:textId="77777777" w:rsidR="00FE74CB" w:rsidRPr="00FE74CB" w:rsidRDefault="00FE74CB" w:rsidP="00FE74CB">
            <w:pPr>
              <w:spacing w:before="0" w:after="200" w:line="276" w:lineRule="auto"/>
              <w:rPr>
                <w:rFonts w:ascii="Georgia" w:hAnsi="Georgia"/>
                <w:spacing w:val="0"/>
                <w:sz w:val="22"/>
                <w:szCs w:val="22"/>
              </w:rPr>
            </w:pPr>
          </w:p>
        </w:tc>
        <w:tc>
          <w:tcPr>
            <w:tcW w:w="6831" w:type="dxa"/>
          </w:tcPr>
          <w:p w14:paraId="21F2B8E4"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Act according to regulatory requirements and principles of relevant codes of conduct, seeking advice from relevant person or authority when issues arise.</w:t>
            </w:r>
          </w:p>
        </w:tc>
        <w:tc>
          <w:tcPr>
            <w:tcW w:w="1259" w:type="dxa"/>
          </w:tcPr>
          <w:p w14:paraId="77ABBBD8"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12525671"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7BCAE206"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12DC31C4" w14:textId="77777777" w:rsidTr="00B70865">
        <w:trPr>
          <w:cantSplit/>
          <w:jc w:val="center"/>
        </w:trPr>
        <w:tc>
          <w:tcPr>
            <w:tcW w:w="677" w:type="dxa"/>
          </w:tcPr>
          <w:p w14:paraId="151BC7D6" w14:textId="77777777" w:rsidR="00FE74CB" w:rsidRPr="00FE74CB" w:rsidRDefault="00FE74CB" w:rsidP="00FE74CB">
            <w:pPr>
              <w:spacing w:before="0" w:after="200" w:line="276" w:lineRule="auto"/>
              <w:ind w:left="450" w:hanging="450"/>
              <w:rPr>
                <w:rFonts w:ascii="Georgia" w:hAnsi="Georgia"/>
                <w:spacing w:val="0"/>
                <w:sz w:val="22"/>
                <w:szCs w:val="22"/>
              </w:rPr>
            </w:pPr>
            <w:r w:rsidRPr="00FE74CB">
              <w:rPr>
                <w:rFonts w:ascii="Georgia" w:hAnsi="Georgia"/>
                <w:spacing w:val="0"/>
                <w:sz w:val="22"/>
                <w:szCs w:val="22"/>
              </w:rPr>
              <w:t>1.4</w:t>
            </w:r>
          </w:p>
          <w:p w14:paraId="65CE1A08" w14:textId="77777777" w:rsidR="00FE74CB" w:rsidRPr="00FE74CB" w:rsidRDefault="00FE74CB" w:rsidP="00FE74CB">
            <w:pPr>
              <w:spacing w:before="0" w:after="200" w:line="276" w:lineRule="auto"/>
              <w:ind w:left="450" w:hanging="450"/>
              <w:rPr>
                <w:rFonts w:ascii="Georgia" w:hAnsi="Georgia"/>
                <w:spacing w:val="0"/>
                <w:sz w:val="22"/>
                <w:szCs w:val="22"/>
              </w:rPr>
            </w:pPr>
          </w:p>
          <w:p w14:paraId="2EC99513" w14:textId="77777777" w:rsidR="00FE74CB" w:rsidRPr="00FE74CB" w:rsidRDefault="00FE74CB" w:rsidP="00FE74CB">
            <w:pPr>
              <w:spacing w:before="0" w:after="200" w:line="276" w:lineRule="auto"/>
              <w:rPr>
                <w:rFonts w:ascii="Georgia" w:hAnsi="Georgia"/>
                <w:spacing w:val="0"/>
                <w:sz w:val="22"/>
                <w:szCs w:val="22"/>
              </w:rPr>
            </w:pPr>
          </w:p>
        </w:tc>
        <w:tc>
          <w:tcPr>
            <w:tcW w:w="6831" w:type="dxa"/>
          </w:tcPr>
          <w:p w14:paraId="0668D086"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Identify conflicts of interest between responsible wagering and own role and report to the appropriate person, according to organisational policies and procedures. </w:t>
            </w:r>
          </w:p>
        </w:tc>
        <w:tc>
          <w:tcPr>
            <w:tcW w:w="1259" w:type="dxa"/>
          </w:tcPr>
          <w:p w14:paraId="7E145741"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6D6449C1"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3B6E55BE" w14:textId="77777777" w:rsidR="00FE74CB" w:rsidRPr="00FE74CB" w:rsidRDefault="00FE74CB" w:rsidP="00FE74CB">
            <w:pPr>
              <w:spacing w:before="0" w:after="200" w:line="276" w:lineRule="auto"/>
              <w:rPr>
                <w:rFonts w:ascii="Georgia" w:hAnsi="Georgia"/>
                <w:spacing w:val="0"/>
                <w:sz w:val="22"/>
                <w:szCs w:val="22"/>
              </w:rPr>
            </w:pPr>
          </w:p>
        </w:tc>
      </w:tr>
      <w:tr w:rsidR="00B70865" w:rsidRPr="00B70865" w14:paraId="2A32D975" w14:textId="77777777" w:rsidTr="00B70865">
        <w:trPr>
          <w:cantSplit/>
          <w:jc w:val="center"/>
        </w:trPr>
        <w:tc>
          <w:tcPr>
            <w:tcW w:w="15304" w:type="dxa"/>
            <w:gridSpan w:val="5"/>
            <w:shd w:val="clear" w:color="auto" w:fill="005A70" w:themeFill="accent4"/>
          </w:tcPr>
          <w:p w14:paraId="246DFA95" w14:textId="77777777" w:rsidR="00FE74CB" w:rsidRPr="00FE74CB" w:rsidRDefault="00FE74CB" w:rsidP="00BF2143">
            <w:pPr>
              <w:numPr>
                <w:ilvl w:val="0"/>
                <w:numId w:val="70"/>
              </w:numPr>
              <w:spacing w:before="0" w:after="0" w:line="240" w:lineRule="auto"/>
              <w:ind w:left="0" w:firstLine="0"/>
              <w:contextualSpacing/>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 xml:space="preserve">Implement responsible online wagering practices </w:t>
            </w:r>
          </w:p>
        </w:tc>
      </w:tr>
      <w:tr w:rsidR="00FE74CB" w:rsidRPr="00FE74CB" w14:paraId="3A47C805" w14:textId="77777777" w:rsidTr="00B70865">
        <w:trPr>
          <w:cantSplit/>
          <w:jc w:val="center"/>
        </w:trPr>
        <w:tc>
          <w:tcPr>
            <w:tcW w:w="677" w:type="dxa"/>
          </w:tcPr>
          <w:p w14:paraId="7BCD213C"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2.1 </w:t>
            </w:r>
          </w:p>
        </w:tc>
        <w:tc>
          <w:tcPr>
            <w:tcW w:w="6831" w:type="dxa"/>
          </w:tcPr>
          <w:p w14:paraId="078102CC"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Carry out duties of own job role using responsible gambling service practices and adhering to principles of harm minimisation and reduction, according to relevant state and territory legislation and industry and organisational policy and codes of conduct.</w:t>
            </w:r>
          </w:p>
        </w:tc>
        <w:tc>
          <w:tcPr>
            <w:tcW w:w="1259" w:type="dxa"/>
          </w:tcPr>
          <w:p w14:paraId="7B54F34B"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05068461"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661121BA"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0DA28CE0" w14:textId="77777777" w:rsidTr="00B70865">
        <w:trPr>
          <w:cantSplit/>
          <w:trHeight w:val="364"/>
          <w:jc w:val="center"/>
        </w:trPr>
        <w:tc>
          <w:tcPr>
            <w:tcW w:w="677" w:type="dxa"/>
          </w:tcPr>
          <w:p w14:paraId="6ED12D6C"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2.2</w:t>
            </w:r>
          </w:p>
        </w:tc>
        <w:tc>
          <w:tcPr>
            <w:tcW w:w="6831" w:type="dxa"/>
          </w:tcPr>
          <w:p w14:paraId="69C87E9E"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Support customers to engage in safe online wagering practices.</w:t>
            </w:r>
          </w:p>
        </w:tc>
        <w:tc>
          <w:tcPr>
            <w:tcW w:w="1259" w:type="dxa"/>
          </w:tcPr>
          <w:p w14:paraId="4BAE734D"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7E8A2D22"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15F25B3A"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17B3C520" w14:textId="77777777" w:rsidTr="00B70865">
        <w:trPr>
          <w:cantSplit/>
          <w:jc w:val="center"/>
        </w:trPr>
        <w:tc>
          <w:tcPr>
            <w:tcW w:w="677" w:type="dxa"/>
          </w:tcPr>
          <w:p w14:paraId="300327D2"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2.3</w:t>
            </w:r>
          </w:p>
        </w:tc>
        <w:tc>
          <w:tcPr>
            <w:tcW w:w="6831" w:type="dxa"/>
          </w:tcPr>
          <w:p w14:paraId="041B70D8"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Proactively monitor customer wagering behaviour to identify opportunities for intervention or referral aimed at prevention of gambling harm.</w:t>
            </w:r>
          </w:p>
        </w:tc>
        <w:tc>
          <w:tcPr>
            <w:tcW w:w="1259" w:type="dxa"/>
          </w:tcPr>
          <w:p w14:paraId="2BC4C1DF"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364E52B7"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75C813FD"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31C92E46" w14:textId="77777777" w:rsidTr="00B70865">
        <w:trPr>
          <w:cantSplit/>
          <w:trHeight w:val="522"/>
          <w:jc w:val="center"/>
        </w:trPr>
        <w:tc>
          <w:tcPr>
            <w:tcW w:w="677" w:type="dxa"/>
          </w:tcPr>
          <w:p w14:paraId="669E2BF9"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lastRenderedPageBreak/>
              <w:t>2.4</w:t>
            </w:r>
          </w:p>
        </w:tc>
        <w:tc>
          <w:tcPr>
            <w:tcW w:w="6831" w:type="dxa"/>
          </w:tcPr>
          <w:p w14:paraId="5D09D702"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Identify customers at risk of harm from online wagering and take action to mitigate and reduce harm within scope of own job role.</w:t>
            </w:r>
          </w:p>
        </w:tc>
        <w:tc>
          <w:tcPr>
            <w:tcW w:w="1259" w:type="dxa"/>
          </w:tcPr>
          <w:p w14:paraId="5D8A429D"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1C2A678A"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21D2DF31"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2E945EE0" w14:textId="77777777" w:rsidTr="00B70865">
        <w:trPr>
          <w:cantSplit/>
          <w:jc w:val="center"/>
        </w:trPr>
        <w:tc>
          <w:tcPr>
            <w:tcW w:w="677" w:type="dxa"/>
          </w:tcPr>
          <w:p w14:paraId="0E00F43F"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2.5</w:t>
            </w:r>
          </w:p>
        </w:tc>
        <w:tc>
          <w:tcPr>
            <w:tcW w:w="6831" w:type="dxa"/>
          </w:tcPr>
          <w:p w14:paraId="55A6CCEF"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Identify behaviours of customers that indicate the need for exclusion due to potentially harmful online wagering.</w:t>
            </w:r>
          </w:p>
        </w:tc>
        <w:tc>
          <w:tcPr>
            <w:tcW w:w="1259" w:type="dxa"/>
          </w:tcPr>
          <w:p w14:paraId="7B10C191"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4CDEC239"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18CDE9F0"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2DCF4F34" w14:textId="77777777" w:rsidTr="00B70865">
        <w:trPr>
          <w:cantSplit/>
          <w:trHeight w:val="64"/>
          <w:jc w:val="center"/>
        </w:trPr>
        <w:tc>
          <w:tcPr>
            <w:tcW w:w="677" w:type="dxa"/>
          </w:tcPr>
          <w:p w14:paraId="0D08842E"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2.6</w:t>
            </w:r>
          </w:p>
        </w:tc>
        <w:tc>
          <w:tcPr>
            <w:tcW w:w="6831" w:type="dxa"/>
          </w:tcPr>
          <w:p w14:paraId="1AC39328"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Maintain accurate records of gambling-related incidents and associated staff action according to regulatory, industry and organisational policy and procedures and within scope of own job role.</w:t>
            </w:r>
          </w:p>
        </w:tc>
        <w:tc>
          <w:tcPr>
            <w:tcW w:w="1259" w:type="dxa"/>
          </w:tcPr>
          <w:p w14:paraId="5BF13315" w14:textId="77777777" w:rsidR="00FE74CB" w:rsidRPr="00FE74CB" w:rsidRDefault="00FE74CB" w:rsidP="00FE74CB">
            <w:pPr>
              <w:spacing w:before="0" w:after="200" w:line="276" w:lineRule="auto"/>
              <w:rPr>
                <w:rFonts w:ascii="Georgia" w:hAnsi="Georgia"/>
                <w:spacing w:val="0"/>
                <w:sz w:val="22"/>
                <w:szCs w:val="22"/>
              </w:rPr>
            </w:pPr>
          </w:p>
        </w:tc>
        <w:tc>
          <w:tcPr>
            <w:tcW w:w="1293" w:type="dxa"/>
          </w:tcPr>
          <w:p w14:paraId="4F418664" w14:textId="77777777" w:rsidR="00FE74CB" w:rsidRPr="00FE74CB" w:rsidRDefault="00FE74CB" w:rsidP="00FE74CB">
            <w:pPr>
              <w:spacing w:before="0" w:after="200" w:line="276" w:lineRule="auto"/>
              <w:rPr>
                <w:rFonts w:ascii="Georgia" w:hAnsi="Georgia"/>
                <w:spacing w:val="0"/>
                <w:sz w:val="22"/>
                <w:szCs w:val="22"/>
              </w:rPr>
            </w:pPr>
          </w:p>
        </w:tc>
        <w:tc>
          <w:tcPr>
            <w:tcW w:w="5244" w:type="dxa"/>
          </w:tcPr>
          <w:p w14:paraId="1FCD9B66" w14:textId="77777777" w:rsidR="00FE74CB" w:rsidRPr="00FE74CB" w:rsidRDefault="00FE74CB" w:rsidP="00FE74CB">
            <w:pPr>
              <w:spacing w:before="0" w:after="200" w:line="276" w:lineRule="auto"/>
              <w:rPr>
                <w:rFonts w:ascii="Georgia" w:hAnsi="Georgia"/>
                <w:spacing w:val="0"/>
                <w:sz w:val="22"/>
                <w:szCs w:val="22"/>
              </w:rPr>
            </w:pPr>
          </w:p>
        </w:tc>
      </w:tr>
      <w:tr w:rsidR="00B70865" w:rsidRPr="00FE74CB" w14:paraId="2D59F9DC" w14:textId="77777777" w:rsidTr="00B70865">
        <w:trPr>
          <w:cantSplit/>
          <w:trHeight w:val="64"/>
          <w:jc w:val="center"/>
        </w:trPr>
        <w:tc>
          <w:tcPr>
            <w:tcW w:w="677" w:type="dxa"/>
          </w:tcPr>
          <w:p w14:paraId="051E4BBF"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2.7</w:t>
            </w:r>
          </w:p>
        </w:tc>
        <w:tc>
          <w:tcPr>
            <w:tcW w:w="6831" w:type="dxa"/>
          </w:tcPr>
          <w:p w14:paraId="764C874B"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Respond to complaints sensitively, courteously and respectfully and refer to relevant person or authority as required.</w:t>
            </w:r>
          </w:p>
        </w:tc>
        <w:tc>
          <w:tcPr>
            <w:tcW w:w="1259" w:type="dxa"/>
          </w:tcPr>
          <w:p w14:paraId="70EF4F30"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27BDE9E3"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3BC27046"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132128A0" w14:textId="77777777" w:rsidTr="00B70865">
        <w:trPr>
          <w:cantSplit/>
          <w:jc w:val="center"/>
        </w:trPr>
        <w:tc>
          <w:tcPr>
            <w:tcW w:w="15304" w:type="dxa"/>
            <w:gridSpan w:val="5"/>
            <w:shd w:val="clear" w:color="auto" w:fill="005A70" w:themeFill="accent4"/>
          </w:tcPr>
          <w:p w14:paraId="6FD32AE3" w14:textId="77777777" w:rsidR="00B70865" w:rsidRPr="00FE74CB" w:rsidRDefault="00B70865" w:rsidP="00BF2143">
            <w:pPr>
              <w:numPr>
                <w:ilvl w:val="0"/>
                <w:numId w:val="70"/>
              </w:numPr>
              <w:spacing w:before="0" w:after="0" w:line="240" w:lineRule="auto"/>
              <w:ind w:left="0" w:firstLine="0"/>
              <w:contextualSpacing/>
              <w:rPr>
                <w:rFonts w:ascii="Georgia" w:hAnsi="Georgia"/>
                <w:b/>
                <w:color w:val="FFFFFF" w:themeColor="background1"/>
                <w:spacing w:val="0"/>
                <w:sz w:val="22"/>
                <w:szCs w:val="22"/>
              </w:rPr>
            </w:pPr>
            <w:r>
              <w:rPr>
                <w:rFonts w:ascii="Georgia" w:hAnsi="Georgia"/>
                <w:b/>
                <w:color w:val="FFFFFF" w:themeColor="background1"/>
                <w:spacing w:val="0"/>
                <w:sz w:val="22"/>
                <w:szCs w:val="22"/>
              </w:rPr>
              <w:t>Provide information and assistance to customers regarding gambling harm and harm minimisation</w:t>
            </w:r>
          </w:p>
        </w:tc>
      </w:tr>
      <w:tr w:rsidR="00B70865" w:rsidRPr="00FE74CB" w14:paraId="5A39074D" w14:textId="77777777" w:rsidTr="00B70865">
        <w:trPr>
          <w:cantSplit/>
          <w:trHeight w:val="64"/>
          <w:jc w:val="center"/>
        </w:trPr>
        <w:tc>
          <w:tcPr>
            <w:tcW w:w="677" w:type="dxa"/>
          </w:tcPr>
          <w:p w14:paraId="7A2033CD"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3.1</w:t>
            </w:r>
          </w:p>
        </w:tc>
        <w:tc>
          <w:tcPr>
            <w:tcW w:w="6831" w:type="dxa"/>
          </w:tcPr>
          <w:p w14:paraId="407029B9"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Provide information on impacts of harm from gambling and gambling harm minimisation and reduction to customers to enable them to make informed decisions about their participation.</w:t>
            </w:r>
          </w:p>
        </w:tc>
        <w:tc>
          <w:tcPr>
            <w:tcW w:w="1259" w:type="dxa"/>
          </w:tcPr>
          <w:p w14:paraId="29FD6790"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797AD27B"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77E9AA59"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7E445D14" w14:textId="77777777" w:rsidTr="00B70865">
        <w:trPr>
          <w:cantSplit/>
          <w:trHeight w:val="64"/>
          <w:jc w:val="center"/>
        </w:trPr>
        <w:tc>
          <w:tcPr>
            <w:tcW w:w="677" w:type="dxa"/>
          </w:tcPr>
          <w:p w14:paraId="58D9EF43"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3.2</w:t>
            </w:r>
          </w:p>
        </w:tc>
        <w:tc>
          <w:tcPr>
            <w:tcW w:w="6831" w:type="dxa"/>
          </w:tcPr>
          <w:p w14:paraId="3BBCB275"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Discuss support service options and benefits of seeking support with customer.</w:t>
            </w:r>
          </w:p>
        </w:tc>
        <w:tc>
          <w:tcPr>
            <w:tcW w:w="1259" w:type="dxa"/>
          </w:tcPr>
          <w:p w14:paraId="51171988"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7E3B46E0"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431B02B9"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79AFCF57" w14:textId="77777777" w:rsidTr="00B70865">
        <w:trPr>
          <w:cantSplit/>
          <w:trHeight w:val="64"/>
          <w:jc w:val="center"/>
        </w:trPr>
        <w:tc>
          <w:tcPr>
            <w:tcW w:w="677" w:type="dxa"/>
          </w:tcPr>
          <w:p w14:paraId="1FB3BB5C"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3.3</w:t>
            </w:r>
          </w:p>
        </w:tc>
        <w:tc>
          <w:tcPr>
            <w:tcW w:w="6831" w:type="dxa"/>
          </w:tcPr>
          <w:p w14:paraId="4D276BE6"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Follow procedures for exclusion, including self-exclusion, according to legislation, industry and organisational policy, and confidentiality and privacy requirements.</w:t>
            </w:r>
          </w:p>
        </w:tc>
        <w:tc>
          <w:tcPr>
            <w:tcW w:w="1259" w:type="dxa"/>
          </w:tcPr>
          <w:p w14:paraId="7C632839"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030B1277"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5AD0072A"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12BD761D" w14:textId="77777777" w:rsidTr="00B70865">
        <w:trPr>
          <w:cantSplit/>
          <w:trHeight w:val="64"/>
          <w:jc w:val="center"/>
        </w:trPr>
        <w:tc>
          <w:tcPr>
            <w:tcW w:w="677" w:type="dxa"/>
          </w:tcPr>
          <w:p w14:paraId="68B241D3"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3.4</w:t>
            </w:r>
          </w:p>
        </w:tc>
        <w:tc>
          <w:tcPr>
            <w:tcW w:w="6831" w:type="dxa"/>
          </w:tcPr>
          <w:p w14:paraId="19943A5C"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Provide customer with referral options using appropriate method of communication according to level of potential risk of harm associated with online wagering.</w:t>
            </w:r>
          </w:p>
        </w:tc>
        <w:tc>
          <w:tcPr>
            <w:tcW w:w="1259" w:type="dxa"/>
          </w:tcPr>
          <w:p w14:paraId="668F94D1"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2D4CF503"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7C603AD2"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5EAC0771" w14:textId="77777777" w:rsidTr="00B70865">
        <w:trPr>
          <w:cantSplit/>
          <w:trHeight w:val="64"/>
          <w:jc w:val="center"/>
        </w:trPr>
        <w:tc>
          <w:tcPr>
            <w:tcW w:w="677" w:type="dxa"/>
          </w:tcPr>
          <w:p w14:paraId="0968F8B3"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3.5</w:t>
            </w:r>
          </w:p>
        </w:tc>
        <w:tc>
          <w:tcPr>
            <w:tcW w:w="6831" w:type="dxa"/>
          </w:tcPr>
          <w:p w14:paraId="1B19AD6B"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Provide customer with information on how to lodge complaints with regulators or others as required.</w:t>
            </w:r>
          </w:p>
        </w:tc>
        <w:tc>
          <w:tcPr>
            <w:tcW w:w="1259" w:type="dxa"/>
          </w:tcPr>
          <w:p w14:paraId="431E92CD"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06F28D68"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22277479"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06625ADD" w14:textId="77777777" w:rsidTr="00B70865">
        <w:trPr>
          <w:cantSplit/>
          <w:trHeight w:val="938"/>
          <w:jc w:val="center"/>
        </w:trPr>
        <w:tc>
          <w:tcPr>
            <w:tcW w:w="677" w:type="dxa"/>
          </w:tcPr>
          <w:p w14:paraId="08A670D1"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lastRenderedPageBreak/>
              <w:t>3.6</w:t>
            </w:r>
          </w:p>
        </w:tc>
        <w:tc>
          <w:tcPr>
            <w:tcW w:w="6831" w:type="dxa"/>
          </w:tcPr>
          <w:p w14:paraId="7442B194"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Communicate with customers in a timely, professional and positive manner that displays empathy and provides validation.</w:t>
            </w:r>
          </w:p>
        </w:tc>
        <w:tc>
          <w:tcPr>
            <w:tcW w:w="1259" w:type="dxa"/>
          </w:tcPr>
          <w:p w14:paraId="3DA368B0"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40F3ED65"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68E72424"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0DBBFECD" w14:textId="77777777" w:rsidTr="00B70865">
        <w:trPr>
          <w:cantSplit/>
          <w:jc w:val="center"/>
        </w:trPr>
        <w:tc>
          <w:tcPr>
            <w:tcW w:w="15304" w:type="dxa"/>
            <w:gridSpan w:val="5"/>
            <w:shd w:val="clear" w:color="auto" w:fill="005A70" w:themeFill="accent4"/>
          </w:tcPr>
          <w:p w14:paraId="06448557" w14:textId="77777777" w:rsidR="00B70865" w:rsidRPr="00FE74CB" w:rsidRDefault="00B70865" w:rsidP="00BF2143">
            <w:pPr>
              <w:numPr>
                <w:ilvl w:val="0"/>
                <w:numId w:val="70"/>
              </w:numPr>
              <w:spacing w:before="0" w:after="0" w:line="240" w:lineRule="auto"/>
              <w:ind w:left="0" w:firstLine="0"/>
              <w:contextualSpacing/>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Mitigate risks relating to online wagering</w:t>
            </w:r>
          </w:p>
        </w:tc>
      </w:tr>
      <w:tr w:rsidR="00B70865" w:rsidRPr="00FE74CB" w14:paraId="7BD3A3BD" w14:textId="77777777" w:rsidTr="00B70865">
        <w:trPr>
          <w:cantSplit/>
          <w:trHeight w:val="64"/>
          <w:jc w:val="center"/>
        </w:trPr>
        <w:tc>
          <w:tcPr>
            <w:tcW w:w="677" w:type="dxa"/>
          </w:tcPr>
          <w:p w14:paraId="002AA7B0"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4.1</w:t>
            </w:r>
          </w:p>
        </w:tc>
        <w:tc>
          <w:tcPr>
            <w:tcW w:w="6831" w:type="dxa"/>
          </w:tcPr>
          <w:p w14:paraId="7F6FBAAA"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Use filtering processes to verify identification and prevent access by those under 18 years of age.</w:t>
            </w:r>
          </w:p>
        </w:tc>
        <w:tc>
          <w:tcPr>
            <w:tcW w:w="1259" w:type="dxa"/>
          </w:tcPr>
          <w:p w14:paraId="7C5900A5"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7D7AAFF3"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66BD00C6"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186A9339" w14:textId="77777777" w:rsidTr="00B70865">
        <w:trPr>
          <w:cantSplit/>
          <w:trHeight w:val="64"/>
          <w:jc w:val="center"/>
        </w:trPr>
        <w:tc>
          <w:tcPr>
            <w:tcW w:w="677" w:type="dxa"/>
          </w:tcPr>
          <w:p w14:paraId="013D7483"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4.2</w:t>
            </w:r>
          </w:p>
        </w:tc>
        <w:tc>
          <w:tcPr>
            <w:tcW w:w="6831" w:type="dxa"/>
          </w:tcPr>
          <w:p w14:paraId="2DAB79F7"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Immediately close customer account if identification processes show customer is a minor.</w:t>
            </w:r>
          </w:p>
        </w:tc>
        <w:tc>
          <w:tcPr>
            <w:tcW w:w="1259" w:type="dxa"/>
          </w:tcPr>
          <w:p w14:paraId="2672D14C"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1DD42A6A"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6F6BDF83"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43B07036" w14:textId="77777777" w:rsidTr="00B70865">
        <w:trPr>
          <w:cantSplit/>
          <w:trHeight w:val="64"/>
          <w:jc w:val="center"/>
        </w:trPr>
        <w:tc>
          <w:tcPr>
            <w:tcW w:w="677" w:type="dxa"/>
          </w:tcPr>
          <w:p w14:paraId="4B9EBFDB"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4.3</w:t>
            </w:r>
          </w:p>
        </w:tc>
        <w:tc>
          <w:tcPr>
            <w:tcW w:w="6831" w:type="dxa"/>
          </w:tcPr>
          <w:p w14:paraId="24331FB5"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Use filtering processes to identify excluded customers and immediately close customer account when excluded customer is identified.</w:t>
            </w:r>
          </w:p>
        </w:tc>
        <w:tc>
          <w:tcPr>
            <w:tcW w:w="1259" w:type="dxa"/>
          </w:tcPr>
          <w:p w14:paraId="585432DA"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312FB5B4"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0E5A926F"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0596CD64" w14:textId="77777777" w:rsidTr="00B70865">
        <w:trPr>
          <w:cantSplit/>
          <w:trHeight w:val="64"/>
          <w:jc w:val="center"/>
        </w:trPr>
        <w:tc>
          <w:tcPr>
            <w:tcW w:w="677" w:type="dxa"/>
          </w:tcPr>
          <w:p w14:paraId="62CD90D2"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4.4</w:t>
            </w:r>
          </w:p>
        </w:tc>
        <w:tc>
          <w:tcPr>
            <w:tcW w:w="6831" w:type="dxa"/>
          </w:tcPr>
          <w:p w14:paraId="0339B3E4"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Remove excluded customers from marketing communications and advertising and promotion database to ensure they are not encouraged to return to wagering</w:t>
            </w:r>
          </w:p>
        </w:tc>
        <w:tc>
          <w:tcPr>
            <w:tcW w:w="1259" w:type="dxa"/>
          </w:tcPr>
          <w:p w14:paraId="57B6DF02"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1D963DE0"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27D0854E"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0D19E339" w14:textId="77777777" w:rsidTr="00B70865">
        <w:trPr>
          <w:cantSplit/>
          <w:trHeight w:val="64"/>
          <w:jc w:val="center"/>
        </w:trPr>
        <w:tc>
          <w:tcPr>
            <w:tcW w:w="677" w:type="dxa"/>
          </w:tcPr>
          <w:p w14:paraId="055236D2"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4.5</w:t>
            </w:r>
          </w:p>
        </w:tc>
        <w:tc>
          <w:tcPr>
            <w:tcW w:w="6831" w:type="dxa"/>
          </w:tcPr>
          <w:p w14:paraId="3E0DC053"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Ensure advertising and promotion to customers provides information on risks and potential harm of gambling and online wagering in line with relevant legislative frameworks.</w:t>
            </w:r>
          </w:p>
        </w:tc>
        <w:tc>
          <w:tcPr>
            <w:tcW w:w="1259" w:type="dxa"/>
          </w:tcPr>
          <w:p w14:paraId="3098062C"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53318D8A"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2F0FD2E2"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03EA4975" w14:textId="77777777" w:rsidTr="00B70865">
        <w:trPr>
          <w:cantSplit/>
          <w:trHeight w:val="64"/>
          <w:jc w:val="center"/>
        </w:trPr>
        <w:tc>
          <w:tcPr>
            <w:tcW w:w="677" w:type="dxa"/>
          </w:tcPr>
          <w:p w14:paraId="352EC13F"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4.6</w:t>
            </w:r>
          </w:p>
        </w:tc>
        <w:tc>
          <w:tcPr>
            <w:tcW w:w="6831" w:type="dxa"/>
          </w:tcPr>
          <w:p w14:paraId="5DB868EC"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Protect confidentiality and privacy of information provided by customers according to regulations and organisational policies and procedures.</w:t>
            </w:r>
          </w:p>
        </w:tc>
        <w:tc>
          <w:tcPr>
            <w:tcW w:w="1259" w:type="dxa"/>
          </w:tcPr>
          <w:p w14:paraId="069E1A2D" w14:textId="77777777" w:rsidR="00B70865" w:rsidRPr="00FE74CB" w:rsidRDefault="00B70865" w:rsidP="00B70865">
            <w:pPr>
              <w:spacing w:before="0" w:after="200" w:line="276" w:lineRule="auto"/>
              <w:rPr>
                <w:rFonts w:ascii="Georgia" w:hAnsi="Georgia"/>
                <w:spacing w:val="0"/>
                <w:sz w:val="22"/>
                <w:szCs w:val="22"/>
              </w:rPr>
            </w:pPr>
          </w:p>
        </w:tc>
        <w:tc>
          <w:tcPr>
            <w:tcW w:w="1293" w:type="dxa"/>
          </w:tcPr>
          <w:p w14:paraId="7A5EEE29" w14:textId="77777777" w:rsidR="00B70865" w:rsidRPr="00FE74CB" w:rsidRDefault="00B70865" w:rsidP="00B70865">
            <w:pPr>
              <w:spacing w:before="0" w:after="200" w:line="276" w:lineRule="auto"/>
              <w:rPr>
                <w:rFonts w:ascii="Georgia" w:hAnsi="Georgia"/>
                <w:spacing w:val="0"/>
                <w:sz w:val="22"/>
                <w:szCs w:val="22"/>
              </w:rPr>
            </w:pPr>
          </w:p>
        </w:tc>
        <w:tc>
          <w:tcPr>
            <w:tcW w:w="5244" w:type="dxa"/>
          </w:tcPr>
          <w:p w14:paraId="26E3957B" w14:textId="77777777" w:rsidR="00B70865" w:rsidRPr="00FE74CB" w:rsidRDefault="00B70865" w:rsidP="00B70865">
            <w:pPr>
              <w:spacing w:before="0" w:after="200" w:line="276" w:lineRule="auto"/>
              <w:rPr>
                <w:rFonts w:ascii="Georgia" w:hAnsi="Georgia"/>
                <w:spacing w:val="0"/>
                <w:sz w:val="22"/>
                <w:szCs w:val="22"/>
              </w:rPr>
            </w:pPr>
          </w:p>
        </w:tc>
      </w:tr>
    </w:tbl>
    <w:p w14:paraId="4E10C2B4" w14:textId="77777777" w:rsidR="00B70865" w:rsidRDefault="00B70865" w:rsidP="00FE74CB">
      <w:pPr>
        <w:spacing w:before="0" w:after="200" w:line="276" w:lineRule="auto"/>
        <w:rPr>
          <w:rFonts w:ascii="Georgia" w:eastAsia="Calibri" w:hAnsi="Georgia"/>
          <w:b/>
          <w:spacing w:val="0"/>
          <w:sz w:val="22"/>
          <w:szCs w:val="22"/>
          <w:lang w:eastAsia="en-US"/>
        </w:rPr>
      </w:pPr>
    </w:p>
    <w:p w14:paraId="740A4BE1" w14:textId="77777777" w:rsidR="00B70865" w:rsidRDefault="00B70865">
      <w:pPr>
        <w:spacing w:before="0" w:after="0" w:line="240" w:lineRule="auto"/>
        <w:rPr>
          <w:rFonts w:ascii="Georgia" w:eastAsia="Calibri" w:hAnsi="Georgia"/>
          <w:b/>
          <w:spacing w:val="0"/>
          <w:sz w:val="22"/>
          <w:szCs w:val="22"/>
          <w:lang w:eastAsia="en-US"/>
        </w:rPr>
      </w:pPr>
      <w:r>
        <w:rPr>
          <w:rFonts w:ascii="Georgia" w:eastAsia="Calibri" w:hAnsi="Georgia"/>
          <w:b/>
          <w:spacing w:val="0"/>
          <w:sz w:val="22"/>
          <w:szCs w:val="22"/>
          <w:lang w:eastAsia="en-US"/>
        </w:rPr>
        <w:br w:type="page"/>
      </w:r>
    </w:p>
    <w:p w14:paraId="4A0DE46F" w14:textId="77777777" w:rsidR="00FE74CB" w:rsidRPr="00FE74CB" w:rsidRDefault="00FE74CB" w:rsidP="00FE74CB">
      <w:pPr>
        <w:spacing w:before="0" w:after="200" w:line="276" w:lineRule="auto"/>
        <w:rPr>
          <w:rFonts w:ascii="Georgia" w:eastAsia="Calibri" w:hAnsi="Georgia"/>
          <w:b/>
          <w:spacing w:val="0"/>
          <w:sz w:val="22"/>
          <w:szCs w:val="22"/>
          <w:lang w:eastAsia="en-US"/>
        </w:rPr>
      </w:pPr>
      <w:r w:rsidRPr="00FE74CB">
        <w:rPr>
          <w:rFonts w:ascii="Georgia" w:eastAsia="Calibri" w:hAnsi="Georgia"/>
          <w:b/>
          <w:spacing w:val="0"/>
          <w:sz w:val="22"/>
          <w:szCs w:val="22"/>
          <w:lang w:eastAsia="en-US"/>
        </w:rPr>
        <w:lastRenderedPageBreak/>
        <w:t xml:space="preserve">Assessment Criteria </w:t>
      </w:r>
    </w:p>
    <w:p w14:paraId="12014D2B" w14:textId="77777777" w:rsidR="00FE74CB" w:rsidRPr="00FE74CB" w:rsidRDefault="00FE74CB" w:rsidP="00FE74CB">
      <w:pPr>
        <w:spacing w:before="0" w:after="200" w:line="276" w:lineRule="auto"/>
        <w:rPr>
          <w:rFonts w:ascii="Georgia" w:eastAsia="Calibri" w:hAnsi="Georgia"/>
          <w:spacing w:val="0"/>
          <w:sz w:val="22"/>
          <w:szCs w:val="22"/>
          <w:lang w:eastAsia="en-US"/>
        </w:rPr>
      </w:pPr>
      <w:r w:rsidRPr="00FE74CB">
        <w:rPr>
          <w:rFonts w:ascii="Georgia" w:eastAsia="Calibri" w:hAnsi="Georgia"/>
          <w:spacing w:val="0"/>
          <w:sz w:val="22"/>
          <w:szCs w:val="22"/>
          <w:lang w:eastAsia="en-US"/>
        </w:rPr>
        <w:t>In the opinion of the reviewer, does the assessment portion of the training require that participants:</w:t>
      </w:r>
    </w:p>
    <w:tbl>
      <w:tblPr>
        <w:tblStyle w:val="TableGrid3"/>
        <w:tblW w:w="0" w:type="auto"/>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Blank table"/>
        <w:tblDescription w:val="Blank table to complete assessment criteria"/>
      </w:tblPr>
      <w:tblGrid>
        <w:gridCol w:w="7396"/>
        <w:gridCol w:w="1100"/>
        <w:gridCol w:w="1095"/>
        <w:gridCol w:w="4991"/>
      </w:tblGrid>
      <w:tr w:rsidR="00B70865" w:rsidRPr="00B70865" w14:paraId="56038FA1" w14:textId="77777777" w:rsidTr="00B741E9">
        <w:trPr>
          <w:cantSplit/>
          <w:trHeight w:val="270"/>
          <w:tblHeader/>
        </w:trPr>
        <w:tc>
          <w:tcPr>
            <w:tcW w:w="7792" w:type="dxa"/>
            <w:shd w:val="clear" w:color="auto" w:fill="005A70" w:themeFill="accent4"/>
          </w:tcPr>
          <w:p w14:paraId="56FA321A" w14:textId="77777777" w:rsidR="00FE74CB" w:rsidRPr="00FE74CB" w:rsidRDefault="00FE74CB" w:rsidP="00FE74CB">
            <w:pPr>
              <w:spacing w:before="0" w:after="200" w:line="276" w:lineRule="auto"/>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 xml:space="preserve">Review of assessment elements of staff training module </w:t>
            </w:r>
          </w:p>
        </w:tc>
        <w:tc>
          <w:tcPr>
            <w:tcW w:w="1134" w:type="dxa"/>
            <w:shd w:val="clear" w:color="auto" w:fill="005A70" w:themeFill="accent4"/>
          </w:tcPr>
          <w:p w14:paraId="5760F439"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Yes</w:t>
            </w:r>
          </w:p>
        </w:tc>
        <w:tc>
          <w:tcPr>
            <w:tcW w:w="1134" w:type="dxa"/>
            <w:shd w:val="clear" w:color="auto" w:fill="005A70" w:themeFill="accent4"/>
          </w:tcPr>
          <w:p w14:paraId="3D86144F"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No</w:t>
            </w:r>
          </w:p>
        </w:tc>
        <w:tc>
          <w:tcPr>
            <w:tcW w:w="5239" w:type="dxa"/>
            <w:shd w:val="clear" w:color="auto" w:fill="005A70" w:themeFill="accent4"/>
          </w:tcPr>
          <w:p w14:paraId="5BC6003A"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Comments</w:t>
            </w:r>
          </w:p>
        </w:tc>
      </w:tr>
      <w:tr w:rsidR="00FE74CB" w:rsidRPr="00FE74CB" w14:paraId="7D2F21D1" w14:textId="77777777" w:rsidTr="00B70865">
        <w:trPr>
          <w:trHeight w:val="587"/>
        </w:trPr>
        <w:tc>
          <w:tcPr>
            <w:tcW w:w="7792" w:type="dxa"/>
          </w:tcPr>
          <w:p w14:paraId="61A9F62B"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Have a general understanding the key legislative instruments and industry policies relevant to the provision of responsible online wagering services.</w:t>
            </w:r>
          </w:p>
        </w:tc>
        <w:tc>
          <w:tcPr>
            <w:tcW w:w="1134" w:type="dxa"/>
          </w:tcPr>
          <w:p w14:paraId="5055B1ED"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0297B6EE"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1151762C"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261BED47" w14:textId="77777777" w:rsidTr="00B70865">
        <w:trPr>
          <w:trHeight w:val="558"/>
        </w:trPr>
        <w:tc>
          <w:tcPr>
            <w:tcW w:w="7792" w:type="dxa"/>
          </w:tcPr>
          <w:p w14:paraId="143149BC"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Understand the key requirements of responsible online wagering services as per organisational terms and conditions, codes of practice etc. </w:t>
            </w:r>
          </w:p>
        </w:tc>
        <w:tc>
          <w:tcPr>
            <w:tcW w:w="1134" w:type="dxa"/>
          </w:tcPr>
          <w:p w14:paraId="41E6800C"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42CB2287"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05F86A8A"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6BE3F35B" w14:textId="77777777" w:rsidTr="00B70865">
        <w:trPr>
          <w:trHeight w:val="558"/>
        </w:trPr>
        <w:tc>
          <w:tcPr>
            <w:tcW w:w="7792" w:type="dxa"/>
          </w:tcPr>
          <w:p w14:paraId="186A78AA"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Understand the elements of responsible wagering practices including customers being aware of the likelihood of losing, the risks associated with gambling, the importance of gambling within personal limits etc. </w:t>
            </w:r>
          </w:p>
        </w:tc>
        <w:tc>
          <w:tcPr>
            <w:tcW w:w="1134" w:type="dxa"/>
          </w:tcPr>
          <w:p w14:paraId="47A3CA41"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7192F7CD"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2E396BA9"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67393404" w14:textId="77777777" w:rsidTr="00B70865">
        <w:trPr>
          <w:trHeight w:val="558"/>
        </w:trPr>
        <w:tc>
          <w:tcPr>
            <w:tcW w:w="7792" w:type="dxa"/>
          </w:tcPr>
          <w:p w14:paraId="22FBD668"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Understand and identify the key behaviours and signs that may indicate gambling harm and impacts of gambling harm. </w:t>
            </w:r>
          </w:p>
        </w:tc>
        <w:tc>
          <w:tcPr>
            <w:tcW w:w="1134" w:type="dxa"/>
          </w:tcPr>
          <w:p w14:paraId="325D206F"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39B21532"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7FE3F4F4"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168BA101" w14:textId="77777777" w:rsidTr="00B70865">
        <w:trPr>
          <w:trHeight w:val="558"/>
        </w:trPr>
        <w:tc>
          <w:tcPr>
            <w:tcW w:w="7792" w:type="dxa"/>
          </w:tcPr>
          <w:p w14:paraId="188D7591"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Understand how to identify and monitor harmful wagering behaviours and relevant proactive intervention strategies.</w:t>
            </w:r>
          </w:p>
        </w:tc>
        <w:tc>
          <w:tcPr>
            <w:tcW w:w="1134" w:type="dxa"/>
          </w:tcPr>
          <w:p w14:paraId="05E3F5AD"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15549197"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686219FB"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194E2C5E" w14:textId="77777777" w:rsidTr="00B70865">
        <w:trPr>
          <w:trHeight w:val="558"/>
        </w:trPr>
        <w:tc>
          <w:tcPr>
            <w:tcW w:w="7792" w:type="dxa"/>
          </w:tcPr>
          <w:p w14:paraId="05AC6FA5"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Are aware of where to find relevant information on gambling counselling services, operator’s terms and conditions and operator’s information on responsible use of their products.</w:t>
            </w:r>
          </w:p>
        </w:tc>
        <w:tc>
          <w:tcPr>
            <w:tcW w:w="1134" w:type="dxa"/>
          </w:tcPr>
          <w:p w14:paraId="4343BCF8"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18B5607F"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014398EB"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62A1A732" w14:textId="77777777" w:rsidTr="00B70865">
        <w:trPr>
          <w:trHeight w:val="558"/>
        </w:trPr>
        <w:tc>
          <w:tcPr>
            <w:tcW w:w="7792" w:type="dxa"/>
          </w:tcPr>
          <w:p w14:paraId="6708C014"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Are aware of organisational responsible online wagering service procedures, including for distribution of advertising and promotional materials</w:t>
            </w:r>
          </w:p>
        </w:tc>
        <w:tc>
          <w:tcPr>
            <w:tcW w:w="1134" w:type="dxa"/>
          </w:tcPr>
          <w:p w14:paraId="55BDB1DE"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695D77B3"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41C5F701"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3DCD7FE8" w14:textId="77777777" w:rsidTr="00B70865">
        <w:trPr>
          <w:trHeight w:val="558"/>
        </w:trPr>
        <w:tc>
          <w:tcPr>
            <w:tcW w:w="7792" w:type="dxa"/>
          </w:tcPr>
          <w:p w14:paraId="6E980E17"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Understands their privacy and confidentiality responsibilities as per the </w:t>
            </w:r>
            <w:r w:rsidRPr="00FE74CB">
              <w:rPr>
                <w:rFonts w:ascii="Georgia" w:hAnsi="Georgia"/>
                <w:i/>
                <w:spacing w:val="0"/>
                <w:sz w:val="22"/>
                <w:szCs w:val="22"/>
              </w:rPr>
              <w:t>Privacy Act 1988</w:t>
            </w:r>
            <w:r w:rsidRPr="00FE74CB">
              <w:rPr>
                <w:rFonts w:ascii="Georgia" w:hAnsi="Georgia"/>
                <w:spacing w:val="0"/>
                <w:sz w:val="22"/>
                <w:szCs w:val="22"/>
              </w:rPr>
              <w:t xml:space="preserve"> (or its successor) and internal privacy policies. </w:t>
            </w:r>
          </w:p>
        </w:tc>
        <w:tc>
          <w:tcPr>
            <w:tcW w:w="1134" w:type="dxa"/>
          </w:tcPr>
          <w:p w14:paraId="5A617BE5"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68DADDA0"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2F75305F"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5C1CF472" w14:textId="77777777" w:rsidTr="00B70865">
        <w:trPr>
          <w:trHeight w:val="558"/>
        </w:trPr>
        <w:tc>
          <w:tcPr>
            <w:tcW w:w="7792" w:type="dxa"/>
          </w:tcPr>
          <w:p w14:paraId="0FB0C77E"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Is aware of how to maintain records of gambling-related incidents and associated staff action.</w:t>
            </w:r>
          </w:p>
        </w:tc>
        <w:tc>
          <w:tcPr>
            <w:tcW w:w="1134" w:type="dxa"/>
          </w:tcPr>
          <w:p w14:paraId="0BE1E8F2"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74B239EB"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7464DA70"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0BAE0780" w14:textId="77777777" w:rsidTr="00B70865">
        <w:trPr>
          <w:trHeight w:val="558"/>
        </w:trPr>
        <w:tc>
          <w:tcPr>
            <w:tcW w:w="7792" w:type="dxa"/>
          </w:tcPr>
          <w:p w14:paraId="5DDA99B2"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lastRenderedPageBreak/>
              <w:t xml:space="preserve">Is aware of the requirements associated with a consumer requesting to be self-excluded from a wagering service provider. </w:t>
            </w:r>
          </w:p>
        </w:tc>
        <w:tc>
          <w:tcPr>
            <w:tcW w:w="1134" w:type="dxa"/>
          </w:tcPr>
          <w:p w14:paraId="26472B2A"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134FBA82"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74B2D54E"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19495BAC" w14:textId="77777777" w:rsidTr="00B70865">
        <w:trPr>
          <w:trHeight w:val="558"/>
        </w:trPr>
        <w:tc>
          <w:tcPr>
            <w:tcW w:w="7792" w:type="dxa"/>
          </w:tcPr>
          <w:p w14:paraId="2E627E36"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Understands the customer and age verification process and timeframes and is aware that gambling cannot be conducted by individuals under 18 years of age. </w:t>
            </w:r>
          </w:p>
        </w:tc>
        <w:tc>
          <w:tcPr>
            <w:tcW w:w="1134" w:type="dxa"/>
          </w:tcPr>
          <w:p w14:paraId="1390A6C0"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2F59D204"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23DABB1F"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1099B02B" w14:textId="77777777" w:rsidTr="00B70865">
        <w:trPr>
          <w:trHeight w:val="558"/>
        </w:trPr>
        <w:tc>
          <w:tcPr>
            <w:tcW w:w="7792" w:type="dxa"/>
          </w:tcPr>
          <w:p w14:paraId="2E4E8CEF"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Understand the role of online wagering provider in supporting a culture that encourages responsible provision of online wagering services.</w:t>
            </w:r>
          </w:p>
        </w:tc>
        <w:tc>
          <w:tcPr>
            <w:tcW w:w="1134" w:type="dxa"/>
          </w:tcPr>
          <w:p w14:paraId="16817030"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7EB9A039"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3244B327" w14:textId="77777777" w:rsidR="00FE74CB" w:rsidRPr="00FE74CB" w:rsidRDefault="00FE74CB" w:rsidP="00FE74CB">
            <w:pPr>
              <w:spacing w:before="0" w:after="200" w:line="276" w:lineRule="auto"/>
              <w:rPr>
                <w:rFonts w:ascii="Georgia" w:hAnsi="Georgia"/>
                <w:spacing w:val="0"/>
                <w:sz w:val="22"/>
                <w:szCs w:val="22"/>
              </w:rPr>
            </w:pPr>
          </w:p>
        </w:tc>
      </w:tr>
      <w:tr w:rsidR="00B70865" w:rsidRPr="00FE74CB" w14:paraId="700946C9" w14:textId="77777777" w:rsidTr="00B70865">
        <w:trPr>
          <w:trHeight w:val="558"/>
        </w:trPr>
        <w:tc>
          <w:tcPr>
            <w:tcW w:w="7792" w:type="dxa"/>
          </w:tcPr>
          <w:p w14:paraId="730822A8"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Understand the role of individual staff members, supervisors and managers in providing responsible online wagering services.</w:t>
            </w:r>
          </w:p>
        </w:tc>
        <w:tc>
          <w:tcPr>
            <w:tcW w:w="1134" w:type="dxa"/>
          </w:tcPr>
          <w:p w14:paraId="1A267A59" w14:textId="77777777" w:rsidR="00B70865" w:rsidRPr="00FE74CB" w:rsidRDefault="00B70865" w:rsidP="00B70865">
            <w:pPr>
              <w:spacing w:before="0" w:after="200" w:line="276" w:lineRule="auto"/>
              <w:rPr>
                <w:rFonts w:ascii="Georgia" w:hAnsi="Georgia"/>
                <w:spacing w:val="0"/>
                <w:sz w:val="22"/>
                <w:szCs w:val="22"/>
              </w:rPr>
            </w:pPr>
          </w:p>
        </w:tc>
        <w:tc>
          <w:tcPr>
            <w:tcW w:w="1134" w:type="dxa"/>
          </w:tcPr>
          <w:p w14:paraId="513070C9" w14:textId="77777777" w:rsidR="00B70865" w:rsidRPr="00FE74CB" w:rsidRDefault="00B70865" w:rsidP="00B70865">
            <w:pPr>
              <w:spacing w:before="0" w:after="200" w:line="276" w:lineRule="auto"/>
              <w:rPr>
                <w:rFonts w:ascii="Georgia" w:hAnsi="Georgia"/>
                <w:spacing w:val="0"/>
                <w:sz w:val="22"/>
                <w:szCs w:val="22"/>
              </w:rPr>
            </w:pPr>
          </w:p>
        </w:tc>
        <w:tc>
          <w:tcPr>
            <w:tcW w:w="5239" w:type="dxa"/>
          </w:tcPr>
          <w:p w14:paraId="4A63C1A9"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16E1B8DC" w14:textId="77777777" w:rsidTr="00B70865">
        <w:trPr>
          <w:trHeight w:val="558"/>
        </w:trPr>
        <w:tc>
          <w:tcPr>
            <w:tcW w:w="7792" w:type="dxa"/>
          </w:tcPr>
          <w:p w14:paraId="2EED776B"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Understand the ramifications for an organisation and an individual of non-compliance with responsible online wagering requirements.</w:t>
            </w:r>
          </w:p>
        </w:tc>
        <w:tc>
          <w:tcPr>
            <w:tcW w:w="1134" w:type="dxa"/>
          </w:tcPr>
          <w:p w14:paraId="670B1B03" w14:textId="77777777" w:rsidR="00B70865" w:rsidRPr="00FE74CB" w:rsidRDefault="00B70865" w:rsidP="00B70865">
            <w:pPr>
              <w:spacing w:before="0" w:after="200" w:line="276" w:lineRule="auto"/>
              <w:rPr>
                <w:rFonts w:ascii="Georgia" w:hAnsi="Georgia"/>
                <w:spacing w:val="0"/>
                <w:sz w:val="22"/>
                <w:szCs w:val="22"/>
              </w:rPr>
            </w:pPr>
          </w:p>
        </w:tc>
        <w:tc>
          <w:tcPr>
            <w:tcW w:w="1134" w:type="dxa"/>
          </w:tcPr>
          <w:p w14:paraId="30182572" w14:textId="77777777" w:rsidR="00B70865" w:rsidRPr="00FE74CB" w:rsidRDefault="00B70865" w:rsidP="00B70865">
            <w:pPr>
              <w:spacing w:before="0" w:after="200" w:line="276" w:lineRule="auto"/>
              <w:rPr>
                <w:rFonts w:ascii="Georgia" w:hAnsi="Georgia"/>
                <w:spacing w:val="0"/>
                <w:sz w:val="22"/>
                <w:szCs w:val="22"/>
              </w:rPr>
            </w:pPr>
          </w:p>
        </w:tc>
        <w:tc>
          <w:tcPr>
            <w:tcW w:w="5239" w:type="dxa"/>
          </w:tcPr>
          <w:p w14:paraId="29615AB6" w14:textId="77777777" w:rsidR="00B70865" w:rsidRPr="00FE74CB" w:rsidRDefault="00B70865" w:rsidP="00B70865">
            <w:pPr>
              <w:spacing w:before="0" w:after="200" w:line="276" w:lineRule="auto"/>
              <w:rPr>
                <w:rFonts w:ascii="Georgia" w:hAnsi="Georgia"/>
                <w:spacing w:val="0"/>
                <w:sz w:val="22"/>
                <w:szCs w:val="22"/>
              </w:rPr>
            </w:pPr>
          </w:p>
        </w:tc>
      </w:tr>
      <w:tr w:rsidR="00B70865" w:rsidRPr="00FE74CB" w14:paraId="6ADC8718" w14:textId="77777777" w:rsidTr="00B70865">
        <w:trPr>
          <w:trHeight w:val="558"/>
        </w:trPr>
        <w:tc>
          <w:tcPr>
            <w:tcW w:w="7792" w:type="dxa"/>
          </w:tcPr>
          <w:p w14:paraId="6C7D80FF" w14:textId="77777777" w:rsidR="00B70865" w:rsidRPr="00FE74CB" w:rsidRDefault="00B70865" w:rsidP="00B70865">
            <w:pPr>
              <w:spacing w:before="0" w:after="200" w:line="276" w:lineRule="auto"/>
              <w:rPr>
                <w:rFonts w:ascii="Georgia" w:hAnsi="Georgia"/>
                <w:spacing w:val="0"/>
                <w:sz w:val="22"/>
                <w:szCs w:val="22"/>
              </w:rPr>
            </w:pPr>
            <w:r w:rsidRPr="00FE74CB">
              <w:rPr>
                <w:rFonts w:ascii="Georgia" w:hAnsi="Georgia"/>
                <w:spacing w:val="0"/>
                <w:sz w:val="22"/>
                <w:szCs w:val="22"/>
              </w:rPr>
              <w:t xml:space="preserve">Identifies situations in which it would be considered inappropriate to refer a consumer to an online wagering providers VIP program. </w:t>
            </w:r>
          </w:p>
        </w:tc>
        <w:tc>
          <w:tcPr>
            <w:tcW w:w="1134" w:type="dxa"/>
          </w:tcPr>
          <w:p w14:paraId="25CAB5DE" w14:textId="77777777" w:rsidR="00B70865" w:rsidRPr="00FE74CB" w:rsidRDefault="00B70865" w:rsidP="00B70865">
            <w:pPr>
              <w:spacing w:before="0" w:after="200" w:line="276" w:lineRule="auto"/>
              <w:rPr>
                <w:rFonts w:ascii="Georgia" w:hAnsi="Georgia"/>
                <w:spacing w:val="0"/>
                <w:sz w:val="22"/>
                <w:szCs w:val="22"/>
              </w:rPr>
            </w:pPr>
          </w:p>
        </w:tc>
        <w:tc>
          <w:tcPr>
            <w:tcW w:w="1134" w:type="dxa"/>
          </w:tcPr>
          <w:p w14:paraId="6CAFC99B" w14:textId="77777777" w:rsidR="00B70865" w:rsidRPr="00FE74CB" w:rsidRDefault="00B70865" w:rsidP="00B70865">
            <w:pPr>
              <w:spacing w:before="0" w:after="200" w:line="276" w:lineRule="auto"/>
              <w:rPr>
                <w:rFonts w:ascii="Georgia" w:hAnsi="Georgia"/>
                <w:spacing w:val="0"/>
                <w:sz w:val="22"/>
                <w:szCs w:val="22"/>
              </w:rPr>
            </w:pPr>
          </w:p>
        </w:tc>
        <w:tc>
          <w:tcPr>
            <w:tcW w:w="5239" w:type="dxa"/>
          </w:tcPr>
          <w:p w14:paraId="2ED635D9" w14:textId="77777777" w:rsidR="00B70865" w:rsidRPr="00FE74CB" w:rsidRDefault="00B70865" w:rsidP="00B70865">
            <w:pPr>
              <w:spacing w:before="0" w:after="200" w:line="276" w:lineRule="auto"/>
              <w:rPr>
                <w:rFonts w:ascii="Georgia" w:hAnsi="Georgia"/>
                <w:spacing w:val="0"/>
                <w:sz w:val="22"/>
                <w:szCs w:val="22"/>
              </w:rPr>
            </w:pPr>
          </w:p>
        </w:tc>
      </w:tr>
    </w:tbl>
    <w:p w14:paraId="29378594" w14:textId="77777777" w:rsidR="00FE74CB" w:rsidRPr="00FE74CB" w:rsidRDefault="00FE74CB" w:rsidP="00FE74CB">
      <w:pPr>
        <w:spacing w:before="0" w:after="200" w:line="276" w:lineRule="auto"/>
        <w:rPr>
          <w:rFonts w:eastAsia="Calibri"/>
          <w:spacing w:val="0"/>
          <w:sz w:val="22"/>
          <w:szCs w:val="22"/>
          <w:lang w:eastAsia="en-US"/>
        </w:rPr>
      </w:pPr>
      <w:r w:rsidRPr="00FE74CB">
        <w:rPr>
          <w:rFonts w:eastAsia="Calibri"/>
          <w:spacing w:val="0"/>
          <w:sz w:val="22"/>
          <w:szCs w:val="22"/>
          <w:lang w:eastAsia="en-US"/>
        </w:rPr>
        <w:br w:type="page"/>
      </w:r>
    </w:p>
    <w:p w14:paraId="520C3AEF" w14:textId="77777777" w:rsidR="00FE74CB" w:rsidRPr="00FE74CB" w:rsidRDefault="00B70865" w:rsidP="00FE74CB">
      <w:pPr>
        <w:spacing w:after="200" w:line="276" w:lineRule="auto"/>
        <w:rPr>
          <w:rFonts w:ascii="Georgia" w:eastAsia="Calibri" w:hAnsi="Georgia"/>
          <w:b/>
          <w:spacing w:val="0"/>
          <w:sz w:val="22"/>
          <w:szCs w:val="22"/>
          <w:lang w:eastAsia="en-US"/>
        </w:rPr>
      </w:pPr>
      <w:r w:rsidRPr="00B70865">
        <w:rPr>
          <w:rFonts w:ascii="Georgia" w:eastAsia="Calibri" w:hAnsi="Georgia"/>
          <w:b/>
          <w:spacing w:val="0"/>
          <w:sz w:val="22"/>
          <w:szCs w:val="22"/>
          <w:lang w:eastAsia="en-US"/>
        </w:rPr>
        <w:lastRenderedPageBreak/>
        <w:t>Outcome of independent review</w:t>
      </w:r>
    </w:p>
    <w:tbl>
      <w:tblPr>
        <w:tblStyle w:val="TableGrid3"/>
        <w:tblW w:w="0" w:type="auto"/>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Blank table to complete outcome of independent review"/>
        <w:tblDescription w:val="Blank table to complete outcome of independent review"/>
      </w:tblPr>
      <w:tblGrid>
        <w:gridCol w:w="7394"/>
        <w:gridCol w:w="1100"/>
        <w:gridCol w:w="1096"/>
        <w:gridCol w:w="4992"/>
      </w:tblGrid>
      <w:tr w:rsidR="00B70865" w:rsidRPr="00B70865" w14:paraId="7A06518C" w14:textId="77777777" w:rsidTr="00B741E9">
        <w:trPr>
          <w:cantSplit/>
          <w:trHeight w:val="270"/>
          <w:tblHeader/>
        </w:trPr>
        <w:tc>
          <w:tcPr>
            <w:tcW w:w="7792" w:type="dxa"/>
            <w:shd w:val="clear" w:color="auto" w:fill="005A70" w:themeFill="accent4"/>
          </w:tcPr>
          <w:p w14:paraId="3A3DB732" w14:textId="77777777" w:rsidR="00FE74CB" w:rsidRPr="00FE74CB" w:rsidRDefault="00FE74CB" w:rsidP="00FE74CB">
            <w:pPr>
              <w:spacing w:before="0" w:after="200" w:line="276" w:lineRule="auto"/>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Outcome of independent review</w:t>
            </w:r>
          </w:p>
        </w:tc>
        <w:tc>
          <w:tcPr>
            <w:tcW w:w="1134" w:type="dxa"/>
            <w:shd w:val="clear" w:color="auto" w:fill="005A70" w:themeFill="accent4"/>
          </w:tcPr>
          <w:p w14:paraId="6CA9C0DE"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Yes</w:t>
            </w:r>
          </w:p>
        </w:tc>
        <w:tc>
          <w:tcPr>
            <w:tcW w:w="1134" w:type="dxa"/>
            <w:shd w:val="clear" w:color="auto" w:fill="005A70" w:themeFill="accent4"/>
          </w:tcPr>
          <w:p w14:paraId="4758FE55"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No</w:t>
            </w:r>
          </w:p>
        </w:tc>
        <w:tc>
          <w:tcPr>
            <w:tcW w:w="5239" w:type="dxa"/>
            <w:shd w:val="clear" w:color="auto" w:fill="005A70" w:themeFill="accent4"/>
          </w:tcPr>
          <w:p w14:paraId="3C21DC1E" w14:textId="77777777" w:rsidR="00FE74CB" w:rsidRPr="00FE74CB" w:rsidRDefault="00FE74CB" w:rsidP="00FE74CB">
            <w:pPr>
              <w:spacing w:before="0" w:after="200" w:line="276" w:lineRule="auto"/>
              <w:jc w:val="center"/>
              <w:rPr>
                <w:rFonts w:ascii="Georgia" w:hAnsi="Georgia"/>
                <w:b/>
                <w:color w:val="FFFFFF" w:themeColor="background1"/>
                <w:spacing w:val="0"/>
                <w:sz w:val="22"/>
                <w:szCs w:val="22"/>
              </w:rPr>
            </w:pPr>
            <w:r w:rsidRPr="00FE74CB">
              <w:rPr>
                <w:rFonts w:ascii="Georgia" w:hAnsi="Georgia"/>
                <w:b/>
                <w:color w:val="FFFFFF" w:themeColor="background1"/>
                <w:spacing w:val="0"/>
                <w:sz w:val="22"/>
                <w:szCs w:val="22"/>
              </w:rPr>
              <w:t>Comments</w:t>
            </w:r>
          </w:p>
        </w:tc>
      </w:tr>
      <w:tr w:rsidR="00FE74CB" w:rsidRPr="00FE74CB" w14:paraId="04B5652F" w14:textId="77777777" w:rsidTr="00B70865">
        <w:trPr>
          <w:trHeight w:val="1119"/>
        </w:trPr>
        <w:tc>
          <w:tcPr>
            <w:tcW w:w="7792" w:type="dxa"/>
          </w:tcPr>
          <w:p w14:paraId="5F736237"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In the opinion of the reviewer, are the </w:t>
            </w:r>
            <w:r w:rsidRPr="00FE74CB">
              <w:rPr>
                <w:rFonts w:ascii="Georgia" w:hAnsi="Georgia"/>
                <w:b/>
                <w:spacing w:val="0"/>
                <w:sz w:val="22"/>
                <w:szCs w:val="22"/>
              </w:rPr>
              <w:t>main</w:t>
            </w:r>
            <w:r w:rsidRPr="00FE74CB">
              <w:rPr>
                <w:rFonts w:ascii="Georgia" w:hAnsi="Georgia"/>
                <w:spacing w:val="0"/>
                <w:sz w:val="22"/>
                <w:szCs w:val="22"/>
              </w:rPr>
              <w:t xml:space="preserve"> training materials developed by [INSERT PROVIDER NAME] up-to-date and do they effectively cover the requirements set out in the National Unit of Competency </w:t>
            </w:r>
            <w:r w:rsidRPr="00FE74CB">
              <w:rPr>
                <w:rFonts w:ascii="Georgia" w:hAnsi="Georgia"/>
                <w:i/>
                <w:spacing w:val="0"/>
                <w:sz w:val="22"/>
                <w:szCs w:val="22"/>
              </w:rPr>
              <w:t>CHCFIN005 - Provide responsible online wagering services</w:t>
            </w:r>
            <w:r w:rsidRPr="00FE74CB">
              <w:rPr>
                <w:rFonts w:ascii="Georgia" w:hAnsi="Georgia"/>
                <w:spacing w:val="0"/>
                <w:sz w:val="22"/>
                <w:szCs w:val="22"/>
              </w:rPr>
              <w:t xml:space="preserve"> (</w:t>
            </w:r>
            <w:proofErr w:type="spellStart"/>
            <w:r w:rsidRPr="00FE74CB">
              <w:rPr>
                <w:rFonts w:ascii="Georgia" w:hAnsi="Georgia"/>
                <w:spacing w:val="0"/>
                <w:sz w:val="22"/>
                <w:szCs w:val="22"/>
              </w:rPr>
              <w:t>UoC</w:t>
            </w:r>
            <w:proofErr w:type="spellEnd"/>
            <w:r w:rsidRPr="00FE74CB">
              <w:rPr>
                <w:rFonts w:ascii="Georgia" w:hAnsi="Georgia"/>
                <w:spacing w:val="0"/>
                <w:sz w:val="22"/>
                <w:szCs w:val="22"/>
              </w:rPr>
              <w:t>).</w:t>
            </w:r>
          </w:p>
        </w:tc>
        <w:tc>
          <w:tcPr>
            <w:tcW w:w="1134" w:type="dxa"/>
          </w:tcPr>
          <w:p w14:paraId="688BC9A5"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55C3ADD6"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4EF0BDFD"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0F563D5B" w14:textId="77777777" w:rsidTr="00B70865">
        <w:trPr>
          <w:trHeight w:val="845"/>
        </w:trPr>
        <w:tc>
          <w:tcPr>
            <w:tcW w:w="7792" w:type="dxa"/>
          </w:tcPr>
          <w:p w14:paraId="3DF7807C"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In the opinion of the reviewer, do the main training materials developed by [INSERT PROVIDER NAME] provide sufficient assessment to ensure participants can effectively provide responsible online wagering services?</w:t>
            </w:r>
          </w:p>
        </w:tc>
        <w:tc>
          <w:tcPr>
            <w:tcW w:w="1134" w:type="dxa"/>
          </w:tcPr>
          <w:p w14:paraId="5B08E8AA"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7FD2B6DE"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51BE5F2E"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5B17F7AB" w14:textId="77777777" w:rsidTr="00B70865">
        <w:trPr>
          <w:trHeight w:val="1119"/>
        </w:trPr>
        <w:tc>
          <w:tcPr>
            <w:tcW w:w="7792" w:type="dxa"/>
          </w:tcPr>
          <w:p w14:paraId="7A7C9722"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In the opinion of the reviewer, are the </w:t>
            </w:r>
            <w:r w:rsidRPr="00FE74CB">
              <w:rPr>
                <w:rFonts w:ascii="Georgia" w:hAnsi="Georgia"/>
                <w:b/>
                <w:spacing w:val="0"/>
                <w:sz w:val="22"/>
                <w:szCs w:val="22"/>
              </w:rPr>
              <w:t>refresher</w:t>
            </w:r>
            <w:r w:rsidRPr="00FE74CB">
              <w:rPr>
                <w:rFonts w:ascii="Georgia" w:hAnsi="Georgia"/>
                <w:spacing w:val="0"/>
                <w:sz w:val="22"/>
                <w:szCs w:val="22"/>
              </w:rPr>
              <w:t xml:space="preserve"> training materials developed by [INSERT PROVIDER NAME] up-to date and consistent with the requirements set out in the National Unit of Competency </w:t>
            </w:r>
            <w:r w:rsidRPr="00FE74CB">
              <w:rPr>
                <w:rFonts w:ascii="Georgia" w:hAnsi="Georgia"/>
                <w:i/>
                <w:spacing w:val="0"/>
                <w:sz w:val="22"/>
                <w:szCs w:val="22"/>
              </w:rPr>
              <w:t>CHCFIN005 - Provide responsible online wagering services</w:t>
            </w:r>
            <w:r w:rsidRPr="00FE74CB">
              <w:rPr>
                <w:rFonts w:ascii="Georgia" w:hAnsi="Georgia"/>
                <w:spacing w:val="0"/>
                <w:sz w:val="22"/>
                <w:szCs w:val="22"/>
              </w:rPr>
              <w:t xml:space="preserve"> (</w:t>
            </w:r>
            <w:proofErr w:type="spellStart"/>
            <w:r w:rsidRPr="00FE74CB">
              <w:rPr>
                <w:rFonts w:ascii="Georgia" w:hAnsi="Georgia"/>
                <w:spacing w:val="0"/>
                <w:sz w:val="22"/>
                <w:szCs w:val="22"/>
              </w:rPr>
              <w:t>UoC</w:t>
            </w:r>
            <w:proofErr w:type="spellEnd"/>
            <w:r w:rsidRPr="00FE74CB">
              <w:rPr>
                <w:rFonts w:ascii="Georgia" w:hAnsi="Georgia"/>
                <w:spacing w:val="0"/>
                <w:sz w:val="22"/>
                <w:szCs w:val="22"/>
              </w:rPr>
              <w:t>).</w:t>
            </w:r>
          </w:p>
        </w:tc>
        <w:tc>
          <w:tcPr>
            <w:tcW w:w="1134" w:type="dxa"/>
          </w:tcPr>
          <w:p w14:paraId="18BEF3B5"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70982012"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17135105"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75C9393F" w14:textId="77777777" w:rsidTr="00B70865">
        <w:trPr>
          <w:trHeight w:val="845"/>
        </w:trPr>
        <w:tc>
          <w:tcPr>
            <w:tcW w:w="7792" w:type="dxa"/>
          </w:tcPr>
          <w:p w14:paraId="41854692"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 xml:space="preserve">In the opinion of the reviewer, do the </w:t>
            </w:r>
            <w:r w:rsidRPr="00FE74CB">
              <w:rPr>
                <w:rFonts w:ascii="Georgia" w:hAnsi="Georgia"/>
                <w:b/>
                <w:spacing w:val="0"/>
                <w:sz w:val="22"/>
                <w:szCs w:val="22"/>
              </w:rPr>
              <w:t>refresher</w:t>
            </w:r>
            <w:r w:rsidRPr="00FE74CB">
              <w:rPr>
                <w:rFonts w:ascii="Georgia" w:hAnsi="Georgia"/>
                <w:spacing w:val="0"/>
                <w:sz w:val="22"/>
                <w:szCs w:val="22"/>
              </w:rPr>
              <w:t xml:space="preserve"> training materials developed by [INSERT PROVIDER NAME] provide sufficient assessment to ensure participants can effectively provide responsible online wagering services?</w:t>
            </w:r>
          </w:p>
        </w:tc>
        <w:tc>
          <w:tcPr>
            <w:tcW w:w="1134" w:type="dxa"/>
          </w:tcPr>
          <w:p w14:paraId="30F114A6"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2BB1F454"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64F7140E" w14:textId="77777777" w:rsidR="00FE74CB" w:rsidRPr="00FE74CB" w:rsidRDefault="00FE74CB" w:rsidP="00FE74CB">
            <w:pPr>
              <w:spacing w:before="0" w:after="200" w:line="276" w:lineRule="auto"/>
              <w:rPr>
                <w:rFonts w:ascii="Georgia" w:hAnsi="Georgia"/>
                <w:spacing w:val="0"/>
                <w:sz w:val="22"/>
                <w:szCs w:val="22"/>
              </w:rPr>
            </w:pPr>
          </w:p>
        </w:tc>
      </w:tr>
      <w:tr w:rsidR="00FE74CB" w:rsidRPr="00FE74CB" w14:paraId="76BE44B7" w14:textId="77777777" w:rsidTr="00B70865">
        <w:trPr>
          <w:trHeight w:val="634"/>
        </w:trPr>
        <w:tc>
          <w:tcPr>
            <w:tcW w:w="7792" w:type="dxa"/>
          </w:tcPr>
          <w:p w14:paraId="43A60FC3" w14:textId="77777777" w:rsidR="00FE74CB" w:rsidRPr="00FE74CB" w:rsidRDefault="00FE74CB" w:rsidP="00FE74CB">
            <w:pPr>
              <w:spacing w:before="0" w:after="200" w:line="276" w:lineRule="auto"/>
              <w:rPr>
                <w:rFonts w:ascii="Georgia" w:hAnsi="Georgia"/>
                <w:spacing w:val="0"/>
                <w:sz w:val="22"/>
                <w:szCs w:val="22"/>
              </w:rPr>
            </w:pPr>
            <w:r w:rsidRPr="00FE74CB">
              <w:rPr>
                <w:rFonts w:ascii="Georgia" w:hAnsi="Georgia"/>
                <w:spacing w:val="0"/>
                <w:sz w:val="22"/>
                <w:szCs w:val="22"/>
              </w:rPr>
              <w:t>Does the reviewer have anything further to add about the quality of the staff training materials developed by [INSERT PROVIDER NAME]?</w:t>
            </w:r>
          </w:p>
        </w:tc>
        <w:tc>
          <w:tcPr>
            <w:tcW w:w="1134" w:type="dxa"/>
          </w:tcPr>
          <w:p w14:paraId="54B778A4" w14:textId="77777777" w:rsidR="00FE74CB" w:rsidRPr="00FE74CB" w:rsidRDefault="00FE74CB" w:rsidP="00FE74CB">
            <w:pPr>
              <w:spacing w:before="0" w:after="200" w:line="276" w:lineRule="auto"/>
              <w:rPr>
                <w:rFonts w:ascii="Georgia" w:hAnsi="Georgia"/>
                <w:spacing w:val="0"/>
                <w:sz w:val="22"/>
                <w:szCs w:val="22"/>
              </w:rPr>
            </w:pPr>
          </w:p>
        </w:tc>
        <w:tc>
          <w:tcPr>
            <w:tcW w:w="1134" w:type="dxa"/>
          </w:tcPr>
          <w:p w14:paraId="1D9C0C63" w14:textId="77777777" w:rsidR="00FE74CB" w:rsidRPr="00FE74CB" w:rsidRDefault="00FE74CB" w:rsidP="00FE74CB">
            <w:pPr>
              <w:spacing w:before="0" w:after="200" w:line="276" w:lineRule="auto"/>
              <w:rPr>
                <w:rFonts w:ascii="Georgia" w:hAnsi="Georgia"/>
                <w:spacing w:val="0"/>
                <w:sz w:val="22"/>
                <w:szCs w:val="22"/>
              </w:rPr>
            </w:pPr>
          </w:p>
        </w:tc>
        <w:tc>
          <w:tcPr>
            <w:tcW w:w="5239" w:type="dxa"/>
          </w:tcPr>
          <w:p w14:paraId="0693FF85" w14:textId="77777777" w:rsidR="00FE74CB" w:rsidRPr="00FE74CB" w:rsidRDefault="00FE74CB" w:rsidP="00FE74CB">
            <w:pPr>
              <w:spacing w:before="0" w:after="200" w:line="276" w:lineRule="auto"/>
              <w:rPr>
                <w:rFonts w:ascii="Georgia" w:hAnsi="Georgia"/>
                <w:spacing w:val="0"/>
                <w:sz w:val="22"/>
                <w:szCs w:val="22"/>
              </w:rPr>
            </w:pPr>
          </w:p>
        </w:tc>
      </w:tr>
    </w:tbl>
    <w:p w14:paraId="0B1AFF6D" w14:textId="77777777" w:rsidR="007424D2" w:rsidRPr="007424D2" w:rsidRDefault="007424D2" w:rsidP="007424D2"/>
    <w:p w14:paraId="56618608" w14:textId="01061AA5" w:rsidR="00CB05BE" w:rsidRPr="004649E2" w:rsidRDefault="00B62E98" w:rsidP="008D4E4B">
      <w:hyperlink r:id="rId16" w:history="1">
        <w:r w:rsidR="008223BC" w:rsidRPr="008223BC">
          <w:rPr>
            <w:rStyle w:val="Hyperlink"/>
          </w:rPr>
          <w:t>gambling@dss.gov.au</w:t>
        </w:r>
      </w:hyperlink>
      <w:r w:rsidR="008223BC" w:rsidRPr="008223BC">
        <w:t xml:space="preserve"> or go to </w:t>
      </w:r>
      <w:hyperlink r:id="rId17" w:history="1">
        <w:r w:rsidR="008223BC" w:rsidRPr="008223BC">
          <w:rPr>
            <w:rStyle w:val="Hyperlink"/>
          </w:rPr>
          <w:t>www.dss.gov.au/communities-and-vulnerable-people/programmes-services/gambling</w:t>
        </w:r>
      </w:hyperlink>
      <w:r w:rsidR="008223BC" w:rsidRPr="008223BC">
        <w:t xml:space="preserve">. </w:t>
      </w:r>
    </w:p>
    <w:sectPr w:rsidR="00CB05BE" w:rsidRPr="004649E2" w:rsidSect="0037544B">
      <w:headerReference w:type="first" r:id="rId18"/>
      <w:pgSz w:w="16838" w:h="11906" w:orient="landscape" w:code="9"/>
      <w:pgMar w:top="851" w:right="1112" w:bottom="851" w:left="1134"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20EE6" w14:textId="77777777" w:rsidR="00F535AC" w:rsidRDefault="00F535AC">
      <w:r>
        <w:separator/>
      </w:r>
    </w:p>
  </w:endnote>
  <w:endnote w:type="continuationSeparator" w:id="0">
    <w:p w14:paraId="25D1A1B1" w14:textId="77777777" w:rsidR="00F535AC" w:rsidRDefault="00F535AC">
      <w:r>
        <w:continuationSeparator/>
      </w:r>
    </w:p>
  </w:endnote>
  <w:endnote w:type="continuationNotice" w:id="1">
    <w:p w14:paraId="64A184EC" w14:textId="77777777" w:rsidR="00F535AC" w:rsidRDefault="00F535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9EBA" w14:textId="77777777" w:rsidR="00EE6AC2" w:rsidRDefault="00EE6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8AAB6" w14:textId="77777777" w:rsidR="00F535AC" w:rsidRDefault="00F535AC">
      <w:r>
        <w:separator/>
      </w:r>
    </w:p>
  </w:footnote>
  <w:footnote w:type="continuationSeparator" w:id="0">
    <w:p w14:paraId="74B20358" w14:textId="77777777" w:rsidR="00F535AC" w:rsidRDefault="00F535AC">
      <w:r>
        <w:continuationSeparator/>
      </w:r>
    </w:p>
  </w:footnote>
  <w:footnote w:type="continuationNotice" w:id="1">
    <w:p w14:paraId="2002B11D" w14:textId="77777777" w:rsidR="00F535AC" w:rsidRDefault="00F535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6D30" w14:textId="77777777" w:rsidR="00EE6AC2" w:rsidRDefault="00EE6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F558" w14:textId="77777777" w:rsidR="00142F3E" w:rsidRDefault="00B62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BB57" w14:textId="77777777" w:rsidR="00142F3E" w:rsidRDefault="00B62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43E89"/>
    <w:multiLevelType w:val="hybridMultilevel"/>
    <w:tmpl w:val="BF525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5B4CB9"/>
    <w:multiLevelType w:val="hybridMultilevel"/>
    <w:tmpl w:val="BC908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84CEB"/>
    <w:multiLevelType w:val="hybridMultilevel"/>
    <w:tmpl w:val="4B32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6541C"/>
    <w:multiLevelType w:val="hybridMultilevel"/>
    <w:tmpl w:val="56463A3E"/>
    <w:lvl w:ilvl="0" w:tplc="0C09000B">
      <w:start w:val="1"/>
      <w:numFmt w:val="bullet"/>
      <w:lvlText w:val=""/>
      <w:lvlJc w:val="left"/>
      <w:pPr>
        <w:ind w:left="237" w:hanging="360"/>
      </w:pPr>
      <w:rPr>
        <w:rFonts w:ascii="Wingdings" w:hAnsi="Wingdings" w:hint="default"/>
      </w:rPr>
    </w:lvl>
    <w:lvl w:ilvl="1" w:tplc="D7E2A44C">
      <w:start w:val="1"/>
      <w:numFmt w:val="bullet"/>
      <w:lvlText w:val="o"/>
      <w:lvlJc w:val="left"/>
      <w:pPr>
        <w:ind w:left="957" w:hanging="360"/>
      </w:pPr>
      <w:rPr>
        <w:rFonts w:ascii="Courier New" w:hAnsi="Courier New" w:cs="Courier New" w:hint="default"/>
        <w:sz w:val="18"/>
        <w:szCs w:val="18"/>
      </w:rPr>
    </w:lvl>
    <w:lvl w:ilvl="2" w:tplc="0C090005">
      <w:start w:val="1"/>
      <w:numFmt w:val="bullet"/>
      <w:lvlText w:val=""/>
      <w:lvlJc w:val="left"/>
      <w:pPr>
        <w:ind w:left="1677" w:hanging="360"/>
      </w:pPr>
      <w:rPr>
        <w:rFonts w:ascii="Wingdings" w:hAnsi="Wingdings" w:hint="default"/>
      </w:rPr>
    </w:lvl>
    <w:lvl w:ilvl="3" w:tplc="0C090001" w:tentative="1">
      <w:start w:val="1"/>
      <w:numFmt w:val="bullet"/>
      <w:lvlText w:val=""/>
      <w:lvlJc w:val="left"/>
      <w:pPr>
        <w:ind w:left="2397" w:hanging="360"/>
      </w:pPr>
      <w:rPr>
        <w:rFonts w:ascii="Symbol" w:hAnsi="Symbol" w:hint="default"/>
      </w:rPr>
    </w:lvl>
    <w:lvl w:ilvl="4" w:tplc="0C090003" w:tentative="1">
      <w:start w:val="1"/>
      <w:numFmt w:val="bullet"/>
      <w:lvlText w:val="o"/>
      <w:lvlJc w:val="left"/>
      <w:pPr>
        <w:ind w:left="3117" w:hanging="360"/>
      </w:pPr>
      <w:rPr>
        <w:rFonts w:ascii="Courier New" w:hAnsi="Courier New" w:cs="Courier New" w:hint="default"/>
      </w:rPr>
    </w:lvl>
    <w:lvl w:ilvl="5" w:tplc="0C090005" w:tentative="1">
      <w:start w:val="1"/>
      <w:numFmt w:val="bullet"/>
      <w:lvlText w:val=""/>
      <w:lvlJc w:val="left"/>
      <w:pPr>
        <w:ind w:left="3837" w:hanging="360"/>
      </w:pPr>
      <w:rPr>
        <w:rFonts w:ascii="Wingdings" w:hAnsi="Wingdings" w:hint="default"/>
      </w:rPr>
    </w:lvl>
    <w:lvl w:ilvl="6" w:tplc="0C090001" w:tentative="1">
      <w:start w:val="1"/>
      <w:numFmt w:val="bullet"/>
      <w:lvlText w:val=""/>
      <w:lvlJc w:val="left"/>
      <w:pPr>
        <w:ind w:left="4557" w:hanging="360"/>
      </w:pPr>
      <w:rPr>
        <w:rFonts w:ascii="Symbol" w:hAnsi="Symbol" w:hint="default"/>
      </w:rPr>
    </w:lvl>
    <w:lvl w:ilvl="7" w:tplc="0C090003" w:tentative="1">
      <w:start w:val="1"/>
      <w:numFmt w:val="bullet"/>
      <w:lvlText w:val="o"/>
      <w:lvlJc w:val="left"/>
      <w:pPr>
        <w:ind w:left="5277" w:hanging="360"/>
      </w:pPr>
      <w:rPr>
        <w:rFonts w:ascii="Courier New" w:hAnsi="Courier New" w:cs="Courier New" w:hint="default"/>
      </w:rPr>
    </w:lvl>
    <w:lvl w:ilvl="8" w:tplc="0C090005" w:tentative="1">
      <w:start w:val="1"/>
      <w:numFmt w:val="bullet"/>
      <w:lvlText w:val=""/>
      <w:lvlJc w:val="left"/>
      <w:pPr>
        <w:ind w:left="5997" w:hanging="360"/>
      </w:pPr>
      <w:rPr>
        <w:rFonts w:ascii="Wingdings" w:hAnsi="Wingdings" w:hint="default"/>
      </w:rPr>
    </w:lvl>
  </w:abstractNum>
  <w:abstractNum w:abstractNumId="25"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602E00"/>
    <w:multiLevelType w:val="hybridMultilevel"/>
    <w:tmpl w:val="F084B7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8D2765"/>
    <w:multiLevelType w:val="hybridMultilevel"/>
    <w:tmpl w:val="EEFA93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6D51A05"/>
    <w:multiLevelType w:val="hybridMultilevel"/>
    <w:tmpl w:val="5C1026A0"/>
    <w:lvl w:ilvl="0" w:tplc="0C090001">
      <w:start w:val="1"/>
      <w:numFmt w:val="bullet"/>
      <w:lvlText w:val=""/>
      <w:lvlJc w:val="left"/>
      <w:pPr>
        <w:ind w:left="357" w:hanging="360"/>
      </w:pPr>
      <w:rPr>
        <w:rFonts w:ascii="Symbol" w:hAnsi="Symbol" w:hint="default"/>
      </w:rPr>
    </w:lvl>
    <w:lvl w:ilvl="1" w:tplc="D7E2A44C">
      <w:start w:val="1"/>
      <w:numFmt w:val="bullet"/>
      <w:lvlText w:val="o"/>
      <w:lvlJc w:val="left"/>
      <w:pPr>
        <w:ind w:left="1077" w:hanging="360"/>
      </w:pPr>
      <w:rPr>
        <w:rFonts w:ascii="Courier New" w:hAnsi="Courier New" w:cs="Courier New" w:hint="default"/>
        <w:sz w:val="18"/>
        <w:szCs w:val="18"/>
      </w:rPr>
    </w:lvl>
    <w:lvl w:ilvl="2" w:tplc="0C090005">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64" w15:restartNumberingAfterBreak="0">
    <w:nsid w:val="779146CA"/>
    <w:multiLevelType w:val="hybridMultilevel"/>
    <w:tmpl w:val="0C440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DF02822"/>
    <w:multiLevelType w:val="hybridMultilevel"/>
    <w:tmpl w:val="CA78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43"/>
  </w:num>
  <w:num w:numId="4">
    <w:abstractNumId w:val="13"/>
  </w:num>
  <w:num w:numId="5">
    <w:abstractNumId w:val="17"/>
  </w:num>
  <w:num w:numId="6">
    <w:abstractNumId w:val="65"/>
  </w:num>
  <w:num w:numId="7">
    <w:abstractNumId w:val="50"/>
  </w:num>
  <w:num w:numId="8">
    <w:abstractNumId w:val="55"/>
  </w:num>
  <w:num w:numId="9">
    <w:abstractNumId w:val="8"/>
  </w:num>
  <w:num w:numId="10">
    <w:abstractNumId w:val="62"/>
  </w:num>
  <w:num w:numId="11">
    <w:abstractNumId w:val="18"/>
  </w:num>
  <w:num w:numId="12">
    <w:abstractNumId w:val="47"/>
  </w:num>
  <w:num w:numId="13">
    <w:abstractNumId w:val="57"/>
  </w:num>
  <w:num w:numId="14">
    <w:abstractNumId w:val="39"/>
  </w:num>
  <w:num w:numId="15">
    <w:abstractNumId w:val="3"/>
  </w:num>
  <w:num w:numId="16">
    <w:abstractNumId w:val="14"/>
  </w:num>
  <w:num w:numId="17">
    <w:abstractNumId w:val="61"/>
  </w:num>
  <w:num w:numId="18">
    <w:abstractNumId w:val="54"/>
  </w:num>
  <w:num w:numId="19">
    <w:abstractNumId w:val="15"/>
  </w:num>
  <w:num w:numId="20">
    <w:abstractNumId w:val="2"/>
  </w:num>
  <w:num w:numId="21">
    <w:abstractNumId w:val="6"/>
  </w:num>
  <w:num w:numId="22">
    <w:abstractNumId w:val="23"/>
  </w:num>
  <w:num w:numId="23">
    <w:abstractNumId w:val="19"/>
  </w:num>
  <w:num w:numId="24">
    <w:abstractNumId w:val="68"/>
  </w:num>
  <w:num w:numId="25">
    <w:abstractNumId w:val="38"/>
  </w:num>
  <w:num w:numId="26">
    <w:abstractNumId w:val="44"/>
  </w:num>
  <w:num w:numId="27">
    <w:abstractNumId w:val="21"/>
  </w:num>
  <w:num w:numId="28">
    <w:abstractNumId w:val="66"/>
  </w:num>
  <w:num w:numId="29">
    <w:abstractNumId w:val="53"/>
  </w:num>
  <w:num w:numId="30">
    <w:abstractNumId w:val="29"/>
  </w:num>
  <w:num w:numId="31">
    <w:abstractNumId w:val="49"/>
  </w:num>
  <w:num w:numId="32">
    <w:abstractNumId w:val="58"/>
  </w:num>
  <w:num w:numId="33">
    <w:abstractNumId w:val="60"/>
  </w:num>
  <w:num w:numId="34">
    <w:abstractNumId w:val="4"/>
  </w:num>
  <w:num w:numId="35">
    <w:abstractNumId w:val="27"/>
  </w:num>
  <w:num w:numId="36">
    <w:abstractNumId w:val="52"/>
  </w:num>
  <w:num w:numId="37">
    <w:abstractNumId w:val="9"/>
  </w:num>
  <w:num w:numId="38">
    <w:abstractNumId w:val="32"/>
  </w:num>
  <w:num w:numId="39">
    <w:abstractNumId w:val="26"/>
  </w:num>
  <w:num w:numId="40">
    <w:abstractNumId w:val="37"/>
  </w:num>
  <w:num w:numId="41">
    <w:abstractNumId w:val="41"/>
  </w:num>
  <w:num w:numId="42">
    <w:abstractNumId w:val="25"/>
  </w:num>
  <w:num w:numId="43">
    <w:abstractNumId w:val="16"/>
  </w:num>
  <w:num w:numId="44">
    <w:abstractNumId w:val="46"/>
  </w:num>
  <w:num w:numId="45">
    <w:abstractNumId w:val="51"/>
  </w:num>
  <w:num w:numId="46">
    <w:abstractNumId w:val="35"/>
  </w:num>
  <w:num w:numId="47">
    <w:abstractNumId w:val="33"/>
  </w:num>
  <w:num w:numId="48">
    <w:abstractNumId w:val="1"/>
  </w:num>
  <w:num w:numId="49">
    <w:abstractNumId w:val="48"/>
  </w:num>
  <w:num w:numId="50">
    <w:abstractNumId w:val="59"/>
  </w:num>
  <w:num w:numId="51">
    <w:abstractNumId w:val="45"/>
  </w:num>
  <w:num w:numId="52">
    <w:abstractNumId w:val="10"/>
  </w:num>
  <w:num w:numId="53">
    <w:abstractNumId w:val="56"/>
  </w:num>
  <w:num w:numId="54">
    <w:abstractNumId w:val="28"/>
  </w:num>
  <w:num w:numId="55">
    <w:abstractNumId w:val="20"/>
  </w:num>
  <w:num w:numId="56">
    <w:abstractNumId w:val="31"/>
  </w:num>
  <w:num w:numId="57">
    <w:abstractNumId w:val="30"/>
  </w:num>
  <w:num w:numId="58">
    <w:abstractNumId w:val="11"/>
  </w:num>
  <w:num w:numId="59">
    <w:abstractNumId w:val="40"/>
  </w:num>
  <w:num w:numId="60">
    <w:abstractNumId w:val="7"/>
  </w:num>
  <w:num w:numId="61">
    <w:abstractNumId w:val="34"/>
  </w:num>
  <w:num w:numId="62">
    <w:abstractNumId w:val="36"/>
  </w:num>
  <w:num w:numId="63">
    <w:abstractNumId w:val="12"/>
  </w:num>
  <w:num w:numId="64">
    <w:abstractNumId w:val="22"/>
  </w:num>
  <w:num w:numId="65">
    <w:abstractNumId w:val="67"/>
  </w:num>
  <w:num w:numId="66">
    <w:abstractNumId w:val="42"/>
  </w:num>
  <w:num w:numId="67">
    <w:abstractNumId w:val="64"/>
  </w:num>
  <w:num w:numId="68">
    <w:abstractNumId w:val="63"/>
  </w:num>
  <w:num w:numId="69">
    <w:abstractNumId w:val="24"/>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D2"/>
    <w:rsid w:val="000012F4"/>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0F38D9"/>
    <w:rsid w:val="00104669"/>
    <w:rsid w:val="00110028"/>
    <w:rsid w:val="00111162"/>
    <w:rsid w:val="00116EDF"/>
    <w:rsid w:val="00124B26"/>
    <w:rsid w:val="00130C4E"/>
    <w:rsid w:val="00131B54"/>
    <w:rsid w:val="001354B7"/>
    <w:rsid w:val="0013654F"/>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57172"/>
    <w:rsid w:val="00271922"/>
    <w:rsid w:val="0027204E"/>
    <w:rsid w:val="00273412"/>
    <w:rsid w:val="00274ACF"/>
    <w:rsid w:val="00285F1B"/>
    <w:rsid w:val="00295831"/>
    <w:rsid w:val="00296F1B"/>
    <w:rsid w:val="002A6DF5"/>
    <w:rsid w:val="002D00B0"/>
    <w:rsid w:val="002D2E16"/>
    <w:rsid w:val="002F19EF"/>
    <w:rsid w:val="002F6CA0"/>
    <w:rsid w:val="00302415"/>
    <w:rsid w:val="0030693C"/>
    <w:rsid w:val="003102F6"/>
    <w:rsid w:val="00313304"/>
    <w:rsid w:val="00313C48"/>
    <w:rsid w:val="00314D15"/>
    <w:rsid w:val="003162AD"/>
    <w:rsid w:val="00321148"/>
    <w:rsid w:val="00321798"/>
    <w:rsid w:val="003256DA"/>
    <w:rsid w:val="00325F44"/>
    <w:rsid w:val="00326976"/>
    <w:rsid w:val="003311D7"/>
    <w:rsid w:val="00332B8B"/>
    <w:rsid w:val="00342476"/>
    <w:rsid w:val="00347104"/>
    <w:rsid w:val="0035213F"/>
    <w:rsid w:val="003555D2"/>
    <w:rsid w:val="00363DF3"/>
    <w:rsid w:val="003656B1"/>
    <w:rsid w:val="0037056B"/>
    <w:rsid w:val="0037544B"/>
    <w:rsid w:val="00377173"/>
    <w:rsid w:val="003774DA"/>
    <w:rsid w:val="00380C61"/>
    <w:rsid w:val="00392557"/>
    <w:rsid w:val="003945C0"/>
    <w:rsid w:val="003A06C2"/>
    <w:rsid w:val="003B6D2E"/>
    <w:rsid w:val="003C430D"/>
    <w:rsid w:val="003C7404"/>
    <w:rsid w:val="003D3C5A"/>
    <w:rsid w:val="003D404A"/>
    <w:rsid w:val="003E127F"/>
    <w:rsid w:val="003E60B0"/>
    <w:rsid w:val="003E6FDA"/>
    <w:rsid w:val="003F3072"/>
    <w:rsid w:val="00401A2A"/>
    <w:rsid w:val="004103D7"/>
    <w:rsid w:val="0041307C"/>
    <w:rsid w:val="004167B4"/>
    <w:rsid w:val="00430D7E"/>
    <w:rsid w:val="00431599"/>
    <w:rsid w:val="00433B04"/>
    <w:rsid w:val="00440BD3"/>
    <w:rsid w:val="00446F93"/>
    <w:rsid w:val="004649E2"/>
    <w:rsid w:val="00464E8C"/>
    <w:rsid w:val="00466C7A"/>
    <w:rsid w:val="00466D36"/>
    <w:rsid w:val="00467185"/>
    <w:rsid w:val="0047050C"/>
    <w:rsid w:val="00475504"/>
    <w:rsid w:val="00480F21"/>
    <w:rsid w:val="00484FED"/>
    <w:rsid w:val="00495AF1"/>
    <w:rsid w:val="004B7246"/>
    <w:rsid w:val="004C5A38"/>
    <w:rsid w:val="004D0F6B"/>
    <w:rsid w:val="004D1A29"/>
    <w:rsid w:val="004D44E8"/>
    <w:rsid w:val="004F775C"/>
    <w:rsid w:val="004F77BF"/>
    <w:rsid w:val="005015E4"/>
    <w:rsid w:val="0050291D"/>
    <w:rsid w:val="0050697E"/>
    <w:rsid w:val="0052475C"/>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A61BD"/>
    <w:rsid w:val="005B1225"/>
    <w:rsid w:val="005C09F4"/>
    <w:rsid w:val="005C561A"/>
    <w:rsid w:val="005C5B93"/>
    <w:rsid w:val="005C66FF"/>
    <w:rsid w:val="005C785A"/>
    <w:rsid w:val="005D03CA"/>
    <w:rsid w:val="005D45AB"/>
    <w:rsid w:val="005E4662"/>
    <w:rsid w:val="005E67C1"/>
    <w:rsid w:val="005F093F"/>
    <w:rsid w:val="005F214A"/>
    <w:rsid w:val="005F6BD6"/>
    <w:rsid w:val="00601C99"/>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A345F"/>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24D2"/>
    <w:rsid w:val="007457E8"/>
    <w:rsid w:val="0074640C"/>
    <w:rsid w:val="0075003D"/>
    <w:rsid w:val="00751B37"/>
    <w:rsid w:val="00754D44"/>
    <w:rsid w:val="0076318F"/>
    <w:rsid w:val="00767B7E"/>
    <w:rsid w:val="007746A9"/>
    <w:rsid w:val="00785465"/>
    <w:rsid w:val="00787656"/>
    <w:rsid w:val="007A67EA"/>
    <w:rsid w:val="007B15AF"/>
    <w:rsid w:val="007B695C"/>
    <w:rsid w:val="007B7E83"/>
    <w:rsid w:val="007C1631"/>
    <w:rsid w:val="007C636F"/>
    <w:rsid w:val="007D0EF8"/>
    <w:rsid w:val="007D39EB"/>
    <w:rsid w:val="00800A4D"/>
    <w:rsid w:val="008131E7"/>
    <w:rsid w:val="00813711"/>
    <w:rsid w:val="00814279"/>
    <w:rsid w:val="008223BC"/>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766DB"/>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652"/>
    <w:rsid w:val="009139C0"/>
    <w:rsid w:val="009161C8"/>
    <w:rsid w:val="009164AD"/>
    <w:rsid w:val="00922289"/>
    <w:rsid w:val="009328DA"/>
    <w:rsid w:val="00936F46"/>
    <w:rsid w:val="0094271E"/>
    <w:rsid w:val="00943142"/>
    <w:rsid w:val="00943A29"/>
    <w:rsid w:val="009500D3"/>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1FEF"/>
    <w:rsid w:val="009D28B7"/>
    <w:rsid w:val="009D7E1A"/>
    <w:rsid w:val="009E2162"/>
    <w:rsid w:val="009F2F95"/>
    <w:rsid w:val="00A006EB"/>
    <w:rsid w:val="00A03709"/>
    <w:rsid w:val="00A04B6B"/>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02D5"/>
    <w:rsid w:val="00AD60E6"/>
    <w:rsid w:val="00AD793A"/>
    <w:rsid w:val="00AE457D"/>
    <w:rsid w:val="00AE5956"/>
    <w:rsid w:val="00AE619F"/>
    <w:rsid w:val="00AF373A"/>
    <w:rsid w:val="00AF5424"/>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2E98"/>
    <w:rsid w:val="00B70865"/>
    <w:rsid w:val="00B72D62"/>
    <w:rsid w:val="00B741E9"/>
    <w:rsid w:val="00B843C8"/>
    <w:rsid w:val="00B951E2"/>
    <w:rsid w:val="00B96F37"/>
    <w:rsid w:val="00BA607C"/>
    <w:rsid w:val="00BB3E2A"/>
    <w:rsid w:val="00BC16F5"/>
    <w:rsid w:val="00BC287D"/>
    <w:rsid w:val="00BC4A76"/>
    <w:rsid w:val="00BD32E5"/>
    <w:rsid w:val="00BD5EBD"/>
    <w:rsid w:val="00BD7ADD"/>
    <w:rsid w:val="00BE2473"/>
    <w:rsid w:val="00BE41C3"/>
    <w:rsid w:val="00BE6767"/>
    <w:rsid w:val="00BE68D7"/>
    <w:rsid w:val="00BF0784"/>
    <w:rsid w:val="00BF2143"/>
    <w:rsid w:val="00BF7763"/>
    <w:rsid w:val="00C04D5E"/>
    <w:rsid w:val="00C20E33"/>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2664"/>
    <w:rsid w:val="00D26D01"/>
    <w:rsid w:val="00D33DA3"/>
    <w:rsid w:val="00D45D9D"/>
    <w:rsid w:val="00D4723B"/>
    <w:rsid w:val="00D55EE8"/>
    <w:rsid w:val="00D5785A"/>
    <w:rsid w:val="00D606DE"/>
    <w:rsid w:val="00D64C48"/>
    <w:rsid w:val="00D731C4"/>
    <w:rsid w:val="00D76BB8"/>
    <w:rsid w:val="00D81BAA"/>
    <w:rsid w:val="00D82036"/>
    <w:rsid w:val="00D85BE0"/>
    <w:rsid w:val="00D87C1A"/>
    <w:rsid w:val="00D87F42"/>
    <w:rsid w:val="00D87FD7"/>
    <w:rsid w:val="00D92167"/>
    <w:rsid w:val="00D9502B"/>
    <w:rsid w:val="00D97047"/>
    <w:rsid w:val="00D97108"/>
    <w:rsid w:val="00DC5665"/>
    <w:rsid w:val="00DD46FC"/>
    <w:rsid w:val="00DD4F44"/>
    <w:rsid w:val="00DD5D8B"/>
    <w:rsid w:val="00DE0F9E"/>
    <w:rsid w:val="00DE5D76"/>
    <w:rsid w:val="00E04C8D"/>
    <w:rsid w:val="00E128D8"/>
    <w:rsid w:val="00E30D45"/>
    <w:rsid w:val="00E42FE4"/>
    <w:rsid w:val="00E4609D"/>
    <w:rsid w:val="00E46FAA"/>
    <w:rsid w:val="00E50FB5"/>
    <w:rsid w:val="00E5750B"/>
    <w:rsid w:val="00E60E2E"/>
    <w:rsid w:val="00E62666"/>
    <w:rsid w:val="00E63A24"/>
    <w:rsid w:val="00E67913"/>
    <w:rsid w:val="00E71A2D"/>
    <w:rsid w:val="00E8698A"/>
    <w:rsid w:val="00E923F2"/>
    <w:rsid w:val="00E93161"/>
    <w:rsid w:val="00EA31CC"/>
    <w:rsid w:val="00EB14DF"/>
    <w:rsid w:val="00EB2B64"/>
    <w:rsid w:val="00EB3A07"/>
    <w:rsid w:val="00EB4143"/>
    <w:rsid w:val="00EB4728"/>
    <w:rsid w:val="00EB4E7F"/>
    <w:rsid w:val="00EC207A"/>
    <w:rsid w:val="00EC3F31"/>
    <w:rsid w:val="00ED3C91"/>
    <w:rsid w:val="00ED4112"/>
    <w:rsid w:val="00EE6AC2"/>
    <w:rsid w:val="00EF1347"/>
    <w:rsid w:val="00EF2BEB"/>
    <w:rsid w:val="00F01129"/>
    <w:rsid w:val="00F03D93"/>
    <w:rsid w:val="00F03D9E"/>
    <w:rsid w:val="00F227BF"/>
    <w:rsid w:val="00F374B2"/>
    <w:rsid w:val="00F40AFC"/>
    <w:rsid w:val="00F4730E"/>
    <w:rsid w:val="00F50A92"/>
    <w:rsid w:val="00F535AC"/>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E74CB"/>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4F5503"/>
  <w15:docId w15:val="{2A25283E-BBDC-48D3-BC1A-CF96A82D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lsdException w:name="heading 5" w:uiPriority="2"/>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Recommendation,List Paragraph11,L,bullet point list,Key Message Bullets,Bullet List,Bullet list,Bulletr List Paragraph,FooterText,List Paragraph2,List Paragraph21,Listeafsnit1,Listenabsatz,Paragraphe de liste1,numbered,列出段"/>
    <w:basedOn w:val="Normal"/>
    <w:link w:val="ListParagraphChar"/>
    <w:uiPriority w:val="34"/>
    <w:qFormat/>
    <w:rsid w:val="00EE6AC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FollowedHyperlink">
    <w:name w:val="FollowedHyperlink"/>
    <w:basedOn w:val="DefaultParagraphFont"/>
    <w:uiPriority w:val="99"/>
    <w:semiHidden/>
    <w:unhideWhenUsed/>
    <w:rsid w:val="007424D2"/>
    <w:rPr>
      <w:color w:val="000000" w:themeColor="followedHyperlink"/>
      <w:u w:val="single"/>
    </w:rPr>
  </w:style>
  <w:style w:type="character" w:customStyle="1" w:styleId="ListParagraphChar">
    <w:name w:val="List Paragraph Char"/>
    <w:aliases w:val="List Paragraph1 Char,Recommendation Char,List Paragraph11 Char,L Char,bullet point list Char,Key Message Bullets Char,Bullet List Char,Bullet list Char,Bulletr List Paragraph Char,FooterText Char,List Paragraph2 Char,numbered Char"/>
    <w:link w:val="ListParagraph"/>
    <w:uiPriority w:val="34"/>
    <w:qFormat/>
    <w:rsid w:val="007424D2"/>
    <w:rPr>
      <w:rFonts w:ascii="Arial" w:hAnsi="Arial"/>
      <w:spacing w:val="4"/>
      <w:sz w:val="24"/>
      <w:szCs w:val="24"/>
    </w:rPr>
  </w:style>
  <w:style w:type="paragraph" w:styleId="BodyText">
    <w:name w:val="Body Text"/>
    <w:basedOn w:val="Normal"/>
    <w:link w:val="BodyTextChar"/>
    <w:qFormat/>
    <w:rsid w:val="007424D2"/>
    <w:pPr>
      <w:spacing w:before="0" w:after="120" w:line="240" w:lineRule="auto"/>
    </w:pPr>
    <w:rPr>
      <w:rFonts w:ascii="Cambria" w:eastAsia="Cambria" w:hAnsi="Cambria"/>
      <w:spacing w:val="0"/>
      <w:sz w:val="22"/>
      <w:szCs w:val="22"/>
      <w:lang w:eastAsia="en-US"/>
    </w:rPr>
  </w:style>
  <w:style w:type="character" w:customStyle="1" w:styleId="BodyTextChar">
    <w:name w:val="Body Text Char"/>
    <w:basedOn w:val="DefaultParagraphFont"/>
    <w:link w:val="BodyText"/>
    <w:rsid w:val="007424D2"/>
    <w:rPr>
      <w:rFonts w:ascii="Cambria" w:eastAsia="Cambria" w:hAnsi="Cambria"/>
      <w:sz w:val="22"/>
      <w:szCs w:val="22"/>
      <w:lang w:eastAsia="en-US"/>
    </w:rPr>
  </w:style>
  <w:style w:type="table" w:customStyle="1" w:styleId="TableGrid1">
    <w:name w:val="Table Grid1"/>
    <w:basedOn w:val="TableNormal"/>
    <w:next w:val="TableGrid"/>
    <w:uiPriority w:val="59"/>
    <w:rsid w:val="00EE6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EE6AC2"/>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table" w:customStyle="1" w:styleId="TableGrid2">
    <w:name w:val="Table Grid2"/>
    <w:basedOn w:val="TableNormal"/>
    <w:next w:val="TableGrid"/>
    <w:uiPriority w:val="59"/>
    <w:rsid w:val="00EE6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6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EE6AC2"/>
    <w:tblPr>
      <w:tblStyleRowBandSize w:val="1"/>
      <w:tblStyleColBandSize w:val="1"/>
      <w:tblBorders>
        <w:top w:val="single" w:sz="4" w:space="0" w:color="005A70" w:themeColor="accent4"/>
        <w:left w:val="single" w:sz="4" w:space="0" w:color="005A70" w:themeColor="accent4"/>
        <w:bottom w:val="single" w:sz="4" w:space="0" w:color="005A70" w:themeColor="accent4"/>
        <w:right w:val="single" w:sz="4" w:space="0" w:color="005A70" w:themeColor="accent4"/>
      </w:tblBorders>
    </w:tblPr>
    <w:tblStylePr w:type="firstRow">
      <w:rPr>
        <w:b/>
        <w:bCs/>
        <w:color w:val="FFFFFF" w:themeColor="background1"/>
      </w:rPr>
      <w:tblPr/>
      <w:tcPr>
        <w:shd w:val="clear" w:color="auto" w:fill="005A70" w:themeFill="accent4"/>
      </w:tcPr>
    </w:tblStylePr>
    <w:tblStylePr w:type="lastRow">
      <w:rPr>
        <w:b/>
        <w:bCs/>
      </w:rPr>
      <w:tblPr/>
      <w:tcPr>
        <w:tcBorders>
          <w:top w:val="double" w:sz="4" w:space="0" w:color="005A7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4"/>
          <w:right w:val="single" w:sz="4" w:space="0" w:color="005A70" w:themeColor="accent4"/>
        </w:tcBorders>
      </w:tcPr>
    </w:tblStylePr>
    <w:tblStylePr w:type="band1Horz">
      <w:tblPr/>
      <w:tcPr>
        <w:tcBorders>
          <w:top w:val="single" w:sz="4" w:space="0" w:color="005A70" w:themeColor="accent4"/>
          <w:bottom w:val="single" w:sz="4" w:space="0" w:color="005A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4"/>
          <w:left w:val="nil"/>
        </w:tcBorders>
      </w:tcPr>
    </w:tblStylePr>
    <w:tblStylePr w:type="swCell">
      <w:tblPr/>
      <w:tcPr>
        <w:tcBorders>
          <w:top w:val="double" w:sz="4" w:space="0" w:color="005A70" w:themeColor="accent4"/>
          <w:right w:val="nil"/>
        </w:tcBorders>
      </w:tcPr>
    </w:tblStylePr>
  </w:style>
  <w:style w:type="paragraph" w:styleId="Revision">
    <w:name w:val="Revision"/>
    <w:hidden/>
    <w:uiPriority w:val="99"/>
    <w:semiHidden/>
    <w:rsid w:val="00EE6AC2"/>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345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c0086\AppData\Local\Microsoft\Windows\INetCache\Content.Outlook\8G8BNRGY\www.dss.gov.au\gambling" TargetMode="External"/><Relationship Id="rId17" Type="http://schemas.openxmlformats.org/officeDocument/2006/relationships/hyperlink" Target="http://www.dss.gov.au/communities-and-vulnerable-people/programmes-services/gambling" TargetMode="External"/><Relationship Id="rId2" Type="http://schemas.openxmlformats.org/officeDocument/2006/relationships/numbering" Target="numbering.xml"/><Relationship Id="rId16" Type="http://schemas.openxmlformats.org/officeDocument/2006/relationships/hyperlink" Target="mailto:gambling@d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ambling@dss.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ursegateway.tafeqld.edu.au/product?catalog=MCC000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ursegateway.tafeqld.edu.au/product?catalog=MCC0004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9712-5A1F-4E1A-8CF6-E6BEBB16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11</Pages>
  <Words>1995</Words>
  <Characters>12146</Characters>
  <Application>Microsoft Office Word</Application>
  <DocSecurity>0</DocSecurity>
  <Lines>496</Lines>
  <Paragraphs>160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WOOD, Sue</dc:creator>
  <cp:keywords>[SEC=OFFICIAL]</cp:keywords>
  <cp:lastModifiedBy>WOOD, Sue</cp:lastModifiedBy>
  <cp:revision>2</cp:revision>
  <cp:lastPrinted>2014-08-12T05:56:00Z</cp:lastPrinted>
  <dcterms:created xsi:type="dcterms:W3CDTF">2023-12-06T00:08:00Z</dcterms:created>
  <dcterms:modified xsi:type="dcterms:W3CDTF">2023-12-06T00:08:00Z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2023-12-06T00:08:21Z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A03724CABC37C66978A907FB168C9915</vt:lpwstr>
  </property>
  <property fmtid="{D5CDD505-2E9C-101B-9397-08002B2CF9AE}" pid="21" name="PM_Hash_Salt">
    <vt:lpwstr>0EFD5799F4E41D5AF44244823EB88231</vt:lpwstr>
  </property>
  <property fmtid="{D5CDD505-2E9C-101B-9397-08002B2CF9AE}" pid="22" name="PM_Hash_SHA1">
    <vt:lpwstr>76AB952AC17AEA24EDE8F727CD40B5A6DFC64877</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