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8DC8E" w14:textId="77777777" w:rsidR="0034774B" w:rsidRPr="007D0FD1" w:rsidRDefault="008854F7" w:rsidP="008F0CF7">
      <w:pPr>
        <w:tabs>
          <w:tab w:val="left" w:pos="6360"/>
        </w:tabs>
        <w:jc w:val="center"/>
        <w:rPr>
          <w:rFonts w:cs="Arial"/>
          <w:b/>
          <w:sz w:val="28"/>
          <w:szCs w:val="32"/>
          <w:lang w:eastAsia="en-US"/>
        </w:rPr>
      </w:pPr>
      <w:bookmarkStart w:id="0" w:name="_GoBack"/>
      <w:bookmarkEnd w:id="0"/>
      <w:r w:rsidRPr="007D0FD1">
        <w:rPr>
          <w:rFonts w:cs="Arial"/>
          <w:b/>
          <w:sz w:val="28"/>
          <w:szCs w:val="32"/>
          <w:lang w:eastAsia="en-US"/>
        </w:rPr>
        <w:t>Specialist Disability Accommodation</w:t>
      </w:r>
    </w:p>
    <w:p w14:paraId="77D22A58" w14:textId="77777777" w:rsidR="009E5275" w:rsidRPr="00C86964" w:rsidRDefault="008D2025" w:rsidP="006D4CFA">
      <w:pPr>
        <w:tabs>
          <w:tab w:val="left" w:pos="6360"/>
        </w:tabs>
        <w:jc w:val="center"/>
        <w:rPr>
          <w:rFonts w:cs="Arial"/>
          <w:b/>
          <w:sz w:val="22"/>
          <w:szCs w:val="22"/>
          <w:lang w:eastAsia="en-US"/>
        </w:rPr>
      </w:pPr>
      <w:r w:rsidRPr="007D0FD1">
        <w:rPr>
          <w:rFonts w:cs="Arial"/>
          <w:b/>
          <w:sz w:val="28"/>
          <w:szCs w:val="32"/>
          <w:lang w:eastAsia="en-US"/>
        </w:rPr>
        <w:t>Pricing and Payments</w:t>
      </w:r>
      <w:r w:rsidR="005C1CEC" w:rsidRPr="007D0FD1">
        <w:rPr>
          <w:rFonts w:cs="Arial"/>
          <w:b/>
          <w:sz w:val="28"/>
          <w:szCs w:val="32"/>
          <w:lang w:eastAsia="en-US"/>
        </w:rPr>
        <w:t xml:space="preserve"> Framework</w:t>
      </w:r>
    </w:p>
    <w:sdt>
      <w:sdtPr>
        <w:rPr>
          <w:rFonts w:eastAsiaTheme="minorHAnsi"/>
          <w:i/>
          <w:sz w:val="22"/>
          <w:szCs w:val="22"/>
          <w:lang w:eastAsia="en-US"/>
        </w:rPr>
        <w:id w:val="-562330657"/>
        <w:docPartObj>
          <w:docPartGallery w:val="Table of Contents"/>
          <w:docPartUnique/>
        </w:docPartObj>
      </w:sdtPr>
      <w:sdtEndPr>
        <w:rPr>
          <w:rFonts w:eastAsia="Times New Roman" w:cs="Arial"/>
          <w:i w:val="0"/>
          <w:noProof/>
          <w:lang w:eastAsia="en-AU"/>
        </w:rPr>
      </w:sdtEndPr>
      <w:sdtContent>
        <w:p w14:paraId="54AF6E6C" w14:textId="77777777" w:rsidR="008F0CF7" w:rsidRPr="00C86964" w:rsidRDefault="008F0CF7" w:rsidP="00A7461F">
          <w:pPr>
            <w:rPr>
              <w:rFonts w:eastAsiaTheme="minorHAnsi"/>
              <w:i/>
              <w:sz w:val="22"/>
              <w:szCs w:val="22"/>
              <w:lang w:eastAsia="en-US"/>
            </w:rPr>
          </w:pPr>
          <w:r w:rsidRPr="00C86964">
            <w:rPr>
              <w:rFonts w:eastAsiaTheme="minorHAnsi"/>
              <w:i/>
              <w:sz w:val="22"/>
              <w:szCs w:val="22"/>
              <w:lang w:eastAsia="en-US"/>
            </w:rPr>
            <w:t>Contents</w:t>
          </w:r>
        </w:p>
        <w:p w14:paraId="1AE57F88" w14:textId="5B75148D" w:rsidR="008E3DCB" w:rsidRDefault="008F0CF7">
          <w:pPr>
            <w:pStyle w:val="TOC1"/>
            <w:tabs>
              <w:tab w:val="right" w:leader="dot" w:pos="9016"/>
            </w:tabs>
            <w:rPr>
              <w:rFonts w:eastAsiaTheme="minorEastAsia" w:cstheme="minorBidi"/>
              <w:noProof/>
              <w:sz w:val="22"/>
              <w:szCs w:val="22"/>
            </w:rPr>
          </w:pPr>
          <w:r w:rsidRPr="00C86964">
            <w:rPr>
              <w:rFonts w:cs="Arial"/>
              <w:sz w:val="22"/>
              <w:szCs w:val="22"/>
            </w:rPr>
            <w:fldChar w:fldCharType="begin"/>
          </w:r>
          <w:r w:rsidRPr="00C86964">
            <w:rPr>
              <w:rFonts w:cs="Arial"/>
              <w:sz w:val="22"/>
              <w:szCs w:val="22"/>
            </w:rPr>
            <w:instrText xml:space="preserve"> TOC \o "1-3" \h \z \u </w:instrText>
          </w:r>
          <w:r w:rsidRPr="00C86964">
            <w:rPr>
              <w:rFonts w:cs="Arial"/>
              <w:sz w:val="22"/>
              <w:szCs w:val="22"/>
            </w:rPr>
            <w:fldChar w:fldCharType="separate"/>
          </w:r>
          <w:hyperlink w:anchor="_Toc38548352" w:history="1">
            <w:r w:rsidR="008E3DCB" w:rsidRPr="009D30E4">
              <w:rPr>
                <w:rStyle w:val="Hyperlink"/>
                <w:rFonts w:eastAsiaTheme="majorEastAsia" w:cs="Arial"/>
                <w:noProof/>
                <w:lang w:eastAsia="en-US"/>
              </w:rPr>
              <w:t xml:space="preserve">Part 1 – </w:t>
            </w:r>
            <w:r w:rsidR="008E3DCB" w:rsidRPr="009D30E4">
              <w:rPr>
                <w:rStyle w:val="Hyperlink"/>
                <w:rFonts w:eastAsiaTheme="majorEastAsia" w:cs="Arial"/>
                <w:noProof/>
              </w:rPr>
              <w:t>Preliminaries</w:t>
            </w:r>
            <w:r w:rsidR="008E3DCB">
              <w:rPr>
                <w:noProof/>
                <w:webHidden/>
              </w:rPr>
              <w:tab/>
            </w:r>
            <w:r w:rsidR="008E3DCB">
              <w:rPr>
                <w:noProof/>
                <w:webHidden/>
              </w:rPr>
              <w:fldChar w:fldCharType="begin"/>
            </w:r>
            <w:r w:rsidR="008E3DCB">
              <w:rPr>
                <w:noProof/>
                <w:webHidden/>
              </w:rPr>
              <w:instrText xml:space="preserve"> PAGEREF _Toc38548352 \h </w:instrText>
            </w:r>
            <w:r w:rsidR="008E3DCB">
              <w:rPr>
                <w:noProof/>
                <w:webHidden/>
              </w:rPr>
            </w:r>
            <w:r w:rsidR="008E3DCB">
              <w:rPr>
                <w:noProof/>
                <w:webHidden/>
              </w:rPr>
              <w:fldChar w:fldCharType="separate"/>
            </w:r>
            <w:r w:rsidR="008E3DCB">
              <w:rPr>
                <w:noProof/>
                <w:webHidden/>
              </w:rPr>
              <w:t>2</w:t>
            </w:r>
            <w:r w:rsidR="008E3DCB">
              <w:rPr>
                <w:noProof/>
                <w:webHidden/>
              </w:rPr>
              <w:fldChar w:fldCharType="end"/>
            </w:r>
          </w:hyperlink>
        </w:p>
        <w:p w14:paraId="715A3BA0" w14:textId="1C7B9CF8" w:rsidR="008E3DCB" w:rsidRDefault="00B206AA">
          <w:pPr>
            <w:pStyle w:val="TOC2"/>
            <w:tabs>
              <w:tab w:val="right" w:leader="dot" w:pos="9016"/>
            </w:tabs>
            <w:rPr>
              <w:rFonts w:eastAsiaTheme="minorEastAsia" w:cstheme="minorBidi"/>
              <w:noProof/>
              <w:sz w:val="22"/>
              <w:szCs w:val="22"/>
            </w:rPr>
          </w:pPr>
          <w:hyperlink w:anchor="_Toc38548353" w:history="1">
            <w:r w:rsidR="008E3DCB" w:rsidRPr="009D30E4">
              <w:rPr>
                <w:rStyle w:val="Hyperlink"/>
                <w:rFonts w:eastAsiaTheme="majorEastAsia" w:cs="Arial"/>
                <w:noProof/>
                <w:lang w:eastAsia="en-US"/>
              </w:rPr>
              <w:t>Purpose of this paper</w:t>
            </w:r>
            <w:r w:rsidR="008E3DCB">
              <w:rPr>
                <w:noProof/>
                <w:webHidden/>
              </w:rPr>
              <w:tab/>
            </w:r>
            <w:r w:rsidR="008E3DCB">
              <w:rPr>
                <w:noProof/>
                <w:webHidden/>
              </w:rPr>
              <w:fldChar w:fldCharType="begin"/>
            </w:r>
            <w:r w:rsidR="008E3DCB">
              <w:rPr>
                <w:noProof/>
                <w:webHidden/>
              </w:rPr>
              <w:instrText xml:space="preserve"> PAGEREF _Toc38548353 \h </w:instrText>
            </w:r>
            <w:r w:rsidR="008E3DCB">
              <w:rPr>
                <w:noProof/>
                <w:webHidden/>
              </w:rPr>
            </w:r>
            <w:r w:rsidR="008E3DCB">
              <w:rPr>
                <w:noProof/>
                <w:webHidden/>
              </w:rPr>
              <w:fldChar w:fldCharType="separate"/>
            </w:r>
            <w:r w:rsidR="008E3DCB">
              <w:rPr>
                <w:noProof/>
                <w:webHidden/>
              </w:rPr>
              <w:t>2</w:t>
            </w:r>
            <w:r w:rsidR="008E3DCB">
              <w:rPr>
                <w:noProof/>
                <w:webHidden/>
              </w:rPr>
              <w:fldChar w:fldCharType="end"/>
            </w:r>
          </w:hyperlink>
        </w:p>
        <w:p w14:paraId="2DAE644F" w14:textId="24DD9A49" w:rsidR="008E3DCB" w:rsidRDefault="00B206AA">
          <w:pPr>
            <w:pStyle w:val="TOC2"/>
            <w:tabs>
              <w:tab w:val="right" w:leader="dot" w:pos="9016"/>
            </w:tabs>
            <w:rPr>
              <w:rFonts w:eastAsiaTheme="minorEastAsia" w:cstheme="minorBidi"/>
              <w:noProof/>
              <w:sz w:val="22"/>
              <w:szCs w:val="22"/>
            </w:rPr>
          </w:pPr>
          <w:hyperlink w:anchor="_Toc38548354" w:history="1">
            <w:r w:rsidR="008E3DCB" w:rsidRPr="009D30E4">
              <w:rPr>
                <w:rStyle w:val="Hyperlink"/>
                <w:rFonts w:eastAsiaTheme="majorEastAsia" w:cs="Arial"/>
                <w:noProof/>
                <w:lang w:eastAsia="en-US"/>
              </w:rPr>
              <w:t>The vision for SDA under the NDIS</w:t>
            </w:r>
            <w:r w:rsidR="008E3DCB">
              <w:rPr>
                <w:noProof/>
                <w:webHidden/>
              </w:rPr>
              <w:tab/>
            </w:r>
            <w:r w:rsidR="008E3DCB">
              <w:rPr>
                <w:noProof/>
                <w:webHidden/>
              </w:rPr>
              <w:fldChar w:fldCharType="begin"/>
            </w:r>
            <w:r w:rsidR="008E3DCB">
              <w:rPr>
                <w:noProof/>
                <w:webHidden/>
              </w:rPr>
              <w:instrText xml:space="preserve"> PAGEREF _Toc38548354 \h </w:instrText>
            </w:r>
            <w:r w:rsidR="008E3DCB">
              <w:rPr>
                <w:noProof/>
                <w:webHidden/>
              </w:rPr>
            </w:r>
            <w:r w:rsidR="008E3DCB">
              <w:rPr>
                <w:noProof/>
                <w:webHidden/>
              </w:rPr>
              <w:fldChar w:fldCharType="separate"/>
            </w:r>
            <w:r w:rsidR="008E3DCB">
              <w:rPr>
                <w:noProof/>
                <w:webHidden/>
              </w:rPr>
              <w:t>3</w:t>
            </w:r>
            <w:r w:rsidR="008E3DCB">
              <w:rPr>
                <w:noProof/>
                <w:webHidden/>
              </w:rPr>
              <w:fldChar w:fldCharType="end"/>
            </w:r>
          </w:hyperlink>
        </w:p>
        <w:p w14:paraId="164AF5DB" w14:textId="3F767353" w:rsidR="008E3DCB" w:rsidRDefault="00B206AA">
          <w:pPr>
            <w:pStyle w:val="TOC2"/>
            <w:tabs>
              <w:tab w:val="right" w:leader="dot" w:pos="9016"/>
            </w:tabs>
            <w:rPr>
              <w:rFonts w:eastAsiaTheme="minorEastAsia" w:cstheme="minorBidi"/>
              <w:noProof/>
              <w:sz w:val="22"/>
              <w:szCs w:val="22"/>
            </w:rPr>
          </w:pPr>
          <w:hyperlink w:anchor="_Toc38548355" w:history="1">
            <w:r w:rsidR="008E3DCB" w:rsidRPr="009D30E4">
              <w:rPr>
                <w:rStyle w:val="Hyperlink"/>
                <w:rFonts w:eastAsiaTheme="majorEastAsia" w:cs="Arial"/>
                <w:noProof/>
                <w:lang w:eastAsia="en-US"/>
              </w:rPr>
              <w:t>Operating context</w:t>
            </w:r>
            <w:r w:rsidR="008E3DCB">
              <w:rPr>
                <w:noProof/>
                <w:webHidden/>
              </w:rPr>
              <w:tab/>
            </w:r>
            <w:r w:rsidR="008E3DCB">
              <w:rPr>
                <w:noProof/>
                <w:webHidden/>
              </w:rPr>
              <w:fldChar w:fldCharType="begin"/>
            </w:r>
            <w:r w:rsidR="008E3DCB">
              <w:rPr>
                <w:noProof/>
                <w:webHidden/>
              </w:rPr>
              <w:instrText xml:space="preserve"> PAGEREF _Toc38548355 \h </w:instrText>
            </w:r>
            <w:r w:rsidR="008E3DCB">
              <w:rPr>
                <w:noProof/>
                <w:webHidden/>
              </w:rPr>
            </w:r>
            <w:r w:rsidR="008E3DCB">
              <w:rPr>
                <w:noProof/>
                <w:webHidden/>
              </w:rPr>
              <w:fldChar w:fldCharType="separate"/>
            </w:r>
            <w:r w:rsidR="008E3DCB">
              <w:rPr>
                <w:noProof/>
                <w:webHidden/>
              </w:rPr>
              <w:t>3</w:t>
            </w:r>
            <w:r w:rsidR="008E3DCB">
              <w:rPr>
                <w:noProof/>
                <w:webHidden/>
              </w:rPr>
              <w:fldChar w:fldCharType="end"/>
            </w:r>
          </w:hyperlink>
        </w:p>
        <w:p w14:paraId="54C68D27" w14:textId="2052F661" w:rsidR="008E3DCB" w:rsidRDefault="00B206AA">
          <w:pPr>
            <w:pStyle w:val="TOC1"/>
            <w:tabs>
              <w:tab w:val="right" w:leader="dot" w:pos="9016"/>
            </w:tabs>
            <w:rPr>
              <w:rFonts w:eastAsiaTheme="minorEastAsia" w:cstheme="minorBidi"/>
              <w:noProof/>
              <w:sz w:val="22"/>
              <w:szCs w:val="22"/>
            </w:rPr>
          </w:pPr>
          <w:hyperlink w:anchor="_Toc38548356" w:history="1">
            <w:r w:rsidR="008E3DCB" w:rsidRPr="009D30E4">
              <w:rPr>
                <w:rStyle w:val="Hyperlink"/>
                <w:rFonts w:eastAsiaTheme="majorEastAsia" w:cs="Arial"/>
                <w:noProof/>
                <w:lang w:eastAsia="en-US"/>
              </w:rPr>
              <w:t>Part 2 – Benchmark prices</w:t>
            </w:r>
            <w:r w:rsidR="008E3DCB">
              <w:rPr>
                <w:noProof/>
                <w:webHidden/>
              </w:rPr>
              <w:tab/>
            </w:r>
            <w:r w:rsidR="008E3DCB">
              <w:rPr>
                <w:noProof/>
                <w:webHidden/>
              </w:rPr>
              <w:fldChar w:fldCharType="begin"/>
            </w:r>
            <w:r w:rsidR="008E3DCB">
              <w:rPr>
                <w:noProof/>
                <w:webHidden/>
              </w:rPr>
              <w:instrText xml:space="preserve"> PAGEREF _Toc38548356 \h </w:instrText>
            </w:r>
            <w:r w:rsidR="008E3DCB">
              <w:rPr>
                <w:noProof/>
                <w:webHidden/>
              </w:rPr>
            </w:r>
            <w:r w:rsidR="008E3DCB">
              <w:rPr>
                <w:noProof/>
                <w:webHidden/>
              </w:rPr>
              <w:fldChar w:fldCharType="separate"/>
            </w:r>
            <w:r w:rsidR="008E3DCB">
              <w:rPr>
                <w:noProof/>
                <w:webHidden/>
              </w:rPr>
              <w:t>4</w:t>
            </w:r>
            <w:r w:rsidR="008E3DCB">
              <w:rPr>
                <w:noProof/>
                <w:webHidden/>
              </w:rPr>
              <w:fldChar w:fldCharType="end"/>
            </w:r>
          </w:hyperlink>
        </w:p>
        <w:p w14:paraId="6021ECA7" w14:textId="7FF87404" w:rsidR="008E3DCB" w:rsidRDefault="00B206AA">
          <w:pPr>
            <w:pStyle w:val="TOC2"/>
            <w:tabs>
              <w:tab w:val="right" w:leader="dot" w:pos="9016"/>
            </w:tabs>
            <w:rPr>
              <w:rFonts w:eastAsiaTheme="minorEastAsia" w:cstheme="minorBidi"/>
              <w:noProof/>
              <w:sz w:val="22"/>
              <w:szCs w:val="22"/>
            </w:rPr>
          </w:pPr>
          <w:hyperlink w:anchor="_Toc38548357" w:history="1">
            <w:r w:rsidR="008E3DCB" w:rsidRPr="009D30E4">
              <w:rPr>
                <w:rStyle w:val="Hyperlink"/>
                <w:rFonts w:eastAsiaTheme="majorEastAsia" w:cs="Arial"/>
                <w:noProof/>
                <w:snapToGrid w:val="0"/>
              </w:rPr>
              <w:t>Policy intent</w:t>
            </w:r>
            <w:r w:rsidR="008E3DCB">
              <w:rPr>
                <w:noProof/>
                <w:webHidden/>
              </w:rPr>
              <w:tab/>
            </w:r>
            <w:r w:rsidR="008E3DCB">
              <w:rPr>
                <w:noProof/>
                <w:webHidden/>
              </w:rPr>
              <w:fldChar w:fldCharType="begin"/>
            </w:r>
            <w:r w:rsidR="008E3DCB">
              <w:rPr>
                <w:noProof/>
                <w:webHidden/>
              </w:rPr>
              <w:instrText xml:space="preserve"> PAGEREF _Toc38548357 \h </w:instrText>
            </w:r>
            <w:r w:rsidR="008E3DCB">
              <w:rPr>
                <w:noProof/>
                <w:webHidden/>
              </w:rPr>
            </w:r>
            <w:r w:rsidR="008E3DCB">
              <w:rPr>
                <w:noProof/>
                <w:webHidden/>
              </w:rPr>
              <w:fldChar w:fldCharType="separate"/>
            </w:r>
            <w:r w:rsidR="008E3DCB">
              <w:rPr>
                <w:noProof/>
                <w:webHidden/>
              </w:rPr>
              <w:t>4</w:t>
            </w:r>
            <w:r w:rsidR="008E3DCB">
              <w:rPr>
                <w:noProof/>
                <w:webHidden/>
              </w:rPr>
              <w:fldChar w:fldCharType="end"/>
            </w:r>
          </w:hyperlink>
        </w:p>
        <w:p w14:paraId="1080BA8E" w14:textId="7615335A" w:rsidR="008E3DCB" w:rsidRDefault="00B206AA">
          <w:pPr>
            <w:pStyle w:val="TOC2"/>
            <w:tabs>
              <w:tab w:val="right" w:leader="dot" w:pos="9016"/>
            </w:tabs>
            <w:rPr>
              <w:rFonts w:eastAsiaTheme="minorEastAsia" w:cstheme="minorBidi"/>
              <w:noProof/>
              <w:sz w:val="22"/>
              <w:szCs w:val="22"/>
            </w:rPr>
          </w:pPr>
          <w:hyperlink w:anchor="_Toc38548358" w:history="1">
            <w:r w:rsidR="008E3DCB" w:rsidRPr="009D30E4">
              <w:rPr>
                <w:rStyle w:val="Hyperlink"/>
                <w:rFonts w:eastAsiaTheme="majorEastAsia" w:cs="Arial"/>
                <w:noProof/>
                <w:snapToGrid w:val="0"/>
              </w:rPr>
              <w:t>Establishing and publishing benchmark prices</w:t>
            </w:r>
            <w:r w:rsidR="008E3DCB">
              <w:rPr>
                <w:noProof/>
                <w:webHidden/>
              </w:rPr>
              <w:tab/>
            </w:r>
            <w:r w:rsidR="008E3DCB">
              <w:rPr>
                <w:noProof/>
                <w:webHidden/>
              </w:rPr>
              <w:fldChar w:fldCharType="begin"/>
            </w:r>
            <w:r w:rsidR="008E3DCB">
              <w:rPr>
                <w:noProof/>
                <w:webHidden/>
              </w:rPr>
              <w:instrText xml:space="preserve"> PAGEREF _Toc38548358 \h </w:instrText>
            </w:r>
            <w:r w:rsidR="008E3DCB">
              <w:rPr>
                <w:noProof/>
                <w:webHidden/>
              </w:rPr>
            </w:r>
            <w:r w:rsidR="008E3DCB">
              <w:rPr>
                <w:noProof/>
                <w:webHidden/>
              </w:rPr>
              <w:fldChar w:fldCharType="separate"/>
            </w:r>
            <w:r w:rsidR="008E3DCB">
              <w:rPr>
                <w:noProof/>
                <w:webHidden/>
              </w:rPr>
              <w:t>4</w:t>
            </w:r>
            <w:r w:rsidR="008E3DCB">
              <w:rPr>
                <w:noProof/>
                <w:webHidden/>
              </w:rPr>
              <w:fldChar w:fldCharType="end"/>
            </w:r>
          </w:hyperlink>
        </w:p>
        <w:p w14:paraId="3581A50A" w14:textId="76EC9FB9" w:rsidR="008E3DCB" w:rsidRDefault="00B206AA">
          <w:pPr>
            <w:pStyle w:val="TOC2"/>
            <w:tabs>
              <w:tab w:val="right" w:leader="dot" w:pos="9016"/>
            </w:tabs>
            <w:rPr>
              <w:rFonts w:eastAsiaTheme="minorEastAsia" w:cstheme="minorBidi"/>
              <w:noProof/>
              <w:sz w:val="22"/>
              <w:szCs w:val="22"/>
            </w:rPr>
          </w:pPr>
          <w:hyperlink w:anchor="_Toc38548359" w:history="1">
            <w:r w:rsidR="008E3DCB" w:rsidRPr="009D30E4">
              <w:rPr>
                <w:rStyle w:val="Hyperlink"/>
                <w:rFonts w:eastAsiaTheme="majorEastAsia" w:cs="Arial"/>
                <w:noProof/>
                <w:snapToGrid w:val="0"/>
              </w:rPr>
              <w:t>The form of the benchmark prices</w:t>
            </w:r>
            <w:r w:rsidR="008E3DCB">
              <w:rPr>
                <w:noProof/>
                <w:webHidden/>
              </w:rPr>
              <w:tab/>
            </w:r>
            <w:r w:rsidR="008E3DCB">
              <w:rPr>
                <w:noProof/>
                <w:webHidden/>
              </w:rPr>
              <w:fldChar w:fldCharType="begin"/>
            </w:r>
            <w:r w:rsidR="008E3DCB">
              <w:rPr>
                <w:noProof/>
                <w:webHidden/>
              </w:rPr>
              <w:instrText xml:space="preserve"> PAGEREF _Toc38548359 \h </w:instrText>
            </w:r>
            <w:r w:rsidR="008E3DCB">
              <w:rPr>
                <w:noProof/>
                <w:webHidden/>
              </w:rPr>
            </w:r>
            <w:r w:rsidR="008E3DCB">
              <w:rPr>
                <w:noProof/>
                <w:webHidden/>
              </w:rPr>
              <w:fldChar w:fldCharType="separate"/>
            </w:r>
            <w:r w:rsidR="008E3DCB">
              <w:rPr>
                <w:noProof/>
                <w:webHidden/>
              </w:rPr>
              <w:t>5</w:t>
            </w:r>
            <w:r w:rsidR="008E3DCB">
              <w:rPr>
                <w:noProof/>
                <w:webHidden/>
              </w:rPr>
              <w:fldChar w:fldCharType="end"/>
            </w:r>
          </w:hyperlink>
        </w:p>
        <w:p w14:paraId="49A5471A" w14:textId="21A24C7D" w:rsidR="008E3DCB" w:rsidRDefault="00B206AA">
          <w:pPr>
            <w:pStyle w:val="TOC2"/>
            <w:tabs>
              <w:tab w:val="right" w:leader="dot" w:pos="9016"/>
            </w:tabs>
            <w:rPr>
              <w:rFonts w:eastAsiaTheme="minorEastAsia" w:cstheme="minorBidi"/>
              <w:noProof/>
              <w:sz w:val="22"/>
              <w:szCs w:val="22"/>
            </w:rPr>
          </w:pPr>
          <w:hyperlink w:anchor="_Toc38548360" w:history="1">
            <w:r w:rsidR="008E3DCB" w:rsidRPr="009D30E4">
              <w:rPr>
                <w:rStyle w:val="Hyperlink"/>
                <w:rFonts w:eastAsiaTheme="majorEastAsia" w:cs="Arial"/>
                <w:noProof/>
                <w:snapToGrid w:val="0"/>
              </w:rPr>
              <w:t>Consumption costs</w:t>
            </w:r>
            <w:r w:rsidR="008E3DCB">
              <w:rPr>
                <w:noProof/>
                <w:webHidden/>
              </w:rPr>
              <w:tab/>
            </w:r>
            <w:r w:rsidR="008E3DCB">
              <w:rPr>
                <w:noProof/>
                <w:webHidden/>
              </w:rPr>
              <w:fldChar w:fldCharType="begin"/>
            </w:r>
            <w:r w:rsidR="008E3DCB">
              <w:rPr>
                <w:noProof/>
                <w:webHidden/>
              </w:rPr>
              <w:instrText xml:space="preserve"> PAGEREF _Toc38548360 \h </w:instrText>
            </w:r>
            <w:r w:rsidR="008E3DCB">
              <w:rPr>
                <w:noProof/>
                <w:webHidden/>
              </w:rPr>
            </w:r>
            <w:r w:rsidR="008E3DCB">
              <w:rPr>
                <w:noProof/>
                <w:webHidden/>
              </w:rPr>
              <w:fldChar w:fldCharType="separate"/>
            </w:r>
            <w:r w:rsidR="008E3DCB">
              <w:rPr>
                <w:noProof/>
                <w:webHidden/>
              </w:rPr>
              <w:t>6</w:t>
            </w:r>
            <w:r w:rsidR="008E3DCB">
              <w:rPr>
                <w:noProof/>
                <w:webHidden/>
              </w:rPr>
              <w:fldChar w:fldCharType="end"/>
            </w:r>
          </w:hyperlink>
        </w:p>
        <w:p w14:paraId="64A57B72" w14:textId="3AB9748F" w:rsidR="008E3DCB" w:rsidRDefault="00B206AA">
          <w:pPr>
            <w:pStyle w:val="TOC2"/>
            <w:tabs>
              <w:tab w:val="right" w:leader="dot" w:pos="9016"/>
            </w:tabs>
            <w:rPr>
              <w:rFonts w:eastAsiaTheme="minorEastAsia" w:cstheme="minorBidi"/>
              <w:noProof/>
              <w:sz w:val="22"/>
              <w:szCs w:val="22"/>
            </w:rPr>
          </w:pPr>
          <w:hyperlink w:anchor="_Toc38548361" w:history="1">
            <w:r w:rsidR="008E3DCB" w:rsidRPr="009D30E4">
              <w:rPr>
                <w:rStyle w:val="Hyperlink"/>
                <w:rFonts w:eastAsiaTheme="majorEastAsia" w:cs="Arial"/>
                <w:noProof/>
                <w:snapToGrid w:val="0"/>
              </w:rPr>
              <w:t>Opportunity costs of capital</w:t>
            </w:r>
            <w:r w:rsidR="008E3DCB">
              <w:rPr>
                <w:noProof/>
                <w:webHidden/>
              </w:rPr>
              <w:tab/>
            </w:r>
            <w:r w:rsidR="008E3DCB">
              <w:rPr>
                <w:noProof/>
                <w:webHidden/>
              </w:rPr>
              <w:fldChar w:fldCharType="begin"/>
            </w:r>
            <w:r w:rsidR="008E3DCB">
              <w:rPr>
                <w:noProof/>
                <w:webHidden/>
              </w:rPr>
              <w:instrText xml:space="preserve"> PAGEREF _Toc38548361 \h </w:instrText>
            </w:r>
            <w:r w:rsidR="008E3DCB">
              <w:rPr>
                <w:noProof/>
                <w:webHidden/>
              </w:rPr>
            </w:r>
            <w:r w:rsidR="008E3DCB">
              <w:rPr>
                <w:noProof/>
                <w:webHidden/>
              </w:rPr>
              <w:fldChar w:fldCharType="separate"/>
            </w:r>
            <w:r w:rsidR="008E3DCB">
              <w:rPr>
                <w:noProof/>
                <w:webHidden/>
              </w:rPr>
              <w:t>6</w:t>
            </w:r>
            <w:r w:rsidR="008E3DCB">
              <w:rPr>
                <w:noProof/>
                <w:webHidden/>
              </w:rPr>
              <w:fldChar w:fldCharType="end"/>
            </w:r>
          </w:hyperlink>
        </w:p>
        <w:p w14:paraId="3B7DBDCC" w14:textId="26AE0E2B" w:rsidR="008E3DCB" w:rsidRDefault="00B206AA">
          <w:pPr>
            <w:pStyle w:val="TOC2"/>
            <w:tabs>
              <w:tab w:val="right" w:leader="dot" w:pos="9016"/>
            </w:tabs>
            <w:rPr>
              <w:rFonts w:eastAsiaTheme="minorEastAsia" w:cstheme="minorBidi"/>
              <w:noProof/>
              <w:sz w:val="22"/>
              <w:szCs w:val="22"/>
            </w:rPr>
          </w:pPr>
          <w:hyperlink w:anchor="_Toc38548362" w:history="1">
            <w:r w:rsidR="008E3DCB" w:rsidRPr="009D30E4">
              <w:rPr>
                <w:rStyle w:val="Hyperlink"/>
                <w:rFonts w:eastAsiaTheme="majorEastAsia" w:cs="Arial"/>
                <w:noProof/>
                <w:snapToGrid w:val="0"/>
              </w:rPr>
              <w:t>Costs of ownership</w:t>
            </w:r>
            <w:r w:rsidR="008E3DCB">
              <w:rPr>
                <w:noProof/>
                <w:webHidden/>
              </w:rPr>
              <w:tab/>
            </w:r>
            <w:r w:rsidR="008E3DCB">
              <w:rPr>
                <w:noProof/>
                <w:webHidden/>
              </w:rPr>
              <w:fldChar w:fldCharType="begin"/>
            </w:r>
            <w:r w:rsidR="008E3DCB">
              <w:rPr>
                <w:noProof/>
                <w:webHidden/>
              </w:rPr>
              <w:instrText xml:space="preserve"> PAGEREF _Toc38548362 \h </w:instrText>
            </w:r>
            <w:r w:rsidR="008E3DCB">
              <w:rPr>
                <w:noProof/>
                <w:webHidden/>
              </w:rPr>
            </w:r>
            <w:r w:rsidR="008E3DCB">
              <w:rPr>
                <w:noProof/>
                <w:webHidden/>
              </w:rPr>
              <w:fldChar w:fldCharType="separate"/>
            </w:r>
            <w:r w:rsidR="008E3DCB">
              <w:rPr>
                <w:noProof/>
                <w:webHidden/>
              </w:rPr>
              <w:t>7</w:t>
            </w:r>
            <w:r w:rsidR="008E3DCB">
              <w:rPr>
                <w:noProof/>
                <w:webHidden/>
              </w:rPr>
              <w:fldChar w:fldCharType="end"/>
            </w:r>
          </w:hyperlink>
        </w:p>
        <w:p w14:paraId="61E71ED6" w14:textId="01365543" w:rsidR="008E3DCB" w:rsidRDefault="00B206AA">
          <w:pPr>
            <w:pStyle w:val="TOC2"/>
            <w:tabs>
              <w:tab w:val="right" w:leader="dot" w:pos="9016"/>
            </w:tabs>
            <w:rPr>
              <w:rFonts w:eastAsiaTheme="minorEastAsia" w:cstheme="minorBidi"/>
              <w:noProof/>
              <w:sz w:val="22"/>
              <w:szCs w:val="22"/>
            </w:rPr>
          </w:pPr>
          <w:hyperlink w:anchor="_Toc38548363" w:history="1">
            <w:r w:rsidR="008E3DCB" w:rsidRPr="009D30E4">
              <w:rPr>
                <w:rStyle w:val="Hyperlink"/>
                <w:rFonts w:eastAsiaTheme="majorEastAsia" w:cs="Arial"/>
                <w:noProof/>
                <w:snapToGrid w:val="0"/>
              </w:rPr>
              <w:t>Land price inflation</w:t>
            </w:r>
            <w:r w:rsidR="008E3DCB">
              <w:rPr>
                <w:noProof/>
                <w:webHidden/>
              </w:rPr>
              <w:tab/>
            </w:r>
            <w:r w:rsidR="008E3DCB">
              <w:rPr>
                <w:noProof/>
                <w:webHidden/>
              </w:rPr>
              <w:fldChar w:fldCharType="begin"/>
            </w:r>
            <w:r w:rsidR="008E3DCB">
              <w:rPr>
                <w:noProof/>
                <w:webHidden/>
              </w:rPr>
              <w:instrText xml:space="preserve"> PAGEREF _Toc38548363 \h </w:instrText>
            </w:r>
            <w:r w:rsidR="008E3DCB">
              <w:rPr>
                <w:noProof/>
                <w:webHidden/>
              </w:rPr>
            </w:r>
            <w:r w:rsidR="008E3DCB">
              <w:rPr>
                <w:noProof/>
                <w:webHidden/>
              </w:rPr>
              <w:fldChar w:fldCharType="separate"/>
            </w:r>
            <w:r w:rsidR="008E3DCB">
              <w:rPr>
                <w:noProof/>
                <w:webHidden/>
              </w:rPr>
              <w:t>7</w:t>
            </w:r>
            <w:r w:rsidR="008E3DCB">
              <w:rPr>
                <w:noProof/>
                <w:webHidden/>
              </w:rPr>
              <w:fldChar w:fldCharType="end"/>
            </w:r>
          </w:hyperlink>
        </w:p>
        <w:p w14:paraId="7A96EEE0" w14:textId="3D3B9EF9" w:rsidR="008E3DCB" w:rsidRDefault="00B206AA">
          <w:pPr>
            <w:pStyle w:val="TOC2"/>
            <w:tabs>
              <w:tab w:val="right" w:leader="dot" w:pos="9016"/>
            </w:tabs>
            <w:rPr>
              <w:rFonts w:eastAsiaTheme="minorEastAsia" w:cstheme="minorBidi"/>
              <w:noProof/>
              <w:sz w:val="22"/>
              <w:szCs w:val="22"/>
            </w:rPr>
          </w:pPr>
          <w:hyperlink w:anchor="_Toc38548364" w:history="1">
            <w:r w:rsidR="008E3DCB" w:rsidRPr="009D30E4">
              <w:rPr>
                <w:rStyle w:val="Hyperlink"/>
                <w:rFonts w:eastAsiaTheme="majorEastAsia" w:cs="Arial"/>
                <w:noProof/>
                <w:snapToGrid w:val="0"/>
              </w:rPr>
              <w:t>SDA participant rent contributions</w:t>
            </w:r>
            <w:r w:rsidR="008E3DCB">
              <w:rPr>
                <w:noProof/>
                <w:webHidden/>
              </w:rPr>
              <w:tab/>
            </w:r>
            <w:r w:rsidR="008E3DCB">
              <w:rPr>
                <w:noProof/>
                <w:webHidden/>
              </w:rPr>
              <w:fldChar w:fldCharType="begin"/>
            </w:r>
            <w:r w:rsidR="008E3DCB">
              <w:rPr>
                <w:noProof/>
                <w:webHidden/>
              </w:rPr>
              <w:instrText xml:space="preserve"> PAGEREF _Toc38548364 \h </w:instrText>
            </w:r>
            <w:r w:rsidR="008E3DCB">
              <w:rPr>
                <w:noProof/>
                <w:webHidden/>
              </w:rPr>
            </w:r>
            <w:r w:rsidR="008E3DCB">
              <w:rPr>
                <w:noProof/>
                <w:webHidden/>
              </w:rPr>
              <w:fldChar w:fldCharType="separate"/>
            </w:r>
            <w:r w:rsidR="008E3DCB">
              <w:rPr>
                <w:noProof/>
                <w:webHidden/>
              </w:rPr>
              <w:t>7</w:t>
            </w:r>
            <w:r w:rsidR="008E3DCB">
              <w:rPr>
                <w:noProof/>
                <w:webHidden/>
              </w:rPr>
              <w:fldChar w:fldCharType="end"/>
            </w:r>
          </w:hyperlink>
        </w:p>
        <w:p w14:paraId="0B57003D" w14:textId="7397841F" w:rsidR="008E3DCB" w:rsidRDefault="00B206AA">
          <w:pPr>
            <w:pStyle w:val="TOC2"/>
            <w:tabs>
              <w:tab w:val="right" w:leader="dot" w:pos="9016"/>
            </w:tabs>
            <w:rPr>
              <w:rFonts w:eastAsiaTheme="minorEastAsia" w:cstheme="minorBidi"/>
              <w:noProof/>
              <w:sz w:val="22"/>
              <w:szCs w:val="22"/>
            </w:rPr>
          </w:pPr>
          <w:hyperlink w:anchor="_Toc38548365" w:history="1">
            <w:r w:rsidR="008E3DCB" w:rsidRPr="009D30E4">
              <w:rPr>
                <w:rStyle w:val="Hyperlink"/>
                <w:rFonts w:eastAsiaTheme="majorEastAsia"/>
                <w:noProof/>
                <w:snapToGrid w:val="0"/>
              </w:rPr>
              <w:t>Rental contributions for non-SDA residents</w:t>
            </w:r>
            <w:r w:rsidR="008E3DCB">
              <w:rPr>
                <w:noProof/>
                <w:webHidden/>
              </w:rPr>
              <w:tab/>
            </w:r>
            <w:r w:rsidR="008E3DCB">
              <w:rPr>
                <w:noProof/>
                <w:webHidden/>
              </w:rPr>
              <w:fldChar w:fldCharType="begin"/>
            </w:r>
            <w:r w:rsidR="008E3DCB">
              <w:rPr>
                <w:noProof/>
                <w:webHidden/>
              </w:rPr>
              <w:instrText xml:space="preserve"> PAGEREF _Toc38548365 \h </w:instrText>
            </w:r>
            <w:r w:rsidR="008E3DCB">
              <w:rPr>
                <w:noProof/>
                <w:webHidden/>
              </w:rPr>
            </w:r>
            <w:r w:rsidR="008E3DCB">
              <w:rPr>
                <w:noProof/>
                <w:webHidden/>
              </w:rPr>
              <w:fldChar w:fldCharType="separate"/>
            </w:r>
            <w:r w:rsidR="008E3DCB">
              <w:rPr>
                <w:noProof/>
                <w:webHidden/>
              </w:rPr>
              <w:t>8</w:t>
            </w:r>
            <w:r w:rsidR="008E3DCB">
              <w:rPr>
                <w:noProof/>
                <w:webHidden/>
              </w:rPr>
              <w:fldChar w:fldCharType="end"/>
            </w:r>
          </w:hyperlink>
        </w:p>
        <w:p w14:paraId="23B0D730" w14:textId="10850AF1" w:rsidR="008E3DCB" w:rsidRDefault="00B206AA">
          <w:pPr>
            <w:pStyle w:val="TOC2"/>
            <w:tabs>
              <w:tab w:val="right" w:leader="dot" w:pos="9016"/>
            </w:tabs>
            <w:rPr>
              <w:rFonts w:eastAsiaTheme="minorEastAsia" w:cstheme="minorBidi"/>
              <w:noProof/>
              <w:sz w:val="22"/>
              <w:szCs w:val="22"/>
            </w:rPr>
          </w:pPr>
          <w:hyperlink w:anchor="_Toc38548366" w:history="1">
            <w:r w:rsidR="008E3DCB" w:rsidRPr="009D30E4">
              <w:rPr>
                <w:rStyle w:val="Hyperlink"/>
                <w:rFonts w:eastAsiaTheme="majorEastAsia" w:cs="Arial"/>
                <w:noProof/>
                <w:snapToGrid w:val="0"/>
              </w:rPr>
              <w:t>Other price setting considerations</w:t>
            </w:r>
            <w:r w:rsidR="008E3DCB">
              <w:rPr>
                <w:noProof/>
                <w:webHidden/>
              </w:rPr>
              <w:tab/>
            </w:r>
            <w:r w:rsidR="008E3DCB">
              <w:rPr>
                <w:noProof/>
                <w:webHidden/>
              </w:rPr>
              <w:fldChar w:fldCharType="begin"/>
            </w:r>
            <w:r w:rsidR="008E3DCB">
              <w:rPr>
                <w:noProof/>
                <w:webHidden/>
              </w:rPr>
              <w:instrText xml:space="preserve"> PAGEREF _Toc38548366 \h </w:instrText>
            </w:r>
            <w:r w:rsidR="008E3DCB">
              <w:rPr>
                <w:noProof/>
                <w:webHidden/>
              </w:rPr>
            </w:r>
            <w:r w:rsidR="008E3DCB">
              <w:rPr>
                <w:noProof/>
                <w:webHidden/>
              </w:rPr>
              <w:fldChar w:fldCharType="separate"/>
            </w:r>
            <w:r w:rsidR="008E3DCB">
              <w:rPr>
                <w:noProof/>
                <w:webHidden/>
              </w:rPr>
              <w:t>10</w:t>
            </w:r>
            <w:r w:rsidR="008E3DCB">
              <w:rPr>
                <w:noProof/>
                <w:webHidden/>
              </w:rPr>
              <w:fldChar w:fldCharType="end"/>
            </w:r>
          </w:hyperlink>
        </w:p>
        <w:p w14:paraId="523C1AA9" w14:textId="47E68BD7" w:rsidR="008E3DCB" w:rsidRDefault="00B206AA">
          <w:pPr>
            <w:pStyle w:val="TOC2"/>
            <w:tabs>
              <w:tab w:val="right" w:leader="dot" w:pos="9016"/>
            </w:tabs>
            <w:rPr>
              <w:rFonts w:eastAsiaTheme="minorEastAsia" w:cstheme="minorBidi"/>
              <w:noProof/>
              <w:sz w:val="22"/>
              <w:szCs w:val="22"/>
            </w:rPr>
          </w:pPr>
          <w:hyperlink w:anchor="_Toc38548367" w:history="1">
            <w:r w:rsidR="008E3DCB" w:rsidRPr="009D30E4">
              <w:rPr>
                <w:rStyle w:val="Hyperlink"/>
                <w:rFonts w:eastAsiaTheme="majorEastAsia" w:cs="Arial"/>
                <w:noProof/>
                <w:snapToGrid w:val="0"/>
              </w:rPr>
              <w:t>Payment arrangements</w:t>
            </w:r>
            <w:r w:rsidR="008E3DCB">
              <w:rPr>
                <w:noProof/>
                <w:webHidden/>
              </w:rPr>
              <w:tab/>
            </w:r>
            <w:r w:rsidR="008E3DCB">
              <w:rPr>
                <w:noProof/>
                <w:webHidden/>
              </w:rPr>
              <w:fldChar w:fldCharType="begin"/>
            </w:r>
            <w:r w:rsidR="008E3DCB">
              <w:rPr>
                <w:noProof/>
                <w:webHidden/>
              </w:rPr>
              <w:instrText xml:space="preserve"> PAGEREF _Toc38548367 \h </w:instrText>
            </w:r>
            <w:r w:rsidR="008E3DCB">
              <w:rPr>
                <w:noProof/>
                <w:webHidden/>
              </w:rPr>
            </w:r>
            <w:r w:rsidR="008E3DCB">
              <w:rPr>
                <w:noProof/>
                <w:webHidden/>
              </w:rPr>
              <w:fldChar w:fldCharType="separate"/>
            </w:r>
            <w:r w:rsidR="008E3DCB">
              <w:rPr>
                <w:noProof/>
                <w:webHidden/>
              </w:rPr>
              <w:t>10</w:t>
            </w:r>
            <w:r w:rsidR="008E3DCB">
              <w:rPr>
                <w:noProof/>
                <w:webHidden/>
              </w:rPr>
              <w:fldChar w:fldCharType="end"/>
            </w:r>
          </w:hyperlink>
        </w:p>
        <w:p w14:paraId="66D7B782" w14:textId="2AB1801B" w:rsidR="008E3DCB" w:rsidRDefault="00B206AA">
          <w:pPr>
            <w:pStyle w:val="TOC2"/>
            <w:tabs>
              <w:tab w:val="right" w:leader="dot" w:pos="9016"/>
            </w:tabs>
            <w:rPr>
              <w:rFonts w:eastAsiaTheme="minorEastAsia" w:cstheme="minorBidi"/>
              <w:noProof/>
              <w:sz w:val="22"/>
              <w:szCs w:val="22"/>
            </w:rPr>
          </w:pPr>
          <w:hyperlink w:anchor="_Toc38548368" w:history="1">
            <w:r w:rsidR="008E3DCB" w:rsidRPr="009D30E4">
              <w:rPr>
                <w:rStyle w:val="Hyperlink"/>
                <w:rFonts w:eastAsiaTheme="majorEastAsia" w:cs="Arial"/>
                <w:noProof/>
                <w:snapToGrid w:val="0"/>
              </w:rPr>
              <w:t>Payment of the consumption costs component of the benchmark price</w:t>
            </w:r>
            <w:r w:rsidR="008E3DCB">
              <w:rPr>
                <w:noProof/>
                <w:webHidden/>
              </w:rPr>
              <w:tab/>
            </w:r>
            <w:r w:rsidR="008E3DCB">
              <w:rPr>
                <w:noProof/>
                <w:webHidden/>
              </w:rPr>
              <w:fldChar w:fldCharType="begin"/>
            </w:r>
            <w:r w:rsidR="008E3DCB">
              <w:rPr>
                <w:noProof/>
                <w:webHidden/>
              </w:rPr>
              <w:instrText xml:space="preserve"> PAGEREF _Toc38548368 \h </w:instrText>
            </w:r>
            <w:r w:rsidR="008E3DCB">
              <w:rPr>
                <w:noProof/>
                <w:webHidden/>
              </w:rPr>
            </w:r>
            <w:r w:rsidR="008E3DCB">
              <w:rPr>
                <w:noProof/>
                <w:webHidden/>
              </w:rPr>
              <w:fldChar w:fldCharType="separate"/>
            </w:r>
            <w:r w:rsidR="008E3DCB">
              <w:rPr>
                <w:noProof/>
                <w:webHidden/>
              </w:rPr>
              <w:t>10</w:t>
            </w:r>
            <w:r w:rsidR="008E3DCB">
              <w:rPr>
                <w:noProof/>
                <w:webHidden/>
              </w:rPr>
              <w:fldChar w:fldCharType="end"/>
            </w:r>
          </w:hyperlink>
        </w:p>
        <w:p w14:paraId="7CA7E890" w14:textId="18F30BF5" w:rsidR="008E3DCB" w:rsidRDefault="00B206AA">
          <w:pPr>
            <w:pStyle w:val="TOC2"/>
            <w:tabs>
              <w:tab w:val="right" w:leader="dot" w:pos="9016"/>
            </w:tabs>
            <w:rPr>
              <w:rFonts w:eastAsiaTheme="minorEastAsia" w:cstheme="minorBidi"/>
              <w:noProof/>
              <w:sz w:val="22"/>
              <w:szCs w:val="22"/>
            </w:rPr>
          </w:pPr>
          <w:hyperlink w:anchor="_Toc38548369" w:history="1">
            <w:r w:rsidR="008E3DCB" w:rsidRPr="009D30E4">
              <w:rPr>
                <w:rStyle w:val="Hyperlink"/>
                <w:rFonts w:eastAsiaTheme="majorEastAsia" w:cs="Arial"/>
                <w:noProof/>
                <w:snapToGrid w:val="0"/>
              </w:rPr>
              <w:t>NDIA has the capacity to pay more in exceptional circumstances</w:t>
            </w:r>
            <w:r w:rsidR="008E3DCB">
              <w:rPr>
                <w:noProof/>
                <w:webHidden/>
              </w:rPr>
              <w:tab/>
            </w:r>
            <w:r w:rsidR="008E3DCB">
              <w:rPr>
                <w:noProof/>
                <w:webHidden/>
              </w:rPr>
              <w:fldChar w:fldCharType="begin"/>
            </w:r>
            <w:r w:rsidR="008E3DCB">
              <w:rPr>
                <w:noProof/>
                <w:webHidden/>
              </w:rPr>
              <w:instrText xml:space="preserve"> PAGEREF _Toc38548369 \h </w:instrText>
            </w:r>
            <w:r w:rsidR="008E3DCB">
              <w:rPr>
                <w:noProof/>
                <w:webHidden/>
              </w:rPr>
            </w:r>
            <w:r w:rsidR="008E3DCB">
              <w:rPr>
                <w:noProof/>
                <w:webHidden/>
              </w:rPr>
              <w:fldChar w:fldCharType="separate"/>
            </w:r>
            <w:r w:rsidR="008E3DCB">
              <w:rPr>
                <w:noProof/>
                <w:webHidden/>
              </w:rPr>
              <w:t>11</w:t>
            </w:r>
            <w:r w:rsidR="008E3DCB">
              <w:rPr>
                <w:noProof/>
                <w:webHidden/>
              </w:rPr>
              <w:fldChar w:fldCharType="end"/>
            </w:r>
          </w:hyperlink>
        </w:p>
        <w:p w14:paraId="5091E38F" w14:textId="2973CCF2" w:rsidR="008E3DCB" w:rsidRDefault="00B206AA">
          <w:pPr>
            <w:pStyle w:val="TOC1"/>
            <w:tabs>
              <w:tab w:val="right" w:leader="dot" w:pos="9016"/>
            </w:tabs>
            <w:rPr>
              <w:rFonts w:eastAsiaTheme="minorEastAsia" w:cstheme="minorBidi"/>
              <w:noProof/>
              <w:sz w:val="22"/>
              <w:szCs w:val="22"/>
            </w:rPr>
          </w:pPr>
          <w:hyperlink w:anchor="_Toc38548370" w:history="1">
            <w:r w:rsidR="008E3DCB" w:rsidRPr="009D30E4">
              <w:rPr>
                <w:rStyle w:val="Hyperlink"/>
                <w:rFonts w:eastAsiaTheme="majorEastAsia" w:cs="Arial"/>
                <w:noProof/>
                <w:lang w:eastAsia="en-US"/>
              </w:rPr>
              <w:t>Part 3 – For whom in what circumstances</w:t>
            </w:r>
            <w:r w:rsidR="008E3DCB">
              <w:rPr>
                <w:noProof/>
                <w:webHidden/>
              </w:rPr>
              <w:tab/>
            </w:r>
            <w:r w:rsidR="008E3DCB">
              <w:rPr>
                <w:noProof/>
                <w:webHidden/>
              </w:rPr>
              <w:fldChar w:fldCharType="begin"/>
            </w:r>
            <w:r w:rsidR="008E3DCB">
              <w:rPr>
                <w:noProof/>
                <w:webHidden/>
              </w:rPr>
              <w:instrText xml:space="preserve"> PAGEREF _Toc38548370 \h </w:instrText>
            </w:r>
            <w:r w:rsidR="008E3DCB">
              <w:rPr>
                <w:noProof/>
                <w:webHidden/>
              </w:rPr>
            </w:r>
            <w:r w:rsidR="008E3DCB">
              <w:rPr>
                <w:noProof/>
                <w:webHidden/>
              </w:rPr>
              <w:fldChar w:fldCharType="separate"/>
            </w:r>
            <w:r w:rsidR="008E3DCB">
              <w:rPr>
                <w:noProof/>
                <w:webHidden/>
              </w:rPr>
              <w:t>11</w:t>
            </w:r>
            <w:r w:rsidR="008E3DCB">
              <w:rPr>
                <w:noProof/>
                <w:webHidden/>
              </w:rPr>
              <w:fldChar w:fldCharType="end"/>
            </w:r>
          </w:hyperlink>
        </w:p>
        <w:p w14:paraId="07D3B98C" w14:textId="6ADC9E61" w:rsidR="008E3DCB" w:rsidRDefault="00B206AA">
          <w:pPr>
            <w:pStyle w:val="TOC2"/>
            <w:tabs>
              <w:tab w:val="right" w:leader="dot" w:pos="9016"/>
            </w:tabs>
            <w:rPr>
              <w:rFonts w:eastAsiaTheme="minorEastAsia" w:cstheme="minorBidi"/>
              <w:noProof/>
              <w:sz w:val="22"/>
              <w:szCs w:val="22"/>
            </w:rPr>
          </w:pPr>
          <w:hyperlink w:anchor="_Toc38548371" w:history="1">
            <w:r w:rsidR="008E3DCB" w:rsidRPr="009D30E4">
              <w:rPr>
                <w:rStyle w:val="Hyperlink"/>
                <w:rFonts w:eastAsiaTheme="majorEastAsia" w:cs="Arial"/>
                <w:noProof/>
                <w:snapToGrid w:val="0"/>
              </w:rPr>
              <w:t>Participants with an extreme functional impairment and/or very high support needs for whom SDA is reasonable and necessary</w:t>
            </w:r>
            <w:r w:rsidR="008E3DCB">
              <w:rPr>
                <w:noProof/>
                <w:webHidden/>
              </w:rPr>
              <w:tab/>
            </w:r>
            <w:r w:rsidR="008E3DCB">
              <w:rPr>
                <w:noProof/>
                <w:webHidden/>
              </w:rPr>
              <w:fldChar w:fldCharType="begin"/>
            </w:r>
            <w:r w:rsidR="008E3DCB">
              <w:rPr>
                <w:noProof/>
                <w:webHidden/>
              </w:rPr>
              <w:instrText xml:space="preserve"> PAGEREF _Toc38548371 \h </w:instrText>
            </w:r>
            <w:r w:rsidR="008E3DCB">
              <w:rPr>
                <w:noProof/>
                <w:webHidden/>
              </w:rPr>
            </w:r>
            <w:r w:rsidR="008E3DCB">
              <w:rPr>
                <w:noProof/>
                <w:webHidden/>
              </w:rPr>
              <w:fldChar w:fldCharType="separate"/>
            </w:r>
            <w:r w:rsidR="008E3DCB">
              <w:rPr>
                <w:noProof/>
                <w:webHidden/>
              </w:rPr>
              <w:t>11</w:t>
            </w:r>
            <w:r w:rsidR="008E3DCB">
              <w:rPr>
                <w:noProof/>
                <w:webHidden/>
              </w:rPr>
              <w:fldChar w:fldCharType="end"/>
            </w:r>
          </w:hyperlink>
        </w:p>
        <w:p w14:paraId="6081E61B" w14:textId="4FD5B25F" w:rsidR="008E3DCB" w:rsidRDefault="00B206AA">
          <w:pPr>
            <w:pStyle w:val="TOC2"/>
            <w:tabs>
              <w:tab w:val="right" w:leader="dot" w:pos="9016"/>
            </w:tabs>
            <w:rPr>
              <w:rFonts w:eastAsiaTheme="minorEastAsia" w:cstheme="minorBidi"/>
              <w:noProof/>
              <w:sz w:val="22"/>
              <w:szCs w:val="22"/>
            </w:rPr>
          </w:pPr>
          <w:hyperlink w:anchor="_Toc38548372" w:history="1">
            <w:r w:rsidR="008E3DCB" w:rsidRPr="009D30E4">
              <w:rPr>
                <w:rStyle w:val="Hyperlink"/>
                <w:rFonts w:eastAsiaTheme="majorEastAsia" w:cs="Arial"/>
                <w:noProof/>
                <w:snapToGrid w:val="0"/>
              </w:rPr>
              <w:t>Participants who require a specialist built-form</w:t>
            </w:r>
            <w:r w:rsidR="008E3DCB">
              <w:rPr>
                <w:noProof/>
                <w:webHidden/>
              </w:rPr>
              <w:tab/>
            </w:r>
            <w:r w:rsidR="008E3DCB">
              <w:rPr>
                <w:noProof/>
                <w:webHidden/>
              </w:rPr>
              <w:fldChar w:fldCharType="begin"/>
            </w:r>
            <w:r w:rsidR="008E3DCB">
              <w:rPr>
                <w:noProof/>
                <w:webHidden/>
              </w:rPr>
              <w:instrText xml:space="preserve"> PAGEREF _Toc38548372 \h </w:instrText>
            </w:r>
            <w:r w:rsidR="008E3DCB">
              <w:rPr>
                <w:noProof/>
                <w:webHidden/>
              </w:rPr>
            </w:r>
            <w:r w:rsidR="008E3DCB">
              <w:rPr>
                <w:noProof/>
                <w:webHidden/>
              </w:rPr>
              <w:fldChar w:fldCharType="separate"/>
            </w:r>
            <w:r w:rsidR="008E3DCB">
              <w:rPr>
                <w:noProof/>
                <w:webHidden/>
              </w:rPr>
              <w:t>12</w:t>
            </w:r>
            <w:r w:rsidR="008E3DCB">
              <w:rPr>
                <w:noProof/>
                <w:webHidden/>
              </w:rPr>
              <w:fldChar w:fldCharType="end"/>
            </w:r>
          </w:hyperlink>
        </w:p>
        <w:p w14:paraId="72658720" w14:textId="391BA797" w:rsidR="008E3DCB" w:rsidRDefault="00B206AA">
          <w:pPr>
            <w:pStyle w:val="TOC2"/>
            <w:tabs>
              <w:tab w:val="right" w:leader="dot" w:pos="9016"/>
            </w:tabs>
            <w:rPr>
              <w:rFonts w:eastAsiaTheme="minorEastAsia" w:cstheme="minorBidi"/>
              <w:noProof/>
              <w:sz w:val="22"/>
              <w:szCs w:val="22"/>
            </w:rPr>
          </w:pPr>
          <w:hyperlink w:anchor="_Toc38548373" w:history="1">
            <w:r w:rsidR="008E3DCB" w:rsidRPr="009D30E4">
              <w:rPr>
                <w:rStyle w:val="Hyperlink"/>
                <w:rFonts w:eastAsiaTheme="majorEastAsia" w:cs="Arial"/>
                <w:noProof/>
                <w:snapToGrid w:val="0"/>
              </w:rPr>
              <w:t>Participants with very high support needs that can only be met cost effectively by SDA</w:t>
            </w:r>
            <w:r w:rsidR="008E3DCB">
              <w:rPr>
                <w:noProof/>
                <w:webHidden/>
              </w:rPr>
              <w:tab/>
            </w:r>
            <w:r w:rsidR="008E3DCB">
              <w:rPr>
                <w:noProof/>
                <w:webHidden/>
              </w:rPr>
              <w:fldChar w:fldCharType="begin"/>
            </w:r>
            <w:r w:rsidR="008E3DCB">
              <w:rPr>
                <w:noProof/>
                <w:webHidden/>
              </w:rPr>
              <w:instrText xml:space="preserve"> PAGEREF _Toc38548373 \h </w:instrText>
            </w:r>
            <w:r w:rsidR="008E3DCB">
              <w:rPr>
                <w:noProof/>
                <w:webHidden/>
              </w:rPr>
            </w:r>
            <w:r w:rsidR="008E3DCB">
              <w:rPr>
                <w:noProof/>
                <w:webHidden/>
              </w:rPr>
              <w:fldChar w:fldCharType="separate"/>
            </w:r>
            <w:r w:rsidR="008E3DCB">
              <w:rPr>
                <w:noProof/>
                <w:webHidden/>
              </w:rPr>
              <w:t>13</w:t>
            </w:r>
            <w:r w:rsidR="008E3DCB">
              <w:rPr>
                <w:noProof/>
                <w:webHidden/>
              </w:rPr>
              <w:fldChar w:fldCharType="end"/>
            </w:r>
          </w:hyperlink>
        </w:p>
        <w:p w14:paraId="3BFDD75A" w14:textId="67703947" w:rsidR="008E3DCB" w:rsidRDefault="00B206AA">
          <w:pPr>
            <w:pStyle w:val="TOC1"/>
            <w:tabs>
              <w:tab w:val="right" w:leader="dot" w:pos="9016"/>
            </w:tabs>
            <w:rPr>
              <w:rFonts w:eastAsiaTheme="minorEastAsia" w:cstheme="minorBidi"/>
              <w:noProof/>
              <w:sz w:val="22"/>
              <w:szCs w:val="22"/>
            </w:rPr>
          </w:pPr>
          <w:hyperlink w:anchor="_Toc38548374" w:history="1">
            <w:r w:rsidR="008E3DCB" w:rsidRPr="009D30E4">
              <w:rPr>
                <w:rStyle w:val="Hyperlink"/>
                <w:rFonts w:eastAsiaTheme="majorEastAsia" w:cs="Arial"/>
                <w:noProof/>
                <w:snapToGrid w:val="0"/>
              </w:rPr>
              <w:t>Part 4 – Registration, approved dwellings, security of tenure</w:t>
            </w:r>
            <w:r w:rsidR="008E3DCB">
              <w:rPr>
                <w:noProof/>
                <w:webHidden/>
              </w:rPr>
              <w:tab/>
            </w:r>
            <w:r w:rsidR="008E3DCB">
              <w:rPr>
                <w:noProof/>
                <w:webHidden/>
              </w:rPr>
              <w:fldChar w:fldCharType="begin"/>
            </w:r>
            <w:r w:rsidR="008E3DCB">
              <w:rPr>
                <w:noProof/>
                <w:webHidden/>
              </w:rPr>
              <w:instrText xml:space="preserve"> PAGEREF _Toc38548374 \h </w:instrText>
            </w:r>
            <w:r w:rsidR="008E3DCB">
              <w:rPr>
                <w:noProof/>
                <w:webHidden/>
              </w:rPr>
            </w:r>
            <w:r w:rsidR="008E3DCB">
              <w:rPr>
                <w:noProof/>
                <w:webHidden/>
              </w:rPr>
              <w:fldChar w:fldCharType="separate"/>
            </w:r>
            <w:r w:rsidR="008E3DCB">
              <w:rPr>
                <w:noProof/>
                <w:webHidden/>
              </w:rPr>
              <w:t>15</w:t>
            </w:r>
            <w:r w:rsidR="008E3DCB">
              <w:rPr>
                <w:noProof/>
                <w:webHidden/>
              </w:rPr>
              <w:fldChar w:fldCharType="end"/>
            </w:r>
          </w:hyperlink>
        </w:p>
        <w:p w14:paraId="143B73EF" w14:textId="21BCE068" w:rsidR="008E3DCB" w:rsidRDefault="00B206AA">
          <w:pPr>
            <w:pStyle w:val="TOC2"/>
            <w:tabs>
              <w:tab w:val="right" w:leader="dot" w:pos="9016"/>
            </w:tabs>
            <w:rPr>
              <w:rFonts w:eastAsiaTheme="minorEastAsia" w:cstheme="minorBidi"/>
              <w:noProof/>
              <w:sz w:val="22"/>
              <w:szCs w:val="22"/>
            </w:rPr>
          </w:pPr>
          <w:hyperlink w:anchor="_Toc38548375" w:history="1">
            <w:r w:rsidR="008E3DCB" w:rsidRPr="009D30E4">
              <w:rPr>
                <w:rStyle w:val="Hyperlink"/>
                <w:rFonts w:eastAsiaTheme="majorEastAsia" w:cs="Arial"/>
                <w:noProof/>
                <w:snapToGrid w:val="0"/>
              </w:rPr>
              <w:t>A modified market</w:t>
            </w:r>
            <w:r w:rsidR="008E3DCB">
              <w:rPr>
                <w:noProof/>
                <w:webHidden/>
              </w:rPr>
              <w:tab/>
            </w:r>
            <w:r w:rsidR="008E3DCB">
              <w:rPr>
                <w:noProof/>
                <w:webHidden/>
              </w:rPr>
              <w:fldChar w:fldCharType="begin"/>
            </w:r>
            <w:r w:rsidR="008E3DCB">
              <w:rPr>
                <w:noProof/>
                <w:webHidden/>
              </w:rPr>
              <w:instrText xml:space="preserve"> PAGEREF _Toc38548375 \h </w:instrText>
            </w:r>
            <w:r w:rsidR="008E3DCB">
              <w:rPr>
                <w:noProof/>
                <w:webHidden/>
              </w:rPr>
            </w:r>
            <w:r w:rsidR="008E3DCB">
              <w:rPr>
                <w:noProof/>
                <w:webHidden/>
              </w:rPr>
              <w:fldChar w:fldCharType="separate"/>
            </w:r>
            <w:r w:rsidR="008E3DCB">
              <w:rPr>
                <w:noProof/>
                <w:webHidden/>
              </w:rPr>
              <w:t>15</w:t>
            </w:r>
            <w:r w:rsidR="008E3DCB">
              <w:rPr>
                <w:noProof/>
                <w:webHidden/>
              </w:rPr>
              <w:fldChar w:fldCharType="end"/>
            </w:r>
          </w:hyperlink>
        </w:p>
        <w:p w14:paraId="47DB624E" w14:textId="4E62A262" w:rsidR="008E3DCB" w:rsidRDefault="00B206AA">
          <w:pPr>
            <w:pStyle w:val="TOC2"/>
            <w:tabs>
              <w:tab w:val="right" w:leader="dot" w:pos="9016"/>
            </w:tabs>
            <w:rPr>
              <w:rFonts w:eastAsiaTheme="minorEastAsia" w:cstheme="minorBidi"/>
              <w:noProof/>
              <w:sz w:val="22"/>
              <w:szCs w:val="22"/>
            </w:rPr>
          </w:pPr>
          <w:hyperlink w:anchor="_Toc38548376" w:history="1">
            <w:r w:rsidR="008E3DCB" w:rsidRPr="009D30E4">
              <w:rPr>
                <w:rStyle w:val="Hyperlink"/>
                <w:rFonts w:eastAsiaTheme="majorEastAsia" w:cs="Arial"/>
                <w:noProof/>
                <w:snapToGrid w:val="0"/>
              </w:rPr>
              <w:t>Registration of providers and enrolment of dwellings</w:t>
            </w:r>
            <w:r w:rsidR="008E3DCB">
              <w:rPr>
                <w:noProof/>
                <w:webHidden/>
              </w:rPr>
              <w:tab/>
            </w:r>
            <w:r w:rsidR="008E3DCB">
              <w:rPr>
                <w:noProof/>
                <w:webHidden/>
              </w:rPr>
              <w:fldChar w:fldCharType="begin"/>
            </w:r>
            <w:r w:rsidR="008E3DCB">
              <w:rPr>
                <w:noProof/>
                <w:webHidden/>
              </w:rPr>
              <w:instrText xml:space="preserve"> PAGEREF _Toc38548376 \h </w:instrText>
            </w:r>
            <w:r w:rsidR="008E3DCB">
              <w:rPr>
                <w:noProof/>
                <w:webHidden/>
              </w:rPr>
            </w:r>
            <w:r w:rsidR="008E3DCB">
              <w:rPr>
                <w:noProof/>
                <w:webHidden/>
              </w:rPr>
              <w:fldChar w:fldCharType="separate"/>
            </w:r>
            <w:r w:rsidR="008E3DCB">
              <w:rPr>
                <w:noProof/>
                <w:webHidden/>
              </w:rPr>
              <w:t>16</w:t>
            </w:r>
            <w:r w:rsidR="008E3DCB">
              <w:rPr>
                <w:noProof/>
                <w:webHidden/>
              </w:rPr>
              <w:fldChar w:fldCharType="end"/>
            </w:r>
          </w:hyperlink>
        </w:p>
        <w:p w14:paraId="465712F1" w14:textId="6514A86B" w:rsidR="008E3DCB" w:rsidRDefault="00B206AA">
          <w:pPr>
            <w:pStyle w:val="TOC1"/>
            <w:tabs>
              <w:tab w:val="right" w:leader="dot" w:pos="9016"/>
            </w:tabs>
            <w:rPr>
              <w:rFonts w:eastAsiaTheme="minorEastAsia" w:cstheme="minorBidi"/>
              <w:noProof/>
              <w:sz w:val="22"/>
              <w:szCs w:val="22"/>
            </w:rPr>
          </w:pPr>
          <w:hyperlink w:anchor="_Toc38548377" w:history="1">
            <w:r w:rsidR="008E3DCB" w:rsidRPr="009D30E4">
              <w:rPr>
                <w:rStyle w:val="Hyperlink"/>
                <w:rFonts w:eastAsiaTheme="majorEastAsia" w:cs="Arial"/>
                <w:noProof/>
                <w:snapToGrid w:val="0"/>
              </w:rPr>
              <w:t>Part 5 – Miscellaneous</w:t>
            </w:r>
            <w:r w:rsidR="008E3DCB">
              <w:rPr>
                <w:noProof/>
                <w:webHidden/>
              </w:rPr>
              <w:tab/>
            </w:r>
            <w:r w:rsidR="008E3DCB">
              <w:rPr>
                <w:noProof/>
                <w:webHidden/>
              </w:rPr>
              <w:fldChar w:fldCharType="begin"/>
            </w:r>
            <w:r w:rsidR="008E3DCB">
              <w:rPr>
                <w:noProof/>
                <w:webHidden/>
              </w:rPr>
              <w:instrText xml:space="preserve"> PAGEREF _Toc38548377 \h </w:instrText>
            </w:r>
            <w:r w:rsidR="008E3DCB">
              <w:rPr>
                <w:noProof/>
                <w:webHidden/>
              </w:rPr>
            </w:r>
            <w:r w:rsidR="008E3DCB">
              <w:rPr>
                <w:noProof/>
                <w:webHidden/>
              </w:rPr>
              <w:fldChar w:fldCharType="separate"/>
            </w:r>
            <w:r w:rsidR="008E3DCB">
              <w:rPr>
                <w:noProof/>
                <w:webHidden/>
              </w:rPr>
              <w:t>16</w:t>
            </w:r>
            <w:r w:rsidR="008E3DCB">
              <w:rPr>
                <w:noProof/>
                <w:webHidden/>
              </w:rPr>
              <w:fldChar w:fldCharType="end"/>
            </w:r>
          </w:hyperlink>
        </w:p>
        <w:p w14:paraId="157E81C4" w14:textId="77AE5C9E" w:rsidR="008E3DCB" w:rsidRDefault="00B206AA">
          <w:pPr>
            <w:pStyle w:val="TOC2"/>
            <w:tabs>
              <w:tab w:val="right" w:leader="dot" w:pos="9016"/>
            </w:tabs>
            <w:rPr>
              <w:rFonts w:eastAsiaTheme="minorEastAsia" w:cstheme="minorBidi"/>
              <w:noProof/>
              <w:sz w:val="22"/>
              <w:szCs w:val="22"/>
            </w:rPr>
          </w:pPr>
          <w:hyperlink w:anchor="_Toc38548378" w:history="1">
            <w:r w:rsidR="008E3DCB" w:rsidRPr="009D30E4">
              <w:rPr>
                <w:rStyle w:val="Hyperlink"/>
                <w:rFonts w:eastAsiaTheme="majorEastAsia" w:cs="Arial"/>
                <w:noProof/>
                <w:snapToGrid w:val="0"/>
              </w:rPr>
              <w:t>Flexibility</w:t>
            </w:r>
            <w:r w:rsidR="008E3DCB">
              <w:rPr>
                <w:noProof/>
                <w:webHidden/>
              </w:rPr>
              <w:tab/>
            </w:r>
            <w:r w:rsidR="008E3DCB">
              <w:rPr>
                <w:noProof/>
                <w:webHidden/>
              </w:rPr>
              <w:fldChar w:fldCharType="begin"/>
            </w:r>
            <w:r w:rsidR="008E3DCB">
              <w:rPr>
                <w:noProof/>
                <w:webHidden/>
              </w:rPr>
              <w:instrText xml:space="preserve"> PAGEREF _Toc38548378 \h </w:instrText>
            </w:r>
            <w:r w:rsidR="008E3DCB">
              <w:rPr>
                <w:noProof/>
                <w:webHidden/>
              </w:rPr>
            </w:r>
            <w:r w:rsidR="008E3DCB">
              <w:rPr>
                <w:noProof/>
                <w:webHidden/>
              </w:rPr>
              <w:fldChar w:fldCharType="separate"/>
            </w:r>
            <w:r w:rsidR="008E3DCB">
              <w:rPr>
                <w:noProof/>
                <w:webHidden/>
              </w:rPr>
              <w:t>16</w:t>
            </w:r>
            <w:r w:rsidR="008E3DCB">
              <w:rPr>
                <w:noProof/>
                <w:webHidden/>
              </w:rPr>
              <w:fldChar w:fldCharType="end"/>
            </w:r>
          </w:hyperlink>
        </w:p>
        <w:p w14:paraId="31450A5B" w14:textId="7A245BE9" w:rsidR="008E3DCB" w:rsidRDefault="00B206AA">
          <w:pPr>
            <w:pStyle w:val="TOC2"/>
            <w:tabs>
              <w:tab w:val="right" w:leader="dot" w:pos="9016"/>
            </w:tabs>
            <w:rPr>
              <w:rFonts w:eastAsiaTheme="minorEastAsia" w:cstheme="minorBidi"/>
              <w:noProof/>
              <w:sz w:val="22"/>
              <w:szCs w:val="22"/>
            </w:rPr>
          </w:pPr>
          <w:hyperlink w:anchor="_Toc38548379" w:history="1">
            <w:r w:rsidR="008E3DCB" w:rsidRPr="009D30E4">
              <w:rPr>
                <w:rStyle w:val="Hyperlink"/>
                <w:rFonts w:eastAsiaTheme="majorEastAsia" w:cs="Arial"/>
                <w:noProof/>
                <w:snapToGrid w:val="0"/>
              </w:rPr>
              <w:t>Transition of residents in supported accommodation and aged residential care</w:t>
            </w:r>
            <w:r w:rsidR="008E3DCB">
              <w:rPr>
                <w:noProof/>
                <w:webHidden/>
              </w:rPr>
              <w:tab/>
            </w:r>
            <w:r w:rsidR="008E3DCB">
              <w:rPr>
                <w:noProof/>
                <w:webHidden/>
              </w:rPr>
              <w:fldChar w:fldCharType="begin"/>
            </w:r>
            <w:r w:rsidR="008E3DCB">
              <w:rPr>
                <w:noProof/>
                <w:webHidden/>
              </w:rPr>
              <w:instrText xml:space="preserve"> PAGEREF _Toc38548379 \h </w:instrText>
            </w:r>
            <w:r w:rsidR="008E3DCB">
              <w:rPr>
                <w:noProof/>
                <w:webHidden/>
              </w:rPr>
            </w:r>
            <w:r w:rsidR="008E3DCB">
              <w:rPr>
                <w:noProof/>
                <w:webHidden/>
              </w:rPr>
              <w:fldChar w:fldCharType="separate"/>
            </w:r>
            <w:r w:rsidR="008E3DCB">
              <w:rPr>
                <w:noProof/>
                <w:webHidden/>
              </w:rPr>
              <w:t>17</w:t>
            </w:r>
            <w:r w:rsidR="008E3DCB">
              <w:rPr>
                <w:noProof/>
                <w:webHidden/>
              </w:rPr>
              <w:fldChar w:fldCharType="end"/>
            </w:r>
          </w:hyperlink>
        </w:p>
        <w:p w14:paraId="40AB09D8" w14:textId="32556AAC" w:rsidR="008E3DCB" w:rsidRDefault="00B206AA">
          <w:pPr>
            <w:pStyle w:val="TOC2"/>
            <w:tabs>
              <w:tab w:val="right" w:leader="dot" w:pos="9016"/>
            </w:tabs>
            <w:rPr>
              <w:rFonts w:eastAsiaTheme="minorEastAsia" w:cstheme="minorBidi"/>
              <w:noProof/>
              <w:sz w:val="22"/>
              <w:szCs w:val="22"/>
            </w:rPr>
          </w:pPr>
          <w:hyperlink w:anchor="_Toc38548380" w:history="1">
            <w:r w:rsidR="008E3DCB" w:rsidRPr="009D30E4">
              <w:rPr>
                <w:rStyle w:val="Hyperlink"/>
                <w:rFonts w:eastAsiaTheme="majorEastAsia" w:cs="Arial"/>
                <w:noProof/>
                <w:snapToGrid w:val="0"/>
              </w:rPr>
              <w:t>Notification</w:t>
            </w:r>
            <w:r w:rsidR="008E3DCB">
              <w:rPr>
                <w:noProof/>
                <w:webHidden/>
              </w:rPr>
              <w:tab/>
            </w:r>
            <w:r w:rsidR="008E3DCB">
              <w:rPr>
                <w:noProof/>
                <w:webHidden/>
              </w:rPr>
              <w:fldChar w:fldCharType="begin"/>
            </w:r>
            <w:r w:rsidR="008E3DCB">
              <w:rPr>
                <w:noProof/>
                <w:webHidden/>
              </w:rPr>
              <w:instrText xml:space="preserve"> PAGEREF _Toc38548380 \h </w:instrText>
            </w:r>
            <w:r w:rsidR="008E3DCB">
              <w:rPr>
                <w:noProof/>
                <w:webHidden/>
              </w:rPr>
            </w:r>
            <w:r w:rsidR="008E3DCB">
              <w:rPr>
                <w:noProof/>
                <w:webHidden/>
              </w:rPr>
              <w:fldChar w:fldCharType="separate"/>
            </w:r>
            <w:r w:rsidR="008E3DCB">
              <w:rPr>
                <w:noProof/>
                <w:webHidden/>
              </w:rPr>
              <w:t>17</w:t>
            </w:r>
            <w:r w:rsidR="008E3DCB">
              <w:rPr>
                <w:noProof/>
                <w:webHidden/>
              </w:rPr>
              <w:fldChar w:fldCharType="end"/>
            </w:r>
          </w:hyperlink>
        </w:p>
        <w:p w14:paraId="7CA57390" w14:textId="69C147CA" w:rsidR="008E3DCB" w:rsidRDefault="00B206AA">
          <w:pPr>
            <w:pStyle w:val="TOC2"/>
            <w:tabs>
              <w:tab w:val="right" w:leader="dot" w:pos="9016"/>
            </w:tabs>
            <w:rPr>
              <w:rFonts w:eastAsiaTheme="minorEastAsia" w:cstheme="minorBidi"/>
              <w:noProof/>
              <w:sz w:val="22"/>
              <w:szCs w:val="22"/>
            </w:rPr>
          </w:pPr>
          <w:hyperlink w:anchor="_Toc38548381" w:history="1">
            <w:r w:rsidR="008E3DCB" w:rsidRPr="009D30E4">
              <w:rPr>
                <w:rStyle w:val="Hyperlink"/>
                <w:rFonts w:eastAsiaTheme="majorEastAsia" w:cs="Arial"/>
                <w:noProof/>
                <w:snapToGrid w:val="0"/>
              </w:rPr>
              <w:t>Governance and reviews</w:t>
            </w:r>
            <w:r w:rsidR="008E3DCB">
              <w:rPr>
                <w:noProof/>
                <w:webHidden/>
              </w:rPr>
              <w:tab/>
            </w:r>
            <w:r w:rsidR="008E3DCB">
              <w:rPr>
                <w:noProof/>
                <w:webHidden/>
              </w:rPr>
              <w:fldChar w:fldCharType="begin"/>
            </w:r>
            <w:r w:rsidR="008E3DCB">
              <w:rPr>
                <w:noProof/>
                <w:webHidden/>
              </w:rPr>
              <w:instrText xml:space="preserve"> PAGEREF _Toc38548381 \h </w:instrText>
            </w:r>
            <w:r w:rsidR="008E3DCB">
              <w:rPr>
                <w:noProof/>
                <w:webHidden/>
              </w:rPr>
            </w:r>
            <w:r w:rsidR="008E3DCB">
              <w:rPr>
                <w:noProof/>
                <w:webHidden/>
              </w:rPr>
              <w:fldChar w:fldCharType="separate"/>
            </w:r>
            <w:r w:rsidR="008E3DCB">
              <w:rPr>
                <w:noProof/>
                <w:webHidden/>
              </w:rPr>
              <w:t>17</w:t>
            </w:r>
            <w:r w:rsidR="008E3DCB">
              <w:rPr>
                <w:noProof/>
                <w:webHidden/>
              </w:rPr>
              <w:fldChar w:fldCharType="end"/>
            </w:r>
          </w:hyperlink>
        </w:p>
        <w:p w14:paraId="724F622E" w14:textId="10ADBC85" w:rsidR="008E3DCB" w:rsidRDefault="00B206AA">
          <w:pPr>
            <w:pStyle w:val="TOC2"/>
            <w:tabs>
              <w:tab w:val="right" w:leader="dot" w:pos="9016"/>
            </w:tabs>
            <w:rPr>
              <w:rFonts w:eastAsiaTheme="minorEastAsia" w:cstheme="minorBidi"/>
              <w:noProof/>
              <w:sz w:val="22"/>
              <w:szCs w:val="22"/>
            </w:rPr>
          </w:pPr>
          <w:hyperlink w:anchor="_Toc38548382" w:history="1">
            <w:r w:rsidR="008E3DCB" w:rsidRPr="009D30E4">
              <w:rPr>
                <w:rStyle w:val="Hyperlink"/>
                <w:rFonts w:eastAsiaTheme="majorEastAsia" w:cs="Arial"/>
                <w:noProof/>
                <w:snapToGrid w:val="0"/>
              </w:rPr>
              <w:t>Reporting on SDA Supply and Demand</w:t>
            </w:r>
            <w:r w:rsidR="008E3DCB">
              <w:rPr>
                <w:noProof/>
                <w:webHidden/>
              </w:rPr>
              <w:tab/>
            </w:r>
            <w:r w:rsidR="008E3DCB">
              <w:rPr>
                <w:noProof/>
                <w:webHidden/>
              </w:rPr>
              <w:fldChar w:fldCharType="begin"/>
            </w:r>
            <w:r w:rsidR="008E3DCB">
              <w:rPr>
                <w:noProof/>
                <w:webHidden/>
              </w:rPr>
              <w:instrText xml:space="preserve"> PAGEREF _Toc38548382 \h </w:instrText>
            </w:r>
            <w:r w:rsidR="008E3DCB">
              <w:rPr>
                <w:noProof/>
                <w:webHidden/>
              </w:rPr>
            </w:r>
            <w:r w:rsidR="008E3DCB">
              <w:rPr>
                <w:noProof/>
                <w:webHidden/>
              </w:rPr>
              <w:fldChar w:fldCharType="separate"/>
            </w:r>
            <w:r w:rsidR="008E3DCB">
              <w:rPr>
                <w:noProof/>
                <w:webHidden/>
              </w:rPr>
              <w:t>18</w:t>
            </w:r>
            <w:r w:rsidR="008E3DCB">
              <w:rPr>
                <w:noProof/>
                <w:webHidden/>
              </w:rPr>
              <w:fldChar w:fldCharType="end"/>
            </w:r>
          </w:hyperlink>
        </w:p>
        <w:p w14:paraId="3D2CB90A" w14:textId="681C25DD" w:rsidR="00A323E4" w:rsidRPr="008C0658" w:rsidRDefault="008F0CF7" w:rsidP="00C87C93">
          <w:pPr>
            <w:pStyle w:val="TOC2"/>
            <w:tabs>
              <w:tab w:val="right" w:leader="dot" w:pos="9016"/>
            </w:tabs>
            <w:rPr>
              <w:rFonts w:eastAsiaTheme="minorEastAsia" w:cstheme="minorBidi"/>
              <w:noProof/>
              <w:sz w:val="22"/>
              <w:szCs w:val="22"/>
            </w:rPr>
          </w:pPr>
          <w:r w:rsidRPr="00C86964">
            <w:rPr>
              <w:rFonts w:cs="Arial"/>
              <w:b/>
              <w:bCs/>
              <w:noProof/>
              <w:sz w:val="22"/>
              <w:szCs w:val="22"/>
            </w:rPr>
            <w:fldChar w:fldCharType="end"/>
          </w:r>
        </w:p>
      </w:sdtContent>
    </w:sdt>
    <w:p w14:paraId="77C39224" w14:textId="77777777" w:rsidR="0034774B" w:rsidRPr="007D0FD1" w:rsidRDefault="00C86964" w:rsidP="006D4CFA">
      <w:pPr>
        <w:spacing w:after="200" w:line="276" w:lineRule="auto"/>
        <w:jc w:val="center"/>
        <w:rPr>
          <w:rFonts w:cs="Arial"/>
          <w:b/>
          <w:sz w:val="28"/>
          <w:szCs w:val="32"/>
          <w:lang w:eastAsia="en-US"/>
        </w:rPr>
      </w:pPr>
      <w:r>
        <w:rPr>
          <w:rFonts w:cs="Arial"/>
          <w:b/>
          <w:sz w:val="28"/>
          <w:szCs w:val="32"/>
          <w:lang w:eastAsia="en-US"/>
        </w:rPr>
        <w:br w:type="page"/>
      </w:r>
      <w:r w:rsidR="0034774B" w:rsidRPr="007D0FD1">
        <w:rPr>
          <w:rFonts w:cs="Arial"/>
          <w:b/>
          <w:sz w:val="28"/>
          <w:szCs w:val="32"/>
          <w:lang w:eastAsia="en-US"/>
        </w:rPr>
        <w:lastRenderedPageBreak/>
        <w:t>Specialist Disability Accommodation</w:t>
      </w:r>
    </w:p>
    <w:p w14:paraId="24CA634B" w14:textId="77777777" w:rsidR="0034774B" w:rsidRPr="007D0FD1" w:rsidRDefault="0034774B" w:rsidP="0034774B">
      <w:pPr>
        <w:tabs>
          <w:tab w:val="left" w:pos="6360"/>
        </w:tabs>
        <w:jc w:val="center"/>
        <w:rPr>
          <w:rFonts w:cs="Arial"/>
          <w:b/>
          <w:sz w:val="28"/>
          <w:szCs w:val="32"/>
          <w:lang w:eastAsia="en-US"/>
        </w:rPr>
      </w:pPr>
      <w:r w:rsidRPr="007D0FD1">
        <w:rPr>
          <w:rFonts w:cs="Arial"/>
          <w:b/>
          <w:sz w:val="28"/>
          <w:szCs w:val="32"/>
          <w:lang w:eastAsia="en-US"/>
        </w:rPr>
        <w:t>Pricing and Payments Framework</w:t>
      </w:r>
    </w:p>
    <w:p w14:paraId="03500399" w14:textId="77777777" w:rsidR="00FB0C1C" w:rsidRPr="007D0FD1" w:rsidRDefault="00A006D0" w:rsidP="0034774B">
      <w:pPr>
        <w:pStyle w:val="Heading1"/>
        <w:rPr>
          <w:rFonts w:cs="Arial"/>
          <w:lang w:eastAsia="en-US"/>
        </w:rPr>
      </w:pPr>
      <w:bookmarkStart w:id="1" w:name="_Toc429404557"/>
      <w:bookmarkStart w:id="2" w:name="_Toc531633284"/>
      <w:bookmarkStart w:id="3" w:name="_Toc38548352"/>
      <w:r w:rsidRPr="007D0FD1">
        <w:rPr>
          <w:rFonts w:cs="Arial"/>
          <w:lang w:eastAsia="en-US"/>
        </w:rPr>
        <w:t xml:space="preserve">Part 1 – </w:t>
      </w:r>
      <w:r w:rsidR="00927013" w:rsidRPr="007D0FD1">
        <w:rPr>
          <w:rFonts w:cs="Arial"/>
        </w:rPr>
        <w:t>Preliminaries</w:t>
      </w:r>
      <w:bookmarkEnd w:id="1"/>
      <w:bookmarkEnd w:id="2"/>
      <w:bookmarkEnd w:id="3"/>
    </w:p>
    <w:p w14:paraId="2FA6C5C5" w14:textId="77777777" w:rsidR="002B54A1" w:rsidRPr="007D0FD1" w:rsidRDefault="008854F7" w:rsidP="009E5275">
      <w:pPr>
        <w:pStyle w:val="Heading2"/>
        <w:rPr>
          <w:rFonts w:cs="Arial"/>
          <w:snapToGrid w:val="0"/>
        </w:rPr>
      </w:pPr>
      <w:bookmarkStart w:id="4" w:name="_Toc429404558"/>
      <w:bookmarkStart w:id="5" w:name="_Toc531633285"/>
      <w:bookmarkStart w:id="6" w:name="_Toc38548353"/>
      <w:r w:rsidRPr="007D0FD1">
        <w:rPr>
          <w:rFonts w:cs="Arial"/>
          <w:lang w:eastAsia="en-US"/>
        </w:rPr>
        <w:t>Purpose</w:t>
      </w:r>
      <w:r w:rsidR="003E3D59" w:rsidRPr="007D0FD1">
        <w:rPr>
          <w:rFonts w:cs="Arial"/>
          <w:lang w:eastAsia="en-US"/>
        </w:rPr>
        <w:t xml:space="preserve"> of this paper</w:t>
      </w:r>
      <w:bookmarkEnd w:id="4"/>
      <w:bookmarkEnd w:id="5"/>
      <w:bookmarkEnd w:id="6"/>
    </w:p>
    <w:p w14:paraId="2BFDF175" w14:textId="2B33641B" w:rsidR="004E0D97" w:rsidRDefault="004E0D97">
      <w:pPr>
        <w:pStyle w:val="ListParagraph"/>
        <w:rPr>
          <w:snapToGrid w:val="0"/>
        </w:rPr>
      </w:pPr>
      <w:r>
        <w:rPr>
          <w:snapToGrid w:val="0"/>
        </w:rPr>
        <w:t xml:space="preserve">This paper sets out </w:t>
      </w:r>
      <w:r w:rsidR="00603050">
        <w:rPr>
          <w:snapToGrid w:val="0"/>
        </w:rPr>
        <w:t>the long-term</w:t>
      </w:r>
      <w:r>
        <w:rPr>
          <w:snapToGrid w:val="0"/>
        </w:rPr>
        <w:t xml:space="preserve"> pricing and payments framework for the funding of</w:t>
      </w:r>
      <w:r w:rsidR="007F7925">
        <w:rPr>
          <w:snapToGrid w:val="0"/>
        </w:rPr>
        <w:t> the land and built elements of Specialist Disability A</w:t>
      </w:r>
      <w:r>
        <w:rPr>
          <w:snapToGrid w:val="0"/>
        </w:rPr>
        <w:t>ccommodation</w:t>
      </w:r>
      <w:r w:rsidR="007F7925">
        <w:rPr>
          <w:snapToGrid w:val="0"/>
        </w:rPr>
        <w:t xml:space="preserve"> (SDA)</w:t>
      </w:r>
      <w:r>
        <w:rPr>
          <w:snapToGrid w:val="0"/>
        </w:rPr>
        <w:t xml:space="preserve"> under the National Disability Insurance Scheme (NDIS). </w:t>
      </w:r>
    </w:p>
    <w:p w14:paraId="4824ECA5" w14:textId="77777777" w:rsidR="00324476" w:rsidRPr="00324476" w:rsidRDefault="00324476" w:rsidP="00324476">
      <w:pPr>
        <w:ind w:left="360"/>
        <w:rPr>
          <w:snapToGrid w:val="0"/>
        </w:rPr>
      </w:pPr>
    </w:p>
    <w:p w14:paraId="4B97594C" w14:textId="465C3EAB" w:rsidR="004E0D97" w:rsidRDefault="004E0D97">
      <w:pPr>
        <w:pStyle w:val="ListParagraph"/>
        <w:rPr>
          <w:snapToGrid w:val="0"/>
        </w:rPr>
      </w:pPr>
      <w:r>
        <w:rPr>
          <w:snapToGrid w:val="0"/>
        </w:rPr>
        <w:t>This paper is not intended to cover broader aspec</w:t>
      </w:r>
      <w:r w:rsidR="007F7925">
        <w:rPr>
          <w:snapToGrid w:val="0"/>
        </w:rPr>
        <w:t>ts of policy in respect of SDA</w:t>
      </w:r>
      <w:r>
        <w:rPr>
          <w:snapToGrid w:val="0"/>
        </w:rPr>
        <w:t xml:space="preserve"> including a charging model of an individual rental contribution</w:t>
      </w:r>
      <w:r w:rsidR="00603050">
        <w:rPr>
          <w:snapToGrid w:val="0"/>
        </w:rPr>
        <w:t>;</w:t>
      </w:r>
      <w:r>
        <w:rPr>
          <w:snapToGrid w:val="0"/>
        </w:rPr>
        <w:t xml:space="preserve"> other tenancy arrangements</w:t>
      </w:r>
      <w:r w:rsidR="00603050">
        <w:rPr>
          <w:snapToGrid w:val="0"/>
        </w:rPr>
        <w:t xml:space="preserve">; </w:t>
      </w:r>
      <w:r>
        <w:rPr>
          <w:snapToGrid w:val="0"/>
        </w:rPr>
        <w:t>quality standards relating to the building</w:t>
      </w:r>
      <w:r w:rsidR="00603050">
        <w:rPr>
          <w:snapToGrid w:val="0"/>
        </w:rPr>
        <w:t>;</w:t>
      </w:r>
      <w:r>
        <w:rPr>
          <w:snapToGrid w:val="0"/>
        </w:rPr>
        <w:t xml:space="preserve"> or asset management by</w:t>
      </w:r>
      <w:r w:rsidR="007F7925">
        <w:rPr>
          <w:snapToGrid w:val="0"/>
        </w:rPr>
        <w:t> </w:t>
      </w:r>
      <w:r>
        <w:rPr>
          <w:snapToGrid w:val="0"/>
        </w:rPr>
        <w:t xml:space="preserve">housing providers. </w:t>
      </w:r>
    </w:p>
    <w:p w14:paraId="08498CE8" w14:textId="77777777" w:rsidR="00324476" w:rsidRPr="00324476" w:rsidRDefault="00324476" w:rsidP="00324476">
      <w:pPr>
        <w:ind w:left="720"/>
        <w:rPr>
          <w:snapToGrid w:val="0"/>
        </w:rPr>
      </w:pPr>
    </w:p>
    <w:p w14:paraId="08AF6106" w14:textId="72D2ADFA" w:rsidR="004E0D97" w:rsidRDefault="004E0D97">
      <w:pPr>
        <w:pStyle w:val="ListParagraph"/>
        <w:rPr>
          <w:snapToGrid w:val="0"/>
        </w:rPr>
      </w:pPr>
      <w:r>
        <w:rPr>
          <w:snapToGrid w:val="0"/>
        </w:rPr>
        <w:t xml:space="preserve">Nor does the paper cover the support arrangements delivered to participants within </w:t>
      </w:r>
      <w:r w:rsidR="002D28D7">
        <w:rPr>
          <w:snapToGrid w:val="0"/>
        </w:rPr>
        <w:t>SDA</w:t>
      </w:r>
      <w:r>
        <w:rPr>
          <w:snapToGrid w:val="0"/>
        </w:rPr>
        <w:t>. These arrangements are covered through broader policy on individual supports funded through the Scheme.</w:t>
      </w:r>
    </w:p>
    <w:p w14:paraId="4B29D442" w14:textId="77777777" w:rsidR="00324476" w:rsidRPr="00324476" w:rsidRDefault="00324476" w:rsidP="007F69B0">
      <w:pPr>
        <w:ind w:left="720"/>
        <w:rPr>
          <w:snapToGrid w:val="0"/>
        </w:rPr>
      </w:pPr>
    </w:p>
    <w:p w14:paraId="1EC0C0D8" w14:textId="1163503C" w:rsidR="002F5BCA" w:rsidRPr="007D0FD1" w:rsidRDefault="002F5BCA">
      <w:pPr>
        <w:pStyle w:val="ListParagraph"/>
        <w:rPr>
          <w:snapToGrid w:val="0"/>
        </w:rPr>
      </w:pPr>
      <w:r w:rsidRPr="007D0FD1">
        <w:rPr>
          <w:snapToGrid w:val="0"/>
        </w:rPr>
        <w:t xml:space="preserve">This </w:t>
      </w:r>
      <w:r w:rsidR="00324476">
        <w:rPr>
          <w:snapToGrid w:val="0"/>
        </w:rPr>
        <w:t>pricing and p</w:t>
      </w:r>
      <w:r w:rsidR="007E2C1F">
        <w:rPr>
          <w:snapToGrid w:val="0"/>
        </w:rPr>
        <w:t xml:space="preserve">ayments </w:t>
      </w:r>
      <w:r w:rsidR="00161B65" w:rsidRPr="007D0FD1">
        <w:rPr>
          <w:snapToGrid w:val="0"/>
        </w:rPr>
        <w:t xml:space="preserve">Framework </w:t>
      </w:r>
      <w:r w:rsidR="00161B65">
        <w:rPr>
          <w:snapToGrid w:val="0"/>
        </w:rPr>
        <w:t>(</w:t>
      </w:r>
      <w:r w:rsidR="007E2C1F">
        <w:rPr>
          <w:snapToGrid w:val="0"/>
        </w:rPr>
        <w:t xml:space="preserve">the Framework) </w:t>
      </w:r>
      <w:r w:rsidRPr="007D0FD1">
        <w:rPr>
          <w:snapToGrid w:val="0"/>
        </w:rPr>
        <w:t xml:space="preserve">will apply </w:t>
      </w:r>
      <w:r w:rsidR="00603050">
        <w:rPr>
          <w:snapToGrid w:val="0"/>
        </w:rPr>
        <w:t xml:space="preserve">from </w:t>
      </w:r>
      <w:r w:rsidR="00DB43F1">
        <w:rPr>
          <w:snapToGrid w:val="0"/>
        </w:rPr>
        <w:t>the commencement of the National Disability Insurance Scheme (Specialist Disability Accommodation) Rules 2020</w:t>
      </w:r>
      <w:r w:rsidRPr="007D0FD1">
        <w:rPr>
          <w:snapToGrid w:val="0"/>
        </w:rPr>
        <w:t xml:space="preserve">. The framework is designed in </w:t>
      </w:r>
      <w:r w:rsidR="008E1BED" w:rsidRPr="007D0FD1">
        <w:rPr>
          <w:snapToGrid w:val="0"/>
        </w:rPr>
        <w:t xml:space="preserve">the </w:t>
      </w:r>
      <w:r w:rsidRPr="007D0FD1">
        <w:rPr>
          <w:snapToGrid w:val="0"/>
        </w:rPr>
        <w:t xml:space="preserve">context of the transition into the NDIS of participants receiving, and providers of, </w:t>
      </w:r>
      <w:r w:rsidR="007F7925">
        <w:rPr>
          <w:snapToGrid w:val="0"/>
        </w:rPr>
        <w:t>SDA</w:t>
      </w:r>
      <w:r w:rsidRPr="007D0FD1">
        <w:rPr>
          <w:snapToGrid w:val="0"/>
        </w:rPr>
        <w:t xml:space="preserve">. </w:t>
      </w:r>
    </w:p>
    <w:p w14:paraId="63B2E247" w14:textId="77777777" w:rsidR="002F5BCA" w:rsidRPr="007D0FD1" w:rsidRDefault="002F5BCA" w:rsidP="002F5BCA">
      <w:pPr>
        <w:rPr>
          <w:snapToGrid w:val="0"/>
        </w:rPr>
      </w:pPr>
    </w:p>
    <w:p w14:paraId="609FA664" w14:textId="6F2AB96A" w:rsidR="002F5BCA" w:rsidRDefault="002F5BCA">
      <w:pPr>
        <w:pStyle w:val="ListParagraph"/>
        <w:rPr>
          <w:snapToGrid w:val="0"/>
        </w:rPr>
      </w:pPr>
      <w:r w:rsidRPr="007D0FD1">
        <w:rPr>
          <w:snapToGrid w:val="0"/>
        </w:rPr>
        <w:t xml:space="preserve">The Framework recognises there may be uncertainty in the market for </w:t>
      </w:r>
      <w:r w:rsidR="007F7925">
        <w:rPr>
          <w:snapToGrid w:val="0"/>
        </w:rPr>
        <w:t>SDA</w:t>
      </w:r>
      <w:r w:rsidRPr="007D0FD1">
        <w:rPr>
          <w:snapToGrid w:val="0"/>
        </w:rPr>
        <w:t xml:space="preserve"> as</w:t>
      </w:r>
      <w:r w:rsidR="007F7925">
        <w:rPr>
          <w:snapToGrid w:val="0"/>
        </w:rPr>
        <w:t> </w:t>
      </w:r>
      <w:r w:rsidRPr="007D0FD1">
        <w:rPr>
          <w:snapToGrid w:val="0"/>
        </w:rPr>
        <w:t>it</w:t>
      </w:r>
      <w:r w:rsidR="007F7925">
        <w:rPr>
          <w:snapToGrid w:val="0"/>
        </w:rPr>
        <w:t> </w:t>
      </w:r>
      <w:r w:rsidRPr="007D0FD1">
        <w:rPr>
          <w:snapToGrid w:val="0"/>
        </w:rPr>
        <w:t>is</w:t>
      </w:r>
      <w:r w:rsidR="007F7925">
        <w:rPr>
          <w:snapToGrid w:val="0"/>
        </w:rPr>
        <w:t> </w:t>
      </w:r>
      <w:r w:rsidRPr="007D0FD1">
        <w:rPr>
          <w:snapToGrid w:val="0"/>
        </w:rPr>
        <w:t>initially and progressively established, and as accommodation</w:t>
      </w:r>
      <w:r w:rsidR="008E1BED" w:rsidRPr="007D0FD1">
        <w:rPr>
          <w:snapToGrid w:val="0"/>
        </w:rPr>
        <w:t xml:space="preserve"> </w:t>
      </w:r>
      <w:r w:rsidRPr="007D0FD1">
        <w:rPr>
          <w:snapToGrid w:val="0"/>
        </w:rPr>
        <w:t>support services transition from block</w:t>
      </w:r>
      <w:r w:rsidR="008E1BED" w:rsidRPr="007D0FD1">
        <w:rPr>
          <w:snapToGrid w:val="0"/>
        </w:rPr>
        <w:t xml:space="preserve"> </w:t>
      </w:r>
      <w:r w:rsidRPr="007D0FD1">
        <w:rPr>
          <w:snapToGrid w:val="0"/>
        </w:rPr>
        <w:t xml:space="preserve">grant funding into </w:t>
      </w:r>
      <w:r w:rsidR="007E2C1F">
        <w:rPr>
          <w:snapToGrid w:val="0"/>
        </w:rPr>
        <w:t>the</w:t>
      </w:r>
      <w:r w:rsidRPr="007D0FD1">
        <w:rPr>
          <w:snapToGrid w:val="0"/>
        </w:rPr>
        <w:t xml:space="preserve"> market.  </w:t>
      </w:r>
    </w:p>
    <w:p w14:paraId="67BF3A0B" w14:textId="77777777" w:rsidR="00161B65" w:rsidRPr="004F7DCD" w:rsidRDefault="00161B65" w:rsidP="007F69B0">
      <w:pPr>
        <w:ind w:left="720"/>
        <w:rPr>
          <w:snapToGrid w:val="0"/>
        </w:rPr>
      </w:pPr>
    </w:p>
    <w:p w14:paraId="2E22B188" w14:textId="6725815C" w:rsidR="00F22E90" w:rsidRPr="00F22E90" w:rsidRDefault="00F22E90">
      <w:pPr>
        <w:pStyle w:val="ListParagraph"/>
        <w:rPr>
          <w:snapToGrid w:val="0"/>
        </w:rPr>
      </w:pPr>
      <w:r>
        <w:rPr>
          <w:snapToGrid w:val="0"/>
        </w:rPr>
        <w:t xml:space="preserve">The Framework is also intended to </w:t>
      </w:r>
      <w:r w:rsidR="00B40C6C" w:rsidRPr="00B40C6C">
        <w:rPr>
          <w:snapToGrid w:val="0"/>
        </w:rPr>
        <w:t xml:space="preserve">ensure there is scope for </w:t>
      </w:r>
      <w:r w:rsidR="00B40C6C">
        <w:rPr>
          <w:snapToGrid w:val="0"/>
        </w:rPr>
        <w:t xml:space="preserve">growth, </w:t>
      </w:r>
      <w:r w:rsidR="00B40C6C" w:rsidRPr="00B40C6C">
        <w:rPr>
          <w:snapToGrid w:val="0"/>
        </w:rPr>
        <w:t xml:space="preserve">replacement, change and innovation </w:t>
      </w:r>
      <w:r w:rsidR="007F7925">
        <w:rPr>
          <w:snapToGrid w:val="0"/>
        </w:rPr>
        <w:t>in the supply of SDA</w:t>
      </w:r>
      <w:r w:rsidR="00B40C6C">
        <w:rPr>
          <w:snapToGrid w:val="0"/>
        </w:rPr>
        <w:t xml:space="preserve"> </w:t>
      </w:r>
      <w:r w:rsidR="00B40C6C" w:rsidRPr="00B40C6C">
        <w:rPr>
          <w:snapToGrid w:val="0"/>
        </w:rPr>
        <w:t>over time</w:t>
      </w:r>
      <w:r w:rsidR="00B40C6C">
        <w:rPr>
          <w:snapToGrid w:val="0"/>
        </w:rPr>
        <w:t>.</w:t>
      </w:r>
    </w:p>
    <w:p w14:paraId="040179B7" w14:textId="77777777" w:rsidR="002F5BCA" w:rsidRPr="007D0FD1" w:rsidRDefault="002F5BCA" w:rsidP="002F5BCA">
      <w:pPr>
        <w:rPr>
          <w:snapToGrid w:val="0"/>
        </w:rPr>
      </w:pPr>
    </w:p>
    <w:p w14:paraId="47A703A6" w14:textId="066560EA" w:rsidR="00603050" w:rsidRDefault="00603050">
      <w:pPr>
        <w:pStyle w:val="ListParagraph"/>
        <w:rPr>
          <w:snapToGrid w:val="0"/>
        </w:rPr>
      </w:pPr>
      <w:r>
        <w:rPr>
          <w:snapToGrid w:val="0"/>
        </w:rPr>
        <w:t xml:space="preserve">The Framework is intended to provide long term certainty for participants, providers and infrastructure investors about the enduring nature of </w:t>
      </w:r>
      <w:r w:rsidR="007F7925">
        <w:rPr>
          <w:snapToGrid w:val="0"/>
        </w:rPr>
        <w:t>SDA</w:t>
      </w:r>
      <w:r>
        <w:rPr>
          <w:snapToGrid w:val="0"/>
        </w:rPr>
        <w:t xml:space="preserve"> under the NDIS.</w:t>
      </w:r>
    </w:p>
    <w:p w14:paraId="6D43CA8C" w14:textId="77777777" w:rsidR="00603050" w:rsidRDefault="00603050" w:rsidP="00603050">
      <w:pPr>
        <w:ind w:left="720"/>
        <w:rPr>
          <w:snapToGrid w:val="0"/>
        </w:rPr>
      </w:pPr>
    </w:p>
    <w:p w14:paraId="5CBE557E" w14:textId="77777777" w:rsidR="00603050" w:rsidRDefault="00603050">
      <w:pPr>
        <w:pStyle w:val="ListParagraph"/>
        <w:rPr>
          <w:snapToGrid w:val="0"/>
        </w:rPr>
      </w:pPr>
      <w:r>
        <w:rPr>
          <w:snapToGrid w:val="0"/>
        </w:rPr>
        <w:t>Any future changes to this framework by the Commonwealth, states and territories, and the National Disability Insurance NDIA (NDIA), through the Disability Reform Council (DRC) of the Council of Australian Governments (COAG) will only occur following significant and broad consultation with participants, providers, governments and investors.</w:t>
      </w:r>
    </w:p>
    <w:p w14:paraId="0CE2ADB3" w14:textId="24D791F5" w:rsidR="002F5BCA" w:rsidRDefault="002F5BCA" w:rsidP="00766B43">
      <w:pPr>
        <w:tabs>
          <w:tab w:val="left" w:pos="6360"/>
        </w:tabs>
        <w:rPr>
          <w:rFonts w:cs="Arial"/>
          <w:snapToGrid w:val="0"/>
        </w:rPr>
      </w:pPr>
    </w:p>
    <w:p w14:paraId="7D072DE1" w14:textId="7DDA3904" w:rsidR="007F7925" w:rsidRDefault="007F7925" w:rsidP="00766B43">
      <w:pPr>
        <w:tabs>
          <w:tab w:val="left" w:pos="6360"/>
        </w:tabs>
        <w:rPr>
          <w:rFonts w:cs="Arial"/>
          <w:snapToGrid w:val="0"/>
        </w:rPr>
      </w:pPr>
    </w:p>
    <w:p w14:paraId="37CA485D" w14:textId="77777777" w:rsidR="007F7925" w:rsidRPr="007D0FD1" w:rsidRDefault="007F7925" w:rsidP="00766B43">
      <w:pPr>
        <w:tabs>
          <w:tab w:val="left" w:pos="6360"/>
        </w:tabs>
        <w:rPr>
          <w:rFonts w:cs="Arial"/>
          <w:snapToGrid w:val="0"/>
        </w:rPr>
      </w:pPr>
    </w:p>
    <w:p w14:paraId="6F2E6738" w14:textId="4ACB1F29" w:rsidR="0041566B" w:rsidRPr="007D0FD1" w:rsidRDefault="0041566B" w:rsidP="0041566B">
      <w:pPr>
        <w:pStyle w:val="Heading2"/>
        <w:rPr>
          <w:rFonts w:cs="Arial"/>
          <w:lang w:eastAsia="en-US"/>
        </w:rPr>
      </w:pPr>
      <w:bookmarkStart w:id="7" w:name="_Toc428792226"/>
      <w:bookmarkStart w:id="8" w:name="_Toc429404559"/>
      <w:bookmarkStart w:id="9" w:name="_Toc531633286"/>
      <w:bookmarkStart w:id="10" w:name="_Toc38548354"/>
      <w:r w:rsidRPr="007D0FD1">
        <w:rPr>
          <w:rFonts w:cs="Arial"/>
          <w:lang w:eastAsia="en-US"/>
        </w:rPr>
        <w:lastRenderedPageBreak/>
        <w:t xml:space="preserve">The vision for </w:t>
      </w:r>
      <w:r w:rsidR="007F7925">
        <w:rPr>
          <w:rFonts w:cs="Arial"/>
          <w:lang w:eastAsia="en-US"/>
        </w:rPr>
        <w:t>SDA</w:t>
      </w:r>
      <w:r w:rsidRPr="007D0FD1">
        <w:rPr>
          <w:rFonts w:cs="Arial"/>
          <w:lang w:eastAsia="en-US"/>
        </w:rPr>
        <w:t xml:space="preserve"> under the NDIS</w:t>
      </w:r>
      <w:bookmarkEnd w:id="7"/>
      <w:bookmarkEnd w:id="8"/>
      <w:bookmarkEnd w:id="9"/>
      <w:bookmarkEnd w:id="10"/>
    </w:p>
    <w:p w14:paraId="623ABC36" w14:textId="49C7D96D" w:rsidR="0041566B" w:rsidRPr="007D0FD1" w:rsidRDefault="0041566B">
      <w:pPr>
        <w:pStyle w:val="ListParagraph"/>
        <w:rPr>
          <w:snapToGrid w:val="0"/>
        </w:rPr>
      </w:pPr>
      <w:r w:rsidRPr="007D0FD1">
        <w:rPr>
          <w:snapToGrid w:val="0"/>
        </w:rPr>
        <w:t xml:space="preserve">The NDIS will support the availability of </w:t>
      </w:r>
      <w:r w:rsidR="007F7925">
        <w:rPr>
          <w:snapToGrid w:val="0"/>
        </w:rPr>
        <w:t>SDA</w:t>
      </w:r>
      <w:r w:rsidRPr="007D0FD1">
        <w:rPr>
          <w:snapToGrid w:val="0"/>
        </w:rPr>
        <w:t xml:space="preserve"> for participants </w:t>
      </w:r>
      <w:r w:rsidR="008326E1" w:rsidRPr="007D0FD1">
        <w:rPr>
          <w:snapToGrid w:val="0"/>
        </w:rPr>
        <w:t>who are assessed as</w:t>
      </w:r>
      <w:r w:rsidR="007F7925">
        <w:rPr>
          <w:snapToGrid w:val="0"/>
        </w:rPr>
        <w:t> </w:t>
      </w:r>
      <w:r w:rsidR="008326E1" w:rsidRPr="007D0FD1">
        <w:rPr>
          <w:snapToGrid w:val="0"/>
        </w:rPr>
        <w:t xml:space="preserve">requiring </w:t>
      </w:r>
      <w:r w:rsidRPr="007D0FD1">
        <w:rPr>
          <w:snapToGrid w:val="0"/>
        </w:rPr>
        <w:t xml:space="preserve">such specialist accommodation. </w:t>
      </w:r>
    </w:p>
    <w:p w14:paraId="025360FA" w14:textId="77777777" w:rsidR="00161B65" w:rsidRPr="00226196" w:rsidRDefault="00161B65" w:rsidP="007E2C1F">
      <w:pPr>
        <w:ind w:left="360"/>
        <w:rPr>
          <w:snapToGrid w:val="0"/>
        </w:rPr>
      </w:pPr>
    </w:p>
    <w:p w14:paraId="53BC05E0" w14:textId="70769661" w:rsidR="0041566B" w:rsidRDefault="0041566B">
      <w:pPr>
        <w:pStyle w:val="ListParagraph"/>
        <w:rPr>
          <w:snapToGrid w:val="0"/>
        </w:rPr>
      </w:pPr>
      <w:r w:rsidRPr="007D0FD1">
        <w:rPr>
          <w:snapToGrid w:val="0"/>
        </w:rPr>
        <w:t xml:space="preserve">The NDIS will support a </w:t>
      </w:r>
      <w:r w:rsidR="00733505">
        <w:rPr>
          <w:snapToGrid w:val="0"/>
        </w:rPr>
        <w:t xml:space="preserve">sustainable </w:t>
      </w:r>
      <w:r w:rsidR="00252634">
        <w:rPr>
          <w:snapToGrid w:val="0"/>
        </w:rPr>
        <w:t>SDA</w:t>
      </w:r>
      <w:r w:rsidRPr="007D0FD1">
        <w:rPr>
          <w:snapToGrid w:val="0"/>
        </w:rPr>
        <w:t xml:space="preserve"> market that fosters choice and control, encourages innovation, provides </w:t>
      </w:r>
      <w:r w:rsidR="008326E1" w:rsidRPr="007D0FD1">
        <w:rPr>
          <w:snapToGrid w:val="0"/>
        </w:rPr>
        <w:t xml:space="preserve">options </w:t>
      </w:r>
      <w:r w:rsidRPr="007D0FD1">
        <w:rPr>
          <w:snapToGrid w:val="0"/>
        </w:rPr>
        <w:t>for participants, continuity of supply and financial sustainability for governments, participants and providers.</w:t>
      </w:r>
    </w:p>
    <w:p w14:paraId="6F3A3EE9" w14:textId="77777777" w:rsidR="00324476" w:rsidRPr="00324476" w:rsidRDefault="00324476" w:rsidP="007F69B0">
      <w:pPr>
        <w:ind w:left="360"/>
        <w:rPr>
          <w:snapToGrid w:val="0"/>
        </w:rPr>
      </w:pPr>
    </w:p>
    <w:p w14:paraId="288C6E00" w14:textId="18F654DA" w:rsidR="0041566B" w:rsidRDefault="00324476">
      <w:pPr>
        <w:pStyle w:val="ListParagraph"/>
        <w:rPr>
          <w:snapToGrid w:val="0"/>
        </w:rPr>
      </w:pPr>
      <w:r w:rsidRPr="00324476">
        <w:rPr>
          <w:snapToGrid w:val="0"/>
        </w:rPr>
        <w:t xml:space="preserve">The framework is designed to give effect to the objects of the </w:t>
      </w:r>
      <w:r w:rsidRPr="0015402A">
        <w:rPr>
          <w:i/>
          <w:snapToGrid w:val="0"/>
        </w:rPr>
        <w:t>NDIS Act 2013</w:t>
      </w:r>
      <w:r w:rsidRPr="00324476">
        <w:rPr>
          <w:snapToGrid w:val="0"/>
        </w:rPr>
        <w:t>, in</w:t>
      </w:r>
      <w:r w:rsidR="00252634">
        <w:rPr>
          <w:snapToGrid w:val="0"/>
        </w:rPr>
        <w:t> </w:t>
      </w:r>
      <w:r w:rsidRPr="00324476">
        <w:rPr>
          <w:snapToGrid w:val="0"/>
        </w:rPr>
        <w:t>particular, to promote the provision of high quality and innovative supports that enable people with disability to maximise independent lifestyles and full inclusion in</w:t>
      </w:r>
      <w:r w:rsidR="00252634">
        <w:rPr>
          <w:snapToGrid w:val="0"/>
        </w:rPr>
        <w:t> </w:t>
      </w:r>
      <w:r w:rsidRPr="00324476">
        <w:rPr>
          <w:snapToGrid w:val="0"/>
        </w:rPr>
        <w:t>the community.</w:t>
      </w:r>
    </w:p>
    <w:p w14:paraId="2E64CB7F" w14:textId="77777777" w:rsidR="00603050" w:rsidRPr="00AE1D9C" w:rsidRDefault="00603050" w:rsidP="00803D11">
      <w:pPr>
        <w:ind w:left="720"/>
        <w:rPr>
          <w:snapToGrid w:val="0"/>
        </w:rPr>
      </w:pPr>
    </w:p>
    <w:p w14:paraId="6BDF8447" w14:textId="0806371F" w:rsidR="00603050" w:rsidRDefault="00603050">
      <w:pPr>
        <w:pStyle w:val="ListParagraph"/>
        <w:rPr>
          <w:snapToGrid w:val="0"/>
        </w:rPr>
      </w:pPr>
      <w:r>
        <w:rPr>
          <w:snapToGrid w:val="0"/>
        </w:rPr>
        <w:t xml:space="preserve">The Framework should be read alongside the principles related to plans in the </w:t>
      </w:r>
      <w:r>
        <w:rPr>
          <w:i/>
          <w:snapToGrid w:val="0"/>
        </w:rPr>
        <w:t>NDIS</w:t>
      </w:r>
      <w:r w:rsidR="00252634">
        <w:rPr>
          <w:i/>
          <w:snapToGrid w:val="0"/>
        </w:rPr>
        <w:t> </w:t>
      </w:r>
      <w:r>
        <w:rPr>
          <w:i/>
          <w:snapToGrid w:val="0"/>
        </w:rPr>
        <w:t>Act 2013 (s.31)</w:t>
      </w:r>
      <w:r>
        <w:rPr>
          <w:snapToGrid w:val="0"/>
        </w:rPr>
        <w:t>, which establish the centrality of a participant’s choice and independence, and right to exercise control over their life.</w:t>
      </w:r>
    </w:p>
    <w:p w14:paraId="78E27A05" w14:textId="77777777" w:rsidR="00161B65" w:rsidRPr="004F7DCD" w:rsidRDefault="00161B65" w:rsidP="00603050">
      <w:pPr>
        <w:rPr>
          <w:snapToGrid w:val="0"/>
        </w:rPr>
      </w:pPr>
    </w:p>
    <w:p w14:paraId="2370171E" w14:textId="77777777" w:rsidR="0041566B" w:rsidRPr="007D0FD1" w:rsidRDefault="0041566B">
      <w:pPr>
        <w:pStyle w:val="ListParagraph"/>
        <w:rPr>
          <w:snapToGrid w:val="0"/>
        </w:rPr>
      </w:pPr>
      <w:r w:rsidRPr="007D0FD1">
        <w:rPr>
          <w:snapToGrid w:val="0"/>
        </w:rPr>
        <w:t>This Framework will play a key role in moving, over time, towards a market that achieves th</w:t>
      </w:r>
      <w:r w:rsidR="00733505">
        <w:rPr>
          <w:snapToGrid w:val="0"/>
        </w:rPr>
        <w:t>is vision</w:t>
      </w:r>
      <w:r w:rsidRPr="007D0FD1">
        <w:rPr>
          <w:snapToGrid w:val="0"/>
        </w:rPr>
        <w:t xml:space="preserve">. </w:t>
      </w:r>
    </w:p>
    <w:p w14:paraId="1E3392C5" w14:textId="77777777" w:rsidR="0034184F" w:rsidRPr="00226196" w:rsidRDefault="0034184F" w:rsidP="007E2C1F">
      <w:pPr>
        <w:ind w:left="360"/>
        <w:rPr>
          <w:snapToGrid w:val="0"/>
        </w:rPr>
      </w:pPr>
    </w:p>
    <w:p w14:paraId="3B92643C" w14:textId="77777777" w:rsidR="00B31026" w:rsidRPr="007D0FD1" w:rsidRDefault="00B31026" w:rsidP="00B31026">
      <w:pPr>
        <w:pStyle w:val="Heading2"/>
        <w:rPr>
          <w:rFonts w:cs="Arial"/>
          <w:lang w:eastAsia="en-US"/>
        </w:rPr>
      </w:pPr>
      <w:bookmarkStart w:id="11" w:name="_Toc429404560"/>
      <w:bookmarkStart w:id="12" w:name="_Toc531633287"/>
      <w:bookmarkStart w:id="13" w:name="_Toc38548355"/>
      <w:r w:rsidRPr="007D0FD1">
        <w:rPr>
          <w:rFonts w:cs="Arial"/>
          <w:lang w:eastAsia="en-US"/>
        </w:rPr>
        <w:t>Operating context</w:t>
      </w:r>
      <w:bookmarkEnd w:id="11"/>
      <w:bookmarkEnd w:id="12"/>
      <w:bookmarkEnd w:id="13"/>
    </w:p>
    <w:p w14:paraId="7A1C3560" w14:textId="0C380C97" w:rsidR="00733505" w:rsidRDefault="0034184F">
      <w:pPr>
        <w:pStyle w:val="ListParagraph"/>
        <w:rPr>
          <w:snapToGrid w:val="0"/>
        </w:rPr>
      </w:pPr>
      <w:r w:rsidRPr="007D0FD1">
        <w:rPr>
          <w:snapToGrid w:val="0"/>
        </w:rPr>
        <w:t xml:space="preserve">NDIS funding for </w:t>
      </w:r>
      <w:r w:rsidR="00252634">
        <w:rPr>
          <w:snapToGrid w:val="0"/>
        </w:rPr>
        <w:t>SDA</w:t>
      </w:r>
      <w:r w:rsidRPr="007D0FD1">
        <w:rPr>
          <w:snapToGrid w:val="0"/>
        </w:rPr>
        <w:t xml:space="preserve"> is attached to participants</w:t>
      </w:r>
      <w:r w:rsidR="00285602">
        <w:rPr>
          <w:snapToGrid w:val="0"/>
        </w:rPr>
        <w:t>’ plan</w:t>
      </w:r>
      <w:r w:rsidR="008E1BED" w:rsidRPr="007D0FD1">
        <w:rPr>
          <w:snapToGrid w:val="0"/>
        </w:rPr>
        <w:t xml:space="preserve"> and it is portable</w:t>
      </w:r>
      <w:r w:rsidRPr="007D0FD1">
        <w:rPr>
          <w:snapToGrid w:val="0"/>
        </w:rPr>
        <w:t xml:space="preserve">. </w:t>
      </w:r>
      <w:r w:rsidR="008E1BED" w:rsidRPr="007D0FD1">
        <w:rPr>
          <w:snapToGrid w:val="0"/>
        </w:rPr>
        <w:t>That is, p</w:t>
      </w:r>
      <w:r w:rsidRPr="007D0FD1">
        <w:rPr>
          <w:snapToGrid w:val="0"/>
        </w:rPr>
        <w:t>articipants will have the ability to move between accommodation providers and their funding will also move. Participants will not be penalised for changes to the</w:t>
      </w:r>
      <w:r w:rsidR="001E5EBC" w:rsidRPr="007D0FD1">
        <w:rPr>
          <w:snapToGrid w:val="0"/>
        </w:rPr>
        <w:t>ir</w:t>
      </w:r>
      <w:r w:rsidRPr="007D0FD1">
        <w:rPr>
          <w:snapToGrid w:val="0"/>
        </w:rPr>
        <w:t xml:space="preserve"> ac</w:t>
      </w:r>
      <w:r w:rsidR="00B31026" w:rsidRPr="007D0FD1">
        <w:rPr>
          <w:snapToGrid w:val="0"/>
        </w:rPr>
        <w:t>commodation (</w:t>
      </w:r>
      <w:r w:rsidR="008E1BED" w:rsidRPr="007D0FD1">
        <w:rPr>
          <w:snapToGrid w:val="0"/>
        </w:rPr>
        <w:t xml:space="preserve">such as </w:t>
      </w:r>
      <w:r w:rsidR="00B31026" w:rsidRPr="007D0FD1">
        <w:rPr>
          <w:snapToGrid w:val="0"/>
        </w:rPr>
        <w:t>provider, location</w:t>
      </w:r>
      <w:r w:rsidRPr="007D0FD1">
        <w:rPr>
          <w:snapToGrid w:val="0"/>
        </w:rPr>
        <w:t xml:space="preserve"> </w:t>
      </w:r>
      <w:r w:rsidR="00B31026" w:rsidRPr="007D0FD1">
        <w:rPr>
          <w:snapToGrid w:val="0"/>
        </w:rPr>
        <w:t>and/or configuration</w:t>
      </w:r>
      <w:r w:rsidRPr="007D0FD1">
        <w:rPr>
          <w:snapToGrid w:val="0"/>
        </w:rPr>
        <w:t>). However,</w:t>
      </w:r>
      <w:r w:rsidR="0073123D" w:rsidRPr="007D0FD1">
        <w:rPr>
          <w:snapToGrid w:val="0"/>
        </w:rPr>
        <w:t xml:space="preserve"> the</w:t>
      </w:r>
      <w:r w:rsidR="008326E1" w:rsidRPr="007D0FD1">
        <w:rPr>
          <w:snapToGrid w:val="0"/>
        </w:rPr>
        <w:t>i</w:t>
      </w:r>
      <w:r w:rsidR="0073123D" w:rsidRPr="007D0FD1">
        <w:rPr>
          <w:snapToGrid w:val="0"/>
        </w:rPr>
        <w:t xml:space="preserve">r accommodation choices will be constrained by market supply and </w:t>
      </w:r>
      <w:r w:rsidR="009643EA" w:rsidRPr="007D0FD1">
        <w:rPr>
          <w:snapToGrid w:val="0"/>
        </w:rPr>
        <w:t>a</w:t>
      </w:r>
      <w:r w:rsidR="008326E1" w:rsidRPr="007D0FD1">
        <w:rPr>
          <w:snapToGrid w:val="0"/>
        </w:rPr>
        <w:t>n assessment by</w:t>
      </w:r>
      <w:r w:rsidR="00252634">
        <w:rPr>
          <w:snapToGrid w:val="0"/>
        </w:rPr>
        <w:t> </w:t>
      </w:r>
      <w:r w:rsidR="008326E1" w:rsidRPr="007D0FD1">
        <w:rPr>
          <w:snapToGrid w:val="0"/>
        </w:rPr>
        <w:t>the NDIA of their</w:t>
      </w:r>
      <w:r w:rsidR="009643EA" w:rsidRPr="007D0FD1">
        <w:rPr>
          <w:snapToGrid w:val="0"/>
        </w:rPr>
        <w:t xml:space="preserve"> </w:t>
      </w:r>
      <w:r w:rsidR="0073123D" w:rsidRPr="007D0FD1">
        <w:rPr>
          <w:snapToGrid w:val="0"/>
        </w:rPr>
        <w:t xml:space="preserve">reasonable and necessary </w:t>
      </w:r>
      <w:r w:rsidR="008326E1" w:rsidRPr="007D0FD1">
        <w:rPr>
          <w:snapToGrid w:val="0"/>
        </w:rPr>
        <w:t>needs</w:t>
      </w:r>
      <w:r w:rsidR="0073123D" w:rsidRPr="007D0FD1">
        <w:rPr>
          <w:snapToGrid w:val="0"/>
        </w:rPr>
        <w:t>. T</w:t>
      </w:r>
      <w:r w:rsidRPr="007D0FD1">
        <w:rPr>
          <w:snapToGrid w:val="0"/>
        </w:rPr>
        <w:t>here may be adjustments to</w:t>
      </w:r>
      <w:r w:rsidR="00252634">
        <w:rPr>
          <w:snapToGrid w:val="0"/>
        </w:rPr>
        <w:t> </w:t>
      </w:r>
      <w:r w:rsidRPr="007D0FD1">
        <w:rPr>
          <w:snapToGrid w:val="0"/>
        </w:rPr>
        <w:t>participants’ funding as a result of the</w:t>
      </w:r>
      <w:r w:rsidR="0073123D" w:rsidRPr="007D0FD1">
        <w:rPr>
          <w:snapToGrid w:val="0"/>
        </w:rPr>
        <w:t>ir</w:t>
      </w:r>
      <w:r w:rsidRPr="007D0FD1">
        <w:rPr>
          <w:snapToGrid w:val="0"/>
        </w:rPr>
        <w:t xml:space="preserve"> choices due to the factors/weightings outlined in this</w:t>
      </w:r>
      <w:r w:rsidR="00733505">
        <w:rPr>
          <w:snapToGrid w:val="0"/>
        </w:rPr>
        <w:t xml:space="preserve"> Framework</w:t>
      </w:r>
      <w:r w:rsidRPr="007D0FD1">
        <w:rPr>
          <w:snapToGrid w:val="0"/>
        </w:rPr>
        <w:t xml:space="preserve">. </w:t>
      </w:r>
    </w:p>
    <w:p w14:paraId="27388D13" w14:textId="77777777" w:rsidR="00161B65" w:rsidRPr="004F7DCD" w:rsidRDefault="00161B65" w:rsidP="007F69B0">
      <w:pPr>
        <w:ind w:left="720"/>
        <w:rPr>
          <w:snapToGrid w:val="0"/>
        </w:rPr>
      </w:pPr>
    </w:p>
    <w:p w14:paraId="3F88ECA4" w14:textId="77777777" w:rsidR="0034184F" w:rsidRPr="007D0FD1" w:rsidRDefault="00733505">
      <w:pPr>
        <w:pStyle w:val="ListParagraph"/>
        <w:rPr>
          <w:snapToGrid w:val="0"/>
        </w:rPr>
      </w:pPr>
      <w:r>
        <w:rPr>
          <w:snapToGrid w:val="0"/>
        </w:rPr>
        <w:t>W</w:t>
      </w:r>
      <w:r w:rsidR="001E5EBC" w:rsidRPr="007D0FD1">
        <w:rPr>
          <w:snapToGrid w:val="0"/>
        </w:rPr>
        <w:t>hile</w:t>
      </w:r>
      <w:r w:rsidR="0034184F" w:rsidRPr="007D0FD1">
        <w:rPr>
          <w:snapToGrid w:val="0"/>
        </w:rPr>
        <w:t xml:space="preserve"> funding</w:t>
      </w:r>
      <w:r w:rsidR="001E5EBC" w:rsidRPr="007D0FD1">
        <w:rPr>
          <w:snapToGrid w:val="0"/>
        </w:rPr>
        <w:t xml:space="preserve"> is attached to a participant</w:t>
      </w:r>
      <w:r w:rsidR="005B7B69">
        <w:rPr>
          <w:snapToGrid w:val="0"/>
        </w:rPr>
        <w:t>’s plan</w:t>
      </w:r>
      <w:r w:rsidR="001E5EBC" w:rsidRPr="007D0FD1">
        <w:rPr>
          <w:snapToGrid w:val="0"/>
        </w:rPr>
        <w:t>, it</w:t>
      </w:r>
      <w:r w:rsidR="0034184F" w:rsidRPr="007D0FD1">
        <w:rPr>
          <w:snapToGrid w:val="0"/>
        </w:rPr>
        <w:t xml:space="preserve"> may be paid directly to providers.</w:t>
      </w:r>
    </w:p>
    <w:p w14:paraId="02EB2826" w14:textId="77777777" w:rsidR="00A81029" w:rsidRPr="00226196" w:rsidRDefault="00A81029" w:rsidP="007E2C1F">
      <w:pPr>
        <w:ind w:left="360"/>
        <w:rPr>
          <w:snapToGrid w:val="0"/>
        </w:rPr>
      </w:pPr>
    </w:p>
    <w:p w14:paraId="126FE1BF" w14:textId="0C4A7A10" w:rsidR="00A81029" w:rsidRPr="007D0FD1" w:rsidRDefault="001E5EBC">
      <w:pPr>
        <w:pStyle w:val="ListParagraph"/>
        <w:rPr>
          <w:snapToGrid w:val="0"/>
        </w:rPr>
      </w:pPr>
      <w:r w:rsidRPr="007D0FD1">
        <w:rPr>
          <w:snapToGrid w:val="0"/>
        </w:rPr>
        <w:t xml:space="preserve">The funding provided by the NDIS for </w:t>
      </w:r>
      <w:r w:rsidR="00252634">
        <w:rPr>
          <w:snapToGrid w:val="0"/>
        </w:rPr>
        <w:t>SDA</w:t>
      </w:r>
      <w:r w:rsidRPr="007D0FD1">
        <w:rPr>
          <w:snapToGrid w:val="0"/>
        </w:rPr>
        <w:t xml:space="preserve"> </w:t>
      </w:r>
      <w:r w:rsidR="00161B65" w:rsidRPr="007D0FD1">
        <w:rPr>
          <w:snapToGrid w:val="0"/>
        </w:rPr>
        <w:t>will not</w:t>
      </w:r>
      <w:r w:rsidR="008E1BED" w:rsidRPr="007D0FD1">
        <w:rPr>
          <w:snapToGrid w:val="0"/>
        </w:rPr>
        <w:t xml:space="preserve"> be on an individual dwelling or</w:t>
      </w:r>
      <w:r w:rsidR="00252634">
        <w:rPr>
          <w:snapToGrid w:val="0"/>
        </w:rPr>
        <w:t> </w:t>
      </w:r>
      <w:r w:rsidR="008E1BED" w:rsidRPr="007D0FD1">
        <w:rPr>
          <w:snapToGrid w:val="0"/>
        </w:rPr>
        <w:t>provider basis. It will</w:t>
      </w:r>
      <w:r w:rsidR="009643EA" w:rsidRPr="007D0FD1">
        <w:rPr>
          <w:snapToGrid w:val="0"/>
        </w:rPr>
        <w:t xml:space="preserve"> be on the basis of an efficient cost structu</w:t>
      </w:r>
      <w:r w:rsidR="00B31026" w:rsidRPr="007D0FD1">
        <w:rPr>
          <w:snapToGrid w:val="0"/>
        </w:rPr>
        <w:t>re for a</w:t>
      </w:r>
      <w:r w:rsidR="00252634">
        <w:rPr>
          <w:snapToGrid w:val="0"/>
        </w:rPr>
        <w:t> </w:t>
      </w:r>
      <w:r w:rsidR="00B31026" w:rsidRPr="007D0FD1">
        <w:rPr>
          <w:snapToGrid w:val="0"/>
        </w:rPr>
        <w:t>representative provider</w:t>
      </w:r>
      <w:r w:rsidR="009643EA" w:rsidRPr="007D0FD1">
        <w:rPr>
          <w:snapToGrid w:val="0"/>
        </w:rPr>
        <w:t xml:space="preserve"> (noting ther</w:t>
      </w:r>
      <w:r w:rsidR="00B03776" w:rsidRPr="007D0FD1">
        <w:rPr>
          <w:snapToGrid w:val="0"/>
        </w:rPr>
        <w:t>e</w:t>
      </w:r>
      <w:r w:rsidR="009643EA" w:rsidRPr="007D0FD1">
        <w:rPr>
          <w:snapToGrid w:val="0"/>
        </w:rPr>
        <w:t xml:space="preserve"> may be different classes of accommodation and weightings/factors applied as outlined in this </w:t>
      </w:r>
      <w:r w:rsidR="00667196">
        <w:rPr>
          <w:snapToGrid w:val="0"/>
        </w:rPr>
        <w:t>Framework</w:t>
      </w:r>
      <w:r w:rsidR="009643EA" w:rsidRPr="007D0FD1">
        <w:rPr>
          <w:snapToGrid w:val="0"/>
        </w:rPr>
        <w:t>). When combine</w:t>
      </w:r>
      <w:r w:rsidR="00B03776" w:rsidRPr="007D0FD1">
        <w:rPr>
          <w:snapToGrid w:val="0"/>
        </w:rPr>
        <w:t>d</w:t>
      </w:r>
      <w:r w:rsidR="009643EA" w:rsidRPr="007D0FD1">
        <w:rPr>
          <w:snapToGrid w:val="0"/>
        </w:rPr>
        <w:t xml:space="preserve"> with </w:t>
      </w:r>
      <w:r w:rsidR="00AE7D98">
        <w:rPr>
          <w:snapToGrid w:val="0"/>
        </w:rPr>
        <w:t>participant</w:t>
      </w:r>
      <w:r w:rsidR="00AE7D98" w:rsidRPr="007D0FD1">
        <w:rPr>
          <w:snapToGrid w:val="0"/>
        </w:rPr>
        <w:t xml:space="preserve"> </w:t>
      </w:r>
      <w:r w:rsidR="009643EA" w:rsidRPr="007D0FD1">
        <w:rPr>
          <w:snapToGrid w:val="0"/>
        </w:rPr>
        <w:t>contributions</w:t>
      </w:r>
      <w:r w:rsidR="0019673E" w:rsidRPr="007D0FD1">
        <w:rPr>
          <w:snapToGrid w:val="0"/>
        </w:rPr>
        <w:t xml:space="preserve"> and land </w:t>
      </w:r>
      <w:r w:rsidR="008E1BED" w:rsidRPr="007D0FD1">
        <w:rPr>
          <w:snapToGrid w:val="0"/>
        </w:rPr>
        <w:t>price inflation</w:t>
      </w:r>
      <w:r w:rsidR="009643EA" w:rsidRPr="007D0FD1">
        <w:rPr>
          <w:snapToGrid w:val="0"/>
        </w:rPr>
        <w:t xml:space="preserve">, the NDIS funding </w:t>
      </w:r>
      <w:r w:rsidRPr="007D0FD1">
        <w:rPr>
          <w:snapToGrid w:val="0"/>
        </w:rPr>
        <w:t>should</w:t>
      </w:r>
      <w:r w:rsidR="00A81029" w:rsidRPr="007D0FD1">
        <w:rPr>
          <w:snapToGrid w:val="0"/>
        </w:rPr>
        <w:t xml:space="preserve"> </w:t>
      </w:r>
      <w:r w:rsidR="009643EA" w:rsidRPr="007D0FD1">
        <w:rPr>
          <w:snapToGrid w:val="0"/>
        </w:rPr>
        <w:t>be sufficient to cover the efficient cost of providing accommodation over its full lifecycle</w:t>
      </w:r>
      <w:r w:rsidR="0019673E" w:rsidRPr="007D0FD1">
        <w:rPr>
          <w:snapToGrid w:val="0"/>
        </w:rPr>
        <w:t xml:space="preserve"> (t</w:t>
      </w:r>
      <w:r w:rsidR="009643EA" w:rsidRPr="007D0FD1">
        <w:rPr>
          <w:snapToGrid w:val="0"/>
        </w:rPr>
        <w:t>hat is, establishing, operating and replacing the accommodation</w:t>
      </w:r>
      <w:r w:rsidR="0019673E" w:rsidRPr="007D0FD1">
        <w:rPr>
          <w:snapToGrid w:val="0"/>
        </w:rPr>
        <w:t>), and therefore should allow providers</w:t>
      </w:r>
      <w:r w:rsidRPr="007D0FD1">
        <w:rPr>
          <w:snapToGrid w:val="0"/>
        </w:rPr>
        <w:t xml:space="preserve"> to attain finance</w:t>
      </w:r>
      <w:r w:rsidR="009643EA" w:rsidRPr="007D0FD1">
        <w:rPr>
          <w:snapToGrid w:val="0"/>
        </w:rPr>
        <w:t xml:space="preserve"> (debt and equity)</w:t>
      </w:r>
      <w:r w:rsidRPr="007D0FD1">
        <w:rPr>
          <w:snapToGrid w:val="0"/>
        </w:rPr>
        <w:t xml:space="preserve"> </w:t>
      </w:r>
      <w:r w:rsidR="0073123D" w:rsidRPr="007D0FD1">
        <w:rPr>
          <w:snapToGrid w:val="0"/>
        </w:rPr>
        <w:t>in the private market</w:t>
      </w:r>
      <w:r w:rsidRPr="007D0FD1">
        <w:rPr>
          <w:snapToGrid w:val="0"/>
        </w:rPr>
        <w:t xml:space="preserve"> to</w:t>
      </w:r>
      <w:r w:rsidR="00252634">
        <w:rPr>
          <w:snapToGrid w:val="0"/>
        </w:rPr>
        <w:t> </w:t>
      </w:r>
      <w:r w:rsidRPr="007D0FD1">
        <w:rPr>
          <w:snapToGrid w:val="0"/>
        </w:rPr>
        <w:t>meet the</w:t>
      </w:r>
      <w:r w:rsidR="009643EA" w:rsidRPr="007D0FD1">
        <w:rPr>
          <w:snapToGrid w:val="0"/>
        </w:rPr>
        <w:t>se</w:t>
      </w:r>
      <w:r w:rsidRPr="007D0FD1">
        <w:rPr>
          <w:snapToGrid w:val="0"/>
        </w:rPr>
        <w:t xml:space="preserve"> lifecycle costs. </w:t>
      </w:r>
    </w:p>
    <w:p w14:paraId="693408BF" w14:textId="77777777" w:rsidR="0019673E" w:rsidRPr="007D0FD1" w:rsidRDefault="0019673E" w:rsidP="00B27B04">
      <w:pPr>
        <w:rPr>
          <w:snapToGrid w:val="0"/>
        </w:rPr>
      </w:pPr>
    </w:p>
    <w:p w14:paraId="0C406640" w14:textId="4C82110C" w:rsidR="0019673E" w:rsidRPr="007D0FD1" w:rsidRDefault="0019673E">
      <w:pPr>
        <w:pStyle w:val="ListParagraph"/>
        <w:rPr>
          <w:snapToGrid w:val="0"/>
        </w:rPr>
      </w:pPr>
      <w:r w:rsidRPr="007D0FD1">
        <w:rPr>
          <w:snapToGrid w:val="0"/>
        </w:rPr>
        <w:lastRenderedPageBreak/>
        <w:t xml:space="preserve">It is also recognised that the elements of the </w:t>
      </w:r>
      <w:r w:rsidR="00667196">
        <w:rPr>
          <w:snapToGrid w:val="0"/>
        </w:rPr>
        <w:t>F</w:t>
      </w:r>
      <w:r w:rsidRPr="007D0FD1">
        <w:rPr>
          <w:snapToGrid w:val="0"/>
        </w:rPr>
        <w:t>ramework need to work together.  The</w:t>
      </w:r>
      <w:r w:rsidR="00252634">
        <w:rPr>
          <w:snapToGrid w:val="0"/>
        </w:rPr>
        <w:t> </w:t>
      </w:r>
      <w:r w:rsidRPr="007D0FD1">
        <w:rPr>
          <w:snapToGrid w:val="0"/>
        </w:rPr>
        <w:t xml:space="preserve">capacity for providers to access and utilise the value captured in land </w:t>
      </w:r>
      <w:r w:rsidR="003E515A">
        <w:rPr>
          <w:snapToGrid w:val="0"/>
        </w:rPr>
        <w:t>price inflation</w:t>
      </w:r>
      <w:r w:rsidR="003E515A" w:rsidRPr="007D0FD1">
        <w:rPr>
          <w:snapToGrid w:val="0"/>
        </w:rPr>
        <w:t xml:space="preserve"> </w:t>
      </w:r>
      <w:r w:rsidRPr="007D0FD1">
        <w:rPr>
          <w:snapToGrid w:val="0"/>
        </w:rPr>
        <w:t>may be limited in some circumstances. It is recognised that variables considered when determining the benchmark price will need to be balanced to</w:t>
      </w:r>
      <w:r w:rsidR="00252634">
        <w:rPr>
          <w:snapToGrid w:val="0"/>
        </w:rPr>
        <w:t> </w:t>
      </w:r>
      <w:r w:rsidRPr="007D0FD1">
        <w:rPr>
          <w:snapToGrid w:val="0"/>
        </w:rPr>
        <w:t xml:space="preserve">ensure the funding is on an efficient </w:t>
      </w:r>
      <w:r w:rsidR="00337D4E">
        <w:rPr>
          <w:snapToGrid w:val="0"/>
        </w:rPr>
        <w:t>and</w:t>
      </w:r>
      <w:r w:rsidRPr="007D0FD1">
        <w:rPr>
          <w:snapToGrid w:val="0"/>
        </w:rPr>
        <w:t xml:space="preserve"> sustainable, basis.</w:t>
      </w:r>
    </w:p>
    <w:p w14:paraId="1D9F5714" w14:textId="77777777" w:rsidR="0041566B" w:rsidRPr="007D0FD1" w:rsidRDefault="0041566B" w:rsidP="00766B43">
      <w:pPr>
        <w:tabs>
          <w:tab w:val="left" w:pos="6360"/>
        </w:tabs>
        <w:rPr>
          <w:rFonts w:cs="Arial"/>
          <w:snapToGrid w:val="0"/>
        </w:rPr>
      </w:pPr>
    </w:p>
    <w:p w14:paraId="04DC6C17" w14:textId="77777777" w:rsidR="00FB0C1C" w:rsidRPr="007D0FD1" w:rsidRDefault="00A006D0" w:rsidP="0034774B">
      <w:pPr>
        <w:pStyle w:val="Heading1"/>
        <w:rPr>
          <w:rFonts w:cs="Arial"/>
          <w:lang w:eastAsia="en-US"/>
        </w:rPr>
      </w:pPr>
      <w:bookmarkStart w:id="14" w:name="_Toc429404561"/>
      <w:bookmarkStart w:id="15" w:name="_Toc531633288"/>
      <w:bookmarkStart w:id="16" w:name="_Toc38548356"/>
      <w:r w:rsidRPr="007D0FD1">
        <w:rPr>
          <w:rFonts w:cs="Arial"/>
          <w:lang w:eastAsia="en-US"/>
        </w:rPr>
        <w:t>Part 2 –</w:t>
      </w:r>
      <w:r w:rsidR="00853516" w:rsidRPr="007D0FD1">
        <w:rPr>
          <w:rFonts w:cs="Arial"/>
          <w:lang w:eastAsia="en-US"/>
        </w:rPr>
        <w:t xml:space="preserve"> B</w:t>
      </w:r>
      <w:r w:rsidR="00C75A53" w:rsidRPr="007D0FD1">
        <w:rPr>
          <w:rFonts w:cs="Arial"/>
          <w:lang w:eastAsia="en-US"/>
        </w:rPr>
        <w:t>enchmark price</w:t>
      </w:r>
      <w:r w:rsidR="00981B6C" w:rsidRPr="007D0FD1">
        <w:rPr>
          <w:rFonts w:cs="Arial"/>
          <w:lang w:eastAsia="en-US"/>
        </w:rPr>
        <w:t>s</w:t>
      </w:r>
      <w:bookmarkEnd w:id="14"/>
      <w:bookmarkEnd w:id="15"/>
      <w:bookmarkEnd w:id="16"/>
    </w:p>
    <w:p w14:paraId="172B6F52" w14:textId="17E3417F" w:rsidR="00A46CF4" w:rsidRPr="007D0FD1" w:rsidRDefault="00927013" w:rsidP="008F0CF7">
      <w:pPr>
        <w:pStyle w:val="Heading2"/>
        <w:rPr>
          <w:rFonts w:cs="Arial"/>
          <w:snapToGrid w:val="0"/>
        </w:rPr>
      </w:pPr>
      <w:bookmarkStart w:id="17" w:name="_Toc429404562"/>
      <w:bookmarkStart w:id="18" w:name="_Toc531633289"/>
      <w:bookmarkStart w:id="19" w:name="_Toc38548357"/>
      <w:r w:rsidRPr="007D0FD1">
        <w:rPr>
          <w:rFonts w:cs="Arial"/>
          <w:snapToGrid w:val="0"/>
        </w:rPr>
        <w:t>Policy intent</w:t>
      </w:r>
      <w:bookmarkEnd w:id="17"/>
      <w:bookmarkEnd w:id="18"/>
      <w:bookmarkEnd w:id="19"/>
      <w:r w:rsidRPr="007D0FD1">
        <w:rPr>
          <w:rFonts w:cs="Arial"/>
          <w:snapToGrid w:val="0"/>
        </w:rPr>
        <w:t xml:space="preserve"> </w:t>
      </w:r>
    </w:p>
    <w:p w14:paraId="785A62C5" w14:textId="1370929B" w:rsidR="00D432E3" w:rsidRPr="007D0FD1" w:rsidRDefault="009246DC">
      <w:pPr>
        <w:pStyle w:val="ListParagraph"/>
        <w:rPr>
          <w:snapToGrid w:val="0"/>
        </w:rPr>
      </w:pPr>
      <w:r w:rsidRPr="007D0FD1">
        <w:rPr>
          <w:snapToGrid w:val="0"/>
        </w:rPr>
        <w:t xml:space="preserve">The </w:t>
      </w:r>
      <w:r w:rsidR="00785459">
        <w:rPr>
          <w:snapToGrid w:val="0"/>
        </w:rPr>
        <w:t>NDIA</w:t>
      </w:r>
      <w:r w:rsidRPr="007D0FD1">
        <w:rPr>
          <w:snapToGrid w:val="0"/>
        </w:rPr>
        <w:t xml:space="preserve"> will set f</w:t>
      </w:r>
      <w:r w:rsidR="00853516" w:rsidRPr="007D0FD1">
        <w:rPr>
          <w:snapToGrid w:val="0"/>
        </w:rPr>
        <w:t xml:space="preserve">unding </w:t>
      </w:r>
      <w:r w:rsidR="0041566B" w:rsidRPr="007D0FD1">
        <w:rPr>
          <w:snapToGrid w:val="0"/>
        </w:rPr>
        <w:t>amounts</w:t>
      </w:r>
      <w:r w:rsidRPr="007D0FD1">
        <w:rPr>
          <w:snapToGrid w:val="0"/>
        </w:rPr>
        <w:t xml:space="preserve"> </w:t>
      </w:r>
      <w:r w:rsidR="00853516" w:rsidRPr="007D0FD1">
        <w:rPr>
          <w:snapToGrid w:val="0"/>
        </w:rPr>
        <w:t xml:space="preserve">for </w:t>
      </w:r>
      <w:r w:rsidR="00252634">
        <w:rPr>
          <w:snapToGrid w:val="0"/>
        </w:rPr>
        <w:t>SDA</w:t>
      </w:r>
      <w:r w:rsidR="00853516" w:rsidRPr="007D0FD1">
        <w:rPr>
          <w:snapToGrid w:val="0"/>
        </w:rPr>
        <w:t xml:space="preserve"> </w:t>
      </w:r>
      <w:r w:rsidR="00D432E3" w:rsidRPr="007D0FD1">
        <w:rPr>
          <w:snapToGrid w:val="0"/>
        </w:rPr>
        <w:t>at a level sufficient to cover the full lifecycle cos</w:t>
      </w:r>
      <w:r w:rsidR="001B3779" w:rsidRPr="007D0FD1">
        <w:rPr>
          <w:snapToGrid w:val="0"/>
        </w:rPr>
        <w:t>ts of appropriate accommodation,</w:t>
      </w:r>
      <w:r w:rsidR="00D432E3" w:rsidRPr="007D0FD1">
        <w:rPr>
          <w:snapToGrid w:val="0"/>
        </w:rPr>
        <w:t xml:space="preserve"> after accounting for a reasonable</w:t>
      </w:r>
      <w:r w:rsidR="00EB2F2F" w:rsidRPr="007D0FD1">
        <w:rPr>
          <w:snapToGrid w:val="0"/>
        </w:rPr>
        <w:t xml:space="preserve"> </w:t>
      </w:r>
      <w:r w:rsidR="00D432E3" w:rsidRPr="007D0FD1">
        <w:rPr>
          <w:snapToGrid w:val="0"/>
        </w:rPr>
        <w:t xml:space="preserve">rent contribution </w:t>
      </w:r>
      <w:r w:rsidR="00853516" w:rsidRPr="007D0FD1">
        <w:rPr>
          <w:snapToGrid w:val="0"/>
        </w:rPr>
        <w:t xml:space="preserve">from the participant </w:t>
      </w:r>
      <w:r w:rsidR="00D432E3" w:rsidRPr="007D0FD1">
        <w:rPr>
          <w:snapToGrid w:val="0"/>
        </w:rPr>
        <w:t xml:space="preserve">and land </w:t>
      </w:r>
      <w:r w:rsidR="00853516" w:rsidRPr="007D0FD1">
        <w:rPr>
          <w:snapToGrid w:val="0"/>
        </w:rPr>
        <w:t xml:space="preserve">price </w:t>
      </w:r>
      <w:r w:rsidR="008E1BED" w:rsidRPr="007D0FD1">
        <w:rPr>
          <w:snapToGrid w:val="0"/>
        </w:rPr>
        <w:t>inflation</w:t>
      </w:r>
      <w:r w:rsidR="00D432E3" w:rsidRPr="007D0FD1">
        <w:rPr>
          <w:snapToGrid w:val="0"/>
        </w:rPr>
        <w:t>.</w:t>
      </w:r>
    </w:p>
    <w:p w14:paraId="3E8C126F" w14:textId="77777777" w:rsidR="00A46CF4" w:rsidRPr="007D0FD1" w:rsidRDefault="00A46CF4" w:rsidP="00927013">
      <w:pPr>
        <w:tabs>
          <w:tab w:val="left" w:pos="6360"/>
        </w:tabs>
        <w:rPr>
          <w:rFonts w:cs="Arial"/>
          <w:snapToGrid w:val="0"/>
        </w:rPr>
      </w:pPr>
    </w:p>
    <w:p w14:paraId="1EABF156" w14:textId="3AF11216" w:rsidR="00A46CF4" w:rsidRPr="007D0FD1" w:rsidRDefault="00A46CF4">
      <w:pPr>
        <w:pStyle w:val="ListParagraph"/>
        <w:rPr>
          <w:snapToGrid w:val="0"/>
        </w:rPr>
      </w:pPr>
      <w:r w:rsidRPr="007D0FD1">
        <w:rPr>
          <w:snapToGrid w:val="0"/>
        </w:rPr>
        <w:t xml:space="preserve">The </w:t>
      </w:r>
      <w:r w:rsidR="009246DC" w:rsidRPr="007D0FD1">
        <w:rPr>
          <w:snapToGrid w:val="0"/>
        </w:rPr>
        <w:t xml:space="preserve">pricing and </w:t>
      </w:r>
      <w:r w:rsidRPr="007D0FD1">
        <w:rPr>
          <w:snapToGrid w:val="0"/>
        </w:rPr>
        <w:t xml:space="preserve">payment arrangements adopted by the </w:t>
      </w:r>
      <w:r w:rsidR="00785459">
        <w:rPr>
          <w:snapToGrid w:val="0"/>
        </w:rPr>
        <w:t>NDIA</w:t>
      </w:r>
      <w:r w:rsidRPr="007D0FD1">
        <w:rPr>
          <w:snapToGrid w:val="0"/>
        </w:rPr>
        <w:t xml:space="preserve"> should provide certainty</w:t>
      </w:r>
      <w:r w:rsidR="00786A1D" w:rsidRPr="007D0FD1">
        <w:rPr>
          <w:snapToGrid w:val="0"/>
        </w:rPr>
        <w:t xml:space="preserve"> on the payment amount and the period for which this is specified</w:t>
      </w:r>
      <w:r w:rsidRPr="007D0FD1">
        <w:rPr>
          <w:snapToGrid w:val="0"/>
        </w:rPr>
        <w:t>, such</w:t>
      </w:r>
      <w:r w:rsidR="00252634">
        <w:rPr>
          <w:snapToGrid w:val="0"/>
        </w:rPr>
        <w:t> </w:t>
      </w:r>
      <w:r w:rsidRPr="007D0FD1">
        <w:rPr>
          <w:snapToGrid w:val="0"/>
        </w:rPr>
        <w:t xml:space="preserve">that a </w:t>
      </w:r>
      <w:r w:rsidR="00252634">
        <w:rPr>
          <w:snapToGrid w:val="0"/>
        </w:rPr>
        <w:t>SDA</w:t>
      </w:r>
      <w:r w:rsidRPr="007D0FD1">
        <w:rPr>
          <w:snapToGrid w:val="0"/>
        </w:rPr>
        <w:t xml:space="preserve"> provider could raise finance for the development and/or redevelopment of appropriate dwelling stock. </w:t>
      </w:r>
    </w:p>
    <w:p w14:paraId="45562EE2" w14:textId="77777777" w:rsidR="00F053A1" w:rsidRPr="007F69B0" w:rsidRDefault="00F053A1" w:rsidP="00E626CB">
      <w:pPr>
        <w:rPr>
          <w:rFonts w:cs="Arial"/>
          <w:snapToGrid w:val="0"/>
        </w:rPr>
      </w:pPr>
    </w:p>
    <w:p w14:paraId="16516840" w14:textId="77777777" w:rsidR="0041042C" w:rsidRPr="007D0FD1" w:rsidRDefault="006A5C98" w:rsidP="008F0CF7">
      <w:pPr>
        <w:pStyle w:val="Heading2"/>
        <w:rPr>
          <w:rFonts w:cs="Arial"/>
          <w:snapToGrid w:val="0"/>
        </w:rPr>
      </w:pPr>
      <w:bookmarkStart w:id="20" w:name="_Toc429404563"/>
      <w:bookmarkStart w:id="21" w:name="_Toc531633290"/>
      <w:bookmarkStart w:id="22" w:name="_Toc38548358"/>
      <w:r w:rsidRPr="007D0FD1">
        <w:rPr>
          <w:rFonts w:cs="Arial"/>
          <w:snapToGrid w:val="0"/>
        </w:rPr>
        <w:t>E</w:t>
      </w:r>
      <w:r w:rsidR="00C53B70" w:rsidRPr="007D0FD1">
        <w:rPr>
          <w:rFonts w:cs="Arial"/>
          <w:snapToGrid w:val="0"/>
        </w:rPr>
        <w:t>stablishing and</w:t>
      </w:r>
      <w:r w:rsidR="0048054F" w:rsidRPr="007D0FD1">
        <w:rPr>
          <w:rFonts w:cs="Arial"/>
          <w:snapToGrid w:val="0"/>
        </w:rPr>
        <w:t xml:space="preserve"> publishing </w:t>
      </w:r>
      <w:r w:rsidR="00D0319D" w:rsidRPr="007D0FD1">
        <w:rPr>
          <w:rFonts w:cs="Arial"/>
          <w:snapToGrid w:val="0"/>
        </w:rPr>
        <w:t>b</w:t>
      </w:r>
      <w:r w:rsidR="0041042C" w:rsidRPr="007D0FD1">
        <w:rPr>
          <w:rFonts w:cs="Arial"/>
          <w:snapToGrid w:val="0"/>
        </w:rPr>
        <w:t>enchmark price</w:t>
      </w:r>
      <w:r w:rsidR="00807D25" w:rsidRPr="007D0FD1">
        <w:rPr>
          <w:rFonts w:cs="Arial"/>
          <w:snapToGrid w:val="0"/>
        </w:rPr>
        <w:t>s</w:t>
      </w:r>
      <w:bookmarkEnd w:id="20"/>
      <w:bookmarkEnd w:id="21"/>
      <w:bookmarkEnd w:id="22"/>
    </w:p>
    <w:p w14:paraId="4C19120D" w14:textId="1B068559" w:rsidR="00285602" w:rsidRPr="00097DB5" w:rsidRDefault="00B50544">
      <w:pPr>
        <w:pStyle w:val="ListParagraph"/>
        <w:rPr>
          <w:snapToGrid w:val="0"/>
        </w:rPr>
      </w:pPr>
      <w:r w:rsidRPr="00B50544">
        <w:rPr>
          <w:snapToGrid w:val="0"/>
        </w:rPr>
        <w:t xml:space="preserve">Benchmark prices will be set according to the methodology defined in </w:t>
      </w:r>
      <w:r w:rsidR="00D44B69">
        <w:rPr>
          <w:snapToGrid w:val="0"/>
        </w:rPr>
        <w:t>sections 27 to</w:t>
      </w:r>
      <w:r w:rsidR="00252634">
        <w:rPr>
          <w:snapToGrid w:val="0"/>
        </w:rPr>
        <w:t> </w:t>
      </w:r>
      <w:r w:rsidR="00D44B69">
        <w:rPr>
          <w:snapToGrid w:val="0"/>
        </w:rPr>
        <w:t>65</w:t>
      </w:r>
      <w:r w:rsidRPr="00097DB5">
        <w:rPr>
          <w:snapToGrid w:val="0"/>
        </w:rPr>
        <w:t xml:space="preserve"> below. </w:t>
      </w:r>
      <w:r w:rsidR="00521C85" w:rsidRPr="00097DB5">
        <w:rPr>
          <w:snapToGrid w:val="0"/>
        </w:rPr>
        <w:t xml:space="preserve">The NDIA will provide further guidance relating to the price methodology defined in sections 27 to </w:t>
      </w:r>
      <w:r w:rsidR="00D44B69">
        <w:rPr>
          <w:snapToGrid w:val="0"/>
        </w:rPr>
        <w:t>65</w:t>
      </w:r>
      <w:r w:rsidR="00521C85" w:rsidRPr="00097DB5">
        <w:rPr>
          <w:snapToGrid w:val="0"/>
        </w:rPr>
        <w:t xml:space="preserve"> below. This will consolidate existing information and material into a single document, and will be developed in</w:t>
      </w:r>
      <w:r w:rsidR="00252634">
        <w:rPr>
          <w:snapToGrid w:val="0"/>
        </w:rPr>
        <w:t> </w:t>
      </w:r>
      <w:r w:rsidR="00521C85" w:rsidRPr="00097DB5">
        <w:rPr>
          <w:snapToGrid w:val="0"/>
        </w:rPr>
        <w:t>consultation with the SDA Reference Group to support market understanding of</w:t>
      </w:r>
      <w:r w:rsidR="00252634">
        <w:rPr>
          <w:snapToGrid w:val="0"/>
        </w:rPr>
        <w:t> </w:t>
      </w:r>
      <w:r w:rsidR="00521C85" w:rsidRPr="00097DB5">
        <w:rPr>
          <w:snapToGrid w:val="0"/>
        </w:rPr>
        <w:t>the price methodology.</w:t>
      </w:r>
    </w:p>
    <w:p w14:paraId="78D65C67" w14:textId="77777777" w:rsidR="00521C85" w:rsidRPr="009A7B8C" w:rsidRDefault="00521C85" w:rsidP="00C87C93">
      <w:pPr>
        <w:ind w:left="720"/>
        <w:rPr>
          <w:snapToGrid w:val="0"/>
        </w:rPr>
      </w:pPr>
    </w:p>
    <w:p w14:paraId="52A3D9E5" w14:textId="77777777" w:rsidR="007C7288" w:rsidRDefault="007C7288">
      <w:pPr>
        <w:pStyle w:val="ListParagraph"/>
        <w:rPr>
          <w:snapToGrid w:val="0"/>
        </w:rPr>
      </w:pPr>
      <w:r>
        <w:rPr>
          <w:snapToGrid w:val="0"/>
        </w:rPr>
        <w:t>Benchmark prices will be determined on the basis that prices will provide appropriate long-term risk weighted returns to investors over the life of the asset given their long term nature, the need to encourage supply and the associated risks of investing in SDA.</w:t>
      </w:r>
    </w:p>
    <w:p w14:paraId="72EB1768" w14:textId="77777777" w:rsidR="00521C85" w:rsidRPr="009A7B8C" w:rsidRDefault="00521C85" w:rsidP="00C87C93">
      <w:pPr>
        <w:ind w:left="720"/>
        <w:rPr>
          <w:snapToGrid w:val="0"/>
        </w:rPr>
      </w:pPr>
    </w:p>
    <w:p w14:paraId="3FEDDC3B" w14:textId="77777777" w:rsidR="007C7288" w:rsidRDefault="007C7288">
      <w:pPr>
        <w:pStyle w:val="ListParagraph"/>
        <w:rPr>
          <w:snapToGrid w:val="0"/>
        </w:rPr>
      </w:pPr>
      <w:r>
        <w:rPr>
          <w:snapToGrid w:val="0"/>
        </w:rPr>
        <w:t>The underlying methodology will be underpinned by a set of assumptions which will be made transparent to all stakeholders and will be separately and immediately published by the NDIA as an attachment to the Price Guide.</w:t>
      </w:r>
    </w:p>
    <w:p w14:paraId="23268932" w14:textId="77777777" w:rsidR="00521C85" w:rsidRPr="009A7B8C" w:rsidRDefault="00521C85" w:rsidP="00C87C93">
      <w:pPr>
        <w:ind w:left="720"/>
        <w:rPr>
          <w:snapToGrid w:val="0"/>
        </w:rPr>
      </w:pPr>
    </w:p>
    <w:p w14:paraId="1869FAC3" w14:textId="77777777" w:rsidR="00336FFE" w:rsidRPr="00336FFE" w:rsidRDefault="007C7288">
      <w:pPr>
        <w:pStyle w:val="ListParagraph"/>
        <w:rPr>
          <w:snapToGrid w:val="0"/>
        </w:rPr>
      </w:pPr>
      <w:r>
        <w:rPr>
          <w:snapToGrid w:val="0"/>
        </w:rPr>
        <w:t>The specific underlying assumptions within the methodology will be reviewed every five years, starting in 2023, and published as an attachment to the Price Guide after each review. Each five yearly review will take place in the first half of the calendar year, with updated prices to take effect from 1 July of the review year. Within the five year period, each year benchmark prices will be adjusted for inflation.</w:t>
      </w:r>
    </w:p>
    <w:p w14:paraId="34C5DC23" w14:textId="77777777" w:rsidR="00336FFE" w:rsidRPr="00336FFE" w:rsidRDefault="00336FFE" w:rsidP="00803D11">
      <w:pPr>
        <w:ind w:left="360"/>
        <w:rPr>
          <w:snapToGrid w:val="0"/>
        </w:rPr>
      </w:pPr>
    </w:p>
    <w:p w14:paraId="259B07A1" w14:textId="77777777" w:rsidR="007C7288" w:rsidRPr="007C7288" w:rsidRDefault="007C7288">
      <w:pPr>
        <w:pStyle w:val="ListParagraph"/>
        <w:rPr>
          <w:snapToGrid w:val="0"/>
        </w:rPr>
      </w:pPr>
      <w:r w:rsidRPr="007C7288">
        <w:rPr>
          <w:snapToGrid w:val="0"/>
        </w:rPr>
        <w:lastRenderedPageBreak/>
        <w:t xml:space="preserve">The five year review of the underlying assumptions that underpin the methodology will be undertaken with the assistance of independent experts. </w:t>
      </w:r>
    </w:p>
    <w:p w14:paraId="478067F5" w14:textId="0BBE01B8" w:rsidR="007C7288" w:rsidRDefault="007C7288" w:rsidP="00512422">
      <w:pPr>
        <w:pStyle w:val="ListParagraph"/>
        <w:numPr>
          <w:ilvl w:val="0"/>
          <w:numId w:val="20"/>
        </w:numPr>
        <w:rPr>
          <w:snapToGrid w:val="0"/>
        </w:rPr>
      </w:pPr>
      <w:r>
        <w:rPr>
          <w:snapToGrid w:val="0"/>
        </w:rPr>
        <w:t xml:space="preserve">A panel of independent experts with relevant skills and expertise in pricing will work with the NDIA to oversee this work. </w:t>
      </w:r>
      <w:r w:rsidRPr="00097DB5">
        <w:rPr>
          <w:snapToGrid w:val="0"/>
        </w:rPr>
        <w:t>The criteria for the selection of skilled independent experts will be developed in consultation with the SDA</w:t>
      </w:r>
      <w:r w:rsidR="002A6F1A">
        <w:rPr>
          <w:snapToGrid w:val="0"/>
        </w:rPr>
        <w:t> </w:t>
      </w:r>
      <w:r w:rsidRPr="00097DB5">
        <w:rPr>
          <w:snapToGrid w:val="0"/>
        </w:rPr>
        <w:t>Reference</w:t>
      </w:r>
      <w:r w:rsidR="002A6F1A">
        <w:rPr>
          <w:snapToGrid w:val="0"/>
        </w:rPr>
        <w:t> </w:t>
      </w:r>
      <w:r w:rsidRPr="00097DB5">
        <w:rPr>
          <w:snapToGrid w:val="0"/>
        </w:rPr>
        <w:t>Group.</w:t>
      </w:r>
    </w:p>
    <w:p w14:paraId="2420EBE3" w14:textId="77777777" w:rsidR="007C7288" w:rsidRDefault="007C7288" w:rsidP="00512422">
      <w:pPr>
        <w:pStyle w:val="ListParagraph"/>
        <w:numPr>
          <w:ilvl w:val="0"/>
          <w:numId w:val="20"/>
        </w:numPr>
        <w:rPr>
          <w:snapToGrid w:val="0"/>
        </w:rPr>
      </w:pPr>
      <w:r>
        <w:rPr>
          <w:snapToGrid w:val="0"/>
        </w:rPr>
        <w:t>The results of their work will be published in draft for comment, along with the NDIA decision in relation to any change in the specific assumptions underpinning the methodology, before a decision being finalised and taking effect.</w:t>
      </w:r>
    </w:p>
    <w:p w14:paraId="6B3AA6C1" w14:textId="50888892" w:rsidR="00907C10" w:rsidRPr="00854C98" w:rsidRDefault="00907C10" w:rsidP="00854C98">
      <w:pPr>
        <w:rPr>
          <w:snapToGrid w:val="0"/>
        </w:rPr>
      </w:pPr>
    </w:p>
    <w:p w14:paraId="441C2BA1" w14:textId="6F5C243D" w:rsidR="00907C10" w:rsidRDefault="00907C10">
      <w:pPr>
        <w:pStyle w:val="ListParagraph"/>
        <w:rPr>
          <w:snapToGrid w:val="0"/>
        </w:rPr>
      </w:pPr>
      <w:r>
        <w:rPr>
          <w:snapToGrid w:val="0"/>
        </w:rPr>
        <w:t>Within the five year period, the NDIA may also trigger a special price review to</w:t>
      </w:r>
      <w:r w:rsidR="002A6F1A">
        <w:rPr>
          <w:snapToGrid w:val="0"/>
        </w:rPr>
        <w:t> </w:t>
      </w:r>
      <w:r>
        <w:rPr>
          <w:snapToGrid w:val="0"/>
        </w:rPr>
        <w:t>respond to systemic cost increases for providers that are due to factors beyond the control of individual providers, or amend pricing assumptions where intended outcomes are not being achieved. Any such review will not lead to a downward movement in prices.</w:t>
      </w:r>
    </w:p>
    <w:p w14:paraId="07C2A086" w14:textId="77777777" w:rsidR="00907C10" w:rsidRPr="009A7B8C" w:rsidRDefault="00907C10" w:rsidP="00C87C93">
      <w:pPr>
        <w:ind w:left="720"/>
        <w:rPr>
          <w:snapToGrid w:val="0"/>
        </w:rPr>
      </w:pPr>
    </w:p>
    <w:p w14:paraId="5094F0C6" w14:textId="3F8F404A" w:rsidR="007C7288" w:rsidRPr="007C7288" w:rsidRDefault="007C7288">
      <w:pPr>
        <w:pStyle w:val="ListParagraph"/>
        <w:rPr>
          <w:snapToGrid w:val="0"/>
        </w:rPr>
      </w:pPr>
      <w:r>
        <w:rPr>
          <w:snapToGrid w:val="0"/>
        </w:rPr>
        <w:t>The special price review work would also be undertaken with the assistance of</w:t>
      </w:r>
      <w:r w:rsidR="002A6F1A">
        <w:rPr>
          <w:snapToGrid w:val="0"/>
        </w:rPr>
        <w:t> </w:t>
      </w:r>
      <w:r>
        <w:rPr>
          <w:snapToGrid w:val="0"/>
        </w:rPr>
        <w:t xml:space="preserve">independent experts. </w:t>
      </w:r>
      <w:r>
        <w:t>The criteria for the selection of independent experts will be</w:t>
      </w:r>
      <w:r w:rsidR="002A6F1A">
        <w:t> </w:t>
      </w:r>
      <w:r>
        <w:t xml:space="preserve">developed in consultation with the SDA Reference Group. </w:t>
      </w:r>
      <w:r>
        <w:rPr>
          <w:snapToGrid w:val="0"/>
        </w:rPr>
        <w:t>The results of their work would be published, along with the NDIA decision in relation to any changes in</w:t>
      </w:r>
      <w:r w:rsidR="002A6F1A">
        <w:rPr>
          <w:snapToGrid w:val="0"/>
        </w:rPr>
        <w:t> </w:t>
      </w:r>
      <w:r>
        <w:rPr>
          <w:snapToGrid w:val="0"/>
        </w:rPr>
        <w:t>the specific assumptions underpinning the methodology.</w:t>
      </w:r>
    </w:p>
    <w:p w14:paraId="7CE5A954" w14:textId="77777777" w:rsidR="00870F1A" w:rsidRDefault="00870F1A" w:rsidP="00D0319D">
      <w:pPr>
        <w:tabs>
          <w:tab w:val="left" w:pos="6360"/>
        </w:tabs>
        <w:rPr>
          <w:rFonts w:cs="Arial"/>
          <w:snapToGrid w:val="0"/>
        </w:rPr>
      </w:pPr>
    </w:p>
    <w:p w14:paraId="119DEDB6" w14:textId="77777777" w:rsidR="00293375" w:rsidRPr="007D0FD1" w:rsidRDefault="00293375" w:rsidP="008F0CF7">
      <w:pPr>
        <w:pStyle w:val="Heading2"/>
        <w:rPr>
          <w:rFonts w:cs="Arial"/>
          <w:snapToGrid w:val="0"/>
        </w:rPr>
      </w:pPr>
      <w:bookmarkStart w:id="23" w:name="_Toc429404564"/>
      <w:bookmarkStart w:id="24" w:name="_Toc531633291"/>
      <w:bookmarkStart w:id="25" w:name="_Toc38548359"/>
      <w:r w:rsidRPr="007D0FD1">
        <w:rPr>
          <w:rFonts w:cs="Arial"/>
          <w:snapToGrid w:val="0"/>
        </w:rPr>
        <w:t>The form of the benchmark prices</w:t>
      </w:r>
      <w:bookmarkEnd w:id="23"/>
      <w:bookmarkEnd w:id="24"/>
      <w:bookmarkEnd w:id="25"/>
    </w:p>
    <w:p w14:paraId="72B50BB2" w14:textId="01251547" w:rsidR="00293375" w:rsidRPr="007D0FD1" w:rsidRDefault="008F0CF7">
      <w:pPr>
        <w:pStyle w:val="ListParagraph"/>
        <w:rPr>
          <w:snapToGrid w:val="0"/>
        </w:rPr>
      </w:pPr>
      <w:r w:rsidRPr="007D0FD1">
        <w:rPr>
          <w:snapToGrid w:val="0"/>
        </w:rPr>
        <w:t xml:space="preserve">Benchmark prices for all </w:t>
      </w:r>
      <w:r w:rsidR="002A6F1A">
        <w:rPr>
          <w:snapToGrid w:val="0"/>
        </w:rPr>
        <w:t>SDA</w:t>
      </w:r>
      <w:r w:rsidRPr="007D0FD1">
        <w:rPr>
          <w:snapToGrid w:val="0"/>
        </w:rPr>
        <w:t xml:space="preserve"> will be based on a</w:t>
      </w:r>
      <w:r w:rsidR="00FA11F6" w:rsidRPr="007D0FD1">
        <w:rPr>
          <w:snapToGrid w:val="0"/>
        </w:rPr>
        <w:t>n efficient</w:t>
      </w:r>
      <w:r w:rsidRPr="007D0FD1">
        <w:rPr>
          <w:snapToGrid w:val="0"/>
        </w:rPr>
        <w:t xml:space="preserve"> representative provider, representative configurations of dwelling stock, and will include the following components</w:t>
      </w:r>
      <w:r w:rsidR="00293375" w:rsidRPr="007D0FD1">
        <w:rPr>
          <w:snapToGrid w:val="0"/>
        </w:rPr>
        <w:t>:</w:t>
      </w:r>
    </w:p>
    <w:p w14:paraId="268EAECA" w14:textId="77777777" w:rsidR="00293375" w:rsidRPr="007D0FD1" w:rsidRDefault="00293375" w:rsidP="001E4443">
      <w:pPr>
        <w:rPr>
          <w:snapToGrid w:val="0"/>
        </w:rPr>
      </w:pPr>
    </w:p>
    <w:p w14:paraId="4AD4506D" w14:textId="77777777" w:rsidR="0041042C" w:rsidRPr="007D0FD1" w:rsidRDefault="006D6521" w:rsidP="00512422">
      <w:pPr>
        <w:pStyle w:val="ListParagraph"/>
        <w:numPr>
          <w:ilvl w:val="0"/>
          <w:numId w:val="20"/>
        </w:numPr>
        <w:rPr>
          <w:snapToGrid w:val="0"/>
        </w:rPr>
      </w:pPr>
      <w:r w:rsidRPr="007D0FD1">
        <w:rPr>
          <w:snapToGrid w:val="0"/>
        </w:rPr>
        <w:t xml:space="preserve">Dwelling </w:t>
      </w:r>
      <w:r w:rsidR="00B53603" w:rsidRPr="007D0FD1">
        <w:rPr>
          <w:snapToGrid w:val="0"/>
        </w:rPr>
        <w:t>p</w:t>
      </w:r>
      <w:r w:rsidRPr="007D0FD1">
        <w:rPr>
          <w:snapToGrid w:val="0"/>
        </w:rPr>
        <w:t>rice</w:t>
      </w:r>
      <w:r w:rsidR="00F053A1" w:rsidRPr="007D0FD1">
        <w:rPr>
          <w:snapToGrid w:val="0"/>
        </w:rPr>
        <w:t xml:space="preserve"> </w:t>
      </w:r>
      <w:r w:rsidR="0041042C" w:rsidRPr="007D0FD1">
        <w:rPr>
          <w:snapToGrid w:val="0"/>
        </w:rPr>
        <w:t xml:space="preserve">= </w:t>
      </w:r>
    </w:p>
    <w:p w14:paraId="4E1E45A8" w14:textId="77777777" w:rsidR="0041042C" w:rsidRPr="007D0FD1" w:rsidRDefault="0041042C" w:rsidP="009246DC">
      <w:pPr>
        <w:keepNext/>
        <w:tabs>
          <w:tab w:val="left" w:pos="6360"/>
        </w:tabs>
        <w:ind w:left="1134"/>
        <w:rPr>
          <w:rFonts w:cs="Arial"/>
          <w:snapToGrid w:val="0"/>
        </w:rPr>
      </w:pPr>
      <w:r w:rsidRPr="007D0FD1">
        <w:rPr>
          <w:rFonts w:cs="Arial"/>
          <w:snapToGrid w:val="0"/>
        </w:rPr>
        <w:t xml:space="preserve">Consumption costs </w:t>
      </w:r>
    </w:p>
    <w:p w14:paraId="7A63129F" w14:textId="77777777" w:rsidR="0041042C" w:rsidRPr="007D0FD1" w:rsidRDefault="0041042C" w:rsidP="009246DC">
      <w:pPr>
        <w:keepNext/>
        <w:tabs>
          <w:tab w:val="left" w:pos="6360"/>
        </w:tabs>
        <w:ind w:left="1134"/>
        <w:rPr>
          <w:rFonts w:cs="Arial"/>
          <w:snapToGrid w:val="0"/>
        </w:rPr>
      </w:pPr>
      <w:r w:rsidRPr="007D0FD1">
        <w:rPr>
          <w:rFonts w:cs="Arial"/>
          <w:snapToGrid w:val="0"/>
        </w:rPr>
        <w:t xml:space="preserve">+ Opportunity costs of capital </w:t>
      </w:r>
    </w:p>
    <w:p w14:paraId="45CE60BD" w14:textId="77777777" w:rsidR="0041042C" w:rsidRPr="007D0FD1" w:rsidRDefault="0041042C" w:rsidP="009246DC">
      <w:pPr>
        <w:keepNext/>
        <w:tabs>
          <w:tab w:val="left" w:pos="6360"/>
        </w:tabs>
        <w:ind w:left="1134"/>
        <w:rPr>
          <w:rFonts w:cs="Arial"/>
          <w:snapToGrid w:val="0"/>
        </w:rPr>
      </w:pPr>
      <w:r w:rsidRPr="007D0FD1">
        <w:rPr>
          <w:rFonts w:cs="Arial"/>
          <w:snapToGrid w:val="0"/>
        </w:rPr>
        <w:t xml:space="preserve">+ Costs of ownership </w:t>
      </w:r>
    </w:p>
    <w:p w14:paraId="1961F99F" w14:textId="77777777" w:rsidR="0041042C" w:rsidRPr="007D0FD1" w:rsidRDefault="0041042C" w:rsidP="009246DC">
      <w:pPr>
        <w:keepNext/>
        <w:tabs>
          <w:tab w:val="left" w:pos="6360"/>
        </w:tabs>
        <w:ind w:left="1134"/>
        <w:rPr>
          <w:rFonts w:cs="Arial"/>
          <w:snapToGrid w:val="0"/>
        </w:rPr>
      </w:pPr>
      <w:r w:rsidRPr="007D0FD1">
        <w:rPr>
          <w:rFonts w:cs="Arial"/>
          <w:snapToGrid w:val="0"/>
        </w:rPr>
        <w:t xml:space="preserve">- </w:t>
      </w:r>
      <w:r w:rsidR="00904D9A">
        <w:rPr>
          <w:rFonts w:cs="Arial"/>
          <w:snapToGrid w:val="0"/>
        </w:rPr>
        <w:t>L</w:t>
      </w:r>
      <w:r w:rsidR="007977AE" w:rsidRPr="00904D9A">
        <w:rPr>
          <w:rFonts w:cs="Arial"/>
          <w:snapToGrid w:val="0"/>
        </w:rPr>
        <w:t xml:space="preserve">and </w:t>
      </w:r>
      <w:r w:rsidR="008C1BE2" w:rsidRPr="007D0FD1">
        <w:rPr>
          <w:rFonts w:cs="Arial"/>
          <w:snapToGrid w:val="0"/>
        </w:rPr>
        <w:t xml:space="preserve">price inflation </w:t>
      </w:r>
      <w:r w:rsidRPr="007D0FD1">
        <w:rPr>
          <w:rFonts w:cs="Arial"/>
          <w:snapToGrid w:val="0"/>
        </w:rPr>
        <w:t xml:space="preserve"> </w:t>
      </w:r>
    </w:p>
    <w:p w14:paraId="5EB1FCC3" w14:textId="77777777" w:rsidR="0041042C" w:rsidRPr="007D0FD1" w:rsidRDefault="0041042C" w:rsidP="0041042C">
      <w:pPr>
        <w:tabs>
          <w:tab w:val="left" w:pos="6360"/>
        </w:tabs>
        <w:ind w:left="1134"/>
        <w:rPr>
          <w:rFonts w:cs="Arial"/>
          <w:snapToGrid w:val="0"/>
        </w:rPr>
      </w:pPr>
      <w:r w:rsidRPr="007D0FD1">
        <w:rPr>
          <w:rFonts w:cs="Arial"/>
          <w:snapToGrid w:val="0"/>
        </w:rPr>
        <w:t>- Resident rent contribution</w:t>
      </w:r>
      <w:r w:rsidR="00F053A1" w:rsidRPr="007D0FD1">
        <w:rPr>
          <w:rFonts w:cs="Arial"/>
          <w:snapToGrid w:val="0"/>
        </w:rPr>
        <w:t>s</w:t>
      </w:r>
      <w:r w:rsidR="006D6521" w:rsidRPr="007D0FD1">
        <w:rPr>
          <w:rFonts w:cs="Arial"/>
          <w:snapToGrid w:val="0"/>
        </w:rPr>
        <w:t xml:space="preserve"> (from all participants in dwelling)</w:t>
      </w:r>
    </w:p>
    <w:p w14:paraId="6D3AA0ED" w14:textId="77777777" w:rsidR="00870F1A" w:rsidRPr="007D0FD1" w:rsidRDefault="00870F1A" w:rsidP="00870F1A">
      <w:pPr>
        <w:tabs>
          <w:tab w:val="left" w:pos="6360"/>
        </w:tabs>
        <w:rPr>
          <w:rFonts w:cs="Arial"/>
          <w:snapToGrid w:val="0"/>
        </w:rPr>
      </w:pPr>
    </w:p>
    <w:p w14:paraId="7D3C8700" w14:textId="6AD2C014" w:rsidR="006D6521" w:rsidRPr="007D0FD1" w:rsidRDefault="006D6521" w:rsidP="00512422">
      <w:pPr>
        <w:pStyle w:val="ListParagraph"/>
        <w:numPr>
          <w:ilvl w:val="0"/>
          <w:numId w:val="20"/>
        </w:numPr>
        <w:rPr>
          <w:snapToGrid w:val="0"/>
        </w:rPr>
      </w:pPr>
      <w:r w:rsidRPr="007D0FD1">
        <w:rPr>
          <w:snapToGrid w:val="0"/>
        </w:rPr>
        <w:t xml:space="preserve">Benchmark </w:t>
      </w:r>
      <w:r w:rsidR="00B53603" w:rsidRPr="007D0FD1">
        <w:rPr>
          <w:snapToGrid w:val="0"/>
        </w:rPr>
        <w:t>p</w:t>
      </w:r>
      <w:r w:rsidRPr="007D0FD1">
        <w:rPr>
          <w:snapToGrid w:val="0"/>
        </w:rPr>
        <w:t xml:space="preserve">rice = Dwelling </w:t>
      </w:r>
      <w:r w:rsidR="00B53603" w:rsidRPr="007D0FD1">
        <w:rPr>
          <w:snapToGrid w:val="0"/>
        </w:rPr>
        <w:t>p</w:t>
      </w:r>
      <w:r w:rsidRPr="007D0FD1">
        <w:rPr>
          <w:snapToGrid w:val="0"/>
        </w:rPr>
        <w:t>rice</w:t>
      </w:r>
      <w:r w:rsidR="00110986" w:rsidRPr="007D0FD1">
        <w:rPr>
          <w:snapToGrid w:val="0"/>
        </w:rPr>
        <w:t xml:space="preserve"> </w:t>
      </w:r>
      <w:r w:rsidRPr="007D0FD1">
        <w:rPr>
          <w:snapToGrid w:val="0"/>
        </w:rPr>
        <w:t>/</w:t>
      </w:r>
      <w:r w:rsidR="00110986" w:rsidRPr="007D0FD1">
        <w:rPr>
          <w:snapToGrid w:val="0"/>
        </w:rPr>
        <w:t xml:space="preserve"> </w:t>
      </w:r>
      <w:r w:rsidR="001F40D9" w:rsidRPr="007D0FD1">
        <w:rPr>
          <w:snapToGrid w:val="0"/>
        </w:rPr>
        <w:t xml:space="preserve">Anticipated number of </w:t>
      </w:r>
      <w:r w:rsidR="009A7B8C">
        <w:rPr>
          <w:snapToGrid w:val="0"/>
        </w:rPr>
        <w:t xml:space="preserve">SDA participants in the </w:t>
      </w:r>
      <w:r w:rsidR="001F40D9" w:rsidRPr="007D0FD1">
        <w:rPr>
          <w:snapToGrid w:val="0"/>
        </w:rPr>
        <w:t>dwelling</w:t>
      </w:r>
    </w:p>
    <w:p w14:paraId="16140237" w14:textId="77777777" w:rsidR="006D6521" w:rsidRPr="007D0FD1" w:rsidRDefault="006D6521" w:rsidP="00870F1A">
      <w:pPr>
        <w:tabs>
          <w:tab w:val="left" w:pos="6360"/>
        </w:tabs>
        <w:rPr>
          <w:rFonts w:cs="Arial"/>
          <w:snapToGrid w:val="0"/>
        </w:rPr>
      </w:pPr>
    </w:p>
    <w:p w14:paraId="18A5AB29" w14:textId="305D0DEA" w:rsidR="00B80FF8" w:rsidRDefault="00907C10" w:rsidP="00AE7D98">
      <w:pPr>
        <w:pStyle w:val="ListParagraph"/>
        <w:rPr>
          <w:snapToGrid w:val="0"/>
        </w:rPr>
      </w:pPr>
      <w:r>
        <w:rPr>
          <w:snapToGrid w:val="0"/>
        </w:rPr>
        <w:t>Prices will not assume the pro</w:t>
      </w:r>
      <w:r w:rsidR="00B80FF8">
        <w:rPr>
          <w:snapToGrid w:val="0"/>
        </w:rPr>
        <w:t>vider is a charity or not-for-</w:t>
      </w:r>
      <w:r>
        <w:rPr>
          <w:snapToGrid w:val="0"/>
        </w:rPr>
        <w:t>profit, and so will not be</w:t>
      </w:r>
      <w:r w:rsidR="002A6F1A">
        <w:rPr>
          <w:snapToGrid w:val="0"/>
        </w:rPr>
        <w:t> </w:t>
      </w:r>
      <w:r>
        <w:rPr>
          <w:snapToGrid w:val="0"/>
        </w:rPr>
        <w:t>discounted t</w:t>
      </w:r>
      <w:r w:rsidR="00B80FF8">
        <w:rPr>
          <w:snapToGrid w:val="0"/>
        </w:rPr>
        <w:t>o assume any related tax concessions or access to reduced capital costs.</w:t>
      </w:r>
    </w:p>
    <w:p w14:paraId="26A3F9B2" w14:textId="77777777" w:rsidR="00907C10" w:rsidRPr="009A7B8C" w:rsidRDefault="00B80FF8" w:rsidP="00C87C93">
      <w:pPr>
        <w:ind w:left="720"/>
        <w:rPr>
          <w:snapToGrid w:val="0"/>
        </w:rPr>
      </w:pPr>
      <w:r w:rsidRPr="009A7B8C">
        <w:rPr>
          <w:snapToGrid w:val="0"/>
        </w:rPr>
        <w:t xml:space="preserve"> </w:t>
      </w:r>
    </w:p>
    <w:p w14:paraId="7BAEE52C" w14:textId="77777777" w:rsidR="006A5C98" w:rsidRPr="007D0FD1" w:rsidRDefault="006A5C98">
      <w:pPr>
        <w:pStyle w:val="ListParagraph"/>
        <w:rPr>
          <w:snapToGrid w:val="0"/>
        </w:rPr>
      </w:pPr>
      <w:r w:rsidRPr="007D0FD1">
        <w:rPr>
          <w:snapToGrid w:val="0"/>
        </w:rPr>
        <w:t>The benchmark prices would be expressed as a price per participant.</w:t>
      </w:r>
    </w:p>
    <w:p w14:paraId="7F9ABC12" w14:textId="77777777" w:rsidR="006A5C98" w:rsidRPr="007D0FD1" w:rsidRDefault="006A5C98" w:rsidP="00870F1A">
      <w:pPr>
        <w:tabs>
          <w:tab w:val="left" w:pos="6360"/>
        </w:tabs>
        <w:rPr>
          <w:rFonts w:cs="Arial"/>
          <w:snapToGrid w:val="0"/>
        </w:rPr>
      </w:pPr>
    </w:p>
    <w:p w14:paraId="6E2DFEBD" w14:textId="6261D1B6" w:rsidR="00293375" w:rsidRPr="007D0FD1" w:rsidRDefault="00821B44">
      <w:pPr>
        <w:pStyle w:val="ListParagraph"/>
        <w:rPr>
          <w:snapToGrid w:val="0"/>
        </w:rPr>
      </w:pPr>
      <w:r w:rsidRPr="007D0FD1">
        <w:rPr>
          <w:snapToGrid w:val="0"/>
        </w:rPr>
        <w:lastRenderedPageBreak/>
        <w:t xml:space="preserve">The benchmark prices will have additive and/or multiplicative factors or weights for classes of dwellings (determined by the </w:t>
      </w:r>
      <w:r w:rsidR="00785459">
        <w:rPr>
          <w:snapToGrid w:val="0"/>
        </w:rPr>
        <w:t>NDIA</w:t>
      </w:r>
      <w:r w:rsidRPr="007D0FD1">
        <w:rPr>
          <w:snapToGrid w:val="0"/>
        </w:rPr>
        <w:t xml:space="preserve">) that can be applied by the </w:t>
      </w:r>
      <w:r w:rsidR="00785459">
        <w:rPr>
          <w:snapToGrid w:val="0"/>
        </w:rPr>
        <w:t>NDIA</w:t>
      </w:r>
      <w:r w:rsidRPr="007D0FD1">
        <w:rPr>
          <w:snapToGrid w:val="0"/>
        </w:rPr>
        <w:t xml:space="preserve"> as</w:t>
      </w:r>
      <w:r w:rsidR="002A6F1A">
        <w:rPr>
          <w:snapToGrid w:val="0"/>
        </w:rPr>
        <w:t> </w:t>
      </w:r>
      <w:r w:rsidRPr="007D0FD1">
        <w:rPr>
          <w:snapToGrid w:val="0"/>
        </w:rPr>
        <w:t>necessary including for</w:t>
      </w:r>
      <w:r w:rsidR="00293375" w:rsidRPr="007D0FD1">
        <w:rPr>
          <w:snapToGrid w:val="0"/>
        </w:rPr>
        <w:t>:</w:t>
      </w:r>
    </w:p>
    <w:p w14:paraId="759290C4" w14:textId="77777777" w:rsidR="00293375" w:rsidRPr="007D0FD1" w:rsidRDefault="00293375" w:rsidP="00512422">
      <w:pPr>
        <w:pStyle w:val="ListParagraph"/>
        <w:numPr>
          <w:ilvl w:val="0"/>
          <w:numId w:val="20"/>
        </w:numPr>
        <w:rPr>
          <w:snapToGrid w:val="0"/>
        </w:rPr>
      </w:pPr>
      <w:r w:rsidRPr="007D0FD1">
        <w:rPr>
          <w:snapToGrid w:val="0"/>
        </w:rPr>
        <w:t>Geographical location</w:t>
      </w:r>
      <w:r w:rsidR="00627BDD" w:rsidRPr="00097DB5">
        <w:rPr>
          <w:snapToGrid w:val="0"/>
          <w:vertAlign w:val="superscript"/>
        </w:rPr>
        <w:footnoteReference w:id="2"/>
      </w:r>
      <w:r w:rsidRPr="00097DB5">
        <w:rPr>
          <w:snapToGrid w:val="0"/>
          <w:vertAlign w:val="superscript"/>
        </w:rPr>
        <w:t xml:space="preserve"> </w:t>
      </w:r>
      <w:r w:rsidRPr="007D0FD1">
        <w:rPr>
          <w:snapToGrid w:val="0"/>
        </w:rPr>
        <w:t xml:space="preserve">(recognising </w:t>
      </w:r>
      <w:r w:rsidR="00627BDD" w:rsidRPr="007D0FD1">
        <w:rPr>
          <w:snapToGrid w:val="0"/>
        </w:rPr>
        <w:t xml:space="preserve">– for example – that land costs, </w:t>
      </w:r>
      <w:r w:rsidRPr="007D0FD1">
        <w:rPr>
          <w:snapToGrid w:val="0"/>
        </w:rPr>
        <w:t xml:space="preserve">building costs </w:t>
      </w:r>
      <w:r w:rsidR="00627BDD" w:rsidRPr="007D0FD1">
        <w:rPr>
          <w:snapToGrid w:val="0"/>
        </w:rPr>
        <w:t xml:space="preserve">and maintenance costs </w:t>
      </w:r>
      <w:r w:rsidRPr="007D0FD1">
        <w:rPr>
          <w:snapToGrid w:val="0"/>
        </w:rPr>
        <w:t>can be higher or lower in various locations);</w:t>
      </w:r>
    </w:p>
    <w:p w14:paraId="12C8B601" w14:textId="77777777" w:rsidR="00293375" w:rsidRPr="007D0FD1" w:rsidRDefault="006D6521" w:rsidP="00512422">
      <w:pPr>
        <w:pStyle w:val="ListParagraph"/>
        <w:numPr>
          <w:ilvl w:val="0"/>
          <w:numId w:val="20"/>
        </w:numPr>
        <w:rPr>
          <w:snapToGrid w:val="0"/>
        </w:rPr>
      </w:pPr>
      <w:r w:rsidRPr="007D0FD1">
        <w:rPr>
          <w:snapToGrid w:val="0"/>
        </w:rPr>
        <w:t xml:space="preserve">Number of </w:t>
      </w:r>
      <w:r w:rsidR="009A7B8C">
        <w:rPr>
          <w:snapToGrid w:val="0"/>
        </w:rPr>
        <w:t xml:space="preserve">SDA </w:t>
      </w:r>
      <w:r w:rsidRPr="007D0FD1">
        <w:rPr>
          <w:snapToGrid w:val="0"/>
        </w:rPr>
        <w:t>bedrooms</w:t>
      </w:r>
      <w:r w:rsidR="00293375" w:rsidRPr="007D0FD1">
        <w:rPr>
          <w:snapToGrid w:val="0"/>
        </w:rPr>
        <w:t xml:space="preserve"> (recognising that the </w:t>
      </w:r>
      <w:r w:rsidR="004333ED" w:rsidRPr="007D0FD1">
        <w:rPr>
          <w:snapToGrid w:val="0"/>
        </w:rPr>
        <w:t>size of a</w:t>
      </w:r>
      <w:r w:rsidR="00293375" w:rsidRPr="007D0FD1">
        <w:rPr>
          <w:snapToGrid w:val="0"/>
        </w:rPr>
        <w:t xml:space="preserve"> dwelling affects costs);</w:t>
      </w:r>
    </w:p>
    <w:p w14:paraId="38FAEF26" w14:textId="77777777" w:rsidR="00870F1A" w:rsidRPr="007D0FD1" w:rsidRDefault="00870F1A">
      <w:pPr>
        <w:pStyle w:val="ListParagraph"/>
        <w:numPr>
          <w:ilvl w:val="0"/>
          <w:numId w:val="20"/>
        </w:numPr>
        <w:rPr>
          <w:snapToGrid w:val="0"/>
        </w:rPr>
      </w:pPr>
      <w:r w:rsidRPr="007D0FD1">
        <w:rPr>
          <w:snapToGrid w:val="0"/>
        </w:rPr>
        <w:t>Specific building/dwelling features requiring additional build costs</w:t>
      </w:r>
      <w:r w:rsidR="00C064CB" w:rsidRPr="007D0FD1">
        <w:rPr>
          <w:snapToGrid w:val="0"/>
        </w:rPr>
        <w:t xml:space="preserve"> to address disability requirements</w:t>
      </w:r>
      <w:r w:rsidRPr="007D0FD1">
        <w:rPr>
          <w:snapToGrid w:val="0"/>
        </w:rPr>
        <w:t>;</w:t>
      </w:r>
      <w:r w:rsidR="00C064CB" w:rsidRPr="007D0FD1">
        <w:rPr>
          <w:snapToGrid w:val="0"/>
        </w:rPr>
        <w:t xml:space="preserve"> </w:t>
      </w:r>
    </w:p>
    <w:p w14:paraId="0DB553C8" w14:textId="77777777" w:rsidR="00553C78" w:rsidRPr="007D0FD1" w:rsidRDefault="00553C78">
      <w:pPr>
        <w:pStyle w:val="ListParagraph"/>
        <w:numPr>
          <w:ilvl w:val="0"/>
          <w:numId w:val="20"/>
        </w:numPr>
        <w:rPr>
          <w:snapToGrid w:val="0"/>
        </w:rPr>
      </w:pPr>
      <w:r w:rsidRPr="007D0FD1">
        <w:rPr>
          <w:snapToGrid w:val="0"/>
        </w:rPr>
        <w:t>Price inflation in the second and subsequent years of</w:t>
      </w:r>
      <w:r w:rsidR="00C064CB" w:rsidRPr="007D0FD1">
        <w:rPr>
          <w:snapToGrid w:val="0"/>
        </w:rPr>
        <w:t xml:space="preserve"> an established benchmark price; and/or</w:t>
      </w:r>
    </w:p>
    <w:p w14:paraId="005BE45F" w14:textId="77777777" w:rsidR="00C064CB" w:rsidRPr="007D0FD1" w:rsidRDefault="00C064CB">
      <w:pPr>
        <w:pStyle w:val="ListParagraph"/>
        <w:numPr>
          <w:ilvl w:val="0"/>
          <w:numId w:val="20"/>
        </w:numPr>
        <w:rPr>
          <w:snapToGrid w:val="0"/>
        </w:rPr>
      </w:pPr>
      <w:r w:rsidRPr="007D0FD1">
        <w:rPr>
          <w:snapToGrid w:val="0"/>
        </w:rPr>
        <w:t xml:space="preserve">Any other factor the </w:t>
      </w:r>
      <w:r w:rsidR="00785459">
        <w:rPr>
          <w:snapToGrid w:val="0"/>
        </w:rPr>
        <w:t>NDIA</w:t>
      </w:r>
      <w:r w:rsidRPr="007D0FD1">
        <w:rPr>
          <w:snapToGrid w:val="0"/>
        </w:rPr>
        <w:t xml:space="preserve"> determines to be necessary. </w:t>
      </w:r>
    </w:p>
    <w:p w14:paraId="6054B347" w14:textId="77777777" w:rsidR="00293375" w:rsidRPr="007D0FD1" w:rsidRDefault="00293375" w:rsidP="00293375">
      <w:pPr>
        <w:tabs>
          <w:tab w:val="left" w:pos="6360"/>
        </w:tabs>
        <w:rPr>
          <w:rFonts w:cs="Arial"/>
          <w:snapToGrid w:val="0"/>
        </w:rPr>
      </w:pPr>
    </w:p>
    <w:p w14:paraId="2C6E8F6D" w14:textId="77777777" w:rsidR="004F488F" w:rsidRPr="007D0FD1" w:rsidRDefault="004F488F" w:rsidP="008F0CF7">
      <w:pPr>
        <w:pStyle w:val="Heading2"/>
        <w:rPr>
          <w:rFonts w:cs="Arial"/>
          <w:snapToGrid w:val="0"/>
        </w:rPr>
      </w:pPr>
      <w:bookmarkStart w:id="26" w:name="_Toc429404565"/>
      <w:bookmarkStart w:id="27" w:name="_Toc531633292"/>
      <w:bookmarkStart w:id="28" w:name="_Toc38548360"/>
      <w:r w:rsidRPr="007D0FD1">
        <w:rPr>
          <w:rFonts w:cs="Arial"/>
          <w:snapToGrid w:val="0"/>
        </w:rPr>
        <w:t>Consumption costs</w:t>
      </w:r>
      <w:bookmarkEnd w:id="26"/>
      <w:bookmarkEnd w:id="27"/>
      <w:bookmarkEnd w:id="28"/>
    </w:p>
    <w:p w14:paraId="2881084A" w14:textId="7F001186" w:rsidR="00821B44" w:rsidRPr="007D0FD1" w:rsidRDefault="00821B44">
      <w:pPr>
        <w:pStyle w:val="ListParagraph"/>
        <w:rPr>
          <w:snapToGrid w:val="0"/>
        </w:rPr>
      </w:pPr>
      <w:r w:rsidRPr="007D0FD1">
        <w:rPr>
          <w:snapToGrid w:val="0"/>
        </w:rPr>
        <w:t xml:space="preserve">The consumption cost equates with </w:t>
      </w:r>
      <w:r w:rsidR="00B52336">
        <w:rPr>
          <w:snapToGrid w:val="0"/>
        </w:rPr>
        <w:t xml:space="preserve">depreciation of </w:t>
      </w:r>
      <w:r w:rsidRPr="007D0FD1">
        <w:rPr>
          <w:snapToGrid w:val="0"/>
        </w:rPr>
        <w:t xml:space="preserve">the dwelling </w:t>
      </w:r>
      <w:r w:rsidR="00B52336">
        <w:rPr>
          <w:snapToGrid w:val="0"/>
        </w:rPr>
        <w:t xml:space="preserve">to </w:t>
      </w:r>
      <w:r w:rsidRPr="007D0FD1">
        <w:rPr>
          <w:snapToGrid w:val="0"/>
        </w:rPr>
        <w:t xml:space="preserve">the end of its useful life. This price component will be set to cover the </w:t>
      </w:r>
      <w:r w:rsidR="00B52336">
        <w:rPr>
          <w:snapToGrid w:val="0"/>
        </w:rPr>
        <w:t>capital</w:t>
      </w:r>
      <w:r w:rsidR="00B52336" w:rsidRPr="007D0FD1">
        <w:rPr>
          <w:snapToGrid w:val="0"/>
        </w:rPr>
        <w:t xml:space="preserve"> </w:t>
      </w:r>
      <w:r w:rsidRPr="007D0FD1">
        <w:rPr>
          <w:snapToGrid w:val="0"/>
        </w:rPr>
        <w:t>cost over the useful life of the building (that is, the cost is amortised over the useful life of the building). This would provide the accommodation owner with funds to replace the building as</w:t>
      </w:r>
      <w:r w:rsidR="002A6F1A">
        <w:rPr>
          <w:snapToGrid w:val="0"/>
        </w:rPr>
        <w:t> </w:t>
      </w:r>
      <w:r w:rsidRPr="007D0FD1">
        <w:rPr>
          <w:snapToGrid w:val="0"/>
        </w:rPr>
        <w:t>new at the end of its life. The price component would be adjusted for the investment interest on those payments over time</w:t>
      </w:r>
      <w:r w:rsidR="00D62638" w:rsidRPr="007D0FD1">
        <w:rPr>
          <w:snapToGrid w:val="0"/>
        </w:rPr>
        <w:t>, a</w:t>
      </w:r>
      <w:r w:rsidR="004F40DA">
        <w:rPr>
          <w:snapToGrid w:val="0"/>
        </w:rPr>
        <w:t>nd</w:t>
      </w:r>
      <w:r w:rsidR="00D62638" w:rsidRPr="007D0FD1">
        <w:rPr>
          <w:snapToGrid w:val="0"/>
        </w:rPr>
        <w:t xml:space="preserve"> the inflation impact on</w:t>
      </w:r>
      <w:r w:rsidR="00773701">
        <w:rPr>
          <w:snapToGrid w:val="0"/>
        </w:rPr>
        <w:t> </w:t>
      </w:r>
      <w:r w:rsidR="00D62638" w:rsidRPr="007D0FD1">
        <w:rPr>
          <w:snapToGrid w:val="0"/>
        </w:rPr>
        <w:t>construction/replacement costs</w:t>
      </w:r>
      <w:r w:rsidRPr="007D0FD1">
        <w:rPr>
          <w:snapToGrid w:val="0"/>
        </w:rPr>
        <w:t>.</w:t>
      </w:r>
    </w:p>
    <w:p w14:paraId="7927C17E" w14:textId="77777777" w:rsidR="00821B44" w:rsidRPr="007D0FD1" w:rsidRDefault="00821B44" w:rsidP="00821B44">
      <w:pPr>
        <w:tabs>
          <w:tab w:val="left" w:pos="6360"/>
        </w:tabs>
        <w:rPr>
          <w:rFonts w:cs="Arial"/>
          <w:snapToGrid w:val="0"/>
        </w:rPr>
      </w:pPr>
    </w:p>
    <w:p w14:paraId="0536EAF9" w14:textId="55C6824A" w:rsidR="00821B44" w:rsidRPr="007D0FD1" w:rsidRDefault="00821B44">
      <w:pPr>
        <w:pStyle w:val="ListParagraph"/>
        <w:rPr>
          <w:snapToGrid w:val="0"/>
        </w:rPr>
      </w:pPr>
      <w:r w:rsidRPr="007D0FD1">
        <w:rPr>
          <w:snapToGrid w:val="0"/>
        </w:rPr>
        <w:t xml:space="preserve">The </w:t>
      </w:r>
      <w:r w:rsidR="00785459">
        <w:rPr>
          <w:snapToGrid w:val="0"/>
        </w:rPr>
        <w:t>NDIA</w:t>
      </w:r>
      <w:r w:rsidRPr="007D0FD1">
        <w:rPr>
          <w:snapToGrid w:val="0"/>
        </w:rPr>
        <w:t xml:space="preserve"> will determine the period for a reasonable useful life of buildings. The</w:t>
      </w:r>
      <w:r w:rsidR="002A6F1A">
        <w:rPr>
          <w:snapToGrid w:val="0"/>
        </w:rPr>
        <w:t> </w:t>
      </w:r>
      <w:r w:rsidR="00785459">
        <w:rPr>
          <w:snapToGrid w:val="0"/>
        </w:rPr>
        <w:t>NDIA</w:t>
      </w:r>
      <w:r w:rsidRPr="007D0FD1">
        <w:rPr>
          <w:snapToGrid w:val="0"/>
        </w:rPr>
        <w:t xml:space="preserve"> may determine different periods for a reasonable useful life of building classes based on geography, type of building</w:t>
      </w:r>
      <w:r w:rsidR="000D62D8" w:rsidRPr="007D0FD1">
        <w:rPr>
          <w:snapToGrid w:val="0"/>
        </w:rPr>
        <w:t>, quality and standards</w:t>
      </w:r>
      <w:r w:rsidRPr="007D0FD1">
        <w:rPr>
          <w:snapToGrid w:val="0"/>
        </w:rPr>
        <w:t xml:space="preserve"> or other factors relevant to building life.</w:t>
      </w:r>
    </w:p>
    <w:p w14:paraId="26E11106" w14:textId="77777777" w:rsidR="00553C78" w:rsidRPr="007D0FD1" w:rsidRDefault="00553C78" w:rsidP="00553C78">
      <w:pPr>
        <w:tabs>
          <w:tab w:val="left" w:pos="6360"/>
        </w:tabs>
        <w:rPr>
          <w:rFonts w:cs="Arial"/>
          <w:snapToGrid w:val="0"/>
        </w:rPr>
      </w:pPr>
    </w:p>
    <w:p w14:paraId="2356E05C" w14:textId="77777777" w:rsidR="004F488F" w:rsidRPr="007D0FD1" w:rsidRDefault="004F488F" w:rsidP="008F0CF7">
      <w:pPr>
        <w:pStyle w:val="Heading2"/>
        <w:rPr>
          <w:rFonts w:cs="Arial"/>
          <w:snapToGrid w:val="0"/>
        </w:rPr>
      </w:pPr>
      <w:bookmarkStart w:id="29" w:name="_Toc429404566"/>
      <w:bookmarkStart w:id="30" w:name="_Toc531633293"/>
      <w:bookmarkStart w:id="31" w:name="_Toc38548361"/>
      <w:r w:rsidRPr="007D0FD1">
        <w:rPr>
          <w:rFonts w:cs="Arial"/>
          <w:snapToGrid w:val="0"/>
        </w:rPr>
        <w:t>Opportunity costs</w:t>
      </w:r>
      <w:bookmarkEnd w:id="29"/>
      <w:r w:rsidR="004F40DA">
        <w:rPr>
          <w:rFonts w:cs="Arial"/>
          <w:snapToGrid w:val="0"/>
        </w:rPr>
        <w:t xml:space="preserve"> of capital</w:t>
      </w:r>
      <w:bookmarkEnd w:id="30"/>
      <w:bookmarkEnd w:id="31"/>
    </w:p>
    <w:p w14:paraId="56E9E058" w14:textId="3FE9AFEE" w:rsidR="001D3A6C" w:rsidRPr="007D0FD1" w:rsidRDefault="000C58D0">
      <w:pPr>
        <w:pStyle w:val="ListParagraph"/>
        <w:rPr>
          <w:snapToGrid w:val="0"/>
        </w:rPr>
      </w:pPr>
      <w:r w:rsidRPr="007D0FD1">
        <w:rPr>
          <w:snapToGrid w:val="0"/>
        </w:rPr>
        <w:t>The opportunity cost of capital component would recognise the typical sources of</w:t>
      </w:r>
      <w:r w:rsidR="002A6F1A">
        <w:rPr>
          <w:snapToGrid w:val="0"/>
        </w:rPr>
        <w:t> </w:t>
      </w:r>
      <w:r w:rsidRPr="007D0FD1">
        <w:rPr>
          <w:snapToGrid w:val="0"/>
        </w:rPr>
        <w:t>capital (debt or equity)</w:t>
      </w:r>
      <w:r w:rsidR="002A0797" w:rsidRPr="007D0FD1">
        <w:rPr>
          <w:snapToGrid w:val="0"/>
        </w:rPr>
        <w:t xml:space="preserve"> and associated costs</w:t>
      </w:r>
      <w:r w:rsidR="0004782F" w:rsidRPr="007D0FD1">
        <w:rPr>
          <w:snapToGrid w:val="0"/>
        </w:rPr>
        <w:t xml:space="preserve"> (at an efficient price)</w:t>
      </w:r>
      <w:r w:rsidRPr="007D0FD1">
        <w:rPr>
          <w:snapToGrid w:val="0"/>
        </w:rPr>
        <w:t xml:space="preserve">, across </w:t>
      </w:r>
      <w:r w:rsidR="0004782F" w:rsidRPr="007D0FD1">
        <w:rPr>
          <w:snapToGrid w:val="0"/>
        </w:rPr>
        <w:t xml:space="preserve">all aspects of </w:t>
      </w:r>
      <w:r w:rsidRPr="007D0FD1">
        <w:rPr>
          <w:snapToGrid w:val="0"/>
        </w:rPr>
        <w:t xml:space="preserve">the capital investment in the accommodation (land, buildings, plant and equipment). </w:t>
      </w:r>
    </w:p>
    <w:p w14:paraId="65506F47" w14:textId="77777777" w:rsidR="00651491" w:rsidRPr="007D0FD1" w:rsidRDefault="00651491" w:rsidP="00651491">
      <w:pPr>
        <w:tabs>
          <w:tab w:val="left" w:pos="6360"/>
        </w:tabs>
        <w:rPr>
          <w:rFonts w:cs="Arial"/>
          <w:snapToGrid w:val="0"/>
        </w:rPr>
      </w:pPr>
    </w:p>
    <w:p w14:paraId="59C9D26E" w14:textId="77777777" w:rsidR="00651491" w:rsidRPr="007D0FD1" w:rsidRDefault="00651491">
      <w:pPr>
        <w:pStyle w:val="ListParagraph"/>
        <w:rPr>
          <w:snapToGrid w:val="0"/>
        </w:rPr>
      </w:pPr>
      <w:r w:rsidRPr="007D0FD1">
        <w:rPr>
          <w:snapToGrid w:val="0"/>
        </w:rPr>
        <w:t>In formulaic terms:</w:t>
      </w:r>
    </w:p>
    <w:p w14:paraId="2E9AA56C" w14:textId="77777777" w:rsidR="00651491" w:rsidRPr="007D0FD1" w:rsidRDefault="00651491" w:rsidP="009246DC">
      <w:pPr>
        <w:keepNext/>
        <w:rPr>
          <w:snapToGrid w:val="0"/>
        </w:rPr>
      </w:pPr>
    </w:p>
    <w:p w14:paraId="7DC8E371" w14:textId="77777777" w:rsidR="00651491" w:rsidRPr="007D0FD1" w:rsidRDefault="00651491" w:rsidP="00651491">
      <w:pPr>
        <w:tabs>
          <w:tab w:val="left" w:pos="6360"/>
        </w:tabs>
        <w:ind w:left="1134" w:hanging="414"/>
        <w:rPr>
          <w:rFonts w:cs="Arial"/>
          <w:snapToGrid w:val="0"/>
        </w:rPr>
      </w:pPr>
      <w:r w:rsidRPr="007D0FD1">
        <w:rPr>
          <w:rFonts w:cs="Arial"/>
          <w:snapToGrid w:val="0"/>
        </w:rPr>
        <w:t>Opportunity cost component = value of asset-base * weighted average cost of capital</w:t>
      </w:r>
    </w:p>
    <w:p w14:paraId="1ECA63A2" w14:textId="77777777" w:rsidR="004F488F" w:rsidRPr="007D0FD1" w:rsidRDefault="004F488F" w:rsidP="00651491">
      <w:pPr>
        <w:tabs>
          <w:tab w:val="left" w:pos="6360"/>
        </w:tabs>
        <w:rPr>
          <w:rFonts w:cs="Arial"/>
          <w:b/>
          <w:snapToGrid w:val="0"/>
        </w:rPr>
      </w:pPr>
    </w:p>
    <w:p w14:paraId="555D01D0" w14:textId="77777777" w:rsidR="00180AE3" w:rsidRPr="007D0FD1" w:rsidRDefault="00180AE3">
      <w:pPr>
        <w:pStyle w:val="ListParagraph"/>
        <w:rPr>
          <w:snapToGrid w:val="0"/>
        </w:rPr>
      </w:pPr>
      <w:r w:rsidRPr="007D0FD1">
        <w:rPr>
          <w:snapToGrid w:val="0"/>
        </w:rPr>
        <w:t>This weighted average cost of capital will be</w:t>
      </w:r>
      <w:r w:rsidR="00785459">
        <w:rPr>
          <w:snapToGrid w:val="0"/>
        </w:rPr>
        <w:t xml:space="preserve"> determined by reference to appropriate market indices for similar investments and</w:t>
      </w:r>
      <w:r w:rsidRPr="007D0FD1">
        <w:rPr>
          <w:snapToGrid w:val="0"/>
        </w:rPr>
        <w:t xml:space="preserve"> set by the </w:t>
      </w:r>
      <w:r w:rsidR="00785459">
        <w:rPr>
          <w:snapToGrid w:val="0"/>
        </w:rPr>
        <w:t>NDIA</w:t>
      </w:r>
      <w:r w:rsidRPr="007D0FD1">
        <w:rPr>
          <w:snapToGrid w:val="0"/>
        </w:rPr>
        <w:t xml:space="preserve"> at a single national rate.</w:t>
      </w:r>
    </w:p>
    <w:p w14:paraId="6C1B58BC" w14:textId="77777777" w:rsidR="00180AE3" w:rsidRPr="007D0FD1" w:rsidRDefault="00180AE3" w:rsidP="00651491">
      <w:pPr>
        <w:tabs>
          <w:tab w:val="left" w:pos="6360"/>
        </w:tabs>
        <w:rPr>
          <w:rFonts w:cs="Arial"/>
          <w:b/>
          <w:snapToGrid w:val="0"/>
        </w:rPr>
      </w:pPr>
    </w:p>
    <w:p w14:paraId="70280BC5" w14:textId="77777777" w:rsidR="000C58D0" w:rsidRPr="007D0FD1" w:rsidRDefault="004F488F" w:rsidP="008F0CF7">
      <w:pPr>
        <w:pStyle w:val="Heading2"/>
        <w:rPr>
          <w:rFonts w:cs="Arial"/>
          <w:snapToGrid w:val="0"/>
        </w:rPr>
      </w:pPr>
      <w:bookmarkStart w:id="32" w:name="_Toc429404567"/>
      <w:bookmarkStart w:id="33" w:name="_Toc531633294"/>
      <w:bookmarkStart w:id="34" w:name="_Toc38548362"/>
      <w:r w:rsidRPr="007D0FD1">
        <w:rPr>
          <w:rFonts w:cs="Arial"/>
          <w:snapToGrid w:val="0"/>
        </w:rPr>
        <w:lastRenderedPageBreak/>
        <w:t>Costs of ownership</w:t>
      </w:r>
      <w:bookmarkEnd w:id="32"/>
      <w:bookmarkEnd w:id="33"/>
      <w:bookmarkEnd w:id="34"/>
    </w:p>
    <w:p w14:paraId="4B587EED" w14:textId="3B48730A" w:rsidR="009246DC" w:rsidRPr="007D0FD1" w:rsidRDefault="000C58D0">
      <w:pPr>
        <w:pStyle w:val="ListParagraph"/>
        <w:rPr>
          <w:snapToGrid w:val="0"/>
        </w:rPr>
      </w:pPr>
      <w:r w:rsidRPr="007D0FD1">
        <w:rPr>
          <w:snapToGrid w:val="0"/>
        </w:rPr>
        <w:t xml:space="preserve">The costs of ownership component </w:t>
      </w:r>
      <w:r w:rsidR="004907D4" w:rsidRPr="007D0FD1">
        <w:rPr>
          <w:snapToGrid w:val="0"/>
        </w:rPr>
        <w:t xml:space="preserve">would make provision for costs that are legally required, </w:t>
      </w:r>
      <w:r w:rsidR="00E4774F" w:rsidRPr="007D0FD1">
        <w:rPr>
          <w:snapToGrid w:val="0"/>
        </w:rPr>
        <w:t xml:space="preserve">that </w:t>
      </w:r>
      <w:r w:rsidR="004907D4" w:rsidRPr="007D0FD1">
        <w:rPr>
          <w:snapToGrid w:val="0"/>
        </w:rPr>
        <w:t>extend the operating life of the accommodation, or</w:t>
      </w:r>
      <w:r w:rsidR="00E4774F" w:rsidRPr="007D0FD1">
        <w:rPr>
          <w:snapToGrid w:val="0"/>
        </w:rPr>
        <w:t xml:space="preserve"> that </w:t>
      </w:r>
      <w:r w:rsidR="004907D4" w:rsidRPr="007D0FD1">
        <w:rPr>
          <w:snapToGrid w:val="0"/>
        </w:rPr>
        <w:t xml:space="preserve">are otherwise necessary. </w:t>
      </w:r>
      <w:r w:rsidR="00300CCB" w:rsidRPr="007D0FD1">
        <w:rPr>
          <w:snapToGrid w:val="0"/>
        </w:rPr>
        <w:t>A</w:t>
      </w:r>
      <w:r w:rsidR="00B75831" w:rsidRPr="007D0FD1">
        <w:rPr>
          <w:snapToGrid w:val="0"/>
        </w:rPr>
        <w:t xml:space="preserve">n efficient accommodation-related operational cost of </w:t>
      </w:r>
      <w:r w:rsidR="002A6F1A">
        <w:rPr>
          <w:snapToGrid w:val="0"/>
        </w:rPr>
        <w:t xml:space="preserve">SDA </w:t>
      </w:r>
      <w:r w:rsidR="00300CCB" w:rsidRPr="007D0FD1">
        <w:rPr>
          <w:snapToGrid w:val="0"/>
        </w:rPr>
        <w:t>could</w:t>
      </w:r>
      <w:r w:rsidR="00B75831" w:rsidRPr="007D0FD1">
        <w:rPr>
          <w:snapToGrid w:val="0"/>
        </w:rPr>
        <w:t xml:space="preserve"> </w:t>
      </w:r>
      <w:r w:rsidR="00300CCB" w:rsidRPr="007D0FD1">
        <w:rPr>
          <w:snapToGrid w:val="0"/>
        </w:rPr>
        <w:t>include</w:t>
      </w:r>
      <w:r w:rsidR="004907D4" w:rsidRPr="007D0FD1">
        <w:rPr>
          <w:snapToGrid w:val="0"/>
        </w:rPr>
        <w:t>: facilities management, rates, insurance, utilities not met by the t</w:t>
      </w:r>
      <w:r w:rsidR="009246DC" w:rsidRPr="007D0FD1">
        <w:rPr>
          <w:snapToGrid w:val="0"/>
        </w:rPr>
        <w:t>enants, repairs and maintenance</w:t>
      </w:r>
      <w:r w:rsidR="00CA6A5E" w:rsidRPr="007D0FD1">
        <w:rPr>
          <w:snapToGrid w:val="0"/>
        </w:rPr>
        <w:t>, and tenancy management</w:t>
      </w:r>
      <w:r w:rsidR="00C8268F">
        <w:rPr>
          <w:snapToGrid w:val="0"/>
        </w:rPr>
        <w:t xml:space="preserve"> (noting resident </w:t>
      </w:r>
      <w:r w:rsidR="003E515A">
        <w:rPr>
          <w:snapToGrid w:val="0"/>
        </w:rPr>
        <w:t xml:space="preserve">rent </w:t>
      </w:r>
      <w:r w:rsidR="00C8268F">
        <w:rPr>
          <w:snapToGrid w:val="0"/>
        </w:rPr>
        <w:t>contributions will offset these costs)</w:t>
      </w:r>
      <w:r w:rsidR="004907D4" w:rsidRPr="007D0FD1">
        <w:rPr>
          <w:snapToGrid w:val="0"/>
        </w:rPr>
        <w:t>.</w:t>
      </w:r>
    </w:p>
    <w:p w14:paraId="1D0A1567" w14:textId="77777777" w:rsidR="009246DC" w:rsidRPr="007D0FD1" w:rsidRDefault="009246DC" w:rsidP="009246DC">
      <w:pPr>
        <w:rPr>
          <w:snapToGrid w:val="0"/>
        </w:rPr>
      </w:pPr>
    </w:p>
    <w:p w14:paraId="26E3D8F3" w14:textId="77777777" w:rsidR="000C58D0" w:rsidRPr="007D0FD1" w:rsidRDefault="009246DC">
      <w:pPr>
        <w:pStyle w:val="ListParagraph"/>
        <w:rPr>
          <w:snapToGrid w:val="0"/>
        </w:rPr>
      </w:pPr>
      <w:r w:rsidRPr="007D0FD1">
        <w:rPr>
          <w:snapToGrid w:val="0"/>
        </w:rPr>
        <w:t xml:space="preserve">The </w:t>
      </w:r>
      <w:r w:rsidR="00785459">
        <w:rPr>
          <w:snapToGrid w:val="0"/>
        </w:rPr>
        <w:t>NDIA</w:t>
      </w:r>
      <w:r w:rsidRPr="007D0FD1">
        <w:rPr>
          <w:snapToGrid w:val="0"/>
        </w:rPr>
        <w:t xml:space="preserve"> will determine how </w:t>
      </w:r>
      <w:r w:rsidR="004F40DA">
        <w:rPr>
          <w:snapToGrid w:val="0"/>
        </w:rPr>
        <w:t>occupancy rates</w:t>
      </w:r>
      <w:r w:rsidRPr="007D0FD1">
        <w:rPr>
          <w:snapToGrid w:val="0"/>
        </w:rPr>
        <w:t xml:space="preserve"> will be factored into the benchmark prices. </w:t>
      </w:r>
    </w:p>
    <w:p w14:paraId="0E06B587" w14:textId="77777777" w:rsidR="00B51DC7" w:rsidRPr="007D0FD1" w:rsidRDefault="00B51DC7" w:rsidP="00B51DC7">
      <w:pPr>
        <w:tabs>
          <w:tab w:val="left" w:pos="6360"/>
        </w:tabs>
        <w:rPr>
          <w:rFonts w:cs="Arial"/>
          <w:snapToGrid w:val="0"/>
        </w:rPr>
      </w:pPr>
    </w:p>
    <w:p w14:paraId="326EA7F4" w14:textId="77777777" w:rsidR="004F488F" w:rsidRPr="007D0FD1" w:rsidRDefault="004F488F" w:rsidP="008F0CF7">
      <w:pPr>
        <w:pStyle w:val="Heading2"/>
        <w:rPr>
          <w:rFonts w:cs="Arial"/>
          <w:snapToGrid w:val="0"/>
        </w:rPr>
      </w:pPr>
      <w:bookmarkStart w:id="35" w:name="_Toc429404568"/>
      <w:bookmarkStart w:id="36" w:name="_Toc531633295"/>
      <w:bookmarkStart w:id="37" w:name="_Toc38548363"/>
      <w:r w:rsidRPr="007D0FD1">
        <w:rPr>
          <w:rFonts w:cs="Arial"/>
          <w:snapToGrid w:val="0"/>
        </w:rPr>
        <w:t xml:space="preserve">Land </w:t>
      </w:r>
      <w:r w:rsidR="00EA4A2D" w:rsidRPr="007D0FD1">
        <w:rPr>
          <w:rFonts w:cs="Arial"/>
          <w:snapToGrid w:val="0"/>
        </w:rPr>
        <w:t>price inflation</w:t>
      </w:r>
      <w:bookmarkEnd w:id="35"/>
      <w:bookmarkEnd w:id="36"/>
      <w:bookmarkEnd w:id="37"/>
    </w:p>
    <w:p w14:paraId="5A2E000D" w14:textId="77777777" w:rsidR="004907D4" w:rsidRPr="007D0FD1" w:rsidRDefault="004907D4">
      <w:pPr>
        <w:pStyle w:val="ListParagraph"/>
        <w:rPr>
          <w:snapToGrid w:val="0"/>
        </w:rPr>
      </w:pPr>
      <w:r w:rsidRPr="007D0FD1">
        <w:rPr>
          <w:snapToGrid w:val="0"/>
        </w:rPr>
        <w:t xml:space="preserve">The land </w:t>
      </w:r>
      <w:r w:rsidR="00EA4A2D" w:rsidRPr="007D0FD1">
        <w:rPr>
          <w:snapToGrid w:val="0"/>
        </w:rPr>
        <w:t xml:space="preserve">price inflation </w:t>
      </w:r>
      <w:r w:rsidRPr="007D0FD1">
        <w:rPr>
          <w:snapToGrid w:val="0"/>
        </w:rPr>
        <w:t xml:space="preserve">component recognises the gain </w:t>
      </w:r>
      <w:r w:rsidR="00EA4A2D" w:rsidRPr="007D0FD1">
        <w:rPr>
          <w:snapToGrid w:val="0"/>
        </w:rPr>
        <w:t xml:space="preserve">or loss </w:t>
      </w:r>
      <w:r w:rsidRPr="007D0FD1">
        <w:rPr>
          <w:snapToGrid w:val="0"/>
        </w:rPr>
        <w:t xml:space="preserve">the accommodation owner </w:t>
      </w:r>
      <w:r w:rsidR="00EA4A2D" w:rsidRPr="007D0FD1">
        <w:rPr>
          <w:snapToGrid w:val="0"/>
        </w:rPr>
        <w:t xml:space="preserve">incurs </w:t>
      </w:r>
      <w:r w:rsidR="00300CCB" w:rsidRPr="007D0FD1">
        <w:rPr>
          <w:snapToGrid w:val="0"/>
        </w:rPr>
        <w:t>over time</w:t>
      </w:r>
      <w:r w:rsidR="003E515A">
        <w:rPr>
          <w:snapToGrid w:val="0"/>
        </w:rPr>
        <w:t xml:space="preserve"> due to changes in the value of land</w:t>
      </w:r>
      <w:r w:rsidRPr="007D0FD1">
        <w:rPr>
          <w:snapToGrid w:val="0"/>
        </w:rPr>
        <w:t xml:space="preserve">. To minimise </w:t>
      </w:r>
      <w:r w:rsidR="005C4CAD" w:rsidRPr="007D0FD1">
        <w:rPr>
          <w:snapToGrid w:val="0"/>
        </w:rPr>
        <w:t xml:space="preserve">short-run volatility in pricing arrangements, the </w:t>
      </w:r>
      <w:r w:rsidR="00785459">
        <w:rPr>
          <w:snapToGrid w:val="0"/>
        </w:rPr>
        <w:t>NDIA</w:t>
      </w:r>
      <w:r w:rsidRPr="007D0FD1">
        <w:rPr>
          <w:snapToGrid w:val="0"/>
        </w:rPr>
        <w:t xml:space="preserve"> would </w:t>
      </w:r>
      <w:r w:rsidR="005C4CAD" w:rsidRPr="007D0FD1">
        <w:rPr>
          <w:snapToGrid w:val="0"/>
        </w:rPr>
        <w:t xml:space="preserve">adopt a </w:t>
      </w:r>
      <w:r w:rsidRPr="007D0FD1">
        <w:rPr>
          <w:snapToGrid w:val="0"/>
        </w:rPr>
        <w:t xml:space="preserve">long-run, multi-year </w:t>
      </w:r>
      <w:r w:rsidR="005C4CAD" w:rsidRPr="007D0FD1">
        <w:rPr>
          <w:snapToGrid w:val="0"/>
        </w:rPr>
        <w:t>approach to establishing this component of the benchmark prices</w:t>
      </w:r>
      <w:r w:rsidRPr="007D0FD1">
        <w:rPr>
          <w:snapToGrid w:val="0"/>
        </w:rPr>
        <w:t xml:space="preserve">. </w:t>
      </w:r>
    </w:p>
    <w:p w14:paraId="31C4C658" w14:textId="77777777" w:rsidR="002A053C" w:rsidRPr="00EC544E" w:rsidRDefault="002A053C" w:rsidP="007E2C1F">
      <w:pPr>
        <w:ind w:left="360"/>
        <w:rPr>
          <w:snapToGrid w:val="0"/>
        </w:rPr>
      </w:pPr>
    </w:p>
    <w:p w14:paraId="64F9ECB7" w14:textId="4ED16E56" w:rsidR="00B52336" w:rsidRDefault="002A053C">
      <w:pPr>
        <w:pStyle w:val="ListParagraph"/>
        <w:rPr>
          <w:snapToGrid w:val="0"/>
        </w:rPr>
      </w:pPr>
      <w:r w:rsidRPr="007D0FD1">
        <w:rPr>
          <w:snapToGrid w:val="0"/>
        </w:rPr>
        <w:t>Land that is procured through a leasing arrangement by the provider will also be</w:t>
      </w:r>
      <w:r w:rsidR="002A6F1A">
        <w:rPr>
          <w:snapToGrid w:val="0"/>
        </w:rPr>
        <w:t> </w:t>
      </w:r>
      <w:r w:rsidRPr="007D0FD1">
        <w:rPr>
          <w:snapToGrid w:val="0"/>
        </w:rPr>
        <w:t>funded consistent with the formula outlined above. That is, the benchmark price will not be adjusted for land ownership arrangements (own versus lease). This</w:t>
      </w:r>
      <w:r w:rsidR="002A6F1A">
        <w:rPr>
          <w:snapToGrid w:val="0"/>
        </w:rPr>
        <w:t> </w:t>
      </w:r>
      <w:r w:rsidRPr="007D0FD1">
        <w:rPr>
          <w:snapToGrid w:val="0"/>
        </w:rPr>
        <w:t xml:space="preserve">recognises that while the provider is leasing the land, if they are paying a market price, then the owner of the land will be incurring costs and </w:t>
      </w:r>
      <w:r w:rsidR="00EA4A2D" w:rsidRPr="007D0FD1">
        <w:rPr>
          <w:snapToGrid w:val="0"/>
        </w:rPr>
        <w:t xml:space="preserve">inflation </w:t>
      </w:r>
      <w:r w:rsidRPr="007D0FD1">
        <w:rPr>
          <w:snapToGrid w:val="0"/>
        </w:rPr>
        <w:t>consistent with the formula above, and this will</w:t>
      </w:r>
      <w:r w:rsidR="00EA4A2D" w:rsidRPr="007D0FD1">
        <w:rPr>
          <w:snapToGrid w:val="0"/>
        </w:rPr>
        <w:t>, in theory,</w:t>
      </w:r>
      <w:r w:rsidRPr="007D0FD1">
        <w:rPr>
          <w:snapToGrid w:val="0"/>
        </w:rPr>
        <w:t xml:space="preserve"> be reflected in the market rental price for the land. </w:t>
      </w:r>
    </w:p>
    <w:p w14:paraId="62FB2502" w14:textId="77777777" w:rsidR="002A053C" w:rsidRPr="004F7DCD" w:rsidRDefault="002A053C" w:rsidP="004F7DCD">
      <w:pPr>
        <w:ind w:left="720"/>
        <w:rPr>
          <w:snapToGrid w:val="0"/>
        </w:rPr>
      </w:pPr>
      <w:r w:rsidRPr="004F7DCD">
        <w:rPr>
          <w:snapToGrid w:val="0"/>
        </w:rPr>
        <w:t xml:space="preserve"> </w:t>
      </w:r>
    </w:p>
    <w:p w14:paraId="57C7B995" w14:textId="1C0005F1" w:rsidR="00B52336" w:rsidRPr="00F01B27" w:rsidRDefault="00B52336">
      <w:pPr>
        <w:pStyle w:val="ListParagraph"/>
        <w:rPr>
          <w:snapToGrid w:val="0"/>
        </w:rPr>
      </w:pPr>
      <w:r>
        <w:rPr>
          <w:snapToGrid w:val="0"/>
        </w:rPr>
        <w:t>Where other gains and losses from the revaluation or inflation of assets can be</w:t>
      </w:r>
      <w:r w:rsidR="002A6F1A">
        <w:rPr>
          <w:snapToGrid w:val="0"/>
        </w:rPr>
        <w:t> </w:t>
      </w:r>
      <w:r>
        <w:rPr>
          <w:snapToGrid w:val="0"/>
        </w:rPr>
        <w:t>identified these may be taken into account by the NDIA in setting the dwelling price.</w:t>
      </w:r>
    </w:p>
    <w:p w14:paraId="24276CA3" w14:textId="77777777" w:rsidR="004907D4" w:rsidRDefault="004907D4">
      <w:pPr>
        <w:tabs>
          <w:tab w:val="left" w:pos="6360"/>
        </w:tabs>
        <w:rPr>
          <w:rFonts w:cs="Arial"/>
          <w:snapToGrid w:val="0"/>
        </w:rPr>
      </w:pPr>
    </w:p>
    <w:p w14:paraId="177F6516" w14:textId="33B55C5C" w:rsidR="00651491" w:rsidRPr="008229D5" w:rsidRDefault="009A7B8C">
      <w:pPr>
        <w:pStyle w:val="Heading2"/>
        <w:rPr>
          <w:rFonts w:cs="Arial"/>
          <w:snapToGrid w:val="0"/>
        </w:rPr>
      </w:pPr>
      <w:bookmarkStart w:id="38" w:name="_Toc429404569"/>
      <w:bookmarkStart w:id="39" w:name="_Toc531633296"/>
      <w:bookmarkStart w:id="40" w:name="_Toc38548364"/>
      <w:r>
        <w:rPr>
          <w:rFonts w:cs="Arial"/>
          <w:snapToGrid w:val="0"/>
        </w:rPr>
        <w:t>SDA participant</w:t>
      </w:r>
      <w:r w:rsidRPr="008229D5">
        <w:rPr>
          <w:rFonts w:cs="Arial"/>
          <w:snapToGrid w:val="0"/>
        </w:rPr>
        <w:t xml:space="preserve"> </w:t>
      </w:r>
      <w:r w:rsidR="004F40DA">
        <w:rPr>
          <w:rFonts w:cs="Arial"/>
          <w:snapToGrid w:val="0"/>
        </w:rPr>
        <w:t xml:space="preserve">rent </w:t>
      </w:r>
      <w:r w:rsidR="00651491" w:rsidRPr="008229D5">
        <w:rPr>
          <w:rFonts w:cs="Arial"/>
          <w:snapToGrid w:val="0"/>
        </w:rPr>
        <w:t>contribution</w:t>
      </w:r>
      <w:r w:rsidR="004F40DA">
        <w:rPr>
          <w:rFonts w:cs="Arial"/>
          <w:snapToGrid w:val="0"/>
        </w:rPr>
        <w:t>s</w:t>
      </w:r>
      <w:bookmarkEnd w:id="38"/>
      <w:bookmarkEnd w:id="39"/>
      <w:bookmarkEnd w:id="40"/>
    </w:p>
    <w:p w14:paraId="00A3153F" w14:textId="6AAB0355" w:rsidR="00A152FA" w:rsidRDefault="0048054F">
      <w:pPr>
        <w:pStyle w:val="ListParagraph"/>
        <w:rPr>
          <w:snapToGrid w:val="0"/>
        </w:rPr>
      </w:pPr>
      <w:r w:rsidRPr="00226196">
        <w:rPr>
          <w:snapToGrid w:val="0"/>
        </w:rPr>
        <w:t xml:space="preserve">In formulating a </w:t>
      </w:r>
      <w:r w:rsidR="009A7B8C">
        <w:rPr>
          <w:snapToGrid w:val="0"/>
        </w:rPr>
        <w:t>SDA participant</w:t>
      </w:r>
      <w:r w:rsidR="009A7B8C" w:rsidRPr="008229D5">
        <w:rPr>
          <w:snapToGrid w:val="0"/>
        </w:rPr>
        <w:t xml:space="preserve"> </w:t>
      </w:r>
      <w:r w:rsidRPr="008229D5">
        <w:rPr>
          <w:snapToGrid w:val="0"/>
        </w:rPr>
        <w:t xml:space="preserve">contribution in the benchmark prices, the </w:t>
      </w:r>
      <w:r w:rsidR="00785459">
        <w:rPr>
          <w:snapToGrid w:val="0"/>
        </w:rPr>
        <w:t>NDIA</w:t>
      </w:r>
      <w:r w:rsidRPr="008229D5">
        <w:rPr>
          <w:snapToGrid w:val="0"/>
        </w:rPr>
        <w:t xml:space="preserve"> should assume </w:t>
      </w:r>
      <w:r w:rsidR="009A7B8C">
        <w:rPr>
          <w:snapToGrid w:val="0"/>
        </w:rPr>
        <w:t>participants</w:t>
      </w:r>
      <w:r w:rsidR="009A7B8C" w:rsidRPr="008229D5">
        <w:rPr>
          <w:snapToGrid w:val="0"/>
        </w:rPr>
        <w:t xml:space="preserve"> </w:t>
      </w:r>
      <w:r w:rsidRPr="008229D5">
        <w:rPr>
          <w:snapToGrid w:val="0"/>
        </w:rPr>
        <w:t xml:space="preserve">are in receipt of the Disability Support Pension, and that </w:t>
      </w:r>
      <w:r w:rsidR="00EA4A2D" w:rsidRPr="008229D5">
        <w:rPr>
          <w:snapToGrid w:val="0"/>
        </w:rPr>
        <w:t>the</w:t>
      </w:r>
      <w:r w:rsidRPr="008229D5">
        <w:rPr>
          <w:snapToGrid w:val="0"/>
        </w:rPr>
        <w:t xml:space="preserve"> rent contribution</w:t>
      </w:r>
      <w:r w:rsidR="00A152FA">
        <w:rPr>
          <w:snapToGrid w:val="0"/>
        </w:rPr>
        <w:t xml:space="preserve"> (excluding board)</w:t>
      </w:r>
      <w:r w:rsidRPr="008229D5">
        <w:rPr>
          <w:snapToGrid w:val="0"/>
        </w:rPr>
        <w:t xml:space="preserve"> is</w:t>
      </w:r>
      <w:r w:rsidR="00A152FA">
        <w:rPr>
          <w:snapToGrid w:val="0"/>
        </w:rPr>
        <w:t>:</w:t>
      </w:r>
      <w:r w:rsidRPr="008229D5">
        <w:rPr>
          <w:snapToGrid w:val="0"/>
        </w:rPr>
        <w:t xml:space="preserve"> </w:t>
      </w:r>
    </w:p>
    <w:p w14:paraId="6FDBA0E1" w14:textId="7D79926A" w:rsidR="00A152FA" w:rsidRDefault="0048054F" w:rsidP="000A101C">
      <w:pPr>
        <w:pStyle w:val="ListParagraph"/>
        <w:numPr>
          <w:ilvl w:val="1"/>
          <w:numId w:val="2"/>
        </w:numPr>
        <w:rPr>
          <w:snapToGrid w:val="0"/>
        </w:rPr>
      </w:pPr>
      <w:r w:rsidRPr="008229D5">
        <w:rPr>
          <w:snapToGrid w:val="0"/>
        </w:rPr>
        <w:t>25 per cent of the bas</w:t>
      </w:r>
      <w:r w:rsidR="00A152FA">
        <w:rPr>
          <w:snapToGrid w:val="0"/>
        </w:rPr>
        <w:t>ic</w:t>
      </w:r>
      <w:r w:rsidRPr="008229D5">
        <w:rPr>
          <w:snapToGrid w:val="0"/>
        </w:rPr>
        <w:t xml:space="preserve"> rate of </w:t>
      </w:r>
      <w:r w:rsidR="00A152FA">
        <w:rPr>
          <w:snapToGrid w:val="0"/>
        </w:rPr>
        <w:t xml:space="preserve">the Disability Support Pension. </w:t>
      </w:r>
    </w:p>
    <w:p w14:paraId="3E298436" w14:textId="6ED7DD33" w:rsidR="00A152FA" w:rsidRDefault="00A152FA" w:rsidP="000A101C">
      <w:pPr>
        <w:pStyle w:val="ListParagraph"/>
        <w:numPr>
          <w:ilvl w:val="1"/>
          <w:numId w:val="2"/>
        </w:numPr>
        <w:rPr>
          <w:snapToGrid w:val="0"/>
        </w:rPr>
      </w:pPr>
      <w:r>
        <w:rPr>
          <w:snapToGrid w:val="0"/>
        </w:rPr>
        <w:t xml:space="preserve">If the participant receives a pension supplement or Youth Disability Supplement, 25 per cent of the supplement received.  </w:t>
      </w:r>
    </w:p>
    <w:p w14:paraId="0D55B57E" w14:textId="2B813D11" w:rsidR="0048054F" w:rsidRPr="008229D5" w:rsidRDefault="00A152FA" w:rsidP="000A101C">
      <w:pPr>
        <w:pStyle w:val="ListParagraph"/>
        <w:numPr>
          <w:ilvl w:val="1"/>
          <w:numId w:val="2"/>
        </w:numPr>
        <w:rPr>
          <w:snapToGrid w:val="0"/>
        </w:rPr>
      </w:pPr>
      <w:r w:rsidRPr="00A152FA">
        <w:rPr>
          <w:snapToGrid w:val="0"/>
        </w:rPr>
        <w:t>If the participant receives</w:t>
      </w:r>
      <w:r>
        <w:rPr>
          <w:snapToGrid w:val="0"/>
        </w:rPr>
        <w:t xml:space="preserve"> Commonwealth Rent Assistance,</w:t>
      </w:r>
      <w:r w:rsidRPr="00A152FA" w:rsidDel="00A152FA">
        <w:rPr>
          <w:snapToGrid w:val="0"/>
        </w:rPr>
        <w:t xml:space="preserve"> </w:t>
      </w:r>
      <w:r>
        <w:rPr>
          <w:snapToGrid w:val="0"/>
        </w:rPr>
        <w:t>100 per cent of</w:t>
      </w:r>
      <w:r w:rsidR="002A6F1A">
        <w:rPr>
          <w:snapToGrid w:val="0"/>
        </w:rPr>
        <w:t> </w:t>
      </w:r>
      <w:r w:rsidRPr="008229D5">
        <w:rPr>
          <w:snapToGrid w:val="0"/>
        </w:rPr>
        <w:t>Commonwealth</w:t>
      </w:r>
      <w:r w:rsidR="0048054F" w:rsidRPr="008229D5">
        <w:rPr>
          <w:snapToGrid w:val="0"/>
        </w:rPr>
        <w:t xml:space="preserve"> Rent Assistance (CRA)</w:t>
      </w:r>
      <w:r>
        <w:rPr>
          <w:snapToGrid w:val="0"/>
        </w:rPr>
        <w:t xml:space="preserve"> received</w:t>
      </w:r>
      <w:r w:rsidR="0048054F" w:rsidRPr="008229D5">
        <w:rPr>
          <w:snapToGrid w:val="0"/>
        </w:rPr>
        <w:t xml:space="preserve">. </w:t>
      </w:r>
    </w:p>
    <w:p w14:paraId="2C20549A" w14:textId="77777777" w:rsidR="00AC2E37" w:rsidRPr="008229D5" w:rsidRDefault="00AC2E37" w:rsidP="00AC2E37">
      <w:pPr>
        <w:rPr>
          <w:snapToGrid w:val="0"/>
        </w:rPr>
      </w:pPr>
    </w:p>
    <w:p w14:paraId="6F5A69C4" w14:textId="6DA0C21A" w:rsidR="00AC2E37" w:rsidRDefault="00AC2E37">
      <w:pPr>
        <w:pStyle w:val="ListParagraph"/>
        <w:rPr>
          <w:snapToGrid w:val="0"/>
        </w:rPr>
      </w:pPr>
      <w:r w:rsidRPr="008229D5">
        <w:rPr>
          <w:snapToGrid w:val="0"/>
        </w:rPr>
        <w:t xml:space="preserve">The </w:t>
      </w:r>
      <w:r w:rsidR="00EC70FD">
        <w:rPr>
          <w:snapToGrid w:val="0"/>
        </w:rPr>
        <w:t xml:space="preserve">SDA </w:t>
      </w:r>
      <w:r w:rsidR="009A7B8C">
        <w:rPr>
          <w:snapToGrid w:val="0"/>
        </w:rPr>
        <w:t>participant</w:t>
      </w:r>
      <w:r w:rsidR="009A7B8C" w:rsidRPr="008229D5">
        <w:rPr>
          <w:snapToGrid w:val="0"/>
        </w:rPr>
        <w:t xml:space="preserve"> </w:t>
      </w:r>
      <w:r w:rsidR="00EB2F2F" w:rsidRPr="008229D5">
        <w:rPr>
          <w:snapToGrid w:val="0"/>
        </w:rPr>
        <w:t xml:space="preserve">rent </w:t>
      </w:r>
      <w:r w:rsidRPr="008229D5">
        <w:rPr>
          <w:snapToGrid w:val="0"/>
        </w:rPr>
        <w:t>contribution component of the benchmark prices will be</w:t>
      </w:r>
      <w:r w:rsidR="002A6F1A">
        <w:rPr>
          <w:snapToGrid w:val="0"/>
        </w:rPr>
        <w:t> </w:t>
      </w:r>
      <w:r w:rsidRPr="008229D5">
        <w:rPr>
          <w:snapToGrid w:val="0"/>
        </w:rPr>
        <w:t>automatically adjusted when Disability Support Pension payment rates are changed.</w:t>
      </w:r>
      <w:r w:rsidRPr="008229D5">
        <w:rPr>
          <w:rStyle w:val="FootnoteReference"/>
          <w:snapToGrid w:val="0"/>
        </w:rPr>
        <w:footnoteReference w:id="3"/>
      </w:r>
    </w:p>
    <w:p w14:paraId="7A986B87" w14:textId="77777777" w:rsidR="00A323E4" w:rsidRPr="00EC544E" w:rsidRDefault="00A323E4" w:rsidP="007E2C1F">
      <w:pPr>
        <w:rPr>
          <w:snapToGrid w:val="0"/>
        </w:rPr>
      </w:pPr>
    </w:p>
    <w:p w14:paraId="44620677" w14:textId="22128DC8" w:rsidR="00EA4A2D" w:rsidRPr="008229D5" w:rsidRDefault="001F13C0">
      <w:pPr>
        <w:pStyle w:val="ListParagraph"/>
        <w:rPr>
          <w:snapToGrid w:val="0"/>
        </w:rPr>
      </w:pPr>
      <w:r w:rsidRPr="007E2C1F">
        <w:rPr>
          <w:snapToGrid w:val="0"/>
        </w:rPr>
        <w:lastRenderedPageBreak/>
        <w:t xml:space="preserve">The rent contribution of 25 per cent of the base rate of the Disability Support Pension will be </w:t>
      </w:r>
      <w:r w:rsidR="003E515A">
        <w:rPr>
          <w:snapToGrid w:val="0"/>
        </w:rPr>
        <w:t>considered</w:t>
      </w:r>
      <w:r w:rsidR="003E515A" w:rsidRPr="007E2C1F">
        <w:rPr>
          <w:snapToGrid w:val="0"/>
        </w:rPr>
        <w:t xml:space="preserve"> </w:t>
      </w:r>
      <w:r w:rsidRPr="007E2C1F">
        <w:rPr>
          <w:snapToGrid w:val="0"/>
        </w:rPr>
        <w:t>as the maximum rent that may</w:t>
      </w:r>
      <w:r w:rsidR="00EA4A2D" w:rsidRPr="008229D5">
        <w:rPr>
          <w:snapToGrid w:val="0"/>
        </w:rPr>
        <w:t xml:space="preserve"> be charged to </w:t>
      </w:r>
      <w:r w:rsidR="00781132">
        <w:rPr>
          <w:snapToGrid w:val="0"/>
        </w:rPr>
        <w:t xml:space="preserve">SDA </w:t>
      </w:r>
      <w:r w:rsidR="009A7B8C">
        <w:rPr>
          <w:snapToGrid w:val="0"/>
        </w:rPr>
        <w:t>participants</w:t>
      </w:r>
      <w:r w:rsidR="009A7B8C" w:rsidRPr="008229D5">
        <w:rPr>
          <w:snapToGrid w:val="0"/>
        </w:rPr>
        <w:t xml:space="preserve"> </w:t>
      </w:r>
      <w:r w:rsidR="00EA4A2D" w:rsidRPr="008229D5">
        <w:rPr>
          <w:snapToGrid w:val="0"/>
        </w:rPr>
        <w:t>by accommodation providers</w:t>
      </w:r>
      <w:r w:rsidR="009A7B8C">
        <w:rPr>
          <w:snapToGrid w:val="0"/>
        </w:rPr>
        <w:t>.</w:t>
      </w:r>
      <w:r w:rsidR="002A6F1A">
        <w:rPr>
          <w:snapToGrid w:val="0"/>
        </w:rPr>
        <w:t xml:space="preserve"> </w:t>
      </w:r>
      <w:r w:rsidR="008229D5">
        <w:rPr>
          <w:snapToGrid w:val="0"/>
        </w:rPr>
        <w:t xml:space="preserve">It is recognised that this </w:t>
      </w:r>
      <w:r w:rsidR="003E515A">
        <w:rPr>
          <w:snapToGrid w:val="0"/>
        </w:rPr>
        <w:t>pricing and payments framework</w:t>
      </w:r>
      <w:r w:rsidR="008229D5">
        <w:rPr>
          <w:snapToGrid w:val="0"/>
        </w:rPr>
        <w:t xml:space="preserve"> will be a major change for a number of providers who currently use the ‘rent and board’ model for determining rents.</w:t>
      </w:r>
      <w:r w:rsidR="002A6F1A">
        <w:rPr>
          <w:snapToGrid w:val="0"/>
        </w:rPr>
        <w:t xml:space="preserve"> </w:t>
      </w:r>
      <w:r w:rsidR="00EC544E">
        <w:rPr>
          <w:snapToGrid w:val="0"/>
        </w:rPr>
        <w:t xml:space="preserve">However, while this will be a major change for many providers, it will make the price of accommodation for </w:t>
      </w:r>
      <w:r w:rsidR="00781132">
        <w:rPr>
          <w:snapToGrid w:val="0"/>
        </w:rPr>
        <w:t xml:space="preserve">SDA </w:t>
      </w:r>
      <w:r w:rsidR="009A7B8C">
        <w:rPr>
          <w:snapToGrid w:val="0"/>
        </w:rPr>
        <w:t xml:space="preserve">participants </w:t>
      </w:r>
      <w:r w:rsidR="00EC544E">
        <w:rPr>
          <w:snapToGrid w:val="0"/>
        </w:rPr>
        <w:t>more transparent.</w:t>
      </w:r>
      <w:r w:rsidR="002A6F1A">
        <w:rPr>
          <w:snapToGrid w:val="0"/>
        </w:rPr>
        <w:t xml:space="preserve"> </w:t>
      </w:r>
      <w:r w:rsidR="00EC544E">
        <w:rPr>
          <w:snapToGrid w:val="0"/>
        </w:rPr>
        <w:t xml:space="preserve">It is also recognised that this approach assumes that most participants will be reliant on the Disability Support Pension.  </w:t>
      </w:r>
      <w:r w:rsidR="00161B65">
        <w:rPr>
          <w:snapToGrid w:val="0"/>
        </w:rPr>
        <w:t>While this is likely to be true, at least in the medium term,</w:t>
      </w:r>
      <w:r w:rsidR="007F69B0">
        <w:rPr>
          <w:snapToGrid w:val="0"/>
        </w:rPr>
        <w:t xml:space="preserve"> </w:t>
      </w:r>
      <w:r w:rsidR="00161B65">
        <w:rPr>
          <w:snapToGrid w:val="0"/>
        </w:rPr>
        <w:t xml:space="preserve">this means that this setting should be kept under review.  </w:t>
      </w:r>
    </w:p>
    <w:p w14:paraId="7F9ED6C6" w14:textId="77777777" w:rsidR="00651491" w:rsidRPr="007D0FD1" w:rsidRDefault="00651491" w:rsidP="00651491">
      <w:pPr>
        <w:tabs>
          <w:tab w:val="left" w:pos="6360"/>
        </w:tabs>
        <w:rPr>
          <w:rFonts w:cs="Arial"/>
          <w:snapToGrid w:val="0"/>
        </w:rPr>
      </w:pPr>
    </w:p>
    <w:p w14:paraId="0BA25814" w14:textId="77777777" w:rsidR="009A7B8C" w:rsidRPr="004108FA" w:rsidRDefault="009A7B8C" w:rsidP="008C0658">
      <w:pPr>
        <w:pStyle w:val="Heading2"/>
        <w:rPr>
          <w:snapToGrid w:val="0"/>
        </w:rPr>
      </w:pPr>
      <w:bookmarkStart w:id="41" w:name="_Toc38548365"/>
      <w:bookmarkStart w:id="42" w:name="_Toc429404570"/>
      <w:r w:rsidRPr="00A77FBF">
        <w:rPr>
          <w:snapToGrid w:val="0"/>
        </w:rPr>
        <w:t>Rental contributions for non-SDA residents</w:t>
      </w:r>
      <w:bookmarkEnd w:id="41"/>
      <w:r w:rsidRPr="00A77FBF">
        <w:rPr>
          <w:snapToGrid w:val="0"/>
        </w:rPr>
        <w:t xml:space="preserve"> </w:t>
      </w:r>
    </w:p>
    <w:p w14:paraId="6E19AB57" w14:textId="77777777" w:rsidR="009A7B8C" w:rsidRDefault="009A7B8C">
      <w:pPr>
        <w:pStyle w:val="ListParagraph"/>
        <w:rPr>
          <w:snapToGrid w:val="0"/>
        </w:rPr>
      </w:pPr>
      <w:r>
        <w:rPr>
          <w:snapToGrid w:val="0"/>
        </w:rPr>
        <w:t>The NDIA is not responsible for funding the accommodation costs of n</w:t>
      </w:r>
      <w:r w:rsidRPr="00A06A62">
        <w:rPr>
          <w:snapToGrid w:val="0"/>
        </w:rPr>
        <w:t xml:space="preserve">on-SDA </w:t>
      </w:r>
      <w:r>
        <w:rPr>
          <w:snapToGrid w:val="0"/>
        </w:rPr>
        <w:t xml:space="preserve">residents. </w:t>
      </w:r>
      <w:r>
        <w:rPr>
          <w:snapToGrid w:val="0"/>
        </w:rPr>
        <w:br/>
      </w:r>
    </w:p>
    <w:p w14:paraId="69CF0BA9" w14:textId="06179699" w:rsidR="009A7B8C" w:rsidRPr="00ED1819" w:rsidRDefault="00355848" w:rsidP="00EB7733">
      <w:pPr>
        <w:pStyle w:val="ListParagraph"/>
        <w:rPr>
          <w:sz w:val="22"/>
          <w:szCs w:val="22"/>
        </w:rPr>
      </w:pPr>
      <w:r>
        <w:rPr>
          <w:snapToGrid w:val="0"/>
        </w:rPr>
        <w:t>Non-SDA residents that live in SDA dwellings are required to pay rent</w:t>
      </w:r>
      <w:r w:rsidR="003C43CB">
        <w:rPr>
          <w:snapToGrid w:val="0"/>
        </w:rPr>
        <w:t xml:space="preserve"> for the </w:t>
      </w:r>
      <w:r w:rsidR="00EC70FD">
        <w:rPr>
          <w:snapToGrid w:val="0"/>
        </w:rPr>
        <w:t>use of</w:t>
      </w:r>
      <w:r w:rsidR="002A6F1A">
        <w:rPr>
          <w:snapToGrid w:val="0"/>
        </w:rPr>
        <w:t> </w:t>
      </w:r>
      <w:r w:rsidR="00EC70FD">
        <w:rPr>
          <w:snapToGrid w:val="0"/>
        </w:rPr>
        <w:t xml:space="preserve">the </w:t>
      </w:r>
      <w:r w:rsidR="003C43CB">
        <w:rPr>
          <w:snapToGrid w:val="0"/>
        </w:rPr>
        <w:t>dwelling</w:t>
      </w:r>
      <w:r>
        <w:rPr>
          <w:snapToGrid w:val="0"/>
        </w:rPr>
        <w:t xml:space="preserve">. </w:t>
      </w:r>
      <w:r w:rsidR="00EB7733" w:rsidRPr="00EB7733">
        <w:rPr>
          <w:snapToGrid w:val="0"/>
        </w:rPr>
        <w:t>Rent contribution</w:t>
      </w:r>
      <w:r w:rsidR="00357B8C">
        <w:rPr>
          <w:snapToGrid w:val="0"/>
        </w:rPr>
        <w:t>s</w:t>
      </w:r>
      <w:r w:rsidR="00EB7733" w:rsidRPr="00EB7733">
        <w:rPr>
          <w:snapToGrid w:val="0"/>
        </w:rPr>
        <w:t xml:space="preserve"> for non-SDA residents should </w:t>
      </w:r>
      <w:r w:rsidR="00EC70FD">
        <w:rPr>
          <w:snapToGrid w:val="0"/>
        </w:rPr>
        <w:t>be negotiated between non-SDA residents and providers taking into account the rent of</w:t>
      </w:r>
      <w:r w:rsidR="00773701">
        <w:rPr>
          <w:snapToGrid w:val="0"/>
        </w:rPr>
        <w:t> </w:t>
      </w:r>
      <w:r w:rsidR="00EC70FD">
        <w:rPr>
          <w:snapToGrid w:val="0"/>
        </w:rPr>
        <w:t>comparable dwellings and other market factors.</w:t>
      </w:r>
      <w:r w:rsidR="00EB7733">
        <w:rPr>
          <w:snapToGrid w:val="0"/>
        </w:rPr>
        <w:t xml:space="preserve"> </w:t>
      </w:r>
      <w:r w:rsidR="00B80E30">
        <w:t>Providers should notify the NDIA of</w:t>
      </w:r>
      <w:r w:rsidR="002A6F1A">
        <w:t> </w:t>
      </w:r>
      <w:r w:rsidR="00B80E30">
        <w:t>any rent to be paid by the non-SDA resident.</w:t>
      </w:r>
    </w:p>
    <w:p w14:paraId="46FF3154" w14:textId="77777777" w:rsidR="009A7B8C" w:rsidRPr="00ED1819" w:rsidRDefault="009A7B8C" w:rsidP="009A7B8C">
      <w:pPr>
        <w:rPr>
          <w:sz w:val="22"/>
          <w:szCs w:val="22"/>
        </w:rPr>
      </w:pPr>
    </w:p>
    <w:p w14:paraId="471442AD" w14:textId="6F0D6355" w:rsidR="00814125" w:rsidRPr="009A7B8C" w:rsidRDefault="009A7B8C" w:rsidP="00814125">
      <w:pPr>
        <w:pStyle w:val="ListParagraph"/>
        <w:rPr>
          <w:sz w:val="22"/>
          <w:szCs w:val="22"/>
        </w:rPr>
      </w:pPr>
      <w:r>
        <w:t xml:space="preserve">To ensure that providers are not overcompensated, the NDIA will </w:t>
      </w:r>
      <w:r w:rsidR="00590C9C">
        <w:t>have scope to</w:t>
      </w:r>
      <w:r w:rsidR="002A6F1A">
        <w:t> </w:t>
      </w:r>
      <w:r w:rsidR="00590C9C">
        <w:t>adjust</w:t>
      </w:r>
      <w:r>
        <w:t xml:space="preserve"> the </w:t>
      </w:r>
      <w:r w:rsidR="00B80E30">
        <w:t>SDA payments</w:t>
      </w:r>
      <w:r>
        <w:t xml:space="preserve"> for </w:t>
      </w:r>
      <w:r w:rsidR="00184294">
        <w:t>a</w:t>
      </w:r>
      <w:r>
        <w:t xml:space="preserve"> participant </w:t>
      </w:r>
      <w:r w:rsidR="00D62F3C">
        <w:t xml:space="preserve">to reflect </w:t>
      </w:r>
      <w:r w:rsidR="00590C9C">
        <w:t>any</w:t>
      </w:r>
      <w:r w:rsidR="00D62F3C">
        <w:t xml:space="preserve"> sharing arrangements. </w:t>
      </w:r>
      <w:r w:rsidR="00C64FE5">
        <w:t xml:space="preserve"> </w:t>
      </w:r>
    </w:p>
    <w:p w14:paraId="6F4EB48C" w14:textId="77777777" w:rsidR="00814125" w:rsidRDefault="00814125" w:rsidP="00814125">
      <w:pPr>
        <w:pStyle w:val="ListParagraph"/>
        <w:numPr>
          <w:ilvl w:val="0"/>
          <w:numId w:val="0"/>
        </w:numPr>
        <w:ind w:left="714"/>
        <w:rPr>
          <w:rFonts w:cs="Arial"/>
          <w:snapToGrid w:val="0"/>
        </w:rPr>
      </w:pPr>
    </w:p>
    <w:p w14:paraId="39714690" w14:textId="3D98199C" w:rsidR="00FD41EF" w:rsidRPr="00C87C93" w:rsidRDefault="00FD41EF" w:rsidP="00C87C93">
      <w:bookmarkStart w:id="43" w:name="_Toc531633297"/>
      <w:r w:rsidRPr="00C87C93">
        <w:rPr>
          <w:b/>
        </w:rPr>
        <w:t>Treatment of publicly owned land in setting the benchmark prices</w:t>
      </w:r>
      <w:bookmarkEnd w:id="42"/>
      <w:bookmarkEnd w:id="43"/>
    </w:p>
    <w:p w14:paraId="49ACC4C6" w14:textId="7A7858F2" w:rsidR="002A053C" w:rsidRPr="007D0FD1" w:rsidRDefault="002A053C">
      <w:pPr>
        <w:pStyle w:val="ListParagraph"/>
        <w:rPr>
          <w:snapToGrid w:val="0"/>
        </w:rPr>
      </w:pPr>
      <w:r w:rsidRPr="007D0FD1">
        <w:rPr>
          <w:snapToGrid w:val="0"/>
        </w:rPr>
        <w:t>Land that is owned outright by providers could include land that has been purchased and funded solely by a provider, land that has been provided at nil co</w:t>
      </w:r>
      <w:r w:rsidR="00773701">
        <w:rPr>
          <w:snapToGrid w:val="0"/>
        </w:rPr>
        <w:t>st or below market cost from a state g</w:t>
      </w:r>
      <w:r w:rsidRPr="007D0FD1">
        <w:rPr>
          <w:snapToGrid w:val="0"/>
        </w:rPr>
        <w:t>overnment</w:t>
      </w:r>
      <w:r w:rsidR="00701D57" w:rsidRPr="007D0FD1">
        <w:rPr>
          <w:snapToGrid w:val="0"/>
        </w:rPr>
        <w:t xml:space="preserve"> (or other sources)</w:t>
      </w:r>
      <w:r w:rsidRPr="007D0FD1">
        <w:rPr>
          <w:snapToGrid w:val="0"/>
        </w:rPr>
        <w:t>, or land whic</w:t>
      </w:r>
      <w:r w:rsidR="00773701">
        <w:rPr>
          <w:snapToGrid w:val="0"/>
        </w:rPr>
        <w:t>h has been partially funded by state g</w:t>
      </w:r>
      <w:r w:rsidRPr="007D0FD1">
        <w:rPr>
          <w:snapToGrid w:val="0"/>
        </w:rPr>
        <w:t>overnments</w:t>
      </w:r>
      <w:r w:rsidR="00701D57" w:rsidRPr="007D0FD1">
        <w:rPr>
          <w:snapToGrid w:val="0"/>
        </w:rPr>
        <w:t xml:space="preserve"> (or other parties)</w:t>
      </w:r>
      <w:r w:rsidRPr="007D0FD1">
        <w:rPr>
          <w:snapToGrid w:val="0"/>
        </w:rPr>
        <w:t>.</w:t>
      </w:r>
    </w:p>
    <w:p w14:paraId="0405BE32" w14:textId="77777777" w:rsidR="002A053C" w:rsidRPr="00226196" w:rsidRDefault="002A053C" w:rsidP="007E2C1F">
      <w:pPr>
        <w:ind w:left="360"/>
        <w:rPr>
          <w:snapToGrid w:val="0"/>
        </w:rPr>
      </w:pPr>
    </w:p>
    <w:p w14:paraId="6B5E249B" w14:textId="77777777" w:rsidR="002A053C" w:rsidRPr="007D0FD1" w:rsidRDefault="002A053C">
      <w:pPr>
        <w:pStyle w:val="ListParagraph"/>
        <w:rPr>
          <w:snapToGrid w:val="0"/>
        </w:rPr>
      </w:pPr>
      <w:r w:rsidRPr="007D0FD1">
        <w:rPr>
          <w:snapToGrid w:val="0"/>
        </w:rPr>
        <w:t>Regardless of historical funding or ownership arrangements, land for which title resides with the non-government provider will be treated consistent with the benchmark price and not adjusted for historical procurement arrangements.</w:t>
      </w:r>
    </w:p>
    <w:p w14:paraId="15AF411A" w14:textId="77777777" w:rsidR="002A053C" w:rsidRPr="00EC544E" w:rsidRDefault="002A053C" w:rsidP="007E2C1F">
      <w:pPr>
        <w:ind w:left="360"/>
        <w:rPr>
          <w:snapToGrid w:val="0"/>
        </w:rPr>
      </w:pPr>
    </w:p>
    <w:p w14:paraId="7F614068" w14:textId="11CC2249" w:rsidR="00F46BDC" w:rsidRPr="007D0FD1" w:rsidRDefault="00D05860" w:rsidP="003A2262">
      <w:pPr>
        <w:pStyle w:val="ListParagraph"/>
        <w:rPr>
          <w:snapToGrid w:val="0"/>
        </w:rPr>
      </w:pPr>
      <w:r w:rsidRPr="007D0FD1">
        <w:rPr>
          <w:snapToGrid w:val="0"/>
        </w:rPr>
        <w:t>Land th</w:t>
      </w:r>
      <w:r w:rsidR="00B03776" w:rsidRPr="007D0FD1">
        <w:rPr>
          <w:snapToGrid w:val="0"/>
        </w:rPr>
        <w:t xml:space="preserve">at </w:t>
      </w:r>
      <w:r w:rsidRPr="007D0FD1">
        <w:rPr>
          <w:snapToGrid w:val="0"/>
        </w:rPr>
        <w:t>is owned by State Governments and leased/occupied by non</w:t>
      </w:r>
      <w:r w:rsidR="003A2262">
        <w:rPr>
          <w:snapToGrid w:val="0"/>
        </w:rPr>
        <w:noBreakHyphen/>
      </w:r>
      <w:r w:rsidRPr="007D0FD1">
        <w:rPr>
          <w:snapToGrid w:val="0"/>
        </w:rPr>
        <w:t xml:space="preserve">government providers could include lease arrangements </w:t>
      </w:r>
      <w:r w:rsidR="00F46BDC" w:rsidRPr="007D0FD1">
        <w:rPr>
          <w:snapToGrid w:val="0"/>
        </w:rPr>
        <w:t xml:space="preserve">(including </w:t>
      </w:r>
      <w:r w:rsidR="00B03776" w:rsidRPr="007D0FD1">
        <w:rPr>
          <w:snapToGrid w:val="0"/>
        </w:rPr>
        <w:t xml:space="preserve">50 or </w:t>
      </w:r>
      <w:r w:rsidR="00F46BDC" w:rsidRPr="007D0FD1">
        <w:rPr>
          <w:snapToGrid w:val="0"/>
        </w:rPr>
        <w:t xml:space="preserve">99 </w:t>
      </w:r>
      <w:r w:rsidR="00B03776" w:rsidRPr="007D0FD1">
        <w:rPr>
          <w:snapToGrid w:val="0"/>
        </w:rPr>
        <w:t>y</w:t>
      </w:r>
      <w:r w:rsidR="00F46BDC" w:rsidRPr="007D0FD1">
        <w:rPr>
          <w:snapToGrid w:val="0"/>
        </w:rPr>
        <w:t xml:space="preserve">ear leases) </w:t>
      </w:r>
      <w:r w:rsidRPr="007D0FD1">
        <w:rPr>
          <w:snapToGrid w:val="0"/>
        </w:rPr>
        <w:t>that are for nil cost,</w:t>
      </w:r>
      <w:r w:rsidR="002A053C" w:rsidRPr="007D0FD1">
        <w:rPr>
          <w:snapToGrid w:val="0"/>
        </w:rPr>
        <w:t xml:space="preserve"> below market value </w:t>
      </w:r>
      <w:r w:rsidRPr="007D0FD1">
        <w:rPr>
          <w:snapToGrid w:val="0"/>
        </w:rPr>
        <w:t xml:space="preserve">(including peppercorn rent arrangements) or full market rental value. </w:t>
      </w:r>
    </w:p>
    <w:p w14:paraId="50F0DE4D" w14:textId="77777777" w:rsidR="00F46BDC" w:rsidRPr="00EC544E" w:rsidRDefault="00F46BDC" w:rsidP="007E2C1F">
      <w:pPr>
        <w:ind w:left="360"/>
        <w:rPr>
          <w:snapToGrid w:val="0"/>
        </w:rPr>
      </w:pPr>
    </w:p>
    <w:p w14:paraId="438D0803" w14:textId="6ED93B1F" w:rsidR="00821B44" w:rsidRPr="007D0FD1" w:rsidRDefault="00821B44">
      <w:pPr>
        <w:pStyle w:val="ListParagraph"/>
        <w:rPr>
          <w:snapToGrid w:val="0"/>
        </w:rPr>
      </w:pPr>
      <w:r w:rsidRPr="007D0FD1">
        <w:rPr>
          <w:snapToGrid w:val="0"/>
        </w:rPr>
        <w:lastRenderedPageBreak/>
        <w:t>In determining the value of</w:t>
      </w:r>
      <w:r w:rsidR="00C8268F">
        <w:rPr>
          <w:snapToGrid w:val="0"/>
        </w:rPr>
        <w:t xml:space="preserve"> the </w:t>
      </w:r>
      <w:r w:rsidR="003E515A">
        <w:rPr>
          <w:snapToGrid w:val="0"/>
        </w:rPr>
        <w:t>benchmark</w:t>
      </w:r>
      <w:r w:rsidR="00C8268F">
        <w:rPr>
          <w:snapToGrid w:val="0"/>
        </w:rPr>
        <w:t xml:space="preserve"> price</w:t>
      </w:r>
      <w:r w:rsidRPr="007D0FD1">
        <w:rPr>
          <w:snapToGrid w:val="0"/>
        </w:rPr>
        <w:t xml:space="preserve">, the funding methodology adopted by the </w:t>
      </w:r>
      <w:r w:rsidR="00785459">
        <w:rPr>
          <w:snapToGrid w:val="0"/>
        </w:rPr>
        <w:t>NDIA</w:t>
      </w:r>
      <w:r w:rsidRPr="007D0FD1">
        <w:rPr>
          <w:snapToGrid w:val="0"/>
        </w:rPr>
        <w:t xml:space="preserve"> should not subsidise providers operating on publicly owned land if they are not paying a market rent for that land. This essentially removes any windfall gains arising from existing ownership arrangements that are not fully priced. This</w:t>
      </w:r>
      <w:r w:rsidR="002A6F1A">
        <w:rPr>
          <w:snapToGrid w:val="0"/>
        </w:rPr>
        <w:t> </w:t>
      </w:r>
      <w:r w:rsidRPr="007D0FD1">
        <w:rPr>
          <w:snapToGrid w:val="0"/>
        </w:rPr>
        <w:t>largely relates to providers that are delivering accommodation supports on</w:t>
      </w:r>
      <w:r w:rsidR="002A6F1A">
        <w:rPr>
          <w:snapToGrid w:val="0"/>
        </w:rPr>
        <w:t> </w:t>
      </w:r>
      <w:r w:rsidRPr="007D0FD1">
        <w:rPr>
          <w:snapToGrid w:val="0"/>
        </w:rPr>
        <w:t>publicly owned land at nil or peppercorn renta</w:t>
      </w:r>
      <w:r w:rsidR="002A6F1A">
        <w:rPr>
          <w:snapToGrid w:val="0"/>
        </w:rPr>
        <w:t>l cost. To this effect, a “pass</w:t>
      </w:r>
      <w:r w:rsidR="002A6F1A">
        <w:rPr>
          <w:snapToGrid w:val="0"/>
        </w:rPr>
        <w:noBreakHyphen/>
      </w:r>
      <w:r w:rsidRPr="007D0FD1">
        <w:rPr>
          <w:snapToGrid w:val="0"/>
        </w:rPr>
        <w:t>through” mechanism will be set up between jurisdictions</w:t>
      </w:r>
      <w:r w:rsidR="00B03776" w:rsidRPr="007D0FD1">
        <w:rPr>
          <w:snapToGrid w:val="0"/>
        </w:rPr>
        <w:t>, providers</w:t>
      </w:r>
      <w:r w:rsidRPr="007D0FD1">
        <w:rPr>
          <w:snapToGrid w:val="0"/>
        </w:rPr>
        <w:t xml:space="preserve"> and the </w:t>
      </w:r>
      <w:r w:rsidR="00785459">
        <w:rPr>
          <w:snapToGrid w:val="0"/>
        </w:rPr>
        <w:t>NDIA</w:t>
      </w:r>
      <w:r w:rsidRPr="007D0FD1">
        <w:rPr>
          <w:snapToGrid w:val="0"/>
        </w:rPr>
        <w:t xml:space="preserve"> to reflect the need to adjust the benchmark prices for affected providers operating on publicly owned land</w:t>
      </w:r>
      <w:r w:rsidR="00CA6A5E" w:rsidRPr="007D0FD1">
        <w:rPr>
          <w:snapToGrid w:val="0"/>
        </w:rPr>
        <w:t xml:space="preserve"> at below market cost</w:t>
      </w:r>
      <w:r w:rsidRPr="007D0FD1">
        <w:rPr>
          <w:snapToGrid w:val="0"/>
        </w:rPr>
        <w:t>.</w:t>
      </w:r>
    </w:p>
    <w:p w14:paraId="14794557" w14:textId="77777777" w:rsidR="00821B44" w:rsidRPr="007D0FD1" w:rsidRDefault="00821B44" w:rsidP="00821B44">
      <w:pPr>
        <w:tabs>
          <w:tab w:val="left" w:pos="6360"/>
        </w:tabs>
        <w:rPr>
          <w:snapToGrid w:val="0"/>
        </w:rPr>
      </w:pPr>
      <w:r w:rsidRPr="007D0FD1">
        <w:rPr>
          <w:snapToGrid w:val="0"/>
        </w:rPr>
        <w:t xml:space="preserve"> </w:t>
      </w:r>
    </w:p>
    <w:p w14:paraId="0B65E3D0" w14:textId="60412A06" w:rsidR="00821B44" w:rsidRPr="007D0FD1" w:rsidRDefault="00821B44">
      <w:pPr>
        <w:pStyle w:val="ListParagraph"/>
        <w:rPr>
          <w:snapToGrid w:val="0"/>
        </w:rPr>
      </w:pPr>
      <w:r w:rsidRPr="007D0FD1">
        <w:rPr>
          <w:snapToGrid w:val="0"/>
        </w:rPr>
        <w:t xml:space="preserve">From the perspective of providers and participants, their funding arrangements should not be influenced by land ownership arrangements. To this end, the funding associated with participants in </w:t>
      </w:r>
      <w:r w:rsidR="002D28D7">
        <w:rPr>
          <w:snapToGrid w:val="0"/>
        </w:rPr>
        <w:t>SDA</w:t>
      </w:r>
      <w:r w:rsidRPr="007D0FD1">
        <w:rPr>
          <w:snapToGrid w:val="0"/>
        </w:rPr>
        <w:t xml:space="preserve"> would be</w:t>
      </w:r>
      <w:r w:rsidR="000B5495">
        <w:rPr>
          <w:snapToGrid w:val="0"/>
        </w:rPr>
        <w:t> </w:t>
      </w:r>
      <w:r w:rsidRPr="007D0FD1">
        <w:rPr>
          <w:snapToGrid w:val="0"/>
        </w:rPr>
        <w:t xml:space="preserve">consistent with the benchmark prices. </w:t>
      </w:r>
    </w:p>
    <w:p w14:paraId="5EE167CB" w14:textId="77777777" w:rsidR="00821B44" w:rsidRPr="007D0FD1" w:rsidRDefault="00821B44" w:rsidP="00821B44">
      <w:pPr>
        <w:tabs>
          <w:tab w:val="left" w:pos="6360"/>
        </w:tabs>
        <w:rPr>
          <w:snapToGrid w:val="0"/>
        </w:rPr>
      </w:pPr>
    </w:p>
    <w:p w14:paraId="0857D0A8" w14:textId="0CB31A36" w:rsidR="00821B44" w:rsidRPr="007D0FD1" w:rsidRDefault="004F40DA">
      <w:pPr>
        <w:pStyle w:val="ListParagraph"/>
        <w:rPr>
          <w:snapToGrid w:val="0"/>
        </w:rPr>
      </w:pPr>
      <w:r>
        <w:rPr>
          <w:snapToGrid w:val="0"/>
        </w:rPr>
        <w:t>P</w:t>
      </w:r>
      <w:r w:rsidR="00821B44" w:rsidRPr="007D0FD1">
        <w:rPr>
          <w:snapToGrid w:val="0"/>
        </w:rPr>
        <w:t xml:space="preserve">roviders not paying </w:t>
      </w:r>
      <w:r w:rsidR="00F46BDC" w:rsidRPr="007D0FD1">
        <w:rPr>
          <w:snapToGrid w:val="0"/>
        </w:rPr>
        <w:t xml:space="preserve">market </w:t>
      </w:r>
      <w:r w:rsidR="00D459B1" w:rsidRPr="007D0FD1">
        <w:rPr>
          <w:snapToGrid w:val="0"/>
        </w:rPr>
        <w:t xml:space="preserve">rental </w:t>
      </w:r>
      <w:r w:rsidR="00821B44" w:rsidRPr="007D0FD1">
        <w:rPr>
          <w:snapToGrid w:val="0"/>
        </w:rPr>
        <w:t>cost</w:t>
      </w:r>
      <w:r w:rsidR="00F46BDC" w:rsidRPr="007D0FD1">
        <w:rPr>
          <w:snapToGrid w:val="0"/>
        </w:rPr>
        <w:t>s</w:t>
      </w:r>
      <w:r w:rsidR="00821B44" w:rsidRPr="007D0FD1">
        <w:rPr>
          <w:snapToGrid w:val="0"/>
        </w:rPr>
        <w:t xml:space="preserve"> for land should not</w:t>
      </w:r>
      <w:r w:rsidR="000B5495">
        <w:rPr>
          <w:snapToGrid w:val="0"/>
        </w:rPr>
        <w:t xml:space="preserve"> receive a windfall gain. state g</w:t>
      </w:r>
      <w:r w:rsidR="00821B44" w:rsidRPr="007D0FD1">
        <w:rPr>
          <w:snapToGrid w:val="0"/>
        </w:rPr>
        <w:t>overnments will be expected to charge</w:t>
      </w:r>
      <w:r w:rsidR="00F46BDC" w:rsidRPr="007D0FD1">
        <w:rPr>
          <w:snapToGrid w:val="0"/>
        </w:rPr>
        <w:t xml:space="preserve"> and recover from</w:t>
      </w:r>
      <w:r w:rsidR="00821B44" w:rsidRPr="007D0FD1">
        <w:rPr>
          <w:snapToGrid w:val="0"/>
        </w:rPr>
        <w:t xml:space="preserve"> these providers a</w:t>
      </w:r>
      <w:r w:rsidR="00773701">
        <w:rPr>
          <w:snapToGrid w:val="0"/>
        </w:rPr>
        <w:t> </w:t>
      </w:r>
      <w:r w:rsidR="00821B44" w:rsidRPr="007D0FD1">
        <w:rPr>
          <w:snapToGrid w:val="0"/>
        </w:rPr>
        <w:t>cost of capital equivalent to the land component</w:t>
      </w:r>
      <w:r w:rsidR="005D054A" w:rsidRPr="007D0FD1">
        <w:rPr>
          <w:snapToGrid w:val="0"/>
        </w:rPr>
        <w:t xml:space="preserve"> in the benchmark price</w:t>
      </w:r>
      <w:r w:rsidR="00821B44" w:rsidRPr="007D0FD1">
        <w:rPr>
          <w:snapToGrid w:val="0"/>
        </w:rPr>
        <w:t>. This</w:t>
      </w:r>
      <w:r w:rsidR="00773701">
        <w:rPr>
          <w:snapToGrid w:val="0"/>
        </w:rPr>
        <w:t> </w:t>
      </w:r>
      <w:r w:rsidR="00821B44" w:rsidRPr="007D0FD1">
        <w:rPr>
          <w:snapToGrid w:val="0"/>
        </w:rPr>
        <w:t>would be revenue neutral for providers, but ensure there is transparency in</w:t>
      </w:r>
      <w:r w:rsidR="00773701">
        <w:rPr>
          <w:snapToGrid w:val="0"/>
        </w:rPr>
        <w:t> </w:t>
      </w:r>
      <w:r w:rsidR="00821B44" w:rsidRPr="007D0FD1">
        <w:rPr>
          <w:snapToGrid w:val="0"/>
        </w:rPr>
        <w:t xml:space="preserve">pricing/cost. </w:t>
      </w:r>
    </w:p>
    <w:p w14:paraId="2BEC84D0" w14:textId="77777777" w:rsidR="00611ADF" w:rsidRPr="007D0FD1" w:rsidRDefault="00611ADF" w:rsidP="00611ADF">
      <w:pPr>
        <w:rPr>
          <w:snapToGrid w:val="0"/>
        </w:rPr>
      </w:pPr>
    </w:p>
    <w:p w14:paraId="2BAFF9DA" w14:textId="24B6E860" w:rsidR="00F46BDC" w:rsidRPr="007D0FD1" w:rsidRDefault="00821B44">
      <w:pPr>
        <w:pStyle w:val="ListParagraph"/>
        <w:rPr>
          <w:snapToGrid w:val="0"/>
        </w:rPr>
      </w:pPr>
      <w:r w:rsidRPr="007D0FD1">
        <w:rPr>
          <w:snapToGrid w:val="0"/>
        </w:rPr>
        <w:t>Th</w:t>
      </w:r>
      <w:r w:rsidR="004F40DA">
        <w:rPr>
          <w:snapToGrid w:val="0"/>
        </w:rPr>
        <w:t>e</w:t>
      </w:r>
      <w:r w:rsidRPr="007D0FD1">
        <w:rPr>
          <w:snapToGrid w:val="0"/>
        </w:rPr>
        <w:t xml:space="preserve"> pass-through mechanism will require jurisdictions to then refund this cost of</w:t>
      </w:r>
      <w:r w:rsidR="00611ADF" w:rsidRPr="007D0FD1">
        <w:rPr>
          <w:snapToGrid w:val="0"/>
        </w:rPr>
        <w:t xml:space="preserve"> the</w:t>
      </w:r>
      <w:r w:rsidRPr="007D0FD1">
        <w:rPr>
          <w:snapToGrid w:val="0"/>
        </w:rPr>
        <w:t xml:space="preserve"> land </w:t>
      </w:r>
      <w:r w:rsidR="00611ADF" w:rsidRPr="007D0FD1">
        <w:rPr>
          <w:snapToGrid w:val="0"/>
        </w:rPr>
        <w:t xml:space="preserve">component </w:t>
      </w:r>
      <w:r w:rsidRPr="007D0FD1">
        <w:rPr>
          <w:snapToGrid w:val="0"/>
        </w:rPr>
        <w:t xml:space="preserve">to the </w:t>
      </w:r>
      <w:r w:rsidR="00785459">
        <w:rPr>
          <w:snapToGrid w:val="0"/>
        </w:rPr>
        <w:t>NDIA</w:t>
      </w:r>
      <w:r w:rsidRPr="007D0FD1">
        <w:rPr>
          <w:snapToGrid w:val="0"/>
        </w:rPr>
        <w:t xml:space="preserve">. </w:t>
      </w:r>
      <w:r w:rsidR="00F46BDC" w:rsidRPr="007D0FD1">
        <w:rPr>
          <w:snapToGrid w:val="0"/>
        </w:rPr>
        <w:t>This would be equal to the difference between the benchmark funding for land and the current (below market) rental cost charged by</w:t>
      </w:r>
      <w:r w:rsidR="00773701">
        <w:rPr>
          <w:snapToGrid w:val="0"/>
        </w:rPr>
        <w:t> </w:t>
      </w:r>
      <w:r w:rsidR="00F46BDC" w:rsidRPr="007D0FD1">
        <w:rPr>
          <w:snapToGrid w:val="0"/>
        </w:rPr>
        <w:t xml:space="preserve">the </w:t>
      </w:r>
      <w:r w:rsidR="00611ADF" w:rsidRPr="007D0FD1">
        <w:rPr>
          <w:snapToGrid w:val="0"/>
        </w:rPr>
        <w:t>state or territory g</w:t>
      </w:r>
      <w:r w:rsidR="00F46BDC" w:rsidRPr="007D0FD1">
        <w:rPr>
          <w:snapToGrid w:val="0"/>
        </w:rPr>
        <w:t>overnment.</w:t>
      </w:r>
    </w:p>
    <w:p w14:paraId="1910F551" w14:textId="77777777" w:rsidR="00F46BDC" w:rsidRPr="00226196" w:rsidRDefault="00F46BDC" w:rsidP="007E2C1F">
      <w:pPr>
        <w:ind w:left="360"/>
        <w:rPr>
          <w:snapToGrid w:val="0"/>
        </w:rPr>
      </w:pPr>
    </w:p>
    <w:p w14:paraId="3A9FE517" w14:textId="77777777" w:rsidR="00821B44" w:rsidRPr="007D0FD1" w:rsidRDefault="00821B44">
      <w:pPr>
        <w:pStyle w:val="ListParagraph"/>
        <w:rPr>
          <w:snapToGrid w:val="0"/>
        </w:rPr>
      </w:pPr>
      <w:r w:rsidRPr="007D0FD1">
        <w:rPr>
          <w:snapToGrid w:val="0"/>
        </w:rPr>
        <w:t xml:space="preserve">This mechanism will ensure transparency and consistency in applying benchmark prices; it will account for the true cost of service delivery by providers and be cost and revenue neutral for the NDIA. </w:t>
      </w:r>
    </w:p>
    <w:p w14:paraId="232473D5" w14:textId="77777777" w:rsidR="00821B44" w:rsidRPr="007D0FD1" w:rsidRDefault="00821B44" w:rsidP="00821B44">
      <w:pPr>
        <w:tabs>
          <w:tab w:val="left" w:pos="6360"/>
        </w:tabs>
        <w:rPr>
          <w:snapToGrid w:val="0"/>
        </w:rPr>
      </w:pPr>
    </w:p>
    <w:p w14:paraId="487C6900" w14:textId="1E25A5CA" w:rsidR="00D459B1" w:rsidRDefault="00CA6A5E" w:rsidP="000B5495">
      <w:pPr>
        <w:pStyle w:val="ListParagraph"/>
        <w:ind w:left="714" w:hanging="357"/>
        <w:rPr>
          <w:snapToGrid w:val="0"/>
        </w:rPr>
      </w:pPr>
      <w:r w:rsidRPr="007D0FD1">
        <w:rPr>
          <w:snapToGrid w:val="0"/>
        </w:rPr>
        <w:t xml:space="preserve"> </w:t>
      </w:r>
      <w:r w:rsidR="00AC1348" w:rsidRPr="007D0FD1">
        <w:rPr>
          <w:snapToGrid w:val="0"/>
        </w:rPr>
        <w:t>W</w:t>
      </w:r>
      <w:r w:rsidRPr="007D0FD1">
        <w:rPr>
          <w:snapToGrid w:val="0"/>
        </w:rPr>
        <w:t>here</w:t>
      </w:r>
      <w:r w:rsidR="00821B44" w:rsidRPr="007D0FD1">
        <w:rPr>
          <w:snapToGrid w:val="0"/>
        </w:rPr>
        <w:t xml:space="preserve"> the cost </w:t>
      </w:r>
      <w:r w:rsidR="00D20C79" w:rsidRPr="007D0FD1">
        <w:rPr>
          <w:snapToGrid w:val="0"/>
        </w:rPr>
        <w:t>of leasing</w:t>
      </w:r>
      <w:r w:rsidR="00F46BDC" w:rsidRPr="007D0FD1">
        <w:rPr>
          <w:snapToGrid w:val="0"/>
        </w:rPr>
        <w:t>/</w:t>
      </w:r>
      <w:r w:rsidR="00D20C79" w:rsidRPr="007D0FD1">
        <w:rPr>
          <w:snapToGrid w:val="0"/>
        </w:rPr>
        <w:t>occupying</w:t>
      </w:r>
      <w:r w:rsidR="00AC1348" w:rsidRPr="007D0FD1">
        <w:rPr>
          <w:snapToGrid w:val="0"/>
        </w:rPr>
        <w:t xml:space="preserve"> State Government land</w:t>
      </w:r>
      <w:r w:rsidR="00F46BDC" w:rsidRPr="007D0FD1">
        <w:rPr>
          <w:snapToGrid w:val="0"/>
        </w:rPr>
        <w:t xml:space="preserve"> by a non-government provider </w:t>
      </w:r>
      <w:r w:rsidR="00AC1348" w:rsidRPr="007D0FD1">
        <w:rPr>
          <w:snapToGrid w:val="0"/>
        </w:rPr>
        <w:t xml:space="preserve">is </w:t>
      </w:r>
      <w:r w:rsidR="00F46BDC" w:rsidRPr="007D0FD1">
        <w:rPr>
          <w:snapToGrid w:val="0"/>
        </w:rPr>
        <w:t>on</w:t>
      </w:r>
      <w:r w:rsidR="00B03776" w:rsidRPr="007D0FD1">
        <w:rPr>
          <w:snapToGrid w:val="0"/>
        </w:rPr>
        <w:t xml:space="preserve"> a</w:t>
      </w:r>
      <w:r w:rsidR="00F46BDC" w:rsidRPr="007D0FD1">
        <w:rPr>
          <w:snapToGrid w:val="0"/>
        </w:rPr>
        <w:t xml:space="preserve"> basis that is</w:t>
      </w:r>
      <w:r w:rsidRPr="007D0FD1">
        <w:rPr>
          <w:snapToGrid w:val="0"/>
        </w:rPr>
        <w:t xml:space="preserve"> below market cost</w:t>
      </w:r>
      <w:r w:rsidR="00D64117" w:rsidRPr="007D0FD1">
        <w:rPr>
          <w:snapToGrid w:val="0"/>
        </w:rPr>
        <w:t>, then the cost is</w:t>
      </w:r>
      <w:r w:rsidR="00821B44" w:rsidRPr="007D0FD1">
        <w:rPr>
          <w:snapToGrid w:val="0"/>
        </w:rPr>
        <w:t xml:space="preserve"> being met by a state or territory government</w:t>
      </w:r>
      <w:r w:rsidR="00D64117" w:rsidRPr="007D0FD1">
        <w:rPr>
          <w:snapToGrid w:val="0"/>
        </w:rPr>
        <w:t>. T</w:t>
      </w:r>
      <w:r w:rsidR="00821B44" w:rsidRPr="007D0FD1">
        <w:rPr>
          <w:snapToGrid w:val="0"/>
        </w:rPr>
        <w:t xml:space="preserve">he land component may </w:t>
      </w:r>
      <w:r w:rsidR="00D64117" w:rsidRPr="007D0FD1">
        <w:rPr>
          <w:snapToGrid w:val="0"/>
        </w:rPr>
        <w:t xml:space="preserve">therefore </w:t>
      </w:r>
      <w:r w:rsidR="00821B44" w:rsidRPr="007D0FD1">
        <w:rPr>
          <w:snapToGrid w:val="0"/>
        </w:rPr>
        <w:t xml:space="preserve">form part of that government’s in-kind contribution to the NDIS (net of any land </w:t>
      </w:r>
      <w:r w:rsidR="00EC544E">
        <w:rPr>
          <w:snapToGrid w:val="0"/>
        </w:rPr>
        <w:t>price inflation</w:t>
      </w:r>
      <w:r w:rsidR="00821B44" w:rsidRPr="007D0FD1">
        <w:rPr>
          <w:snapToGrid w:val="0"/>
        </w:rPr>
        <w:t>). This</w:t>
      </w:r>
      <w:r w:rsidR="00773701">
        <w:rPr>
          <w:snapToGrid w:val="0"/>
        </w:rPr>
        <w:t> </w:t>
      </w:r>
      <w:r w:rsidR="00821B44" w:rsidRPr="007D0FD1">
        <w:rPr>
          <w:snapToGrid w:val="0"/>
        </w:rPr>
        <w:t xml:space="preserve">would be calculated on the same efficient price basis as </w:t>
      </w:r>
      <w:r w:rsidR="00505D3F" w:rsidRPr="007D0FD1">
        <w:rPr>
          <w:snapToGrid w:val="0"/>
        </w:rPr>
        <w:t>established by the NDIA for other owners in accordance with</w:t>
      </w:r>
      <w:r w:rsidR="00821B44" w:rsidRPr="007D0FD1">
        <w:rPr>
          <w:snapToGrid w:val="0"/>
        </w:rPr>
        <w:t xml:space="preserve"> this Framework</w:t>
      </w:r>
      <w:r w:rsidR="00505D3F" w:rsidRPr="007D0FD1">
        <w:rPr>
          <w:snapToGrid w:val="0"/>
        </w:rPr>
        <w:t xml:space="preserve"> and would be transparently accounted for in state or territory government in-kind funding contributions</w:t>
      </w:r>
      <w:r w:rsidR="00821B44" w:rsidRPr="007D0FD1">
        <w:rPr>
          <w:snapToGrid w:val="0"/>
        </w:rPr>
        <w:t xml:space="preserve">. </w:t>
      </w:r>
      <w:r w:rsidR="00BC3F9C" w:rsidRPr="007D0FD1">
        <w:rPr>
          <w:snapToGrid w:val="0"/>
        </w:rPr>
        <w:t>If</w:t>
      </w:r>
      <w:r w:rsidR="00773701">
        <w:rPr>
          <w:snapToGrid w:val="0"/>
        </w:rPr>
        <w:t> </w:t>
      </w:r>
      <w:r w:rsidR="00BC3F9C" w:rsidRPr="007D0FD1">
        <w:rPr>
          <w:snapToGrid w:val="0"/>
        </w:rPr>
        <w:t>below market rents are charged to providers, the in-kind contribution would be</w:t>
      </w:r>
      <w:r w:rsidR="00773701">
        <w:rPr>
          <w:snapToGrid w:val="0"/>
        </w:rPr>
        <w:t> </w:t>
      </w:r>
      <w:r w:rsidR="00BC3F9C" w:rsidRPr="007D0FD1">
        <w:rPr>
          <w:snapToGrid w:val="0"/>
        </w:rPr>
        <w:t>equal to the difference between the benchmark funding for land and the current (below mark</w:t>
      </w:r>
      <w:r w:rsidR="00773701">
        <w:rPr>
          <w:snapToGrid w:val="0"/>
        </w:rPr>
        <w:t>et) rental cost charged by the state g</w:t>
      </w:r>
      <w:r w:rsidR="00BC3F9C" w:rsidRPr="007D0FD1">
        <w:rPr>
          <w:snapToGrid w:val="0"/>
        </w:rPr>
        <w:t>overnment.</w:t>
      </w:r>
    </w:p>
    <w:p w14:paraId="67D50ECC" w14:textId="77777777" w:rsidR="00F46BDC" w:rsidRPr="00226196" w:rsidRDefault="00F46BDC" w:rsidP="00803D11">
      <w:pPr>
        <w:rPr>
          <w:snapToGrid w:val="0"/>
        </w:rPr>
      </w:pPr>
    </w:p>
    <w:p w14:paraId="73A5943A" w14:textId="0A192D47" w:rsidR="00F46BDC" w:rsidRDefault="000B5495">
      <w:pPr>
        <w:pStyle w:val="ListParagraph"/>
        <w:rPr>
          <w:snapToGrid w:val="0"/>
        </w:rPr>
      </w:pPr>
      <w:r>
        <w:rPr>
          <w:snapToGrid w:val="0"/>
        </w:rPr>
        <w:t>State g</w:t>
      </w:r>
      <w:r w:rsidR="00F46BDC" w:rsidRPr="007D0FD1">
        <w:rPr>
          <w:snapToGrid w:val="0"/>
        </w:rPr>
        <w:t>overnment land may also be leased/occupied by non-government providers on a basis that is equivalent to the market rental cost. In this scenario, the provider will be funded the full benchmark price (plus any weightings/loadings as</w:t>
      </w:r>
      <w:r>
        <w:rPr>
          <w:snapToGrid w:val="0"/>
        </w:rPr>
        <w:t> </w:t>
      </w:r>
      <w:r w:rsidR="00F46BDC" w:rsidRPr="007D0FD1">
        <w:rPr>
          <w:snapToGrid w:val="0"/>
        </w:rPr>
        <w:t>appropriate), and State Governments will recoup their market rent from the provider. This can be used by State Governments to fund their cash contribution to</w:t>
      </w:r>
      <w:r>
        <w:rPr>
          <w:snapToGrid w:val="0"/>
        </w:rPr>
        <w:t> </w:t>
      </w:r>
      <w:r w:rsidR="00F46BDC" w:rsidRPr="007D0FD1">
        <w:rPr>
          <w:snapToGrid w:val="0"/>
        </w:rPr>
        <w:t xml:space="preserve">the NDIS. </w:t>
      </w:r>
      <w:r w:rsidR="00BC3F9C" w:rsidRPr="007D0FD1">
        <w:rPr>
          <w:snapToGrid w:val="0"/>
        </w:rPr>
        <w:t>In these circumstances the land component would not form part of that government’s in-kind contribution to the NDIS.</w:t>
      </w:r>
    </w:p>
    <w:p w14:paraId="32347965" w14:textId="77777777" w:rsidR="00BC3F9C" w:rsidRDefault="00BC3F9C" w:rsidP="007F69B0">
      <w:pPr>
        <w:rPr>
          <w:snapToGrid w:val="0"/>
        </w:rPr>
      </w:pPr>
    </w:p>
    <w:p w14:paraId="2221E924" w14:textId="18A9A98F" w:rsidR="00BC3F9C" w:rsidRPr="007D0FD1" w:rsidRDefault="00BC3F9C">
      <w:pPr>
        <w:pStyle w:val="ListParagraph"/>
        <w:rPr>
          <w:snapToGrid w:val="0"/>
        </w:rPr>
      </w:pPr>
      <w:r w:rsidRPr="007D0FD1">
        <w:rPr>
          <w:snapToGrid w:val="0"/>
        </w:rPr>
        <w:lastRenderedPageBreak/>
        <w:t xml:space="preserve">Governments </w:t>
      </w:r>
      <w:r w:rsidR="00701D57" w:rsidRPr="007D0FD1">
        <w:rPr>
          <w:snapToGrid w:val="0"/>
        </w:rPr>
        <w:t xml:space="preserve">may also </w:t>
      </w:r>
      <w:r w:rsidRPr="007D0FD1">
        <w:rPr>
          <w:snapToGrid w:val="0"/>
        </w:rPr>
        <w:t xml:space="preserve">directly provide accommodation services, and </w:t>
      </w:r>
      <w:r w:rsidR="00701D57" w:rsidRPr="007D0FD1">
        <w:rPr>
          <w:snapToGrid w:val="0"/>
        </w:rPr>
        <w:t>this may form part of the</w:t>
      </w:r>
      <w:r w:rsidR="00FC7D64" w:rsidRPr="007D0FD1">
        <w:rPr>
          <w:snapToGrid w:val="0"/>
        </w:rPr>
        <w:t>ir</w:t>
      </w:r>
      <w:r w:rsidR="00701D57" w:rsidRPr="007D0FD1">
        <w:rPr>
          <w:snapToGrid w:val="0"/>
        </w:rPr>
        <w:t xml:space="preserve"> </w:t>
      </w:r>
      <w:r w:rsidR="00FC7D64" w:rsidRPr="007D0FD1">
        <w:rPr>
          <w:snapToGrid w:val="0"/>
        </w:rPr>
        <w:t xml:space="preserve">in-kind </w:t>
      </w:r>
      <w:r w:rsidRPr="007D0FD1">
        <w:rPr>
          <w:snapToGrid w:val="0"/>
        </w:rPr>
        <w:t xml:space="preserve">contribution </w:t>
      </w:r>
      <w:r w:rsidR="00FC7D64" w:rsidRPr="007D0FD1">
        <w:rPr>
          <w:snapToGrid w:val="0"/>
        </w:rPr>
        <w:t>to the NDIS</w:t>
      </w:r>
      <w:r w:rsidR="00701D57" w:rsidRPr="007D0FD1">
        <w:rPr>
          <w:snapToGrid w:val="0"/>
        </w:rPr>
        <w:t>. In this scenario</w:t>
      </w:r>
      <w:r w:rsidRPr="007D0FD1">
        <w:rPr>
          <w:snapToGrid w:val="0"/>
        </w:rPr>
        <w:t xml:space="preserve">, the land </w:t>
      </w:r>
      <w:r w:rsidR="00161B65" w:rsidRPr="007D0FD1">
        <w:rPr>
          <w:snapToGrid w:val="0"/>
        </w:rPr>
        <w:t>component</w:t>
      </w:r>
      <w:r w:rsidR="00161B65" w:rsidRPr="007D0FD1" w:rsidDel="00EC544E">
        <w:rPr>
          <w:snapToGrid w:val="0"/>
        </w:rPr>
        <w:t xml:space="preserve"> </w:t>
      </w:r>
      <w:r w:rsidR="00161B65" w:rsidRPr="007D0FD1">
        <w:rPr>
          <w:snapToGrid w:val="0"/>
        </w:rPr>
        <w:t>(</w:t>
      </w:r>
      <w:r w:rsidRPr="007D0FD1">
        <w:rPr>
          <w:snapToGrid w:val="0"/>
        </w:rPr>
        <w:t xml:space="preserve">net of any land </w:t>
      </w:r>
      <w:r w:rsidR="003E515A">
        <w:rPr>
          <w:snapToGrid w:val="0"/>
        </w:rPr>
        <w:t>price inflation</w:t>
      </w:r>
      <w:r w:rsidRPr="007D0FD1">
        <w:rPr>
          <w:snapToGrid w:val="0"/>
        </w:rPr>
        <w:t>)</w:t>
      </w:r>
      <w:r w:rsidR="00EC544E">
        <w:rPr>
          <w:snapToGrid w:val="0"/>
        </w:rPr>
        <w:t xml:space="preserve"> </w:t>
      </w:r>
      <w:r w:rsidRPr="007D0FD1">
        <w:rPr>
          <w:snapToGrid w:val="0"/>
        </w:rPr>
        <w:t>would be calculated on the same efficient price basis as established by the NDIA for other owners in accordance with this Framework</w:t>
      </w:r>
      <w:r w:rsidR="00FC7D64" w:rsidRPr="007D0FD1">
        <w:rPr>
          <w:snapToGrid w:val="0"/>
        </w:rPr>
        <w:t>,</w:t>
      </w:r>
      <w:r w:rsidRPr="007D0FD1">
        <w:rPr>
          <w:snapToGrid w:val="0"/>
        </w:rPr>
        <w:t xml:space="preserve"> and</w:t>
      </w:r>
      <w:r w:rsidR="000B5495">
        <w:rPr>
          <w:snapToGrid w:val="0"/>
        </w:rPr>
        <w:t> </w:t>
      </w:r>
      <w:r w:rsidRPr="007D0FD1">
        <w:rPr>
          <w:snapToGrid w:val="0"/>
        </w:rPr>
        <w:t>would be transparently accounted for in state or territory government in-kind funding contributions.</w:t>
      </w:r>
      <w:r w:rsidR="00FC7D64" w:rsidRPr="007D0FD1">
        <w:rPr>
          <w:snapToGrid w:val="0"/>
        </w:rPr>
        <w:t xml:space="preserve"> </w:t>
      </w:r>
      <w:r w:rsidRPr="007D0FD1">
        <w:rPr>
          <w:snapToGrid w:val="0"/>
        </w:rPr>
        <w:t>If Government directly provided accommodation services are paid for by the NDIA, the same ‘pass-through’ arrangements will apply.</w:t>
      </w:r>
    </w:p>
    <w:p w14:paraId="09F9CE91" w14:textId="77777777" w:rsidR="00AC1348" w:rsidRPr="007D0FD1" w:rsidRDefault="00AC1348" w:rsidP="00D20C79">
      <w:pPr>
        <w:rPr>
          <w:snapToGrid w:val="0"/>
        </w:rPr>
      </w:pPr>
    </w:p>
    <w:p w14:paraId="4F7644E6" w14:textId="05E0838D" w:rsidR="00AC1348" w:rsidRDefault="000B5495">
      <w:pPr>
        <w:pStyle w:val="ListParagraph"/>
        <w:rPr>
          <w:snapToGrid w:val="0"/>
        </w:rPr>
      </w:pPr>
      <w:r>
        <w:rPr>
          <w:snapToGrid w:val="0"/>
        </w:rPr>
        <w:t>State g</w:t>
      </w:r>
      <w:r w:rsidR="00AC1348" w:rsidRPr="007D0FD1">
        <w:rPr>
          <w:snapToGrid w:val="0"/>
        </w:rPr>
        <w:t>overnment land may continue to be owned by the relevant jurisdiction or</w:t>
      </w:r>
      <w:r>
        <w:rPr>
          <w:snapToGrid w:val="0"/>
        </w:rPr>
        <w:t> </w:t>
      </w:r>
      <w:r w:rsidR="00AC1348" w:rsidRPr="007D0FD1">
        <w:rPr>
          <w:snapToGrid w:val="0"/>
        </w:rPr>
        <w:t>transfer to another provider at the jurisdiction’s discretion.</w:t>
      </w:r>
    </w:p>
    <w:p w14:paraId="073E1C8D" w14:textId="77777777" w:rsidR="00EC544E" w:rsidRDefault="00EC544E" w:rsidP="007E2C1F">
      <w:pPr>
        <w:rPr>
          <w:snapToGrid w:val="0"/>
        </w:rPr>
      </w:pPr>
    </w:p>
    <w:p w14:paraId="74D9FD66" w14:textId="77777777" w:rsidR="00EC544E" w:rsidRPr="00226196" w:rsidRDefault="00AE6B56">
      <w:pPr>
        <w:pStyle w:val="ListParagraph"/>
        <w:rPr>
          <w:snapToGrid w:val="0"/>
        </w:rPr>
      </w:pPr>
      <w:r>
        <w:rPr>
          <w:snapToGrid w:val="0"/>
        </w:rPr>
        <w:t>If state or territory governments do not wish to participate in the pass back mechanism other arrangements will be agreed bilaterally to ensure the same net effect on scheme funding.</w:t>
      </w:r>
    </w:p>
    <w:p w14:paraId="69DB2A63" w14:textId="77777777" w:rsidR="00FD41EF" w:rsidRPr="007D0FD1" w:rsidRDefault="00FD41EF" w:rsidP="00FD41EF">
      <w:pPr>
        <w:tabs>
          <w:tab w:val="left" w:pos="6360"/>
        </w:tabs>
        <w:rPr>
          <w:rFonts w:cs="Arial"/>
          <w:snapToGrid w:val="0"/>
        </w:rPr>
      </w:pPr>
    </w:p>
    <w:p w14:paraId="17F60D61" w14:textId="77777777" w:rsidR="00293375" w:rsidRPr="007D0FD1" w:rsidRDefault="00293375" w:rsidP="008F0CF7">
      <w:pPr>
        <w:pStyle w:val="Heading2"/>
        <w:rPr>
          <w:rFonts w:cs="Arial"/>
          <w:snapToGrid w:val="0"/>
        </w:rPr>
      </w:pPr>
      <w:bookmarkStart w:id="44" w:name="_Toc429404571"/>
      <w:bookmarkStart w:id="45" w:name="_Toc531633298"/>
      <w:bookmarkStart w:id="46" w:name="_Toc38548366"/>
      <w:r w:rsidRPr="007D0FD1">
        <w:rPr>
          <w:rFonts w:cs="Arial"/>
          <w:snapToGrid w:val="0"/>
        </w:rPr>
        <w:t>Other price setting considerations</w:t>
      </w:r>
      <w:bookmarkEnd w:id="44"/>
      <w:bookmarkEnd w:id="45"/>
      <w:bookmarkEnd w:id="46"/>
    </w:p>
    <w:p w14:paraId="556C0DEA" w14:textId="56E3928F" w:rsidR="00293375" w:rsidRPr="007D0FD1" w:rsidRDefault="00293375">
      <w:pPr>
        <w:pStyle w:val="ListParagraph"/>
        <w:rPr>
          <w:snapToGrid w:val="0"/>
        </w:rPr>
      </w:pPr>
      <w:r w:rsidRPr="007D0FD1">
        <w:rPr>
          <w:snapToGrid w:val="0"/>
        </w:rPr>
        <w:t xml:space="preserve">When the </w:t>
      </w:r>
      <w:r w:rsidR="00785459">
        <w:rPr>
          <w:snapToGrid w:val="0"/>
        </w:rPr>
        <w:t>NDIA</w:t>
      </w:r>
      <w:r w:rsidRPr="007D0FD1">
        <w:rPr>
          <w:snapToGrid w:val="0"/>
        </w:rPr>
        <w:t xml:space="preserve"> develops or reviews its benchmark prices, it will factor into those prices the costs of meeting any quality or safeguarding requirements that apply to</w:t>
      </w:r>
      <w:r w:rsidR="000B5495">
        <w:rPr>
          <w:snapToGrid w:val="0"/>
        </w:rPr>
        <w:t> </w:t>
      </w:r>
      <w:r w:rsidR="002D28D7">
        <w:rPr>
          <w:snapToGrid w:val="0"/>
        </w:rPr>
        <w:t>SDA</w:t>
      </w:r>
      <w:r w:rsidR="008326E1" w:rsidRPr="007D0FD1">
        <w:rPr>
          <w:snapToGrid w:val="0"/>
        </w:rPr>
        <w:t>. Further national policy work is required to</w:t>
      </w:r>
      <w:r w:rsidR="000B5495">
        <w:rPr>
          <w:snapToGrid w:val="0"/>
        </w:rPr>
        <w:t> </w:t>
      </w:r>
      <w:r w:rsidR="008326E1" w:rsidRPr="007D0FD1">
        <w:rPr>
          <w:snapToGrid w:val="0"/>
        </w:rPr>
        <w:t>identify and implement quality assurance mechanisms and safeguards that will apply to supported accommodated related services in the NDIS.</w:t>
      </w:r>
      <w:r w:rsidR="00CA0F81" w:rsidRPr="007D0FD1">
        <w:rPr>
          <w:snapToGrid w:val="0"/>
        </w:rPr>
        <w:t xml:space="preserve"> </w:t>
      </w:r>
    </w:p>
    <w:p w14:paraId="2D5EB562" w14:textId="77777777" w:rsidR="00293375" w:rsidRPr="007D0FD1" w:rsidRDefault="00293375" w:rsidP="00293375">
      <w:pPr>
        <w:tabs>
          <w:tab w:val="left" w:pos="6360"/>
        </w:tabs>
        <w:rPr>
          <w:rFonts w:cs="Arial"/>
          <w:snapToGrid w:val="0"/>
        </w:rPr>
      </w:pPr>
    </w:p>
    <w:p w14:paraId="25612F3E" w14:textId="77777777" w:rsidR="009246DC" w:rsidRPr="007D0FD1" w:rsidRDefault="009246DC" w:rsidP="009246DC">
      <w:pPr>
        <w:pStyle w:val="Heading2"/>
        <w:rPr>
          <w:rFonts w:cs="Arial"/>
          <w:snapToGrid w:val="0"/>
        </w:rPr>
      </w:pPr>
      <w:bookmarkStart w:id="47" w:name="_Toc429404572"/>
      <w:bookmarkStart w:id="48" w:name="_Toc531633299"/>
      <w:bookmarkStart w:id="49" w:name="_Toc38548367"/>
      <w:r w:rsidRPr="007D0FD1">
        <w:rPr>
          <w:rFonts w:cs="Arial"/>
          <w:snapToGrid w:val="0"/>
        </w:rPr>
        <w:t>Payment arrangements</w:t>
      </w:r>
      <w:bookmarkEnd w:id="47"/>
      <w:bookmarkEnd w:id="48"/>
      <w:bookmarkEnd w:id="49"/>
    </w:p>
    <w:p w14:paraId="1C5E31AC" w14:textId="10B803E2" w:rsidR="009246DC" w:rsidRPr="007D0FD1" w:rsidRDefault="009246DC">
      <w:pPr>
        <w:pStyle w:val="ListParagraph"/>
        <w:rPr>
          <w:snapToGrid w:val="0"/>
        </w:rPr>
      </w:pPr>
      <w:r w:rsidRPr="007D0FD1">
        <w:rPr>
          <w:snapToGrid w:val="0"/>
        </w:rPr>
        <w:t xml:space="preserve">The value of the contribution that the </w:t>
      </w:r>
      <w:r w:rsidR="00785459">
        <w:rPr>
          <w:snapToGrid w:val="0"/>
        </w:rPr>
        <w:t>NDIA</w:t>
      </w:r>
      <w:r w:rsidRPr="007D0FD1">
        <w:rPr>
          <w:snapToGrid w:val="0"/>
        </w:rPr>
        <w:t xml:space="preserve"> makes in respect of the accommodation costs for a participant residing in </w:t>
      </w:r>
      <w:r w:rsidR="002D28D7">
        <w:rPr>
          <w:snapToGrid w:val="0"/>
        </w:rPr>
        <w:t>SDA</w:t>
      </w:r>
      <w:r w:rsidRPr="007D0FD1">
        <w:rPr>
          <w:snapToGrid w:val="0"/>
        </w:rPr>
        <w:t xml:space="preserve"> will be the relevant benchmark price determined by the </w:t>
      </w:r>
      <w:r w:rsidR="00785459">
        <w:rPr>
          <w:snapToGrid w:val="0"/>
        </w:rPr>
        <w:t>NDIA</w:t>
      </w:r>
      <w:r w:rsidRPr="007D0FD1">
        <w:rPr>
          <w:snapToGrid w:val="0"/>
        </w:rPr>
        <w:t>, with the application of</w:t>
      </w:r>
      <w:r w:rsidR="000B5495">
        <w:rPr>
          <w:snapToGrid w:val="0"/>
        </w:rPr>
        <w:t> </w:t>
      </w:r>
      <w:r w:rsidRPr="007D0FD1">
        <w:rPr>
          <w:snapToGrid w:val="0"/>
        </w:rPr>
        <w:t>appropriate weights and factors.</w:t>
      </w:r>
    </w:p>
    <w:p w14:paraId="64A44649" w14:textId="77777777" w:rsidR="009246DC" w:rsidRPr="007D0FD1" w:rsidRDefault="009246DC" w:rsidP="009246DC">
      <w:pPr>
        <w:rPr>
          <w:snapToGrid w:val="0"/>
        </w:rPr>
      </w:pPr>
    </w:p>
    <w:p w14:paraId="0D293E35" w14:textId="14E7A5F2" w:rsidR="009246DC" w:rsidRPr="007D0FD1" w:rsidRDefault="009246DC">
      <w:pPr>
        <w:pStyle w:val="ListParagraph"/>
        <w:rPr>
          <w:snapToGrid w:val="0"/>
        </w:rPr>
      </w:pPr>
      <w:r w:rsidRPr="007D0FD1">
        <w:rPr>
          <w:snapToGrid w:val="0"/>
        </w:rPr>
        <w:t xml:space="preserve">While the benchmark prices might be an annual amount, the </w:t>
      </w:r>
      <w:r w:rsidR="00785459">
        <w:rPr>
          <w:snapToGrid w:val="0"/>
        </w:rPr>
        <w:t>NDIA</w:t>
      </w:r>
      <w:r w:rsidRPr="007D0FD1">
        <w:rPr>
          <w:snapToGrid w:val="0"/>
        </w:rPr>
        <w:t xml:space="preserve"> would have flexibility in determining the payment schedule for instalments through the year. The</w:t>
      </w:r>
      <w:r w:rsidR="000B5495">
        <w:rPr>
          <w:snapToGrid w:val="0"/>
        </w:rPr>
        <w:t> </w:t>
      </w:r>
      <w:r w:rsidR="00785459">
        <w:rPr>
          <w:snapToGrid w:val="0"/>
        </w:rPr>
        <w:t>NDIA</w:t>
      </w:r>
      <w:r w:rsidRPr="007D0FD1">
        <w:rPr>
          <w:snapToGrid w:val="0"/>
        </w:rPr>
        <w:t xml:space="preserve"> (in consultation with the participant) would decide whether payments are made directly to the accommodation provider, or to the participant who would then pay the accommodation provider.</w:t>
      </w:r>
      <w:r w:rsidR="009B6F57" w:rsidRPr="007D0FD1">
        <w:rPr>
          <w:snapToGrid w:val="0"/>
        </w:rPr>
        <w:t xml:space="preserve"> The </w:t>
      </w:r>
      <w:r w:rsidR="00785459">
        <w:rPr>
          <w:snapToGrid w:val="0"/>
        </w:rPr>
        <w:t>NDIA</w:t>
      </w:r>
      <w:r w:rsidR="009B6F57" w:rsidRPr="007D0FD1">
        <w:rPr>
          <w:snapToGrid w:val="0"/>
        </w:rPr>
        <w:t xml:space="preserve"> contribution for </w:t>
      </w:r>
      <w:r w:rsidR="000B5495">
        <w:rPr>
          <w:snapToGrid w:val="0"/>
        </w:rPr>
        <w:t>SDA</w:t>
      </w:r>
      <w:r w:rsidR="009B6F57" w:rsidRPr="007D0FD1">
        <w:rPr>
          <w:snapToGrid w:val="0"/>
        </w:rPr>
        <w:t xml:space="preserve"> will flow for as long at the participant lives in the </w:t>
      </w:r>
      <w:r w:rsidR="000B5495">
        <w:rPr>
          <w:snapToGrid w:val="0"/>
        </w:rPr>
        <w:t>SDA</w:t>
      </w:r>
      <w:r w:rsidR="009B6F57" w:rsidRPr="007D0FD1">
        <w:rPr>
          <w:snapToGrid w:val="0"/>
        </w:rPr>
        <w:t xml:space="preserve">. </w:t>
      </w:r>
    </w:p>
    <w:p w14:paraId="02442903" w14:textId="77777777" w:rsidR="00FA11F6" w:rsidRPr="007D0FD1" w:rsidRDefault="00FA11F6" w:rsidP="00FA11F6">
      <w:pPr>
        <w:rPr>
          <w:snapToGrid w:val="0"/>
        </w:rPr>
      </w:pPr>
    </w:p>
    <w:p w14:paraId="0BE5FC95" w14:textId="77777777" w:rsidR="00A7461F" w:rsidRPr="007D0FD1" w:rsidRDefault="00A7461F" w:rsidP="00A7461F">
      <w:pPr>
        <w:pStyle w:val="Heading2"/>
        <w:rPr>
          <w:rFonts w:cs="Arial"/>
          <w:snapToGrid w:val="0"/>
        </w:rPr>
      </w:pPr>
      <w:bookmarkStart w:id="50" w:name="_Toc428792253"/>
      <w:bookmarkStart w:id="51" w:name="_Toc429404573"/>
      <w:bookmarkStart w:id="52" w:name="_Toc531633300"/>
      <w:bookmarkStart w:id="53" w:name="_Toc38548368"/>
      <w:r w:rsidRPr="007D0FD1">
        <w:rPr>
          <w:rFonts w:cs="Arial"/>
          <w:snapToGrid w:val="0"/>
        </w:rPr>
        <w:t>Payment of the consumption costs</w:t>
      </w:r>
      <w:bookmarkEnd w:id="50"/>
      <w:r w:rsidRPr="007D0FD1">
        <w:rPr>
          <w:rFonts w:cs="Arial"/>
          <w:snapToGrid w:val="0"/>
        </w:rPr>
        <w:t xml:space="preserve"> component of the benchmark price</w:t>
      </w:r>
      <w:bookmarkEnd w:id="51"/>
      <w:bookmarkEnd w:id="52"/>
      <w:bookmarkEnd w:id="53"/>
    </w:p>
    <w:p w14:paraId="1117A538" w14:textId="77777777" w:rsidR="00A7461F" w:rsidRPr="007D0FD1" w:rsidRDefault="00A7461F">
      <w:pPr>
        <w:pStyle w:val="ListParagraph"/>
        <w:rPr>
          <w:snapToGrid w:val="0"/>
        </w:rPr>
      </w:pPr>
      <w:r w:rsidRPr="007D0FD1">
        <w:rPr>
          <w:snapToGrid w:val="0"/>
        </w:rPr>
        <w:t xml:space="preserve">The payment of the consumption costs component of the benchmark price would cease after the initial life of the building, recognising that replacement costs have been provided over the life of the building. </w:t>
      </w:r>
    </w:p>
    <w:p w14:paraId="532A0B95" w14:textId="77777777" w:rsidR="00A7461F" w:rsidRPr="007D0FD1" w:rsidRDefault="00A7461F" w:rsidP="00A7461F">
      <w:pPr>
        <w:tabs>
          <w:tab w:val="left" w:pos="6360"/>
        </w:tabs>
        <w:rPr>
          <w:rFonts w:cs="Arial"/>
          <w:snapToGrid w:val="0"/>
        </w:rPr>
      </w:pPr>
    </w:p>
    <w:p w14:paraId="0F0B3134" w14:textId="77777777" w:rsidR="00A7461F" w:rsidRPr="007D0FD1" w:rsidRDefault="00A7461F">
      <w:pPr>
        <w:pStyle w:val="ListParagraph"/>
        <w:rPr>
          <w:snapToGrid w:val="0"/>
        </w:rPr>
      </w:pPr>
      <w:r w:rsidRPr="007D0FD1">
        <w:rPr>
          <w:snapToGrid w:val="0"/>
        </w:rPr>
        <w:t xml:space="preserve">The </w:t>
      </w:r>
      <w:r w:rsidR="00785459">
        <w:rPr>
          <w:snapToGrid w:val="0"/>
        </w:rPr>
        <w:t>NDIA</w:t>
      </w:r>
      <w:r w:rsidRPr="007D0FD1">
        <w:rPr>
          <w:snapToGrid w:val="0"/>
        </w:rPr>
        <w:t xml:space="preserve"> will reset the period for the reasonable initial life in respect of a specific dwelling that is replaced or which the </w:t>
      </w:r>
      <w:r w:rsidR="00785459">
        <w:rPr>
          <w:snapToGrid w:val="0"/>
        </w:rPr>
        <w:t>NDIA</w:t>
      </w:r>
      <w:r w:rsidRPr="007D0FD1">
        <w:rPr>
          <w:snapToGrid w:val="0"/>
        </w:rPr>
        <w:t xml:space="preserve"> determines as having been substantially upgraded</w:t>
      </w:r>
      <w:r w:rsidR="00B64B01" w:rsidRPr="007E2C1F">
        <w:rPr>
          <w:snapToGrid w:val="0"/>
        </w:rPr>
        <w:t xml:space="preserve"> or which is of a form that warrants ongoing funding for consumption costs</w:t>
      </w:r>
      <w:r w:rsidRPr="007D0FD1">
        <w:rPr>
          <w:snapToGrid w:val="0"/>
        </w:rPr>
        <w:t xml:space="preserve">. The </w:t>
      </w:r>
      <w:r w:rsidR="00785459">
        <w:rPr>
          <w:snapToGrid w:val="0"/>
        </w:rPr>
        <w:t>NDIA</w:t>
      </w:r>
      <w:r w:rsidRPr="007D0FD1">
        <w:rPr>
          <w:snapToGrid w:val="0"/>
        </w:rPr>
        <w:t xml:space="preserve"> will create a mechanism whereby accommodation providers can advise the </w:t>
      </w:r>
      <w:r w:rsidR="00785459">
        <w:rPr>
          <w:snapToGrid w:val="0"/>
        </w:rPr>
        <w:t>NDIA</w:t>
      </w:r>
      <w:r w:rsidRPr="007D0FD1">
        <w:rPr>
          <w:snapToGrid w:val="0"/>
        </w:rPr>
        <w:t xml:space="preserve"> of, and the </w:t>
      </w:r>
      <w:r w:rsidR="00785459">
        <w:rPr>
          <w:snapToGrid w:val="0"/>
        </w:rPr>
        <w:t>NDIA</w:t>
      </w:r>
      <w:r w:rsidRPr="007D0FD1">
        <w:rPr>
          <w:snapToGrid w:val="0"/>
        </w:rPr>
        <w:t xml:space="preserve"> can confirm substantial upgrades and replacements. </w:t>
      </w:r>
    </w:p>
    <w:p w14:paraId="3B6B606C" w14:textId="77777777" w:rsidR="00A7461F" w:rsidRPr="007D0FD1" w:rsidRDefault="00A7461F" w:rsidP="00A7461F">
      <w:pPr>
        <w:rPr>
          <w:snapToGrid w:val="0"/>
        </w:rPr>
      </w:pPr>
    </w:p>
    <w:p w14:paraId="215EE27B" w14:textId="0F893783" w:rsidR="00A7461F" w:rsidRPr="007E2C1F" w:rsidRDefault="00A7461F">
      <w:pPr>
        <w:pStyle w:val="ListParagraph"/>
        <w:rPr>
          <w:snapToGrid w:val="0"/>
        </w:rPr>
      </w:pPr>
      <w:r w:rsidRPr="007D0FD1">
        <w:rPr>
          <w:snapToGrid w:val="0"/>
        </w:rPr>
        <w:lastRenderedPageBreak/>
        <w:t xml:space="preserve">The </w:t>
      </w:r>
      <w:r w:rsidR="00785459">
        <w:rPr>
          <w:snapToGrid w:val="0"/>
        </w:rPr>
        <w:t>NDIA</w:t>
      </w:r>
      <w:r w:rsidRPr="007D0FD1">
        <w:rPr>
          <w:snapToGrid w:val="0"/>
        </w:rPr>
        <w:t xml:space="preserve"> will determine the remaining dwelling life of state or territory managed or</w:t>
      </w:r>
      <w:r w:rsidR="000B5495">
        <w:rPr>
          <w:snapToGrid w:val="0"/>
        </w:rPr>
        <w:t> </w:t>
      </w:r>
      <w:r w:rsidRPr="007D0FD1">
        <w:rPr>
          <w:snapToGrid w:val="0"/>
        </w:rPr>
        <w:t>funded supported accommodation dwellings in a location rolled into the NDIS.</w:t>
      </w:r>
    </w:p>
    <w:p w14:paraId="50235AF4" w14:textId="77777777" w:rsidR="00B64B01" w:rsidRPr="007E2C1F" w:rsidRDefault="00B64B01" w:rsidP="007E2C1F">
      <w:pPr>
        <w:rPr>
          <w:snapToGrid w:val="0"/>
        </w:rPr>
      </w:pPr>
    </w:p>
    <w:p w14:paraId="77652D69" w14:textId="77777777" w:rsidR="00B64B01" w:rsidRPr="007D0FD1" w:rsidRDefault="00B64B01">
      <w:pPr>
        <w:pStyle w:val="ListParagraph"/>
        <w:rPr>
          <w:snapToGrid w:val="0"/>
        </w:rPr>
      </w:pPr>
      <w:r w:rsidRPr="007E2C1F">
        <w:rPr>
          <w:snapToGrid w:val="0"/>
        </w:rPr>
        <w:t xml:space="preserve">The </w:t>
      </w:r>
      <w:r w:rsidR="00785459">
        <w:rPr>
          <w:snapToGrid w:val="0"/>
        </w:rPr>
        <w:t>NDIA</w:t>
      </w:r>
      <w:r w:rsidRPr="007E2C1F">
        <w:rPr>
          <w:snapToGrid w:val="0"/>
        </w:rPr>
        <w:t xml:space="preserve"> will develop a framework for assessing the useful life of a building. This will include reference to quality and standards, and other factors as deemed appropriate by the </w:t>
      </w:r>
      <w:r w:rsidR="00785459">
        <w:rPr>
          <w:snapToGrid w:val="0"/>
        </w:rPr>
        <w:t>NDIA</w:t>
      </w:r>
      <w:r w:rsidRPr="007E2C1F">
        <w:rPr>
          <w:snapToGrid w:val="0"/>
        </w:rPr>
        <w:t>.</w:t>
      </w:r>
    </w:p>
    <w:p w14:paraId="7F8C0F20" w14:textId="77777777" w:rsidR="00A7461F" w:rsidRPr="007D0FD1" w:rsidRDefault="00A7461F" w:rsidP="00A7461F">
      <w:pPr>
        <w:rPr>
          <w:snapToGrid w:val="0"/>
        </w:rPr>
      </w:pPr>
    </w:p>
    <w:p w14:paraId="3B2D33BD" w14:textId="5BA6EB1D" w:rsidR="00A7461F" w:rsidRPr="007D0FD1" w:rsidRDefault="00A7461F" w:rsidP="00A7461F">
      <w:pPr>
        <w:pBdr>
          <w:top w:val="single" w:sz="4" w:space="1" w:color="auto"/>
          <w:left w:val="single" w:sz="4" w:space="4" w:color="auto"/>
          <w:bottom w:val="single" w:sz="4" w:space="1" w:color="auto"/>
          <w:right w:val="single" w:sz="4" w:space="4" w:color="auto"/>
        </w:pBdr>
        <w:tabs>
          <w:tab w:val="left" w:pos="6360"/>
        </w:tabs>
        <w:ind w:left="360"/>
        <w:rPr>
          <w:rFonts w:cs="Arial"/>
          <w:snapToGrid w:val="0"/>
        </w:rPr>
      </w:pPr>
      <w:r w:rsidRPr="007D0FD1">
        <w:rPr>
          <w:rFonts w:cs="Arial"/>
          <w:snapToGrid w:val="0"/>
        </w:rPr>
        <w:t xml:space="preserve">For example, consider the case of a 20 year old dwelling that transitioned to the scheme, in the situation where the </w:t>
      </w:r>
      <w:r w:rsidR="00785459">
        <w:rPr>
          <w:rFonts w:cs="Arial"/>
          <w:snapToGrid w:val="0"/>
        </w:rPr>
        <w:t>NDIA</w:t>
      </w:r>
      <w:r w:rsidRPr="007D0FD1">
        <w:rPr>
          <w:rFonts w:cs="Arial"/>
          <w:snapToGrid w:val="0"/>
        </w:rPr>
        <w:t xml:space="preserve"> had determined that a reasonable dwelling life was 40</w:t>
      </w:r>
      <w:r w:rsidR="000B5495">
        <w:rPr>
          <w:rFonts w:cs="Arial"/>
          <w:snapToGrid w:val="0"/>
        </w:rPr>
        <w:t> </w:t>
      </w:r>
      <w:r w:rsidRPr="007D0FD1">
        <w:rPr>
          <w:rFonts w:cs="Arial"/>
          <w:snapToGrid w:val="0"/>
        </w:rPr>
        <w:t xml:space="preserve">years. In this case, the </w:t>
      </w:r>
      <w:r w:rsidR="00785459">
        <w:rPr>
          <w:rFonts w:cs="Arial"/>
          <w:snapToGrid w:val="0"/>
        </w:rPr>
        <w:t>NDIA</w:t>
      </w:r>
      <w:r w:rsidRPr="007D0FD1">
        <w:rPr>
          <w:rFonts w:cs="Arial"/>
          <w:snapToGrid w:val="0"/>
        </w:rPr>
        <w:t xml:space="preserve"> would pay one fortieth of the consumption component of</w:t>
      </w:r>
      <w:r w:rsidR="000B5495">
        <w:rPr>
          <w:rFonts w:cs="Arial"/>
          <w:snapToGrid w:val="0"/>
        </w:rPr>
        <w:t> </w:t>
      </w:r>
      <w:r w:rsidRPr="007D0FD1">
        <w:rPr>
          <w:rFonts w:cs="Arial"/>
          <w:snapToGrid w:val="0"/>
        </w:rPr>
        <w:t xml:space="preserve">the benchmark price for the next 20 years. </w:t>
      </w:r>
    </w:p>
    <w:p w14:paraId="5026AFE7" w14:textId="77777777" w:rsidR="00A7461F" w:rsidRPr="007D0FD1" w:rsidRDefault="00A7461F" w:rsidP="00A7461F">
      <w:pPr>
        <w:pBdr>
          <w:top w:val="single" w:sz="4" w:space="1" w:color="auto"/>
          <w:left w:val="single" w:sz="4" w:space="4" w:color="auto"/>
          <w:bottom w:val="single" w:sz="4" w:space="1" w:color="auto"/>
          <w:right w:val="single" w:sz="4" w:space="4" w:color="auto"/>
        </w:pBdr>
        <w:tabs>
          <w:tab w:val="left" w:pos="6360"/>
        </w:tabs>
        <w:ind w:left="360"/>
        <w:rPr>
          <w:rFonts w:cs="Arial"/>
          <w:snapToGrid w:val="0"/>
        </w:rPr>
      </w:pPr>
    </w:p>
    <w:p w14:paraId="77370D60" w14:textId="77777777" w:rsidR="00A7461F" w:rsidRPr="007D0FD1" w:rsidRDefault="00A7461F" w:rsidP="00A7461F">
      <w:pPr>
        <w:pBdr>
          <w:top w:val="single" w:sz="4" w:space="1" w:color="auto"/>
          <w:left w:val="single" w:sz="4" w:space="4" w:color="auto"/>
          <w:bottom w:val="single" w:sz="4" w:space="1" w:color="auto"/>
          <w:right w:val="single" w:sz="4" w:space="4" w:color="auto"/>
        </w:pBdr>
        <w:tabs>
          <w:tab w:val="left" w:pos="6360"/>
        </w:tabs>
        <w:ind w:left="360"/>
        <w:rPr>
          <w:rFonts w:cs="Arial"/>
          <w:snapToGrid w:val="0"/>
        </w:rPr>
      </w:pPr>
      <w:r w:rsidRPr="007D0FD1">
        <w:rPr>
          <w:rFonts w:cs="Arial"/>
          <w:snapToGrid w:val="0"/>
        </w:rPr>
        <w:t xml:space="preserve">If at the end of those 20 years, the accommodation provider replaced or substantially upgraded the dwelling, with the </w:t>
      </w:r>
      <w:r w:rsidR="00785459">
        <w:rPr>
          <w:rFonts w:cs="Arial"/>
          <w:snapToGrid w:val="0"/>
        </w:rPr>
        <w:t>NDIA</w:t>
      </w:r>
      <w:r w:rsidRPr="007D0FD1">
        <w:rPr>
          <w:rFonts w:cs="Arial"/>
          <w:snapToGrid w:val="0"/>
        </w:rPr>
        <w:t>’s agreement, it would receive the consumption component of the benchmark price for a further 40 years.</w:t>
      </w:r>
    </w:p>
    <w:p w14:paraId="160921A0" w14:textId="7245F5CE" w:rsidR="00AF5648" w:rsidRPr="007D0FD1" w:rsidRDefault="00961CD0">
      <w:pPr>
        <w:pStyle w:val="Heading2"/>
        <w:rPr>
          <w:rFonts w:cs="Arial"/>
          <w:snapToGrid w:val="0"/>
        </w:rPr>
      </w:pPr>
      <w:bookmarkStart w:id="54" w:name="_Toc428792252"/>
      <w:bookmarkStart w:id="55" w:name="_Toc429404574"/>
      <w:r>
        <w:rPr>
          <w:rFonts w:cs="Arial"/>
          <w:snapToGrid w:val="0"/>
        </w:rPr>
        <w:br/>
      </w:r>
      <w:bookmarkStart w:id="56" w:name="_Toc531633301"/>
      <w:bookmarkStart w:id="57" w:name="_Toc38548369"/>
      <w:r w:rsidR="00785459">
        <w:rPr>
          <w:rFonts w:cs="Arial"/>
          <w:snapToGrid w:val="0"/>
        </w:rPr>
        <w:t>NDIA</w:t>
      </w:r>
      <w:r w:rsidR="00AF5648" w:rsidRPr="007D0FD1">
        <w:rPr>
          <w:rFonts w:cs="Arial"/>
          <w:snapToGrid w:val="0"/>
        </w:rPr>
        <w:t xml:space="preserve"> has the capacity to pay more in exceptional circumstances</w:t>
      </w:r>
      <w:bookmarkEnd w:id="54"/>
      <w:bookmarkEnd w:id="55"/>
      <w:bookmarkEnd w:id="56"/>
      <w:bookmarkEnd w:id="57"/>
    </w:p>
    <w:p w14:paraId="775BB370" w14:textId="03575289" w:rsidR="00AF5648" w:rsidRPr="007D0FD1" w:rsidRDefault="00AF5648">
      <w:pPr>
        <w:pStyle w:val="ListParagraph"/>
        <w:rPr>
          <w:snapToGrid w:val="0"/>
        </w:rPr>
      </w:pPr>
      <w:r w:rsidRPr="007D0FD1">
        <w:rPr>
          <w:snapToGrid w:val="0"/>
        </w:rPr>
        <w:t xml:space="preserve">The </w:t>
      </w:r>
      <w:r w:rsidR="00785459">
        <w:rPr>
          <w:snapToGrid w:val="0"/>
        </w:rPr>
        <w:t>NDIA</w:t>
      </w:r>
      <w:r w:rsidRPr="007D0FD1">
        <w:rPr>
          <w:snapToGrid w:val="0"/>
        </w:rPr>
        <w:t xml:space="preserve"> has the capacity to pay more than the benchmark price where it</w:t>
      </w:r>
      <w:r w:rsidR="000B5495">
        <w:rPr>
          <w:snapToGrid w:val="0"/>
        </w:rPr>
        <w:t> </w:t>
      </w:r>
      <w:r w:rsidRPr="007D0FD1">
        <w:rPr>
          <w:snapToGrid w:val="0"/>
        </w:rPr>
        <w:t xml:space="preserve">determines that compelling and exceptional circumstances exist that substantially affect the costs </w:t>
      </w:r>
      <w:r w:rsidR="00B72445" w:rsidRPr="007D0FD1">
        <w:rPr>
          <w:snapToGrid w:val="0"/>
        </w:rPr>
        <w:t>to</w:t>
      </w:r>
      <w:r w:rsidRPr="007D0FD1">
        <w:rPr>
          <w:snapToGrid w:val="0"/>
        </w:rPr>
        <w:t xml:space="preserve"> the accommodation provider, in respect of a particular participant. </w:t>
      </w:r>
    </w:p>
    <w:p w14:paraId="13FFD85C" w14:textId="77777777" w:rsidR="00AF5648" w:rsidRPr="007D0FD1" w:rsidRDefault="00AF5648" w:rsidP="00AF5648">
      <w:pPr>
        <w:tabs>
          <w:tab w:val="left" w:pos="6360"/>
        </w:tabs>
        <w:rPr>
          <w:rFonts w:cs="Arial"/>
          <w:snapToGrid w:val="0"/>
        </w:rPr>
      </w:pPr>
    </w:p>
    <w:p w14:paraId="591C00E3" w14:textId="77777777" w:rsidR="00AF5648" w:rsidRPr="007D0FD1" w:rsidRDefault="00AF5648">
      <w:pPr>
        <w:pStyle w:val="ListParagraph"/>
        <w:rPr>
          <w:snapToGrid w:val="0"/>
        </w:rPr>
      </w:pPr>
      <w:r w:rsidRPr="007D0FD1">
        <w:rPr>
          <w:snapToGrid w:val="0"/>
        </w:rPr>
        <w:t xml:space="preserve">The </w:t>
      </w:r>
      <w:r w:rsidR="00785459">
        <w:rPr>
          <w:snapToGrid w:val="0"/>
        </w:rPr>
        <w:t>NDIA</w:t>
      </w:r>
      <w:r w:rsidRPr="007D0FD1">
        <w:rPr>
          <w:snapToGrid w:val="0"/>
        </w:rPr>
        <w:t xml:space="preserve"> will determine what payments are made in excess of the benchmark price, and for how long.</w:t>
      </w:r>
    </w:p>
    <w:p w14:paraId="225AD889" w14:textId="77777777" w:rsidR="00AF5648" w:rsidRPr="007D0FD1" w:rsidRDefault="00AF5648" w:rsidP="00FA11F6">
      <w:pPr>
        <w:rPr>
          <w:snapToGrid w:val="0"/>
        </w:rPr>
      </w:pPr>
    </w:p>
    <w:p w14:paraId="1231D1F8" w14:textId="77777777" w:rsidR="00FB0C1C" w:rsidRPr="007D0FD1" w:rsidRDefault="00A006D0" w:rsidP="009246DC">
      <w:pPr>
        <w:pStyle w:val="Heading1"/>
        <w:rPr>
          <w:rFonts w:cs="Arial"/>
          <w:lang w:eastAsia="en-US"/>
        </w:rPr>
      </w:pPr>
      <w:bookmarkStart w:id="58" w:name="_Toc429404575"/>
      <w:bookmarkStart w:id="59" w:name="_Toc531633302"/>
      <w:bookmarkStart w:id="60" w:name="_Toc38548370"/>
      <w:r w:rsidRPr="007D0FD1">
        <w:rPr>
          <w:rFonts w:cs="Arial"/>
          <w:lang w:eastAsia="en-US"/>
        </w:rPr>
        <w:t xml:space="preserve">Part 3 – </w:t>
      </w:r>
      <w:r w:rsidR="006A5C98" w:rsidRPr="007D0FD1">
        <w:rPr>
          <w:rFonts w:cs="Arial"/>
          <w:lang w:eastAsia="en-US"/>
        </w:rPr>
        <w:t>For whom in what circumstances</w:t>
      </w:r>
      <w:bookmarkEnd w:id="58"/>
      <w:bookmarkEnd w:id="59"/>
      <w:bookmarkEnd w:id="60"/>
    </w:p>
    <w:p w14:paraId="1C50D48A" w14:textId="00B7DCA4" w:rsidR="00A41E4D" w:rsidRPr="007D0FD1" w:rsidRDefault="00335F71" w:rsidP="00BE08E4">
      <w:pPr>
        <w:pStyle w:val="Heading2"/>
        <w:rPr>
          <w:rFonts w:cs="Arial"/>
          <w:snapToGrid w:val="0"/>
        </w:rPr>
      </w:pPr>
      <w:bookmarkStart w:id="61" w:name="_Toc429404576"/>
      <w:bookmarkStart w:id="62" w:name="_Toc531633303"/>
      <w:bookmarkStart w:id="63" w:name="_Toc38548371"/>
      <w:r w:rsidRPr="007D0FD1">
        <w:rPr>
          <w:rFonts w:cs="Arial"/>
          <w:snapToGrid w:val="0"/>
        </w:rPr>
        <w:t xml:space="preserve">Participants </w:t>
      </w:r>
      <w:r w:rsidR="00AE1D9C">
        <w:rPr>
          <w:rFonts w:cs="Arial"/>
          <w:snapToGrid w:val="0"/>
        </w:rPr>
        <w:t xml:space="preserve">with an extreme functional impairment and/or very high support needs </w:t>
      </w:r>
      <w:r w:rsidRPr="007D0FD1">
        <w:rPr>
          <w:rFonts w:cs="Arial"/>
          <w:snapToGrid w:val="0"/>
        </w:rPr>
        <w:t xml:space="preserve">for whom </w:t>
      </w:r>
      <w:r w:rsidR="002D28D7">
        <w:rPr>
          <w:rFonts w:cs="Arial"/>
          <w:snapToGrid w:val="0"/>
        </w:rPr>
        <w:t>SDA</w:t>
      </w:r>
      <w:r w:rsidRPr="007D0FD1">
        <w:rPr>
          <w:rFonts w:cs="Arial"/>
          <w:snapToGrid w:val="0"/>
        </w:rPr>
        <w:t xml:space="preserve"> is reasonable and necessary</w:t>
      </w:r>
      <w:bookmarkEnd w:id="61"/>
      <w:bookmarkEnd w:id="62"/>
      <w:bookmarkEnd w:id="63"/>
    </w:p>
    <w:p w14:paraId="63F66382" w14:textId="3B1A2164" w:rsidR="00A41E4D" w:rsidRPr="007D0FD1" w:rsidRDefault="002D28D7">
      <w:pPr>
        <w:pStyle w:val="ListParagraph"/>
      </w:pPr>
      <w:r>
        <w:t>The NDIS will support SDA</w:t>
      </w:r>
      <w:r w:rsidR="00A41E4D" w:rsidRPr="007D0FD1">
        <w:t>, including for:</w:t>
      </w:r>
    </w:p>
    <w:p w14:paraId="7E5466F6" w14:textId="77777777" w:rsidR="00A41E4D" w:rsidRPr="007D0FD1" w:rsidRDefault="00A41E4D" w:rsidP="00512422">
      <w:pPr>
        <w:pStyle w:val="ListParagraph"/>
        <w:numPr>
          <w:ilvl w:val="0"/>
          <w:numId w:val="20"/>
        </w:numPr>
        <w:rPr>
          <w:snapToGrid w:val="0"/>
        </w:rPr>
      </w:pPr>
      <w:r w:rsidRPr="007D0FD1">
        <w:rPr>
          <w:snapToGrid w:val="0"/>
        </w:rPr>
        <w:t>participants</w:t>
      </w:r>
      <w:r w:rsidR="00292D76" w:rsidRPr="00097DB5">
        <w:rPr>
          <w:snapToGrid w:val="0"/>
          <w:vertAlign w:val="superscript"/>
        </w:rPr>
        <w:footnoteReference w:id="4"/>
      </w:r>
      <w:r w:rsidR="00292D76" w:rsidRPr="007D0FD1">
        <w:rPr>
          <w:snapToGrid w:val="0"/>
        </w:rPr>
        <w:t xml:space="preserve"> </w:t>
      </w:r>
      <w:r w:rsidRPr="007D0FD1">
        <w:rPr>
          <w:snapToGrid w:val="0"/>
        </w:rPr>
        <w:t>in existing supported accommodation, such as group homes, large residential centres, cluster or village based accommodation;</w:t>
      </w:r>
    </w:p>
    <w:p w14:paraId="06FEEB6C" w14:textId="77777777" w:rsidR="00A41E4D" w:rsidRPr="007D0FD1" w:rsidRDefault="00A41E4D" w:rsidP="00512422">
      <w:pPr>
        <w:pStyle w:val="ListParagraph"/>
        <w:numPr>
          <w:ilvl w:val="0"/>
          <w:numId w:val="20"/>
        </w:numPr>
        <w:rPr>
          <w:snapToGrid w:val="0"/>
        </w:rPr>
      </w:pPr>
      <w:r w:rsidRPr="007D0FD1">
        <w:rPr>
          <w:snapToGrid w:val="0"/>
        </w:rPr>
        <w:t>participants who currently reside in a residential aged care facility; and</w:t>
      </w:r>
    </w:p>
    <w:p w14:paraId="7C9A520B" w14:textId="050D3017" w:rsidR="00A41E4D" w:rsidRPr="007D0FD1" w:rsidRDefault="00A41E4D">
      <w:pPr>
        <w:pStyle w:val="ListParagraph"/>
        <w:numPr>
          <w:ilvl w:val="0"/>
          <w:numId w:val="20"/>
        </w:numPr>
        <w:rPr>
          <w:snapToGrid w:val="0"/>
        </w:rPr>
      </w:pPr>
      <w:r w:rsidRPr="007D0FD1">
        <w:rPr>
          <w:snapToGrid w:val="0"/>
        </w:rPr>
        <w:t>participants who access alternative or innovative accommodation that is</w:t>
      </w:r>
      <w:r w:rsidR="000B5495">
        <w:rPr>
          <w:snapToGrid w:val="0"/>
        </w:rPr>
        <w:t> </w:t>
      </w:r>
      <w:r w:rsidRPr="007D0FD1">
        <w:rPr>
          <w:snapToGrid w:val="0"/>
        </w:rPr>
        <w:t xml:space="preserve">appropriate for people who require </w:t>
      </w:r>
      <w:r w:rsidR="002D28D7">
        <w:rPr>
          <w:snapToGrid w:val="0"/>
        </w:rPr>
        <w:t>SDA</w:t>
      </w:r>
      <w:r w:rsidR="008326E1" w:rsidRPr="007D0FD1">
        <w:rPr>
          <w:snapToGrid w:val="0"/>
        </w:rPr>
        <w:t xml:space="preserve"> </w:t>
      </w:r>
      <w:r w:rsidRPr="007D0FD1">
        <w:rPr>
          <w:snapToGrid w:val="0"/>
        </w:rPr>
        <w:t>to live independently, as determined by NDIA.</w:t>
      </w:r>
    </w:p>
    <w:p w14:paraId="474A5899" w14:textId="77777777" w:rsidR="00935675" w:rsidRPr="007D0FD1" w:rsidRDefault="00935675" w:rsidP="00935675">
      <w:pPr>
        <w:rPr>
          <w:snapToGrid w:val="0"/>
        </w:rPr>
      </w:pPr>
    </w:p>
    <w:p w14:paraId="0A35AEF1" w14:textId="6F9784C2" w:rsidR="00BE7B7D" w:rsidRPr="007D0FD1" w:rsidRDefault="00BE7B7D">
      <w:pPr>
        <w:pStyle w:val="ListParagraph"/>
      </w:pPr>
      <w:r w:rsidRPr="007D0FD1">
        <w:lastRenderedPageBreak/>
        <w:t xml:space="preserve">Funding to support participants who require </w:t>
      </w:r>
      <w:r w:rsidR="002D28D7">
        <w:t>SDA</w:t>
      </w:r>
      <w:r w:rsidRPr="007D0FD1">
        <w:t xml:space="preserve"> will be available, if it is reasonable and necessary, for:</w:t>
      </w:r>
    </w:p>
    <w:p w14:paraId="4885005C" w14:textId="67C8D954" w:rsidR="00BE7B7D" w:rsidRPr="007D0FD1" w:rsidRDefault="00BE7B7D" w:rsidP="00512422">
      <w:pPr>
        <w:pStyle w:val="ListParagraph"/>
        <w:numPr>
          <w:ilvl w:val="0"/>
          <w:numId w:val="20"/>
        </w:numPr>
        <w:rPr>
          <w:snapToGrid w:val="0"/>
        </w:rPr>
      </w:pPr>
      <w:r w:rsidRPr="007D0FD1">
        <w:rPr>
          <w:snapToGrid w:val="0"/>
        </w:rPr>
        <w:t xml:space="preserve">participants who are currently in </w:t>
      </w:r>
      <w:r w:rsidR="002D28D7">
        <w:rPr>
          <w:snapToGrid w:val="0"/>
        </w:rPr>
        <w:t>SDA</w:t>
      </w:r>
      <w:r w:rsidR="00236B19" w:rsidRPr="007D0FD1">
        <w:rPr>
          <w:snapToGrid w:val="0"/>
        </w:rPr>
        <w:t xml:space="preserve"> </w:t>
      </w:r>
      <w:r w:rsidRPr="007D0FD1">
        <w:rPr>
          <w:snapToGrid w:val="0"/>
        </w:rPr>
        <w:t>and wish to</w:t>
      </w:r>
      <w:r w:rsidR="000B5495">
        <w:rPr>
          <w:snapToGrid w:val="0"/>
        </w:rPr>
        <w:t> </w:t>
      </w:r>
      <w:r w:rsidRPr="007D0FD1">
        <w:rPr>
          <w:snapToGrid w:val="0"/>
        </w:rPr>
        <w:t>stay there;</w:t>
      </w:r>
    </w:p>
    <w:p w14:paraId="316B94BA" w14:textId="5FB2CD3F" w:rsidR="00BE7B7D" w:rsidRPr="007D0FD1" w:rsidRDefault="00BE7B7D" w:rsidP="00512422">
      <w:pPr>
        <w:pStyle w:val="ListParagraph"/>
        <w:numPr>
          <w:ilvl w:val="0"/>
          <w:numId w:val="20"/>
        </w:numPr>
        <w:rPr>
          <w:snapToGrid w:val="0"/>
        </w:rPr>
      </w:pPr>
      <w:r w:rsidRPr="007D0FD1">
        <w:rPr>
          <w:snapToGrid w:val="0"/>
        </w:rPr>
        <w:t xml:space="preserve">participants who are currently in </w:t>
      </w:r>
      <w:r w:rsidR="002D28D7">
        <w:rPr>
          <w:snapToGrid w:val="0"/>
        </w:rPr>
        <w:t>SDA</w:t>
      </w:r>
      <w:r w:rsidR="00236B19" w:rsidRPr="007D0FD1">
        <w:rPr>
          <w:snapToGrid w:val="0"/>
        </w:rPr>
        <w:t xml:space="preserve"> </w:t>
      </w:r>
      <w:r w:rsidRPr="007D0FD1">
        <w:rPr>
          <w:snapToGrid w:val="0"/>
        </w:rPr>
        <w:t>who wish to</w:t>
      </w:r>
      <w:r w:rsidR="000B5495">
        <w:rPr>
          <w:snapToGrid w:val="0"/>
        </w:rPr>
        <w:t> </w:t>
      </w:r>
      <w:r w:rsidRPr="007D0FD1">
        <w:rPr>
          <w:snapToGrid w:val="0"/>
        </w:rPr>
        <w:t xml:space="preserve">explore options to change their accommodation arrangements; and </w:t>
      </w:r>
    </w:p>
    <w:p w14:paraId="07356C1B" w14:textId="20DC477C" w:rsidR="00BE7B7D" w:rsidRPr="007D0FD1" w:rsidRDefault="00BE7B7D">
      <w:pPr>
        <w:pStyle w:val="ListParagraph"/>
        <w:numPr>
          <w:ilvl w:val="0"/>
          <w:numId w:val="20"/>
        </w:numPr>
        <w:rPr>
          <w:snapToGrid w:val="0"/>
        </w:rPr>
      </w:pPr>
      <w:r w:rsidRPr="007D0FD1">
        <w:rPr>
          <w:snapToGrid w:val="0"/>
        </w:rPr>
        <w:t xml:space="preserve">over time, participants </w:t>
      </w:r>
      <w:r w:rsidR="00AE1D9C">
        <w:rPr>
          <w:snapToGrid w:val="0"/>
        </w:rPr>
        <w:t xml:space="preserve">with an extreme functional impairment and/or very high support needs </w:t>
      </w:r>
      <w:r w:rsidRPr="007D0FD1">
        <w:rPr>
          <w:snapToGrid w:val="0"/>
        </w:rPr>
        <w:t xml:space="preserve">who are not currently in </w:t>
      </w:r>
      <w:r w:rsidR="002D28D7">
        <w:rPr>
          <w:snapToGrid w:val="0"/>
        </w:rPr>
        <w:t>SDA</w:t>
      </w:r>
      <w:r w:rsidRPr="007D0FD1">
        <w:rPr>
          <w:snapToGrid w:val="0"/>
        </w:rPr>
        <w:t>, but</w:t>
      </w:r>
      <w:r w:rsidR="000B5495">
        <w:rPr>
          <w:snapToGrid w:val="0"/>
        </w:rPr>
        <w:t> </w:t>
      </w:r>
      <w:r w:rsidRPr="007D0FD1">
        <w:rPr>
          <w:snapToGrid w:val="0"/>
        </w:rPr>
        <w:t>for whom specialist disability housing would be reasonable and necessary, including participants whose circumstances change or who represent new or</w:t>
      </w:r>
      <w:r w:rsidR="000B5495">
        <w:rPr>
          <w:snapToGrid w:val="0"/>
        </w:rPr>
        <w:t> </w:t>
      </w:r>
      <w:r w:rsidRPr="007D0FD1">
        <w:rPr>
          <w:snapToGrid w:val="0"/>
        </w:rPr>
        <w:t>unmet demand</w:t>
      </w:r>
    </w:p>
    <w:p w14:paraId="2780F4B1" w14:textId="77777777" w:rsidR="00935675" w:rsidRDefault="00935675" w:rsidP="00935675">
      <w:pPr>
        <w:rPr>
          <w:snapToGrid w:val="0"/>
        </w:rPr>
      </w:pPr>
    </w:p>
    <w:p w14:paraId="1937FC93" w14:textId="37C96F6D" w:rsidR="00CF7846" w:rsidRDefault="00BE7B7D">
      <w:pPr>
        <w:pStyle w:val="ListParagraph"/>
      </w:pPr>
      <w:r w:rsidRPr="007D0FD1">
        <w:t xml:space="preserve">People currently residing in supported accommodation have already established, through State processes, a need for reasonable and necessary housing based supports, but </w:t>
      </w:r>
      <w:r w:rsidR="00236B19" w:rsidRPr="007D0FD1">
        <w:t xml:space="preserve">this </w:t>
      </w:r>
      <w:r w:rsidRPr="007D0FD1">
        <w:t>requires confirmation by the NDIA. It is envisaged that at</w:t>
      </w:r>
      <w:r w:rsidR="000B5495">
        <w:t> </w:t>
      </w:r>
      <w:r w:rsidRPr="007D0FD1">
        <w:t>a</w:t>
      </w:r>
      <w:r w:rsidR="000B5495">
        <w:t> </w:t>
      </w:r>
      <w:r w:rsidRPr="007D0FD1">
        <w:t xml:space="preserve">minimum, funding for </w:t>
      </w:r>
      <w:r w:rsidR="002D28D7">
        <w:t>SDA</w:t>
      </w:r>
      <w:r w:rsidR="00236B19" w:rsidRPr="007D0FD1">
        <w:t xml:space="preserve"> </w:t>
      </w:r>
      <w:r w:rsidRPr="007D0FD1">
        <w:t>will fund current clients in the existing stock of supported accommodation</w:t>
      </w:r>
      <w:r w:rsidR="00C8268F">
        <w:t xml:space="preserve">.  </w:t>
      </w:r>
    </w:p>
    <w:p w14:paraId="13E157D1" w14:textId="77777777" w:rsidR="00CF7846" w:rsidRDefault="00CF7846" w:rsidP="00E626CB">
      <w:pPr>
        <w:ind w:left="720"/>
      </w:pPr>
    </w:p>
    <w:p w14:paraId="46F29A2F" w14:textId="60238E07" w:rsidR="00BE7B7D" w:rsidRPr="007D0FD1" w:rsidRDefault="00C8268F">
      <w:pPr>
        <w:pStyle w:val="ListParagraph"/>
      </w:pPr>
      <w:r>
        <w:t>Young</w:t>
      </w:r>
      <w:r w:rsidR="003A2262">
        <w:t>er</w:t>
      </w:r>
      <w:r>
        <w:t xml:space="preserve"> people in residential aged care and </w:t>
      </w:r>
      <w:r w:rsidR="00BE7B7D" w:rsidRPr="007D0FD1">
        <w:t>participants deemed eligible from existing waiting lists for which support would be reasonable and necessary would be</w:t>
      </w:r>
      <w:r w:rsidR="000B5495">
        <w:t> </w:t>
      </w:r>
      <w:r w:rsidR="00BE7B7D" w:rsidRPr="007D0FD1">
        <w:t>given priority</w:t>
      </w:r>
      <w:r w:rsidR="003E515A">
        <w:t xml:space="preserve"> for funding</w:t>
      </w:r>
      <w:r w:rsidR="00BE7B7D" w:rsidRPr="007D0FD1">
        <w:t>.</w:t>
      </w:r>
    </w:p>
    <w:p w14:paraId="6411CBD2" w14:textId="77777777" w:rsidR="00BE7B7D" w:rsidRPr="007D0FD1" w:rsidRDefault="00BE7B7D" w:rsidP="007E2C1F">
      <w:pPr>
        <w:ind w:left="360"/>
      </w:pPr>
    </w:p>
    <w:p w14:paraId="19C533D3" w14:textId="779F18DD" w:rsidR="00FA11F6" w:rsidRPr="007D0FD1" w:rsidRDefault="00FA11F6">
      <w:pPr>
        <w:pStyle w:val="ListParagraph"/>
        <w:rPr>
          <w:snapToGrid w:val="0"/>
        </w:rPr>
      </w:pPr>
      <w:r w:rsidRPr="007D0FD1">
        <w:rPr>
          <w:snapToGrid w:val="0"/>
        </w:rPr>
        <w:t xml:space="preserve">The </w:t>
      </w:r>
      <w:r w:rsidR="00785459">
        <w:rPr>
          <w:snapToGrid w:val="0"/>
        </w:rPr>
        <w:t>NDIA</w:t>
      </w:r>
      <w:r w:rsidRPr="007D0FD1">
        <w:rPr>
          <w:snapToGrid w:val="0"/>
        </w:rPr>
        <w:t xml:space="preserve"> will determine the participants for whom </w:t>
      </w:r>
      <w:r w:rsidR="000B5495">
        <w:rPr>
          <w:snapToGrid w:val="0"/>
        </w:rPr>
        <w:t xml:space="preserve">SDA </w:t>
      </w:r>
      <w:r w:rsidRPr="007D0FD1">
        <w:rPr>
          <w:snapToGrid w:val="0"/>
        </w:rPr>
        <w:t>is reasonable and necessary</w:t>
      </w:r>
      <w:r w:rsidR="00AE6B56">
        <w:rPr>
          <w:snapToGrid w:val="0"/>
        </w:rPr>
        <w:t xml:space="preserve">.  This will be done by reference two sets of criteria (noting that </w:t>
      </w:r>
      <w:r w:rsidR="00604611">
        <w:rPr>
          <w:snapToGrid w:val="0"/>
        </w:rPr>
        <w:t xml:space="preserve">both sets might apply to the same </w:t>
      </w:r>
      <w:r w:rsidR="00AE6B56">
        <w:rPr>
          <w:snapToGrid w:val="0"/>
        </w:rPr>
        <w:t>participant</w:t>
      </w:r>
      <w:r w:rsidR="00604611">
        <w:rPr>
          <w:snapToGrid w:val="0"/>
        </w:rPr>
        <w:t>)</w:t>
      </w:r>
      <w:r w:rsidRPr="007D0FD1">
        <w:rPr>
          <w:snapToGrid w:val="0"/>
        </w:rPr>
        <w:t>:</w:t>
      </w:r>
      <w:r w:rsidRPr="007D0FD1">
        <w:rPr>
          <w:snapToGrid w:val="0"/>
        </w:rPr>
        <w:br/>
      </w:r>
    </w:p>
    <w:p w14:paraId="3D61D4C8" w14:textId="005665BE" w:rsidR="00685678" w:rsidRPr="007D0FD1" w:rsidRDefault="00604611" w:rsidP="00512422">
      <w:pPr>
        <w:pStyle w:val="ListParagraph"/>
        <w:numPr>
          <w:ilvl w:val="0"/>
          <w:numId w:val="20"/>
        </w:numPr>
        <w:rPr>
          <w:snapToGrid w:val="0"/>
        </w:rPr>
      </w:pPr>
      <w:r w:rsidRPr="00097DB5">
        <w:rPr>
          <w:snapToGrid w:val="0"/>
        </w:rPr>
        <w:t>Whether p</w:t>
      </w:r>
      <w:r w:rsidR="00685678" w:rsidRPr="00097DB5">
        <w:rPr>
          <w:snapToGrid w:val="0"/>
        </w:rPr>
        <w:t>articipants require a specialist built-form</w:t>
      </w:r>
      <w:r w:rsidR="00685678" w:rsidRPr="007D0FD1">
        <w:rPr>
          <w:snapToGrid w:val="0"/>
        </w:rPr>
        <w:t xml:space="preserve"> – </w:t>
      </w:r>
      <w:r>
        <w:rPr>
          <w:snapToGrid w:val="0"/>
        </w:rPr>
        <w:t xml:space="preserve">this criteria will identify participants </w:t>
      </w:r>
      <w:r w:rsidR="00822834" w:rsidRPr="007D0FD1">
        <w:rPr>
          <w:snapToGrid w:val="0"/>
        </w:rPr>
        <w:t>who</w:t>
      </w:r>
      <w:r w:rsidR="002D28D7">
        <w:rPr>
          <w:snapToGrid w:val="0"/>
        </w:rPr>
        <w:t xml:space="preserve"> need SDA</w:t>
      </w:r>
      <w:r w:rsidR="00685678" w:rsidRPr="007D0FD1">
        <w:rPr>
          <w:snapToGrid w:val="0"/>
        </w:rPr>
        <w:t xml:space="preserve"> because the physical, cognitive or psychosocial features of their disability requires housing with specific design, specialist features or amenity to enable them to live safely; and</w:t>
      </w:r>
      <w:r w:rsidR="00F4347E">
        <w:rPr>
          <w:snapToGrid w:val="0"/>
        </w:rPr>
        <w:t>/or</w:t>
      </w:r>
    </w:p>
    <w:p w14:paraId="6D2CE029" w14:textId="3A884596" w:rsidR="00685678" w:rsidRPr="007D0FD1" w:rsidRDefault="00604611" w:rsidP="00512422">
      <w:pPr>
        <w:pStyle w:val="ListParagraph"/>
        <w:numPr>
          <w:ilvl w:val="0"/>
          <w:numId w:val="20"/>
        </w:numPr>
        <w:rPr>
          <w:snapToGrid w:val="0"/>
        </w:rPr>
      </w:pPr>
      <w:r w:rsidRPr="00097DB5">
        <w:rPr>
          <w:snapToGrid w:val="0"/>
        </w:rPr>
        <w:t>Whether p</w:t>
      </w:r>
      <w:r w:rsidR="00685678" w:rsidRPr="00097DB5">
        <w:rPr>
          <w:snapToGrid w:val="0"/>
        </w:rPr>
        <w:t>articipants</w:t>
      </w:r>
      <w:r w:rsidR="00AE1D9C" w:rsidRPr="00097DB5">
        <w:rPr>
          <w:snapToGrid w:val="0"/>
        </w:rPr>
        <w:t>’</w:t>
      </w:r>
      <w:r w:rsidR="00685678" w:rsidRPr="00097DB5">
        <w:rPr>
          <w:snapToGrid w:val="0"/>
        </w:rPr>
        <w:t xml:space="preserve"> support needs </w:t>
      </w:r>
      <w:r w:rsidRPr="00097DB5">
        <w:rPr>
          <w:snapToGrid w:val="0"/>
        </w:rPr>
        <w:t>can only be met cost effectively by</w:t>
      </w:r>
      <w:r w:rsidR="000B5495">
        <w:rPr>
          <w:snapToGrid w:val="0"/>
        </w:rPr>
        <w:t> SDA</w:t>
      </w:r>
      <w:r>
        <w:rPr>
          <w:snapToGrid w:val="0"/>
        </w:rPr>
        <w:t xml:space="preserve"> </w:t>
      </w:r>
      <w:r w:rsidR="00685678" w:rsidRPr="007D0FD1">
        <w:rPr>
          <w:snapToGrid w:val="0"/>
        </w:rPr>
        <w:t xml:space="preserve">– </w:t>
      </w:r>
      <w:r>
        <w:rPr>
          <w:snapToGrid w:val="0"/>
        </w:rPr>
        <w:t xml:space="preserve">this criteria will identify participants </w:t>
      </w:r>
      <w:r w:rsidR="00822834" w:rsidRPr="007D0FD1">
        <w:rPr>
          <w:snapToGrid w:val="0"/>
        </w:rPr>
        <w:t>who</w:t>
      </w:r>
      <w:r w:rsidR="00685678" w:rsidRPr="007D0FD1">
        <w:rPr>
          <w:snapToGrid w:val="0"/>
        </w:rPr>
        <w:t xml:space="preserve"> need </w:t>
      </w:r>
      <w:r w:rsidR="000B5495">
        <w:rPr>
          <w:snapToGrid w:val="0"/>
        </w:rPr>
        <w:t xml:space="preserve">SDA </w:t>
      </w:r>
      <w:r w:rsidR="00685678" w:rsidRPr="007D0FD1">
        <w:rPr>
          <w:snapToGrid w:val="0"/>
        </w:rPr>
        <w:t>arrangement</w:t>
      </w:r>
      <w:r w:rsidR="00236B19" w:rsidRPr="007D0FD1">
        <w:rPr>
          <w:snapToGrid w:val="0"/>
        </w:rPr>
        <w:t>s</w:t>
      </w:r>
      <w:r w:rsidR="00685678" w:rsidRPr="007D0FD1">
        <w:rPr>
          <w:snapToGrid w:val="0"/>
        </w:rPr>
        <w:t xml:space="preserve"> because the </w:t>
      </w:r>
      <w:r w:rsidR="008326E1" w:rsidRPr="007D0FD1">
        <w:rPr>
          <w:snapToGrid w:val="0"/>
        </w:rPr>
        <w:t xml:space="preserve">nature </w:t>
      </w:r>
      <w:r w:rsidR="00685678" w:rsidRPr="007D0FD1">
        <w:rPr>
          <w:snapToGrid w:val="0"/>
        </w:rPr>
        <w:t>of their disability, and</w:t>
      </w:r>
      <w:r w:rsidR="000B5495">
        <w:rPr>
          <w:snapToGrid w:val="0"/>
        </w:rPr>
        <w:t> </w:t>
      </w:r>
      <w:r w:rsidR="00685678" w:rsidRPr="007D0FD1">
        <w:rPr>
          <w:snapToGrid w:val="0"/>
        </w:rPr>
        <w:t>limitations of their informal support network, mean</w:t>
      </w:r>
      <w:r w:rsidR="000B5495">
        <w:rPr>
          <w:snapToGrid w:val="0"/>
        </w:rPr>
        <w:t> </w:t>
      </w:r>
      <w:r w:rsidR="00685678" w:rsidRPr="007D0FD1">
        <w:rPr>
          <w:snapToGrid w:val="0"/>
        </w:rPr>
        <w:t>that their housing needs cannot currently be met in the community, or</w:t>
      </w:r>
      <w:r w:rsidR="000B5495">
        <w:rPr>
          <w:snapToGrid w:val="0"/>
        </w:rPr>
        <w:t> </w:t>
      </w:r>
      <w:r w:rsidR="00AE6B56">
        <w:rPr>
          <w:snapToGrid w:val="0"/>
        </w:rPr>
        <w:t>it</w:t>
      </w:r>
      <w:r w:rsidR="000B5495">
        <w:rPr>
          <w:snapToGrid w:val="0"/>
        </w:rPr>
        <w:t> </w:t>
      </w:r>
      <w:r w:rsidR="00AE6B56">
        <w:rPr>
          <w:snapToGrid w:val="0"/>
        </w:rPr>
        <w:t>would not be cost effective to</w:t>
      </w:r>
      <w:r w:rsidR="000B5495">
        <w:rPr>
          <w:snapToGrid w:val="0"/>
        </w:rPr>
        <w:t> </w:t>
      </w:r>
      <w:r w:rsidR="00AE6B56">
        <w:rPr>
          <w:snapToGrid w:val="0"/>
        </w:rPr>
        <w:t xml:space="preserve">provide </w:t>
      </w:r>
      <w:r w:rsidR="00685678" w:rsidRPr="007D0FD1">
        <w:rPr>
          <w:snapToGrid w:val="0"/>
        </w:rPr>
        <w:t xml:space="preserve">support for them to live independently in the community.  </w:t>
      </w:r>
    </w:p>
    <w:p w14:paraId="6DA06720" w14:textId="77777777" w:rsidR="00685678" w:rsidRDefault="00685678" w:rsidP="00685678">
      <w:pPr>
        <w:rPr>
          <w:snapToGrid w:val="0"/>
        </w:rPr>
      </w:pPr>
    </w:p>
    <w:p w14:paraId="3DA1158F" w14:textId="127F2FFB" w:rsidR="00AE1D9C" w:rsidRDefault="00AE1D9C">
      <w:pPr>
        <w:pStyle w:val="ListParagraph"/>
        <w:rPr>
          <w:snapToGrid w:val="0"/>
        </w:rPr>
      </w:pPr>
      <w:r>
        <w:rPr>
          <w:snapToGrid w:val="0"/>
        </w:rPr>
        <w:t>Given participants will be found eligible for SDA if they cannot live in mainstream housing because of an extreme functional impairment or very high support needs, or</w:t>
      </w:r>
      <w:r w:rsidR="000B5495">
        <w:rPr>
          <w:snapToGrid w:val="0"/>
        </w:rPr>
        <w:t> </w:t>
      </w:r>
      <w:r>
        <w:rPr>
          <w:snapToGrid w:val="0"/>
        </w:rPr>
        <w:t>because their needs are most appropriately met by an SDA response, it is not envisaged that a participant, once found eligible for SDA, would lose that eligibility.</w:t>
      </w:r>
    </w:p>
    <w:p w14:paraId="67C4EE2E" w14:textId="77777777" w:rsidR="009A7B8C" w:rsidRDefault="009A7B8C" w:rsidP="00685678">
      <w:pPr>
        <w:rPr>
          <w:snapToGrid w:val="0"/>
        </w:rPr>
      </w:pPr>
    </w:p>
    <w:p w14:paraId="08F255BF" w14:textId="77777777" w:rsidR="00335F71" w:rsidRPr="007D0FD1" w:rsidRDefault="00335F71" w:rsidP="00335F71">
      <w:pPr>
        <w:pStyle w:val="Heading2"/>
        <w:rPr>
          <w:rFonts w:cs="Arial"/>
          <w:snapToGrid w:val="0"/>
        </w:rPr>
      </w:pPr>
      <w:bookmarkStart w:id="64" w:name="_Toc429404577"/>
      <w:bookmarkStart w:id="65" w:name="_Toc531633304"/>
      <w:bookmarkStart w:id="66" w:name="_Toc38548372"/>
      <w:r w:rsidRPr="007D0FD1">
        <w:rPr>
          <w:rFonts w:cs="Arial"/>
          <w:snapToGrid w:val="0"/>
        </w:rPr>
        <w:t>Participants who require a specialist built-form</w:t>
      </w:r>
      <w:bookmarkEnd w:id="64"/>
      <w:bookmarkEnd w:id="65"/>
      <w:bookmarkEnd w:id="66"/>
      <w:r w:rsidRPr="007D0FD1">
        <w:rPr>
          <w:rFonts w:eastAsiaTheme="minorHAnsi" w:cstheme="minorBidi"/>
          <w:sz w:val="22"/>
          <w:szCs w:val="22"/>
          <w:lang w:eastAsia="en-US"/>
        </w:rPr>
        <w:tab/>
      </w:r>
    </w:p>
    <w:p w14:paraId="53D03D9A" w14:textId="7447CE7A" w:rsidR="00335F71" w:rsidRPr="007D0FD1" w:rsidRDefault="00335F71">
      <w:pPr>
        <w:pStyle w:val="ListParagraph"/>
        <w:rPr>
          <w:snapToGrid w:val="0"/>
        </w:rPr>
      </w:pPr>
      <w:r w:rsidRPr="007D0FD1">
        <w:rPr>
          <w:snapToGrid w:val="0"/>
        </w:rPr>
        <w:t xml:space="preserve">The accommodation needs </w:t>
      </w:r>
      <w:r w:rsidR="00604611">
        <w:rPr>
          <w:snapToGrid w:val="0"/>
        </w:rPr>
        <w:t xml:space="preserve">for some </w:t>
      </w:r>
      <w:r w:rsidRPr="007D0FD1">
        <w:rPr>
          <w:snapToGrid w:val="0"/>
        </w:rPr>
        <w:t>participants are not currently met by the housing market because the</w:t>
      </w:r>
      <w:r w:rsidR="00AE1D9C">
        <w:rPr>
          <w:snapToGrid w:val="0"/>
        </w:rPr>
        <w:t>ir extreme</w:t>
      </w:r>
      <w:r w:rsidRPr="007D0FD1">
        <w:rPr>
          <w:snapToGrid w:val="0"/>
        </w:rPr>
        <w:t xml:space="preserve"> functional impairment and impact of their disability requires accommodation with specific design features or amenity which is</w:t>
      </w:r>
      <w:r w:rsidR="000B5495">
        <w:rPr>
          <w:snapToGrid w:val="0"/>
        </w:rPr>
        <w:t> </w:t>
      </w:r>
      <w:r w:rsidRPr="007D0FD1">
        <w:rPr>
          <w:snapToGrid w:val="0"/>
        </w:rPr>
        <w:t>not readily supplied through mainstream housing</w:t>
      </w:r>
      <w:r w:rsidR="00EF0F57" w:rsidRPr="007D0FD1">
        <w:rPr>
          <w:snapToGrid w:val="0"/>
        </w:rPr>
        <w:t xml:space="preserve"> and which involves a significant cost beyond what would be funded as home modifications</w:t>
      </w:r>
      <w:r w:rsidRPr="007D0FD1">
        <w:rPr>
          <w:snapToGrid w:val="0"/>
        </w:rPr>
        <w:t xml:space="preserve">.  </w:t>
      </w:r>
    </w:p>
    <w:p w14:paraId="76D82624" w14:textId="77777777" w:rsidR="00335F71" w:rsidRPr="007D0FD1" w:rsidRDefault="00335F71" w:rsidP="00335F71">
      <w:pPr>
        <w:rPr>
          <w:rFonts w:eastAsiaTheme="minorHAnsi" w:cstheme="minorBidi"/>
          <w:sz w:val="22"/>
          <w:szCs w:val="22"/>
          <w:lang w:eastAsia="en-US"/>
        </w:rPr>
      </w:pPr>
    </w:p>
    <w:p w14:paraId="5D3C342E" w14:textId="77777777" w:rsidR="00935675" w:rsidRPr="007D0FD1" w:rsidRDefault="00935675">
      <w:pPr>
        <w:pStyle w:val="ListParagraph"/>
        <w:rPr>
          <w:snapToGrid w:val="0"/>
        </w:rPr>
      </w:pPr>
      <w:r w:rsidRPr="007D0FD1">
        <w:rPr>
          <w:snapToGrid w:val="0"/>
        </w:rPr>
        <w:lastRenderedPageBreak/>
        <w:t>These participants need accommodation in properties which are either physically accessible (for example, have ramps and rails) or are designed to minimise the effects of the features of their disability (for example, have a floor plan which facilitates a greater level of independence or building materials and features which minimise sensory stimulation).</w:t>
      </w:r>
    </w:p>
    <w:p w14:paraId="69AAA159" w14:textId="77777777" w:rsidR="00935675" w:rsidRPr="007D0FD1" w:rsidRDefault="00935675" w:rsidP="00335F71">
      <w:pPr>
        <w:rPr>
          <w:rFonts w:eastAsiaTheme="minorHAnsi" w:cstheme="minorBidi"/>
          <w:sz w:val="22"/>
          <w:szCs w:val="22"/>
          <w:lang w:eastAsia="en-US"/>
        </w:rPr>
      </w:pPr>
    </w:p>
    <w:p w14:paraId="51FCCEF7" w14:textId="77777777" w:rsidR="00935675" w:rsidRPr="007D0FD1" w:rsidRDefault="00935675">
      <w:pPr>
        <w:pStyle w:val="ListParagraph"/>
        <w:rPr>
          <w:snapToGrid w:val="0"/>
        </w:rPr>
      </w:pPr>
      <w:r w:rsidRPr="007D0FD1">
        <w:rPr>
          <w:snapToGrid w:val="0"/>
        </w:rPr>
        <w:t xml:space="preserve">Participants </w:t>
      </w:r>
      <w:r w:rsidR="003E515A">
        <w:rPr>
          <w:snapToGrid w:val="0"/>
        </w:rPr>
        <w:t>meeting these criteria</w:t>
      </w:r>
      <w:r w:rsidR="00520EF2">
        <w:rPr>
          <w:snapToGrid w:val="0"/>
        </w:rPr>
        <w:t xml:space="preserve"> </w:t>
      </w:r>
      <w:r w:rsidR="00874437">
        <w:rPr>
          <w:snapToGrid w:val="0"/>
        </w:rPr>
        <w:t xml:space="preserve">are those with </w:t>
      </w:r>
      <w:r w:rsidR="00AE1D9C">
        <w:rPr>
          <w:snapToGrid w:val="0"/>
        </w:rPr>
        <w:t xml:space="preserve">extreme functional impairment and/or very high support </w:t>
      </w:r>
      <w:r w:rsidR="00874437">
        <w:rPr>
          <w:snapToGrid w:val="0"/>
        </w:rPr>
        <w:t>needs, including</w:t>
      </w:r>
      <w:r w:rsidRPr="007D0FD1">
        <w:rPr>
          <w:snapToGrid w:val="0"/>
        </w:rPr>
        <w:t>:</w:t>
      </w:r>
    </w:p>
    <w:p w14:paraId="6A9CA854" w14:textId="77777777" w:rsidR="00935675" w:rsidRPr="007D0FD1" w:rsidRDefault="00935675" w:rsidP="00512422">
      <w:pPr>
        <w:pStyle w:val="ListParagraph"/>
        <w:numPr>
          <w:ilvl w:val="0"/>
          <w:numId w:val="20"/>
        </w:numPr>
        <w:rPr>
          <w:snapToGrid w:val="0"/>
        </w:rPr>
      </w:pPr>
      <w:r w:rsidRPr="007D0FD1">
        <w:rPr>
          <w:snapToGrid w:val="0"/>
        </w:rPr>
        <w:t>Those with significant physical limitations; and</w:t>
      </w:r>
      <w:r w:rsidR="00236B19" w:rsidRPr="007D0FD1">
        <w:rPr>
          <w:snapToGrid w:val="0"/>
        </w:rPr>
        <w:t>/or</w:t>
      </w:r>
    </w:p>
    <w:p w14:paraId="16F28D1D" w14:textId="77777777" w:rsidR="00935675" w:rsidRPr="007D0FD1" w:rsidRDefault="00935675" w:rsidP="00512422">
      <w:pPr>
        <w:pStyle w:val="ListParagraph"/>
        <w:numPr>
          <w:ilvl w:val="0"/>
          <w:numId w:val="20"/>
        </w:numPr>
        <w:rPr>
          <w:snapToGrid w:val="0"/>
        </w:rPr>
      </w:pPr>
      <w:r w:rsidRPr="007D0FD1">
        <w:rPr>
          <w:snapToGrid w:val="0"/>
        </w:rPr>
        <w:t xml:space="preserve">Those who have </w:t>
      </w:r>
      <w:r w:rsidR="00AE6B56" w:rsidRPr="007D0FD1">
        <w:rPr>
          <w:snapToGrid w:val="0"/>
        </w:rPr>
        <w:t xml:space="preserve">significant </w:t>
      </w:r>
      <w:r w:rsidRPr="007D0FD1">
        <w:rPr>
          <w:snapToGrid w:val="0"/>
        </w:rPr>
        <w:t>sensory, psychosocial or cognitive impairments.</w:t>
      </w:r>
    </w:p>
    <w:p w14:paraId="721C48E8" w14:textId="77777777" w:rsidR="00935675" w:rsidRPr="007D0FD1" w:rsidRDefault="00935675" w:rsidP="00935675">
      <w:pPr>
        <w:ind w:left="720"/>
        <w:contextualSpacing/>
        <w:rPr>
          <w:rFonts w:eastAsiaTheme="minorHAnsi" w:cstheme="minorBidi"/>
          <w:sz w:val="22"/>
          <w:szCs w:val="22"/>
          <w:lang w:eastAsia="en-US"/>
        </w:rPr>
      </w:pPr>
    </w:p>
    <w:p w14:paraId="4225CF09" w14:textId="77777777" w:rsidR="00935675" w:rsidRPr="007D0FD1" w:rsidRDefault="00935675">
      <w:pPr>
        <w:pStyle w:val="ListParagraph"/>
        <w:rPr>
          <w:snapToGrid w:val="0"/>
        </w:rPr>
      </w:pPr>
      <w:r w:rsidRPr="007D0FD1">
        <w:rPr>
          <w:snapToGrid w:val="0"/>
        </w:rPr>
        <w:t>This will include participants with the diagnoses of:</w:t>
      </w:r>
    </w:p>
    <w:p w14:paraId="3F8475B2" w14:textId="77777777" w:rsidR="00935675" w:rsidRPr="007D0FD1" w:rsidRDefault="00935675" w:rsidP="00512422">
      <w:pPr>
        <w:pStyle w:val="ListParagraph"/>
        <w:numPr>
          <w:ilvl w:val="0"/>
          <w:numId w:val="20"/>
        </w:numPr>
        <w:rPr>
          <w:snapToGrid w:val="0"/>
        </w:rPr>
      </w:pPr>
      <w:r w:rsidRPr="007D0FD1">
        <w:rPr>
          <w:snapToGrid w:val="0"/>
        </w:rPr>
        <w:t>Spinal cord injury (SCI)</w:t>
      </w:r>
    </w:p>
    <w:p w14:paraId="57A3F6F1" w14:textId="77777777" w:rsidR="00935675" w:rsidRPr="007D0FD1" w:rsidRDefault="00935675" w:rsidP="00512422">
      <w:pPr>
        <w:pStyle w:val="ListParagraph"/>
        <w:numPr>
          <w:ilvl w:val="0"/>
          <w:numId w:val="20"/>
        </w:numPr>
        <w:rPr>
          <w:snapToGrid w:val="0"/>
        </w:rPr>
      </w:pPr>
      <w:r w:rsidRPr="007D0FD1">
        <w:rPr>
          <w:snapToGrid w:val="0"/>
        </w:rPr>
        <w:t xml:space="preserve">Cerebral Palsy </w:t>
      </w:r>
    </w:p>
    <w:p w14:paraId="48456E1E" w14:textId="77777777" w:rsidR="00935675" w:rsidRPr="007D0FD1" w:rsidRDefault="00935675">
      <w:pPr>
        <w:pStyle w:val="ListParagraph"/>
        <w:numPr>
          <w:ilvl w:val="0"/>
          <w:numId w:val="20"/>
        </w:numPr>
        <w:rPr>
          <w:snapToGrid w:val="0"/>
        </w:rPr>
      </w:pPr>
      <w:r w:rsidRPr="007D0FD1">
        <w:rPr>
          <w:snapToGrid w:val="0"/>
        </w:rPr>
        <w:t>Multiple Sclerosis</w:t>
      </w:r>
    </w:p>
    <w:p w14:paraId="2A9E4453" w14:textId="77777777" w:rsidR="00935675" w:rsidRPr="007D0FD1" w:rsidRDefault="00935675">
      <w:pPr>
        <w:pStyle w:val="ListParagraph"/>
        <w:numPr>
          <w:ilvl w:val="0"/>
          <w:numId w:val="20"/>
        </w:numPr>
        <w:rPr>
          <w:snapToGrid w:val="0"/>
        </w:rPr>
      </w:pPr>
      <w:r w:rsidRPr="007D0FD1">
        <w:rPr>
          <w:snapToGrid w:val="0"/>
        </w:rPr>
        <w:t>Stroke</w:t>
      </w:r>
    </w:p>
    <w:p w14:paraId="14AFEC50" w14:textId="77777777" w:rsidR="00935675" w:rsidRPr="007D0FD1" w:rsidRDefault="00935675">
      <w:pPr>
        <w:pStyle w:val="ListParagraph"/>
        <w:numPr>
          <w:ilvl w:val="0"/>
          <w:numId w:val="20"/>
        </w:numPr>
        <w:rPr>
          <w:snapToGrid w:val="0"/>
        </w:rPr>
      </w:pPr>
      <w:r w:rsidRPr="007D0FD1">
        <w:rPr>
          <w:snapToGrid w:val="0"/>
        </w:rPr>
        <w:t>Intellectual disability (ID) with limited mobility</w:t>
      </w:r>
    </w:p>
    <w:p w14:paraId="3C096977" w14:textId="77777777" w:rsidR="00935675" w:rsidRPr="007D0FD1" w:rsidRDefault="00935675">
      <w:pPr>
        <w:pStyle w:val="ListParagraph"/>
        <w:numPr>
          <w:ilvl w:val="0"/>
          <w:numId w:val="20"/>
        </w:numPr>
        <w:rPr>
          <w:snapToGrid w:val="0"/>
        </w:rPr>
      </w:pPr>
      <w:r w:rsidRPr="007D0FD1">
        <w:rPr>
          <w:snapToGrid w:val="0"/>
        </w:rPr>
        <w:t>Global developmental delay</w:t>
      </w:r>
    </w:p>
    <w:p w14:paraId="501FE11B" w14:textId="77777777" w:rsidR="00935675" w:rsidRPr="007D0FD1" w:rsidRDefault="00935675">
      <w:pPr>
        <w:pStyle w:val="ListParagraph"/>
        <w:numPr>
          <w:ilvl w:val="0"/>
          <w:numId w:val="20"/>
        </w:numPr>
        <w:rPr>
          <w:snapToGrid w:val="0"/>
        </w:rPr>
      </w:pPr>
      <w:r w:rsidRPr="007D0FD1">
        <w:rPr>
          <w:snapToGrid w:val="0"/>
        </w:rPr>
        <w:t>Acquired Brain Injury (ABI) with limited mobility</w:t>
      </w:r>
    </w:p>
    <w:p w14:paraId="720BB1B5" w14:textId="77777777" w:rsidR="00935675" w:rsidRPr="007D0FD1" w:rsidRDefault="00935675">
      <w:pPr>
        <w:pStyle w:val="ListParagraph"/>
        <w:numPr>
          <w:ilvl w:val="0"/>
          <w:numId w:val="20"/>
        </w:numPr>
        <w:rPr>
          <w:snapToGrid w:val="0"/>
        </w:rPr>
      </w:pPr>
      <w:r w:rsidRPr="007D0FD1">
        <w:rPr>
          <w:snapToGrid w:val="0"/>
        </w:rPr>
        <w:t>Autism Spectrum Disorders (ASD)</w:t>
      </w:r>
    </w:p>
    <w:p w14:paraId="45AD51FB" w14:textId="77777777" w:rsidR="00935675" w:rsidRPr="007D0FD1" w:rsidRDefault="00935675">
      <w:pPr>
        <w:pStyle w:val="ListParagraph"/>
        <w:numPr>
          <w:ilvl w:val="0"/>
          <w:numId w:val="20"/>
        </w:numPr>
        <w:rPr>
          <w:snapToGrid w:val="0"/>
        </w:rPr>
      </w:pPr>
      <w:r w:rsidRPr="007D0FD1">
        <w:rPr>
          <w:snapToGrid w:val="0"/>
        </w:rPr>
        <w:t>Psychosocial conditions which may have physical sequelae due to long term medication use, such as schizophrenia</w:t>
      </w:r>
    </w:p>
    <w:p w14:paraId="252EF34F" w14:textId="77777777" w:rsidR="00935675" w:rsidRPr="007D0FD1" w:rsidRDefault="00935675" w:rsidP="00335F71">
      <w:pPr>
        <w:rPr>
          <w:rFonts w:eastAsiaTheme="minorHAnsi" w:cstheme="minorBidi"/>
          <w:sz w:val="22"/>
          <w:szCs w:val="22"/>
          <w:lang w:eastAsia="en-US"/>
        </w:rPr>
      </w:pPr>
    </w:p>
    <w:p w14:paraId="1538F179" w14:textId="18CBF6D0" w:rsidR="00335F71" w:rsidRPr="007D0FD1" w:rsidRDefault="00604611">
      <w:pPr>
        <w:pStyle w:val="ListParagraph"/>
        <w:rPr>
          <w:snapToGrid w:val="0"/>
        </w:rPr>
      </w:pPr>
      <w:r>
        <w:rPr>
          <w:snapToGrid w:val="0"/>
        </w:rPr>
        <w:t xml:space="preserve">Noting that not all participants with the diagnosis above will require </w:t>
      </w:r>
      <w:r w:rsidR="000B5495">
        <w:rPr>
          <w:snapToGrid w:val="0"/>
        </w:rPr>
        <w:t>SDA</w:t>
      </w:r>
      <w:r>
        <w:rPr>
          <w:snapToGrid w:val="0"/>
        </w:rPr>
        <w:t>, t</w:t>
      </w:r>
      <w:r w:rsidR="00BE08E4" w:rsidRPr="007D0FD1">
        <w:rPr>
          <w:snapToGrid w:val="0"/>
        </w:rPr>
        <w:t xml:space="preserve">he </w:t>
      </w:r>
      <w:r w:rsidR="00785459">
        <w:rPr>
          <w:snapToGrid w:val="0"/>
        </w:rPr>
        <w:t>NDIA</w:t>
      </w:r>
      <w:r w:rsidR="00BE08E4" w:rsidRPr="007D0FD1">
        <w:rPr>
          <w:snapToGrid w:val="0"/>
        </w:rPr>
        <w:t xml:space="preserve"> will </w:t>
      </w:r>
      <w:r w:rsidR="004674E2" w:rsidRPr="007D0FD1">
        <w:rPr>
          <w:snapToGrid w:val="0"/>
        </w:rPr>
        <w:t xml:space="preserve">further </w:t>
      </w:r>
      <w:r w:rsidR="00BE08E4" w:rsidRPr="007D0FD1">
        <w:rPr>
          <w:snapToGrid w:val="0"/>
        </w:rPr>
        <w:t>develop the criteria it will apply when determining whether a participant requires accommodation of a specialist built form</w:t>
      </w:r>
      <w:r w:rsidR="004674E2" w:rsidRPr="007D0FD1">
        <w:rPr>
          <w:snapToGrid w:val="0"/>
        </w:rPr>
        <w:t xml:space="preserve"> in consultation with jurisdictions</w:t>
      </w:r>
      <w:r w:rsidR="00935675" w:rsidRPr="007D0FD1">
        <w:rPr>
          <w:snapToGrid w:val="0"/>
        </w:rPr>
        <w:t xml:space="preserve">. </w:t>
      </w:r>
      <w:r w:rsidR="004674E2" w:rsidRPr="007D0FD1">
        <w:rPr>
          <w:snapToGrid w:val="0"/>
        </w:rPr>
        <w:t>This will include consideration of those who will definitely need accessible accommodation and those, who may, depending on their disability and an inability to live independently in the community.</w:t>
      </w:r>
    </w:p>
    <w:p w14:paraId="44946548" w14:textId="77777777" w:rsidR="00335F71" w:rsidRPr="007D0FD1" w:rsidRDefault="00335F71" w:rsidP="00335F71">
      <w:pPr>
        <w:rPr>
          <w:rFonts w:eastAsiaTheme="minorHAnsi" w:cstheme="minorBidi"/>
          <w:lang w:eastAsia="en-US"/>
        </w:rPr>
      </w:pPr>
    </w:p>
    <w:p w14:paraId="0BFE4916" w14:textId="0EFF7619" w:rsidR="00335F71" w:rsidRPr="00226196" w:rsidRDefault="00604611" w:rsidP="00335F71">
      <w:pPr>
        <w:pStyle w:val="Heading2"/>
        <w:rPr>
          <w:rFonts w:cs="Arial"/>
          <w:snapToGrid w:val="0"/>
        </w:rPr>
      </w:pPr>
      <w:bookmarkStart w:id="67" w:name="_Toc429404578"/>
      <w:bookmarkStart w:id="68" w:name="_Toc531633305"/>
      <w:bookmarkStart w:id="69" w:name="_Toc38548373"/>
      <w:r>
        <w:rPr>
          <w:rFonts w:cs="Arial"/>
          <w:snapToGrid w:val="0"/>
        </w:rPr>
        <w:t>P</w:t>
      </w:r>
      <w:r w:rsidR="00335F71" w:rsidRPr="007D0FD1">
        <w:rPr>
          <w:rFonts w:cs="Arial"/>
          <w:snapToGrid w:val="0"/>
        </w:rPr>
        <w:t xml:space="preserve">articipants with </w:t>
      </w:r>
      <w:r w:rsidR="00AE1D9C">
        <w:rPr>
          <w:rFonts w:cs="Arial"/>
          <w:snapToGrid w:val="0"/>
        </w:rPr>
        <w:t xml:space="preserve">very </w:t>
      </w:r>
      <w:r w:rsidR="00335F71" w:rsidRPr="007D0FD1">
        <w:rPr>
          <w:rFonts w:cs="Arial"/>
          <w:snapToGrid w:val="0"/>
        </w:rPr>
        <w:t xml:space="preserve">high support needs </w:t>
      </w:r>
      <w:r w:rsidRPr="00226196">
        <w:rPr>
          <w:rFonts w:cs="Arial"/>
          <w:snapToGrid w:val="0"/>
        </w:rPr>
        <w:t xml:space="preserve">that </w:t>
      </w:r>
      <w:r w:rsidRPr="007E2C1F">
        <w:rPr>
          <w:rFonts w:cs="Arial"/>
          <w:snapToGrid w:val="0"/>
        </w:rPr>
        <w:t>can only be met cost effectively by</w:t>
      </w:r>
      <w:r w:rsidR="000B5495">
        <w:rPr>
          <w:rFonts w:cs="Arial"/>
          <w:snapToGrid w:val="0"/>
        </w:rPr>
        <w:t> </w:t>
      </w:r>
      <w:bookmarkEnd w:id="67"/>
      <w:bookmarkEnd w:id="68"/>
      <w:r w:rsidR="000B5495">
        <w:rPr>
          <w:rFonts w:cs="Arial"/>
          <w:snapToGrid w:val="0"/>
        </w:rPr>
        <w:t>SDA</w:t>
      </w:r>
      <w:bookmarkEnd w:id="69"/>
    </w:p>
    <w:p w14:paraId="354680DF" w14:textId="77777777" w:rsidR="00335F71" w:rsidRPr="007D0FD1" w:rsidRDefault="00335F71">
      <w:pPr>
        <w:pStyle w:val="ListParagraph"/>
        <w:rPr>
          <w:snapToGrid w:val="0"/>
        </w:rPr>
      </w:pPr>
      <w:r w:rsidRPr="007D0FD1">
        <w:rPr>
          <w:snapToGrid w:val="0"/>
        </w:rPr>
        <w:t xml:space="preserve">Any participant could live independently if unlimited funds are available to support them in their home.  Enabling every NDIS participant to live independently with their required levels of supports would be prohibitively expensive for the NDIS.   </w:t>
      </w:r>
    </w:p>
    <w:p w14:paraId="6CCAC779" w14:textId="77777777" w:rsidR="00335F71" w:rsidRPr="007D0FD1" w:rsidRDefault="00335F71" w:rsidP="00335F71">
      <w:pPr>
        <w:rPr>
          <w:rFonts w:eastAsiaTheme="minorHAnsi" w:cstheme="minorBidi"/>
          <w:lang w:eastAsia="en-US"/>
        </w:rPr>
      </w:pPr>
    </w:p>
    <w:p w14:paraId="3A534C57" w14:textId="1191B8F0" w:rsidR="00335F71" w:rsidRPr="007D0FD1" w:rsidRDefault="00335F71">
      <w:pPr>
        <w:pStyle w:val="ListParagraph"/>
        <w:rPr>
          <w:snapToGrid w:val="0"/>
        </w:rPr>
      </w:pPr>
      <w:r w:rsidRPr="007D0FD1">
        <w:rPr>
          <w:snapToGrid w:val="0"/>
        </w:rPr>
        <w:t xml:space="preserve">The factors which best indicate the need for </w:t>
      </w:r>
      <w:r w:rsidR="002D28D7">
        <w:rPr>
          <w:snapToGrid w:val="0"/>
        </w:rPr>
        <w:t>SDA</w:t>
      </w:r>
      <w:r w:rsidR="00822834" w:rsidRPr="007D0FD1">
        <w:rPr>
          <w:snapToGrid w:val="0"/>
        </w:rPr>
        <w:t xml:space="preserve"> are:</w:t>
      </w:r>
    </w:p>
    <w:p w14:paraId="28A4884A" w14:textId="77777777" w:rsidR="00335F71" w:rsidRPr="007D0FD1" w:rsidRDefault="00335F71" w:rsidP="00512422">
      <w:pPr>
        <w:pStyle w:val="ListParagraph"/>
        <w:numPr>
          <w:ilvl w:val="0"/>
          <w:numId w:val="20"/>
        </w:numPr>
        <w:rPr>
          <w:snapToGrid w:val="0"/>
        </w:rPr>
      </w:pPr>
      <w:r w:rsidRPr="007D0FD1">
        <w:rPr>
          <w:snapToGrid w:val="0"/>
        </w:rPr>
        <w:t>Level of complexity of the available support required;</w:t>
      </w:r>
    </w:p>
    <w:p w14:paraId="4B0D3AD3" w14:textId="30DF0A81" w:rsidR="00335F71" w:rsidRPr="007D0FD1" w:rsidRDefault="00335F71" w:rsidP="00512422">
      <w:pPr>
        <w:pStyle w:val="ListParagraph"/>
        <w:numPr>
          <w:ilvl w:val="0"/>
          <w:numId w:val="20"/>
        </w:numPr>
        <w:rPr>
          <w:snapToGrid w:val="0"/>
        </w:rPr>
      </w:pPr>
      <w:r w:rsidRPr="007D0FD1">
        <w:rPr>
          <w:snapToGrid w:val="0"/>
        </w:rPr>
        <w:t xml:space="preserve">Need to minimise risk to the participant, and in some </w:t>
      </w:r>
      <w:r w:rsidR="00822834" w:rsidRPr="007D0FD1">
        <w:rPr>
          <w:snapToGrid w:val="0"/>
        </w:rPr>
        <w:t>situations</w:t>
      </w:r>
      <w:r w:rsidRPr="007D0FD1">
        <w:rPr>
          <w:snapToGrid w:val="0"/>
        </w:rPr>
        <w:t>, to</w:t>
      </w:r>
      <w:r w:rsidR="000B5495">
        <w:rPr>
          <w:snapToGrid w:val="0"/>
        </w:rPr>
        <w:t> </w:t>
      </w:r>
      <w:r w:rsidRPr="007D0FD1">
        <w:rPr>
          <w:snapToGrid w:val="0"/>
        </w:rPr>
        <w:t>the</w:t>
      </w:r>
      <w:r w:rsidR="000B5495">
        <w:rPr>
          <w:snapToGrid w:val="0"/>
        </w:rPr>
        <w:t> </w:t>
      </w:r>
      <w:r w:rsidRPr="007D0FD1">
        <w:rPr>
          <w:snapToGrid w:val="0"/>
        </w:rPr>
        <w:t>community;</w:t>
      </w:r>
    </w:p>
    <w:p w14:paraId="5596967B" w14:textId="77777777" w:rsidR="00335F71" w:rsidRPr="007D0FD1" w:rsidRDefault="003E515A">
      <w:pPr>
        <w:pStyle w:val="ListParagraph"/>
        <w:numPr>
          <w:ilvl w:val="0"/>
          <w:numId w:val="20"/>
        </w:numPr>
        <w:rPr>
          <w:snapToGrid w:val="0"/>
        </w:rPr>
      </w:pPr>
      <w:r>
        <w:rPr>
          <w:snapToGrid w:val="0"/>
        </w:rPr>
        <w:t xml:space="preserve">Capacity </w:t>
      </w:r>
      <w:r w:rsidR="00335F71" w:rsidRPr="007D0FD1">
        <w:rPr>
          <w:snapToGrid w:val="0"/>
        </w:rPr>
        <w:t xml:space="preserve">of informal supports to maintain these participants in the community; </w:t>
      </w:r>
    </w:p>
    <w:p w14:paraId="0D17C0C2" w14:textId="77777777" w:rsidR="00B64B01" w:rsidRPr="007D0FD1" w:rsidRDefault="00335F71">
      <w:pPr>
        <w:pStyle w:val="ListParagraph"/>
        <w:numPr>
          <w:ilvl w:val="0"/>
          <w:numId w:val="20"/>
        </w:numPr>
        <w:rPr>
          <w:snapToGrid w:val="0"/>
        </w:rPr>
      </w:pPr>
      <w:r w:rsidRPr="007D0FD1">
        <w:rPr>
          <w:snapToGrid w:val="0"/>
        </w:rPr>
        <w:t>Cost of keeping the participant in independent community living</w:t>
      </w:r>
      <w:r w:rsidR="00B64B01" w:rsidRPr="007D0FD1">
        <w:rPr>
          <w:snapToGrid w:val="0"/>
        </w:rPr>
        <w:t>; and</w:t>
      </w:r>
    </w:p>
    <w:p w14:paraId="634A7E4F" w14:textId="1DABCD79" w:rsidR="00335F71" w:rsidRPr="007D0FD1" w:rsidRDefault="00B64B01">
      <w:pPr>
        <w:pStyle w:val="ListParagraph"/>
        <w:numPr>
          <w:ilvl w:val="0"/>
          <w:numId w:val="20"/>
        </w:numPr>
        <w:rPr>
          <w:snapToGrid w:val="0"/>
        </w:rPr>
      </w:pPr>
      <w:r w:rsidRPr="007D0FD1">
        <w:rPr>
          <w:snapToGrid w:val="0"/>
        </w:rPr>
        <w:t xml:space="preserve">Capacity or capability of the person to live outside of a </w:t>
      </w:r>
      <w:r w:rsidR="002D28D7">
        <w:rPr>
          <w:snapToGrid w:val="0"/>
        </w:rPr>
        <w:t>SDA arrangement</w:t>
      </w:r>
    </w:p>
    <w:p w14:paraId="3BDC8081" w14:textId="77777777" w:rsidR="00335F71" w:rsidRPr="007D0FD1" w:rsidRDefault="00335F71" w:rsidP="00335F71">
      <w:pPr>
        <w:rPr>
          <w:rFonts w:eastAsiaTheme="minorHAnsi" w:cstheme="minorBidi"/>
          <w:sz w:val="22"/>
          <w:szCs w:val="22"/>
          <w:lang w:eastAsia="en-US"/>
        </w:rPr>
      </w:pPr>
    </w:p>
    <w:p w14:paraId="153AAC9B" w14:textId="4587EB29" w:rsidR="00335F71" w:rsidRPr="007D0FD1" w:rsidRDefault="00335F71">
      <w:pPr>
        <w:pStyle w:val="ListParagraph"/>
        <w:rPr>
          <w:snapToGrid w:val="0"/>
        </w:rPr>
      </w:pPr>
      <w:r w:rsidRPr="007D0FD1">
        <w:rPr>
          <w:snapToGrid w:val="0"/>
        </w:rPr>
        <w:t xml:space="preserve">These factors are linked and a combination must be present together in a participant for whom </w:t>
      </w:r>
      <w:r w:rsidR="002D28D7">
        <w:rPr>
          <w:snapToGrid w:val="0"/>
        </w:rPr>
        <w:t>SDA</w:t>
      </w:r>
      <w:r w:rsidRPr="007D0FD1">
        <w:rPr>
          <w:snapToGrid w:val="0"/>
        </w:rPr>
        <w:t xml:space="preserve"> funds are reasonable and necessary.</w:t>
      </w:r>
    </w:p>
    <w:p w14:paraId="06FC84B0" w14:textId="77777777" w:rsidR="00335F71" w:rsidRPr="007D0FD1" w:rsidRDefault="00335F71" w:rsidP="00335F71">
      <w:pPr>
        <w:rPr>
          <w:rFonts w:eastAsiaTheme="minorHAnsi" w:cstheme="minorBidi"/>
          <w:sz w:val="22"/>
          <w:szCs w:val="22"/>
          <w:lang w:eastAsia="en-US"/>
        </w:rPr>
      </w:pPr>
    </w:p>
    <w:p w14:paraId="207B0744" w14:textId="77777777" w:rsidR="00335F71" w:rsidRPr="007D0FD1" w:rsidRDefault="00335F71" w:rsidP="00EF0F57">
      <w:pPr>
        <w:keepNext/>
        <w:rPr>
          <w:rFonts w:eastAsiaTheme="minorHAnsi"/>
          <w:i/>
          <w:lang w:eastAsia="en-US"/>
        </w:rPr>
      </w:pPr>
      <w:r w:rsidRPr="007D0FD1">
        <w:rPr>
          <w:rFonts w:eastAsiaTheme="minorHAnsi"/>
          <w:i/>
          <w:lang w:eastAsia="en-US"/>
        </w:rPr>
        <w:lastRenderedPageBreak/>
        <w:t>Level of complexity of the available support</w:t>
      </w:r>
    </w:p>
    <w:p w14:paraId="2AD27F71" w14:textId="626B5E17" w:rsidR="00335F71" w:rsidRPr="007D0FD1" w:rsidRDefault="00335F71">
      <w:pPr>
        <w:pStyle w:val="ListParagraph"/>
        <w:rPr>
          <w:snapToGrid w:val="0"/>
        </w:rPr>
      </w:pPr>
      <w:r w:rsidRPr="007D0FD1">
        <w:rPr>
          <w:snapToGrid w:val="0"/>
        </w:rPr>
        <w:t xml:space="preserve">Participants </w:t>
      </w:r>
      <w:r w:rsidR="003E515A">
        <w:rPr>
          <w:snapToGrid w:val="0"/>
        </w:rPr>
        <w:t>with</w:t>
      </w:r>
      <w:r w:rsidRPr="007D0FD1">
        <w:rPr>
          <w:snapToGrid w:val="0"/>
        </w:rPr>
        <w:t xml:space="preserve"> high levels of complex or specialised </w:t>
      </w:r>
      <w:r w:rsidR="00AE6B56">
        <w:rPr>
          <w:snapToGrid w:val="0"/>
        </w:rPr>
        <w:t>needs can find it difficult to</w:t>
      </w:r>
      <w:r w:rsidR="000B5495">
        <w:rPr>
          <w:snapToGrid w:val="0"/>
        </w:rPr>
        <w:t> </w:t>
      </w:r>
      <w:r w:rsidR="00AE6B56">
        <w:rPr>
          <w:snapToGrid w:val="0"/>
        </w:rPr>
        <w:t xml:space="preserve">source the support that they need </w:t>
      </w:r>
      <w:r w:rsidRPr="007D0FD1">
        <w:rPr>
          <w:snapToGrid w:val="0"/>
        </w:rPr>
        <w:t>(</w:t>
      </w:r>
      <w:r w:rsidR="00AE6B56">
        <w:rPr>
          <w:snapToGrid w:val="0"/>
        </w:rPr>
        <w:t xml:space="preserve">particularly </w:t>
      </w:r>
      <w:r w:rsidRPr="007D0FD1">
        <w:rPr>
          <w:snapToGrid w:val="0"/>
        </w:rPr>
        <w:t>for example</w:t>
      </w:r>
      <w:r w:rsidR="008326E1" w:rsidRPr="007D0FD1">
        <w:rPr>
          <w:snapToGrid w:val="0"/>
        </w:rPr>
        <w:t xml:space="preserve"> some</w:t>
      </w:r>
      <w:r w:rsidRPr="007D0FD1">
        <w:rPr>
          <w:snapToGrid w:val="0"/>
        </w:rPr>
        <w:t xml:space="preserve"> rural and remote regions).  Setting up and maintaining </w:t>
      </w:r>
      <w:r w:rsidR="00976B68">
        <w:rPr>
          <w:snapToGrid w:val="0"/>
        </w:rPr>
        <w:t xml:space="preserve">very </w:t>
      </w:r>
      <w:r w:rsidRPr="007D0FD1">
        <w:rPr>
          <w:snapToGrid w:val="0"/>
        </w:rPr>
        <w:t xml:space="preserve">high intensity support programs for participants requiring 1:1 or more support for long periods (for example 24 hour care) are particularly difficult to reliably source and staff, even in </w:t>
      </w:r>
      <w:r w:rsidR="008326E1" w:rsidRPr="007D0FD1">
        <w:rPr>
          <w:snapToGrid w:val="0"/>
        </w:rPr>
        <w:t xml:space="preserve">some </w:t>
      </w:r>
      <w:r w:rsidRPr="007D0FD1">
        <w:rPr>
          <w:snapToGrid w:val="0"/>
        </w:rPr>
        <w:t xml:space="preserve">metropolitan areas.  Providing support for participants </w:t>
      </w:r>
      <w:r w:rsidR="00AD4D6E">
        <w:rPr>
          <w:snapToGrid w:val="0"/>
        </w:rPr>
        <w:t xml:space="preserve">in a shared living arrangement, where staff and other resources can </w:t>
      </w:r>
      <w:r w:rsidR="00976B68">
        <w:rPr>
          <w:snapToGrid w:val="0"/>
        </w:rPr>
        <w:t xml:space="preserve">support more than one </w:t>
      </w:r>
      <w:r w:rsidR="00161B65">
        <w:rPr>
          <w:snapToGrid w:val="0"/>
        </w:rPr>
        <w:t>participant is</w:t>
      </w:r>
      <w:r w:rsidRPr="007D0FD1">
        <w:rPr>
          <w:snapToGrid w:val="0"/>
        </w:rPr>
        <w:t xml:space="preserve"> often an effective strategy in these </w:t>
      </w:r>
      <w:r w:rsidR="00822834" w:rsidRPr="007D0FD1">
        <w:rPr>
          <w:snapToGrid w:val="0"/>
        </w:rPr>
        <w:t>situations</w:t>
      </w:r>
      <w:r w:rsidRPr="007D0FD1">
        <w:rPr>
          <w:snapToGrid w:val="0"/>
        </w:rPr>
        <w:t>.</w:t>
      </w:r>
    </w:p>
    <w:p w14:paraId="686FCD51" w14:textId="77777777" w:rsidR="00A323E4" w:rsidRDefault="00A323E4" w:rsidP="00335F71">
      <w:pPr>
        <w:rPr>
          <w:rFonts w:eastAsiaTheme="minorHAnsi" w:cstheme="minorBidi"/>
          <w:sz w:val="22"/>
          <w:szCs w:val="22"/>
          <w:lang w:eastAsia="en-US"/>
        </w:rPr>
      </w:pPr>
    </w:p>
    <w:p w14:paraId="24249044" w14:textId="77777777" w:rsidR="00335F71" w:rsidRPr="007D0FD1" w:rsidRDefault="00335F71" w:rsidP="00C87C93">
      <w:pPr>
        <w:keepNext/>
        <w:rPr>
          <w:rFonts w:eastAsiaTheme="minorHAnsi"/>
          <w:i/>
          <w:lang w:eastAsia="en-US"/>
        </w:rPr>
      </w:pPr>
      <w:r w:rsidRPr="007D0FD1">
        <w:rPr>
          <w:rFonts w:eastAsiaTheme="minorHAnsi"/>
          <w:i/>
          <w:lang w:eastAsia="en-US"/>
        </w:rPr>
        <w:t>Level of risk</w:t>
      </w:r>
    </w:p>
    <w:p w14:paraId="29BF5380" w14:textId="77777777" w:rsidR="00335F71" w:rsidRPr="007D0FD1" w:rsidRDefault="00335F71">
      <w:pPr>
        <w:pStyle w:val="ListParagraph"/>
        <w:rPr>
          <w:snapToGrid w:val="0"/>
        </w:rPr>
      </w:pPr>
      <w:r w:rsidRPr="007D0FD1">
        <w:rPr>
          <w:snapToGrid w:val="0"/>
        </w:rPr>
        <w:t>This relates to a number of issues, including:</w:t>
      </w:r>
    </w:p>
    <w:p w14:paraId="2BF32453" w14:textId="34809330" w:rsidR="00335F71" w:rsidRPr="007D0FD1" w:rsidRDefault="00335F71" w:rsidP="00512422">
      <w:pPr>
        <w:pStyle w:val="ListParagraph"/>
        <w:numPr>
          <w:ilvl w:val="0"/>
          <w:numId w:val="20"/>
        </w:numPr>
        <w:rPr>
          <w:snapToGrid w:val="0"/>
        </w:rPr>
      </w:pPr>
      <w:r w:rsidRPr="007D0FD1">
        <w:rPr>
          <w:snapToGrid w:val="0"/>
        </w:rPr>
        <w:t xml:space="preserve">the way a participant responds to safety risks, alarms </w:t>
      </w:r>
      <w:r w:rsidR="00236B19" w:rsidRPr="007D0FD1">
        <w:rPr>
          <w:snapToGrid w:val="0"/>
        </w:rPr>
        <w:t xml:space="preserve">and the like </w:t>
      </w:r>
      <w:r w:rsidRPr="007D0FD1">
        <w:rPr>
          <w:snapToGrid w:val="0"/>
        </w:rPr>
        <w:t>and are able to</w:t>
      </w:r>
      <w:r w:rsidR="000B5495">
        <w:rPr>
          <w:snapToGrid w:val="0"/>
        </w:rPr>
        <w:t> </w:t>
      </w:r>
      <w:r w:rsidRPr="007D0FD1">
        <w:rPr>
          <w:snapToGrid w:val="0"/>
        </w:rPr>
        <w:t>remove themselves from the hazard or get assistance quickly enough to help them do so;</w:t>
      </w:r>
    </w:p>
    <w:p w14:paraId="29C5614A" w14:textId="77777777" w:rsidR="00335F71" w:rsidRPr="007D0FD1" w:rsidRDefault="00335F71" w:rsidP="00512422">
      <w:pPr>
        <w:pStyle w:val="ListParagraph"/>
        <w:numPr>
          <w:ilvl w:val="0"/>
          <w:numId w:val="20"/>
        </w:numPr>
        <w:rPr>
          <w:snapToGrid w:val="0"/>
        </w:rPr>
      </w:pPr>
      <w:r w:rsidRPr="007D0FD1">
        <w:rPr>
          <w:snapToGrid w:val="0"/>
        </w:rPr>
        <w:t>the minimisation of risks to a participant’s safety or functional performance due to the diagnosis which may be minimised by design features (for example walkways which channel residents into living areas); and</w:t>
      </w:r>
    </w:p>
    <w:p w14:paraId="14322542" w14:textId="77777777" w:rsidR="00335F71" w:rsidRPr="007D0FD1" w:rsidRDefault="00335F71">
      <w:pPr>
        <w:pStyle w:val="ListParagraph"/>
        <w:numPr>
          <w:ilvl w:val="0"/>
          <w:numId w:val="20"/>
        </w:numPr>
        <w:rPr>
          <w:snapToGrid w:val="0"/>
        </w:rPr>
      </w:pPr>
      <w:r w:rsidRPr="007D0FD1">
        <w:rPr>
          <w:snapToGrid w:val="0"/>
        </w:rPr>
        <w:t xml:space="preserve">any risks that a participant may present to the community </w:t>
      </w:r>
      <w:r w:rsidR="008326E1" w:rsidRPr="007D0FD1">
        <w:rPr>
          <w:snapToGrid w:val="0"/>
        </w:rPr>
        <w:t xml:space="preserve">or others in the household </w:t>
      </w:r>
      <w:r w:rsidRPr="007D0FD1">
        <w:rPr>
          <w:snapToGrid w:val="0"/>
        </w:rPr>
        <w:t>due to challenging behaviours if living independently</w:t>
      </w:r>
      <w:r w:rsidR="008326E1" w:rsidRPr="007D0FD1">
        <w:rPr>
          <w:snapToGrid w:val="0"/>
        </w:rPr>
        <w:t xml:space="preserve"> or with families or carers</w:t>
      </w:r>
      <w:r w:rsidRPr="007D0FD1">
        <w:rPr>
          <w:snapToGrid w:val="0"/>
        </w:rPr>
        <w:t xml:space="preserve"> in the community.</w:t>
      </w:r>
    </w:p>
    <w:p w14:paraId="62CC127E" w14:textId="77777777" w:rsidR="00335F71" w:rsidRPr="007D0FD1" w:rsidRDefault="00335F71" w:rsidP="00335F71">
      <w:pPr>
        <w:rPr>
          <w:rFonts w:eastAsiaTheme="minorHAnsi" w:cstheme="minorBidi"/>
          <w:sz w:val="22"/>
          <w:szCs w:val="22"/>
          <w:lang w:eastAsia="en-US"/>
        </w:rPr>
      </w:pPr>
    </w:p>
    <w:p w14:paraId="49EE4A7C" w14:textId="53B3BDF4" w:rsidR="00335F71" w:rsidRPr="00336FFE" w:rsidRDefault="00335F71">
      <w:pPr>
        <w:pStyle w:val="ListParagraph"/>
        <w:rPr>
          <w:snapToGrid w:val="0"/>
        </w:rPr>
      </w:pPr>
      <w:r w:rsidRPr="007D0FD1">
        <w:rPr>
          <w:snapToGrid w:val="0"/>
        </w:rPr>
        <w:t>The presence of these risks is not generally something that could be identified reliably from the participant’s diagnosis or severity but requires some knowledge of</w:t>
      </w:r>
      <w:r w:rsidR="000B5495">
        <w:rPr>
          <w:snapToGrid w:val="0"/>
        </w:rPr>
        <w:t> </w:t>
      </w:r>
      <w:r w:rsidRPr="007D0FD1">
        <w:rPr>
          <w:snapToGrid w:val="0"/>
        </w:rPr>
        <w:t>the participant.</w:t>
      </w:r>
    </w:p>
    <w:p w14:paraId="55AC414D" w14:textId="77777777" w:rsidR="00335F71" w:rsidRPr="007D0FD1" w:rsidRDefault="00335F71" w:rsidP="00335F71">
      <w:pPr>
        <w:rPr>
          <w:rFonts w:eastAsiaTheme="minorHAnsi" w:cstheme="minorBidi"/>
          <w:sz w:val="22"/>
          <w:szCs w:val="22"/>
          <w:lang w:eastAsia="en-US"/>
        </w:rPr>
      </w:pPr>
    </w:p>
    <w:p w14:paraId="4C520109" w14:textId="77777777" w:rsidR="00335F71" w:rsidRPr="007D0FD1" w:rsidRDefault="00335F71" w:rsidP="00A7461F">
      <w:pPr>
        <w:rPr>
          <w:rFonts w:eastAsiaTheme="minorHAnsi"/>
          <w:i/>
          <w:lang w:eastAsia="en-US"/>
        </w:rPr>
      </w:pPr>
      <w:r w:rsidRPr="007D0FD1">
        <w:rPr>
          <w:rFonts w:eastAsiaTheme="minorHAnsi"/>
          <w:i/>
          <w:lang w:eastAsia="en-US"/>
        </w:rPr>
        <w:t>Informal support</w:t>
      </w:r>
    </w:p>
    <w:p w14:paraId="00FE9CDA" w14:textId="5B61B1E7" w:rsidR="00335F71" w:rsidRPr="007D0FD1" w:rsidRDefault="00335F71">
      <w:pPr>
        <w:pStyle w:val="ListParagraph"/>
        <w:rPr>
          <w:snapToGrid w:val="0"/>
        </w:rPr>
      </w:pPr>
      <w:r w:rsidRPr="007D0FD1">
        <w:rPr>
          <w:snapToGrid w:val="0"/>
        </w:rPr>
        <w:t xml:space="preserve">This relates to the participant’s support network and the </w:t>
      </w:r>
      <w:r w:rsidR="003E515A">
        <w:rPr>
          <w:snapToGrid w:val="0"/>
        </w:rPr>
        <w:t>capacity and capability</w:t>
      </w:r>
      <w:r w:rsidRPr="007D0FD1">
        <w:rPr>
          <w:snapToGrid w:val="0"/>
        </w:rPr>
        <w:t xml:space="preserve"> it</w:t>
      </w:r>
      <w:r w:rsidR="000B5495">
        <w:rPr>
          <w:snapToGrid w:val="0"/>
        </w:rPr>
        <w:t> </w:t>
      </w:r>
      <w:r w:rsidRPr="007D0FD1">
        <w:rPr>
          <w:snapToGrid w:val="0"/>
        </w:rPr>
        <w:t>has to maintain the person in the community</w:t>
      </w:r>
      <w:r w:rsidR="008326E1" w:rsidRPr="007D0FD1">
        <w:rPr>
          <w:snapToGrid w:val="0"/>
        </w:rPr>
        <w:t xml:space="preserve"> outside a </w:t>
      </w:r>
      <w:r w:rsidR="000B5495">
        <w:rPr>
          <w:snapToGrid w:val="0"/>
        </w:rPr>
        <w:t xml:space="preserve">SDA </w:t>
      </w:r>
      <w:r w:rsidR="008326E1" w:rsidRPr="007D0FD1">
        <w:rPr>
          <w:snapToGrid w:val="0"/>
        </w:rPr>
        <w:t>arrangement</w:t>
      </w:r>
      <w:r w:rsidRPr="007D0FD1">
        <w:rPr>
          <w:snapToGrid w:val="0"/>
        </w:rPr>
        <w:t>.  The</w:t>
      </w:r>
      <w:r w:rsidR="000B5495">
        <w:rPr>
          <w:snapToGrid w:val="0"/>
        </w:rPr>
        <w:t> </w:t>
      </w:r>
      <w:r w:rsidRPr="007D0FD1">
        <w:rPr>
          <w:snapToGrid w:val="0"/>
        </w:rPr>
        <w:t xml:space="preserve">sustainability of these supports is an important feature here as many people with very severe levels of disability remain at home because families </w:t>
      </w:r>
      <w:r w:rsidR="008326E1" w:rsidRPr="007D0FD1">
        <w:rPr>
          <w:snapToGrid w:val="0"/>
        </w:rPr>
        <w:t xml:space="preserve">or other carers </w:t>
      </w:r>
      <w:r w:rsidRPr="007D0FD1">
        <w:rPr>
          <w:snapToGrid w:val="0"/>
        </w:rPr>
        <w:t xml:space="preserve">are willing </w:t>
      </w:r>
      <w:r w:rsidR="003E515A">
        <w:rPr>
          <w:snapToGrid w:val="0"/>
        </w:rPr>
        <w:t>and able</w:t>
      </w:r>
      <w:r w:rsidRPr="007D0FD1">
        <w:rPr>
          <w:snapToGrid w:val="0"/>
        </w:rPr>
        <w:t xml:space="preserve"> to continue to support them.</w:t>
      </w:r>
    </w:p>
    <w:p w14:paraId="42D3FDDC" w14:textId="77777777" w:rsidR="00335F71" w:rsidRPr="007D0FD1" w:rsidRDefault="00335F71" w:rsidP="00335F71">
      <w:pPr>
        <w:rPr>
          <w:rFonts w:eastAsiaTheme="minorHAnsi" w:cstheme="minorBidi"/>
          <w:sz w:val="22"/>
          <w:szCs w:val="22"/>
          <w:lang w:eastAsia="en-US"/>
        </w:rPr>
      </w:pPr>
    </w:p>
    <w:p w14:paraId="59BEB045" w14:textId="77777777" w:rsidR="00335F71" w:rsidRPr="007D0FD1" w:rsidRDefault="00335F71" w:rsidP="00A7461F">
      <w:pPr>
        <w:rPr>
          <w:rFonts w:eastAsiaTheme="minorHAnsi"/>
          <w:i/>
          <w:lang w:eastAsia="en-US"/>
        </w:rPr>
      </w:pPr>
      <w:r w:rsidRPr="007D0FD1">
        <w:rPr>
          <w:rFonts w:eastAsiaTheme="minorHAnsi"/>
          <w:i/>
          <w:lang w:eastAsia="en-US"/>
        </w:rPr>
        <w:t xml:space="preserve">Cost </w:t>
      </w:r>
      <w:r w:rsidR="0006183D">
        <w:rPr>
          <w:rFonts w:eastAsiaTheme="minorHAnsi"/>
          <w:i/>
          <w:lang w:eastAsia="en-US"/>
        </w:rPr>
        <w:t xml:space="preserve">effectiveness </w:t>
      </w:r>
      <w:r w:rsidRPr="007D0FD1">
        <w:rPr>
          <w:rFonts w:eastAsiaTheme="minorHAnsi"/>
          <w:i/>
          <w:lang w:eastAsia="en-US"/>
        </w:rPr>
        <w:t>of maintaining the participant in the community</w:t>
      </w:r>
    </w:p>
    <w:p w14:paraId="037D3A16" w14:textId="5AA35A17" w:rsidR="00335F71" w:rsidRDefault="00335F71">
      <w:pPr>
        <w:pStyle w:val="ListParagraph"/>
        <w:rPr>
          <w:snapToGrid w:val="0"/>
        </w:rPr>
      </w:pPr>
      <w:r w:rsidRPr="007D0FD1">
        <w:rPr>
          <w:snapToGrid w:val="0"/>
        </w:rPr>
        <w:t xml:space="preserve">Participants requiring </w:t>
      </w:r>
      <w:r w:rsidR="00AD4D6E">
        <w:rPr>
          <w:snapToGrid w:val="0"/>
        </w:rPr>
        <w:t xml:space="preserve">very </w:t>
      </w:r>
      <w:r w:rsidRPr="007D0FD1">
        <w:rPr>
          <w:snapToGrid w:val="0"/>
        </w:rPr>
        <w:t>high levels of support, especially 1:1 support</w:t>
      </w:r>
      <w:r w:rsidR="00976B68">
        <w:rPr>
          <w:snapToGrid w:val="0"/>
        </w:rPr>
        <w:t>,</w:t>
      </w:r>
      <w:r w:rsidRPr="007D0FD1">
        <w:rPr>
          <w:snapToGrid w:val="0"/>
        </w:rPr>
        <w:t xml:space="preserve"> are</w:t>
      </w:r>
      <w:r w:rsidR="000B5495">
        <w:rPr>
          <w:snapToGrid w:val="0"/>
        </w:rPr>
        <w:t> </w:t>
      </w:r>
      <w:r w:rsidRPr="007D0FD1">
        <w:rPr>
          <w:snapToGrid w:val="0"/>
        </w:rPr>
        <w:t>very</w:t>
      </w:r>
      <w:r w:rsidR="000B5495">
        <w:rPr>
          <w:snapToGrid w:val="0"/>
        </w:rPr>
        <w:t> </w:t>
      </w:r>
      <w:r w:rsidRPr="007D0FD1">
        <w:rPr>
          <w:snapToGrid w:val="0"/>
        </w:rPr>
        <w:t>expensive to maintain individually in the community.  This is particularly so</w:t>
      </w:r>
      <w:r w:rsidR="000B5495">
        <w:rPr>
          <w:snapToGrid w:val="0"/>
        </w:rPr>
        <w:t> </w:t>
      </w:r>
      <w:r w:rsidRPr="007D0FD1">
        <w:rPr>
          <w:snapToGrid w:val="0"/>
        </w:rPr>
        <w:t>for participants who require 24 hours care per day</w:t>
      </w:r>
      <w:r w:rsidR="00976B68">
        <w:rPr>
          <w:snapToGrid w:val="0"/>
        </w:rPr>
        <w:t xml:space="preserve"> or who require more than one carer to be in attendance at any one time</w:t>
      </w:r>
      <w:r w:rsidR="000B5495">
        <w:rPr>
          <w:snapToGrid w:val="0"/>
        </w:rPr>
        <w:t xml:space="preserve">. </w:t>
      </w:r>
      <w:r w:rsidRPr="007D0FD1">
        <w:rPr>
          <w:snapToGrid w:val="0"/>
        </w:rPr>
        <w:t>Supporting all NDIS participants to live independently would not be sustainable for the NDIS.  The economies of scale of</w:t>
      </w:r>
      <w:r w:rsidR="000B5495">
        <w:rPr>
          <w:snapToGrid w:val="0"/>
        </w:rPr>
        <w:t> </w:t>
      </w:r>
      <w:r w:rsidR="00976B68">
        <w:rPr>
          <w:snapToGrid w:val="0"/>
        </w:rPr>
        <w:t>having very high need</w:t>
      </w:r>
      <w:r w:rsidR="00976B68" w:rsidRPr="007D0FD1">
        <w:rPr>
          <w:snapToGrid w:val="0"/>
        </w:rPr>
        <w:t xml:space="preserve"> </w:t>
      </w:r>
      <w:r w:rsidRPr="007D0FD1">
        <w:rPr>
          <w:snapToGrid w:val="0"/>
        </w:rPr>
        <w:t xml:space="preserve">participants </w:t>
      </w:r>
      <w:r w:rsidR="00976B68">
        <w:rPr>
          <w:snapToGrid w:val="0"/>
        </w:rPr>
        <w:t xml:space="preserve">supported in shared living arrangements, where staff and other resources can be brought together to support more than one participant, means that </w:t>
      </w:r>
      <w:r w:rsidR="002D28D7">
        <w:rPr>
          <w:snapToGrid w:val="0"/>
        </w:rPr>
        <w:t>SDA</w:t>
      </w:r>
      <w:r w:rsidR="00976B68">
        <w:rPr>
          <w:snapToGrid w:val="0"/>
        </w:rPr>
        <w:t xml:space="preserve"> is often </w:t>
      </w:r>
      <w:r w:rsidRPr="007D0FD1">
        <w:rPr>
          <w:snapToGrid w:val="0"/>
        </w:rPr>
        <w:t>the most</w:t>
      </w:r>
      <w:r w:rsidR="00AD4D6E">
        <w:rPr>
          <w:snapToGrid w:val="0"/>
        </w:rPr>
        <w:t xml:space="preserve"> cost</w:t>
      </w:r>
      <w:r w:rsidRPr="007D0FD1">
        <w:rPr>
          <w:snapToGrid w:val="0"/>
        </w:rPr>
        <w:t xml:space="preserve"> effective option</w:t>
      </w:r>
      <w:r w:rsidR="00AD4D6E">
        <w:rPr>
          <w:snapToGrid w:val="0"/>
        </w:rPr>
        <w:t xml:space="preserve"> for supporting </w:t>
      </w:r>
      <w:r w:rsidR="00976B68">
        <w:rPr>
          <w:snapToGrid w:val="0"/>
        </w:rPr>
        <w:t xml:space="preserve">these </w:t>
      </w:r>
      <w:r w:rsidR="00AD4D6E">
        <w:rPr>
          <w:snapToGrid w:val="0"/>
        </w:rPr>
        <w:t>participants</w:t>
      </w:r>
      <w:r w:rsidRPr="007D0FD1">
        <w:rPr>
          <w:snapToGrid w:val="0"/>
        </w:rPr>
        <w:t>.</w:t>
      </w:r>
    </w:p>
    <w:p w14:paraId="47C3FEF2" w14:textId="177CF114" w:rsidR="002D28D7" w:rsidRDefault="002D28D7" w:rsidP="002D28D7">
      <w:pPr>
        <w:rPr>
          <w:snapToGrid w:val="0"/>
        </w:rPr>
      </w:pPr>
    </w:p>
    <w:p w14:paraId="2F395818" w14:textId="125A9C75" w:rsidR="002D28D7" w:rsidRDefault="002D28D7" w:rsidP="002D28D7">
      <w:pPr>
        <w:rPr>
          <w:snapToGrid w:val="0"/>
        </w:rPr>
      </w:pPr>
    </w:p>
    <w:p w14:paraId="3930E475" w14:textId="6F3256DA" w:rsidR="002D28D7" w:rsidRDefault="002D28D7" w:rsidP="002D28D7">
      <w:pPr>
        <w:rPr>
          <w:snapToGrid w:val="0"/>
        </w:rPr>
      </w:pPr>
    </w:p>
    <w:p w14:paraId="793AE9FE" w14:textId="77777777" w:rsidR="002D28D7" w:rsidRPr="002D28D7" w:rsidRDefault="002D28D7" w:rsidP="002D28D7">
      <w:pPr>
        <w:rPr>
          <w:snapToGrid w:val="0"/>
        </w:rPr>
      </w:pPr>
    </w:p>
    <w:p w14:paraId="762A0A7F" w14:textId="77777777" w:rsidR="00335F71" w:rsidRPr="007D0FD1" w:rsidRDefault="00335F71" w:rsidP="00335F71">
      <w:pPr>
        <w:rPr>
          <w:rFonts w:eastAsiaTheme="minorHAnsi" w:cstheme="minorBidi"/>
          <w:sz w:val="22"/>
          <w:szCs w:val="22"/>
          <w:lang w:eastAsia="en-US"/>
        </w:rPr>
      </w:pPr>
    </w:p>
    <w:p w14:paraId="45E1A64B" w14:textId="77777777" w:rsidR="00B64B01" w:rsidRPr="007E2C1F" w:rsidRDefault="00B64B01" w:rsidP="007E2C1F">
      <w:pPr>
        <w:rPr>
          <w:rFonts w:eastAsiaTheme="minorHAnsi"/>
          <w:i/>
          <w:lang w:eastAsia="en-US"/>
        </w:rPr>
      </w:pPr>
      <w:r w:rsidRPr="007E2C1F">
        <w:rPr>
          <w:rFonts w:eastAsiaTheme="minorHAnsi"/>
          <w:i/>
          <w:lang w:eastAsia="en-US"/>
        </w:rPr>
        <w:lastRenderedPageBreak/>
        <w:t xml:space="preserve">Capacity or capability </w:t>
      </w:r>
      <w:r w:rsidRPr="007D0FD1">
        <w:rPr>
          <w:rFonts w:eastAsiaTheme="minorHAnsi"/>
          <w:i/>
          <w:lang w:eastAsia="en-US"/>
        </w:rPr>
        <w:t>of the participant</w:t>
      </w:r>
    </w:p>
    <w:p w14:paraId="7CB56455" w14:textId="732047CB" w:rsidR="00976B68" w:rsidRDefault="00B64B01">
      <w:pPr>
        <w:pStyle w:val="ListParagraph"/>
        <w:rPr>
          <w:snapToGrid w:val="0"/>
        </w:rPr>
      </w:pPr>
      <w:r w:rsidRPr="00976B68">
        <w:rPr>
          <w:snapToGrid w:val="0"/>
        </w:rPr>
        <w:t xml:space="preserve">An individual’s circumstance may be such that they have resided in supported accommodation for a significant period time, such that their capacity to live outside of a </w:t>
      </w:r>
      <w:r w:rsidR="002D28D7">
        <w:rPr>
          <w:snapToGrid w:val="0"/>
        </w:rPr>
        <w:t>SDA</w:t>
      </w:r>
      <w:r w:rsidRPr="00976B68">
        <w:rPr>
          <w:snapToGrid w:val="0"/>
        </w:rPr>
        <w:t xml:space="preserve"> arrangement is limited. The individual may require ongoing supported accommodation for a period of time as they transition to</w:t>
      </w:r>
      <w:r w:rsidR="000B5495">
        <w:rPr>
          <w:snapToGrid w:val="0"/>
        </w:rPr>
        <w:t> </w:t>
      </w:r>
      <w:r w:rsidRPr="00976B68">
        <w:rPr>
          <w:snapToGrid w:val="0"/>
        </w:rPr>
        <w:t xml:space="preserve">alternative accommodation arrangements that are appropriate for their circumstances. </w:t>
      </w:r>
    </w:p>
    <w:p w14:paraId="55D70FF5" w14:textId="77777777" w:rsidR="00976B68" w:rsidRPr="00976B68" w:rsidRDefault="00976B68" w:rsidP="007E2C1F">
      <w:pPr>
        <w:rPr>
          <w:snapToGrid w:val="0"/>
        </w:rPr>
      </w:pPr>
    </w:p>
    <w:p w14:paraId="368C063E" w14:textId="6AE4CECD" w:rsidR="00976B68" w:rsidRPr="00976B68" w:rsidRDefault="00976B68">
      <w:pPr>
        <w:pStyle w:val="ListParagraph"/>
        <w:rPr>
          <w:snapToGrid w:val="0"/>
        </w:rPr>
      </w:pPr>
      <w:r w:rsidRPr="00976B68">
        <w:rPr>
          <w:snapToGrid w:val="0"/>
        </w:rPr>
        <w:t xml:space="preserve">Building on the above, the </w:t>
      </w:r>
      <w:r w:rsidR="00785459">
        <w:rPr>
          <w:snapToGrid w:val="0"/>
        </w:rPr>
        <w:t>NDIA</w:t>
      </w:r>
      <w:r w:rsidRPr="00976B68">
        <w:rPr>
          <w:snapToGrid w:val="0"/>
        </w:rPr>
        <w:t xml:space="preserve"> will develop and publish the criteria it will apply when determining whether </w:t>
      </w:r>
      <w:r w:rsidR="002D28D7">
        <w:rPr>
          <w:snapToGrid w:val="0"/>
        </w:rPr>
        <w:t xml:space="preserve">SDA </w:t>
      </w:r>
      <w:r w:rsidRPr="00976B68">
        <w:rPr>
          <w:snapToGrid w:val="0"/>
        </w:rPr>
        <w:t>is reasonable and necessary for a participant on the basis of their high support needs and other ci</w:t>
      </w:r>
      <w:r w:rsidR="002D28D7">
        <w:rPr>
          <w:snapToGrid w:val="0"/>
        </w:rPr>
        <w:t xml:space="preserve">rcumstances. This will include </w:t>
      </w:r>
      <w:r w:rsidRPr="00976B68">
        <w:rPr>
          <w:snapToGrid w:val="0"/>
        </w:rPr>
        <w:t>consideration of those who will definitely need accessible accommodation and those, who may, depending on the supports available to them.</w:t>
      </w:r>
    </w:p>
    <w:p w14:paraId="34D84301" w14:textId="77777777" w:rsidR="009B6F57" w:rsidRPr="00976B68" w:rsidRDefault="009B6F57">
      <w:pPr>
        <w:rPr>
          <w:snapToGrid w:val="0"/>
        </w:rPr>
      </w:pPr>
    </w:p>
    <w:p w14:paraId="678F45F7" w14:textId="77777777" w:rsidR="00FA11F6" w:rsidRPr="007D0FD1" w:rsidRDefault="00FA11F6" w:rsidP="00FA11F6">
      <w:pPr>
        <w:pStyle w:val="Heading1"/>
        <w:rPr>
          <w:rFonts w:cs="Arial"/>
          <w:snapToGrid w:val="0"/>
        </w:rPr>
      </w:pPr>
      <w:bookmarkStart w:id="70" w:name="_Toc429404579"/>
      <w:bookmarkStart w:id="71" w:name="_Toc531633306"/>
      <w:bookmarkStart w:id="72" w:name="_Toc38548374"/>
      <w:r w:rsidRPr="007D0FD1">
        <w:rPr>
          <w:rFonts w:cs="Arial"/>
          <w:snapToGrid w:val="0"/>
        </w:rPr>
        <w:t xml:space="preserve">Part 4 – </w:t>
      </w:r>
      <w:r w:rsidR="00EF0F57" w:rsidRPr="007D0FD1">
        <w:rPr>
          <w:rFonts w:cs="Arial"/>
          <w:snapToGrid w:val="0"/>
        </w:rPr>
        <w:t>Registration, approved dwellings, security of tenure</w:t>
      </w:r>
      <w:bookmarkEnd w:id="70"/>
      <w:bookmarkEnd w:id="71"/>
      <w:bookmarkEnd w:id="72"/>
    </w:p>
    <w:p w14:paraId="7E7C154E" w14:textId="27A42A0D" w:rsidR="00FA11F6" w:rsidRPr="007D0FD1" w:rsidRDefault="00E4558E" w:rsidP="00FA11F6">
      <w:pPr>
        <w:pStyle w:val="Heading2"/>
        <w:rPr>
          <w:rFonts w:cs="Arial"/>
          <w:snapToGrid w:val="0"/>
        </w:rPr>
      </w:pPr>
      <w:bookmarkStart w:id="73" w:name="_Toc429404580"/>
      <w:bookmarkStart w:id="74" w:name="_Toc531633307"/>
      <w:bookmarkStart w:id="75" w:name="_Toc38548375"/>
      <w:r w:rsidRPr="007D0FD1">
        <w:rPr>
          <w:rFonts w:cs="Arial"/>
          <w:snapToGrid w:val="0"/>
        </w:rPr>
        <w:t>A modified market</w:t>
      </w:r>
      <w:bookmarkEnd w:id="73"/>
      <w:bookmarkEnd w:id="74"/>
      <w:bookmarkEnd w:id="75"/>
      <w:r w:rsidRPr="007D0FD1">
        <w:rPr>
          <w:rFonts w:cs="Arial"/>
          <w:snapToGrid w:val="0"/>
        </w:rPr>
        <w:t xml:space="preserve"> </w:t>
      </w:r>
    </w:p>
    <w:p w14:paraId="794A45D9" w14:textId="23783971" w:rsidR="00BE7B7D" w:rsidRPr="000B5495" w:rsidRDefault="00866ED1">
      <w:pPr>
        <w:pStyle w:val="ListParagraph"/>
        <w:rPr>
          <w:snapToGrid w:val="0"/>
        </w:rPr>
      </w:pPr>
      <w:r w:rsidRPr="000B5495">
        <w:rPr>
          <w:snapToGrid w:val="0"/>
        </w:rPr>
        <w:t xml:space="preserve">It is recognised that the existing stock of supported accommodation (such as group homes, </w:t>
      </w:r>
      <w:r w:rsidR="00547EC4" w:rsidRPr="000B5495">
        <w:rPr>
          <w:snapToGrid w:val="0"/>
        </w:rPr>
        <w:t>large residential centres</w:t>
      </w:r>
      <w:r w:rsidRPr="000B5495">
        <w:rPr>
          <w:snapToGrid w:val="0"/>
        </w:rPr>
        <w:t>) is essential to ensuring the ongoing supply of</w:t>
      </w:r>
      <w:r w:rsidR="000B5495" w:rsidRPr="000B5495">
        <w:rPr>
          <w:snapToGrid w:val="0"/>
        </w:rPr>
        <w:t> </w:t>
      </w:r>
      <w:r w:rsidRPr="000B5495">
        <w:rPr>
          <w:snapToGrid w:val="0"/>
        </w:rPr>
        <w:t>appropriate specialist accommodation. A key priority is to facilitate the transition of the existing stock of supported accommodation into the NDIS. F</w:t>
      </w:r>
      <w:r w:rsidR="00BE7B7D" w:rsidRPr="000B5495">
        <w:rPr>
          <w:snapToGrid w:val="0"/>
        </w:rPr>
        <w:t xml:space="preserve">unding will allow for the </w:t>
      </w:r>
      <w:r w:rsidRPr="000B5495">
        <w:rPr>
          <w:snapToGrid w:val="0"/>
        </w:rPr>
        <w:t>continuity of supply of the existing stock of supported accommodation</w:t>
      </w:r>
      <w:r w:rsidR="00BE7B7D" w:rsidRPr="000B5495">
        <w:rPr>
          <w:snapToGrid w:val="0"/>
        </w:rPr>
        <w:t xml:space="preserve"> </w:t>
      </w:r>
      <w:r w:rsidRPr="000B5495">
        <w:rPr>
          <w:snapToGrid w:val="0"/>
        </w:rPr>
        <w:t xml:space="preserve">(State owned or non-government owned) </w:t>
      </w:r>
      <w:r w:rsidR="00BE7B7D" w:rsidRPr="000B5495">
        <w:rPr>
          <w:snapToGrid w:val="0"/>
        </w:rPr>
        <w:t xml:space="preserve">and also ensure there is scope for </w:t>
      </w:r>
      <w:r w:rsidRPr="000B5495">
        <w:rPr>
          <w:snapToGrid w:val="0"/>
        </w:rPr>
        <w:t xml:space="preserve">replacement, </w:t>
      </w:r>
      <w:r w:rsidR="00BE7B7D" w:rsidRPr="000B5495">
        <w:rPr>
          <w:snapToGrid w:val="0"/>
        </w:rPr>
        <w:t>change and innovation over time.</w:t>
      </w:r>
    </w:p>
    <w:p w14:paraId="3166810E" w14:textId="77777777" w:rsidR="00BE7B7D" w:rsidRPr="00226196" w:rsidRDefault="00BE7B7D" w:rsidP="007E2C1F">
      <w:pPr>
        <w:ind w:left="360"/>
        <w:rPr>
          <w:snapToGrid w:val="0"/>
        </w:rPr>
      </w:pPr>
    </w:p>
    <w:p w14:paraId="4471CD3A" w14:textId="77777777" w:rsidR="00822834" w:rsidRPr="00097DB5" w:rsidRDefault="00822834">
      <w:pPr>
        <w:pStyle w:val="ListParagraph"/>
        <w:rPr>
          <w:snapToGrid w:val="0"/>
        </w:rPr>
      </w:pPr>
      <w:r w:rsidRPr="007D0FD1">
        <w:rPr>
          <w:snapToGrid w:val="0"/>
        </w:rPr>
        <w:t>The design of the NDIS has sought to embed a market based approach where feasible</w:t>
      </w:r>
      <w:r w:rsidR="00161B65" w:rsidRPr="007D0FD1">
        <w:rPr>
          <w:snapToGrid w:val="0"/>
        </w:rPr>
        <w:t>, by</w:t>
      </w:r>
      <w:r w:rsidR="00547EC4">
        <w:rPr>
          <w:snapToGrid w:val="0"/>
        </w:rPr>
        <w:t xml:space="preserve"> </w:t>
      </w:r>
      <w:r w:rsidRPr="007D0FD1">
        <w:rPr>
          <w:snapToGrid w:val="0"/>
        </w:rPr>
        <w:t>putting funds into the hands of participants</w:t>
      </w:r>
      <w:r w:rsidR="00547EC4">
        <w:rPr>
          <w:snapToGrid w:val="0"/>
        </w:rPr>
        <w:t xml:space="preserve"> (to the extent possible)</w:t>
      </w:r>
      <w:r w:rsidRPr="007D0FD1">
        <w:rPr>
          <w:snapToGrid w:val="0"/>
        </w:rPr>
        <w:t xml:space="preserve">.  </w:t>
      </w:r>
      <w:r w:rsidR="00547EC4">
        <w:rPr>
          <w:snapToGrid w:val="0"/>
        </w:rPr>
        <w:t xml:space="preserve">There are market constraints on the feasibility of this, </w:t>
      </w:r>
      <w:r w:rsidRPr="007D0FD1">
        <w:rPr>
          <w:snapToGrid w:val="0"/>
        </w:rPr>
        <w:t xml:space="preserve"> includ</w:t>
      </w:r>
      <w:r w:rsidR="00547EC4">
        <w:rPr>
          <w:snapToGrid w:val="0"/>
        </w:rPr>
        <w:t>ing that</w:t>
      </w:r>
      <w:r w:rsidRPr="007D0FD1">
        <w:rPr>
          <w:snapToGrid w:val="0"/>
        </w:rPr>
        <w:t>:</w:t>
      </w:r>
    </w:p>
    <w:p w14:paraId="5CDB0D6C" w14:textId="77777777" w:rsidR="00822834" w:rsidRPr="007D0FD1" w:rsidRDefault="00822834" w:rsidP="00512422">
      <w:pPr>
        <w:pStyle w:val="ListParagraph"/>
        <w:numPr>
          <w:ilvl w:val="0"/>
          <w:numId w:val="20"/>
        </w:numPr>
        <w:rPr>
          <w:snapToGrid w:val="0"/>
        </w:rPr>
      </w:pPr>
      <w:r w:rsidRPr="007D0FD1">
        <w:rPr>
          <w:snapToGrid w:val="0"/>
        </w:rPr>
        <w:t>Housing involves substantial capital investments that create returns over the long term. It is not responsive to short-run changes in market dynamics.</w:t>
      </w:r>
    </w:p>
    <w:p w14:paraId="5A9EE2E4" w14:textId="77777777" w:rsidR="00822834" w:rsidRPr="007D0FD1" w:rsidRDefault="00822834" w:rsidP="00512422">
      <w:pPr>
        <w:pStyle w:val="ListParagraph"/>
        <w:numPr>
          <w:ilvl w:val="0"/>
          <w:numId w:val="20"/>
        </w:numPr>
        <w:rPr>
          <w:snapToGrid w:val="0"/>
        </w:rPr>
      </w:pPr>
      <w:r w:rsidRPr="007D0FD1">
        <w:rPr>
          <w:snapToGrid w:val="0"/>
        </w:rPr>
        <w:t xml:space="preserve">It is an area where the market may not respond fully or quickly to demand, especially in respect of required built forms that are not typically available in the broader housing market; thereby requiring some </w:t>
      </w:r>
      <w:r w:rsidR="00547EC4">
        <w:rPr>
          <w:snapToGrid w:val="0"/>
        </w:rPr>
        <w:t>market</w:t>
      </w:r>
      <w:r w:rsidRPr="007D0FD1">
        <w:rPr>
          <w:snapToGrid w:val="0"/>
        </w:rPr>
        <w:t xml:space="preserve"> incentive.</w:t>
      </w:r>
    </w:p>
    <w:p w14:paraId="1C732BEF" w14:textId="77777777" w:rsidR="00822834" w:rsidRPr="007D0FD1" w:rsidRDefault="00822834">
      <w:pPr>
        <w:pStyle w:val="ListParagraph"/>
        <w:numPr>
          <w:ilvl w:val="0"/>
          <w:numId w:val="20"/>
        </w:numPr>
        <w:rPr>
          <w:snapToGrid w:val="0"/>
        </w:rPr>
      </w:pPr>
      <w:r w:rsidRPr="007D0FD1">
        <w:rPr>
          <w:snapToGrid w:val="0"/>
        </w:rPr>
        <w:t>In a number of locations, there are serious shortages of affordable accommodation for low income earners; which may impact disproportionately on NDIS participants with complex needs and reliant on income support.</w:t>
      </w:r>
    </w:p>
    <w:p w14:paraId="096920E8" w14:textId="77777777" w:rsidR="00822834" w:rsidRPr="007D0FD1" w:rsidRDefault="00822834">
      <w:pPr>
        <w:pStyle w:val="ListParagraph"/>
        <w:numPr>
          <w:ilvl w:val="0"/>
          <w:numId w:val="20"/>
        </w:numPr>
        <w:rPr>
          <w:snapToGrid w:val="0"/>
        </w:rPr>
      </w:pPr>
      <w:r w:rsidRPr="007D0FD1">
        <w:rPr>
          <w:snapToGrid w:val="0"/>
        </w:rPr>
        <w:t>There is a need to ensure that the scheme does not replace existing effort in the social and community housing sectors which are primarily responsible for addressing the housing needs of people on low incomes.</w:t>
      </w:r>
    </w:p>
    <w:p w14:paraId="212016C9" w14:textId="77777777" w:rsidR="00822834" w:rsidRPr="007D0FD1" w:rsidRDefault="00822834" w:rsidP="00822834">
      <w:pPr>
        <w:rPr>
          <w:snapToGrid w:val="0"/>
        </w:rPr>
      </w:pPr>
    </w:p>
    <w:p w14:paraId="6716E0D4" w14:textId="44CC1175" w:rsidR="00822834" w:rsidRPr="007D0FD1" w:rsidRDefault="00822834">
      <w:pPr>
        <w:pStyle w:val="ListParagraph"/>
        <w:rPr>
          <w:snapToGrid w:val="0"/>
        </w:rPr>
      </w:pPr>
      <w:r w:rsidRPr="007D0FD1">
        <w:rPr>
          <w:snapToGrid w:val="0"/>
        </w:rPr>
        <w:t xml:space="preserve">Consequently, the </w:t>
      </w:r>
      <w:r w:rsidR="00785459">
        <w:rPr>
          <w:snapToGrid w:val="0"/>
        </w:rPr>
        <w:t>NDIA</w:t>
      </w:r>
      <w:r w:rsidRPr="007D0FD1">
        <w:rPr>
          <w:snapToGrid w:val="0"/>
        </w:rPr>
        <w:t xml:space="preserve"> will need the flexibility to target funding in respect of</w:t>
      </w:r>
      <w:r w:rsidR="000B5495">
        <w:rPr>
          <w:snapToGrid w:val="0"/>
        </w:rPr>
        <w:t> </w:t>
      </w:r>
      <w:r w:rsidRPr="007D0FD1">
        <w:rPr>
          <w:snapToGrid w:val="0"/>
        </w:rPr>
        <w:t xml:space="preserve">approved dwellings, to ensure the best accommodation outcomes can be secured for participants who have a reasonable and necessary need for </w:t>
      </w:r>
      <w:r w:rsidR="000B5495">
        <w:rPr>
          <w:snapToGrid w:val="0"/>
        </w:rPr>
        <w:t>SDA</w:t>
      </w:r>
      <w:r w:rsidRPr="007D0FD1">
        <w:rPr>
          <w:snapToGrid w:val="0"/>
        </w:rPr>
        <w:t xml:space="preserve"> while ensuring the sustainability of the NDIS. </w:t>
      </w:r>
    </w:p>
    <w:p w14:paraId="73BC0D9D" w14:textId="77777777" w:rsidR="00E4558E" w:rsidRPr="007D0FD1" w:rsidRDefault="00E4558E" w:rsidP="00E4558E">
      <w:pPr>
        <w:rPr>
          <w:snapToGrid w:val="0"/>
        </w:rPr>
      </w:pPr>
    </w:p>
    <w:p w14:paraId="10632FC2" w14:textId="77777777" w:rsidR="00C84D8D" w:rsidRDefault="00C84D8D" w:rsidP="00C84D8D">
      <w:pPr>
        <w:pStyle w:val="Heading2"/>
        <w:rPr>
          <w:rFonts w:cs="Arial"/>
          <w:snapToGrid w:val="0"/>
        </w:rPr>
      </w:pPr>
      <w:bookmarkStart w:id="76" w:name="_Toc531081079"/>
      <w:bookmarkStart w:id="77" w:name="_Toc531633308"/>
      <w:bookmarkStart w:id="78" w:name="_Toc38548376"/>
      <w:bookmarkStart w:id="79" w:name="_Toc429404581"/>
      <w:r>
        <w:rPr>
          <w:rFonts w:cs="Arial"/>
          <w:snapToGrid w:val="0"/>
        </w:rPr>
        <w:lastRenderedPageBreak/>
        <w:t>Registration of providers and enrolment of dwellings</w:t>
      </w:r>
      <w:bookmarkEnd w:id="76"/>
      <w:bookmarkEnd w:id="77"/>
      <w:bookmarkEnd w:id="78"/>
    </w:p>
    <w:bookmarkEnd w:id="79"/>
    <w:p w14:paraId="482BD25C" w14:textId="77777777" w:rsidR="00C84D8D" w:rsidRDefault="00C84D8D">
      <w:pPr>
        <w:pStyle w:val="ListParagraph"/>
        <w:rPr>
          <w:snapToGrid w:val="0"/>
        </w:rPr>
      </w:pPr>
      <w:r>
        <w:rPr>
          <w:snapToGrid w:val="0"/>
        </w:rPr>
        <w:t xml:space="preserve">The NDIS Quality and Safeguards Commission (the NDIS Commission) was established on 1 July 2018 to regulate the NDIS market. </w:t>
      </w:r>
    </w:p>
    <w:p w14:paraId="5431E5B1" w14:textId="77777777" w:rsidR="00C84D8D" w:rsidRDefault="00C84D8D" w:rsidP="00C84D8D">
      <w:pPr>
        <w:ind w:left="720"/>
        <w:rPr>
          <w:snapToGrid w:val="0"/>
        </w:rPr>
      </w:pPr>
    </w:p>
    <w:p w14:paraId="1945A214" w14:textId="7FB0B588" w:rsidR="00C84D8D" w:rsidRDefault="00C84D8D">
      <w:pPr>
        <w:pStyle w:val="ListParagraph"/>
        <w:rPr>
          <w:snapToGrid w:val="0"/>
        </w:rPr>
      </w:pPr>
      <w:r>
        <w:rPr>
          <w:snapToGrid w:val="0"/>
        </w:rPr>
        <w:t>During the transition period to full scheme in 2020, both the NDIS Commission and the NDIA share responsibility for the registration and regulation of providers. The</w:t>
      </w:r>
      <w:r w:rsidR="000B5495">
        <w:rPr>
          <w:snapToGrid w:val="0"/>
        </w:rPr>
        <w:t> </w:t>
      </w:r>
      <w:r>
        <w:rPr>
          <w:snapToGrid w:val="0"/>
        </w:rPr>
        <w:t xml:space="preserve">NDIS Commission will be responsible for the registration of providers as each participating jurisdiction reaches full scheme. </w:t>
      </w:r>
    </w:p>
    <w:p w14:paraId="1F678686" w14:textId="77777777" w:rsidR="00C84D8D" w:rsidRDefault="00C84D8D" w:rsidP="00C84D8D">
      <w:pPr>
        <w:ind w:left="720"/>
        <w:rPr>
          <w:snapToGrid w:val="0"/>
        </w:rPr>
      </w:pPr>
    </w:p>
    <w:p w14:paraId="61A0916D" w14:textId="0E3FC7A8" w:rsidR="00C84D8D" w:rsidRDefault="00C84D8D">
      <w:pPr>
        <w:pStyle w:val="ListParagraph"/>
        <w:rPr>
          <w:snapToGrid w:val="0"/>
        </w:rPr>
      </w:pPr>
      <w:r>
        <w:rPr>
          <w:snapToGrid w:val="0"/>
        </w:rPr>
        <w:t>Registration of providers and enrolment of dwellings is described in the National</w:t>
      </w:r>
      <w:r w:rsidR="000B5495">
        <w:rPr>
          <w:snapToGrid w:val="0"/>
        </w:rPr>
        <w:t> </w:t>
      </w:r>
      <w:r>
        <w:rPr>
          <w:snapToGrid w:val="0"/>
        </w:rPr>
        <w:t>Disability Insurance Scheme Act 2013 (Cth), National Disability Insurance Scheme (Specialist Disability Accommodation) Rules 20</w:t>
      </w:r>
      <w:r w:rsidR="00F41176">
        <w:rPr>
          <w:snapToGrid w:val="0"/>
        </w:rPr>
        <w:t>20</w:t>
      </w:r>
      <w:r>
        <w:rPr>
          <w:snapToGrid w:val="0"/>
        </w:rPr>
        <w:t xml:space="preserve"> and the National Disability Insurance Scheme (Specialist Disability Accommodation Conditions) Rules 20</w:t>
      </w:r>
      <w:r w:rsidR="00F41176">
        <w:rPr>
          <w:snapToGrid w:val="0"/>
        </w:rPr>
        <w:t>20</w:t>
      </w:r>
      <w:r>
        <w:rPr>
          <w:snapToGrid w:val="0"/>
        </w:rPr>
        <w:t>.</w:t>
      </w:r>
    </w:p>
    <w:p w14:paraId="67F7FF20" w14:textId="77777777" w:rsidR="00C84D8D" w:rsidRDefault="00C84D8D" w:rsidP="00C84D8D">
      <w:pPr>
        <w:rPr>
          <w:snapToGrid w:val="0"/>
        </w:rPr>
      </w:pPr>
    </w:p>
    <w:p w14:paraId="30036A7C" w14:textId="77777777" w:rsidR="00C84D8D" w:rsidRDefault="00C84D8D">
      <w:pPr>
        <w:pStyle w:val="ListParagraph"/>
        <w:rPr>
          <w:snapToGrid w:val="0"/>
        </w:rPr>
      </w:pPr>
      <w:r>
        <w:rPr>
          <w:snapToGrid w:val="0"/>
        </w:rPr>
        <w:t xml:space="preserve">Registration requirements include: </w:t>
      </w:r>
    </w:p>
    <w:p w14:paraId="0E18D431" w14:textId="77777777" w:rsidR="00C84D8D" w:rsidRDefault="00C84D8D" w:rsidP="00512422">
      <w:pPr>
        <w:pStyle w:val="ListParagraph"/>
        <w:numPr>
          <w:ilvl w:val="0"/>
          <w:numId w:val="20"/>
        </w:numPr>
        <w:rPr>
          <w:snapToGrid w:val="0"/>
        </w:rPr>
      </w:pPr>
      <w:r>
        <w:rPr>
          <w:snapToGrid w:val="0"/>
        </w:rPr>
        <w:t>quality and standards that must be met by accommodation providers, noting this may leverage existing mechanisms, such as the national community housing regulatory system, State-based building codes and other mechanisms as deemed appropriate;</w:t>
      </w:r>
    </w:p>
    <w:p w14:paraId="699117AB" w14:textId="77777777" w:rsidR="00C84D8D" w:rsidRDefault="00C84D8D" w:rsidP="00512422">
      <w:pPr>
        <w:pStyle w:val="ListParagraph"/>
        <w:numPr>
          <w:ilvl w:val="0"/>
          <w:numId w:val="20"/>
        </w:numPr>
        <w:rPr>
          <w:snapToGrid w:val="0"/>
        </w:rPr>
      </w:pPr>
      <w:r>
        <w:rPr>
          <w:snapToGrid w:val="0"/>
        </w:rPr>
        <w:t>the rights and responsibilities of accommodation providers, residents and support providers, and how this will be implemented;</w:t>
      </w:r>
    </w:p>
    <w:p w14:paraId="7E45D9FA" w14:textId="77777777" w:rsidR="00C84D8D" w:rsidRDefault="00C84D8D">
      <w:pPr>
        <w:pStyle w:val="ListParagraph"/>
        <w:numPr>
          <w:ilvl w:val="0"/>
          <w:numId w:val="20"/>
        </w:numPr>
        <w:rPr>
          <w:snapToGrid w:val="0"/>
        </w:rPr>
      </w:pPr>
      <w:r>
        <w:rPr>
          <w:snapToGrid w:val="0"/>
        </w:rPr>
        <w:t>security of tenure and safeguarding arrangements for residents; and</w:t>
      </w:r>
    </w:p>
    <w:p w14:paraId="58C84A5F" w14:textId="77777777" w:rsidR="00C84D8D" w:rsidRDefault="00C84D8D">
      <w:pPr>
        <w:pStyle w:val="ListParagraph"/>
        <w:numPr>
          <w:ilvl w:val="0"/>
          <w:numId w:val="20"/>
        </w:numPr>
        <w:rPr>
          <w:snapToGrid w:val="0"/>
        </w:rPr>
      </w:pPr>
      <w:r>
        <w:rPr>
          <w:snapToGrid w:val="0"/>
        </w:rPr>
        <w:t>how providers will calculate and apply resident contributions.</w:t>
      </w:r>
      <w:r w:rsidR="00961CD0">
        <w:rPr>
          <w:snapToGrid w:val="0"/>
        </w:rPr>
        <w:br/>
      </w:r>
    </w:p>
    <w:p w14:paraId="16DA16C6" w14:textId="77777777" w:rsidR="00433CB2" w:rsidRDefault="00C84D8D">
      <w:pPr>
        <w:pStyle w:val="ListParagraph"/>
        <w:rPr>
          <w:snapToGrid w:val="0"/>
        </w:rPr>
      </w:pPr>
      <w:r>
        <w:rPr>
          <w:snapToGrid w:val="0"/>
        </w:rPr>
        <w:t>During 2019, the NDIA will introduce a pre-certification option for dwellings off the plan or under construction to provide greater certainty to providers and investors that prospective dwellings meet SDA Design Category standards. Final enrolment will still be required once the dwelling has a certificate of occupancy (or equivalent).</w:t>
      </w:r>
      <w:r w:rsidR="00133C82">
        <w:rPr>
          <w:snapToGrid w:val="0"/>
        </w:rPr>
        <w:t xml:space="preserve"> Final enrolment would occur if the dwelling is built in accordance with SDA Design Category Standards specified at the time of pre-certification.</w:t>
      </w:r>
    </w:p>
    <w:p w14:paraId="47A871DC" w14:textId="77777777" w:rsidR="00133C82" w:rsidRPr="00133C82" w:rsidRDefault="00133C82" w:rsidP="00133C82">
      <w:pPr>
        <w:rPr>
          <w:snapToGrid w:val="0"/>
        </w:rPr>
      </w:pPr>
    </w:p>
    <w:p w14:paraId="2424ED26" w14:textId="77777777" w:rsidR="00C84D8D" w:rsidRDefault="00C84D8D">
      <w:pPr>
        <w:pStyle w:val="ListParagraph"/>
        <w:rPr>
          <w:snapToGrid w:val="0"/>
        </w:rPr>
      </w:pPr>
      <w:r>
        <w:rPr>
          <w:snapToGrid w:val="0"/>
        </w:rPr>
        <w:t>The NDIA will retain responsibility for the enrolment of SDA dwellings. At full scheme, the NDIS Commission will register SDA providers and the NDIA will continue to enrol SDA dwellings.</w:t>
      </w:r>
    </w:p>
    <w:p w14:paraId="37AA97AF" w14:textId="77777777" w:rsidR="00EA2D95" w:rsidRPr="007D0FD1" w:rsidRDefault="00EA2D95" w:rsidP="00E4558E">
      <w:pPr>
        <w:rPr>
          <w:snapToGrid w:val="0"/>
        </w:rPr>
      </w:pPr>
    </w:p>
    <w:p w14:paraId="2689D5FD" w14:textId="77777777" w:rsidR="006A5C98" w:rsidRPr="007D0FD1" w:rsidRDefault="006A5C98" w:rsidP="006A5C98">
      <w:pPr>
        <w:pStyle w:val="Heading1"/>
        <w:rPr>
          <w:rFonts w:cs="Arial"/>
          <w:snapToGrid w:val="0"/>
        </w:rPr>
      </w:pPr>
      <w:bookmarkStart w:id="80" w:name="_Toc429404582"/>
      <w:bookmarkStart w:id="81" w:name="_Toc531633309"/>
      <w:bookmarkStart w:id="82" w:name="_Toc38548377"/>
      <w:r w:rsidRPr="007D0FD1">
        <w:rPr>
          <w:rFonts w:cs="Arial"/>
          <w:snapToGrid w:val="0"/>
        </w:rPr>
        <w:t xml:space="preserve">Part </w:t>
      </w:r>
      <w:r w:rsidR="003E515A">
        <w:rPr>
          <w:rFonts w:cs="Arial"/>
          <w:snapToGrid w:val="0"/>
        </w:rPr>
        <w:t>5</w:t>
      </w:r>
      <w:r w:rsidR="00A006D0" w:rsidRPr="007D0FD1">
        <w:rPr>
          <w:rFonts w:cs="Arial"/>
          <w:snapToGrid w:val="0"/>
        </w:rPr>
        <w:t xml:space="preserve"> – </w:t>
      </w:r>
      <w:r w:rsidR="00B565D7" w:rsidRPr="007D0FD1">
        <w:rPr>
          <w:rFonts w:cs="Arial"/>
          <w:snapToGrid w:val="0"/>
        </w:rPr>
        <w:t>Miscellaneous</w:t>
      </w:r>
      <w:bookmarkEnd w:id="80"/>
      <w:bookmarkEnd w:id="81"/>
      <w:bookmarkEnd w:id="82"/>
    </w:p>
    <w:p w14:paraId="10E31458" w14:textId="400EF539" w:rsidR="006A5C98" w:rsidRPr="007D0FD1" w:rsidRDefault="006A5C98" w:rsidP="006A5C98">
      <w:pPr>
        <w:pStyle w:val="Heading2"/>
        <w:rPr>
          <w:rFonts w:cs="Arial"/>
          <w:snapToGrid w:val="0"/>
        </w:rPr>
      </w:pPr>
      <w:bookmarkStart w:id="83" w:name="_Toc429404583"/>
      <w:bookmarkStart w:id="84" w:name="_Toc531633310"/>
      <w:bookmarkStart w:id="85" w:name="_Toc38548378"/>
      <w:r w:rsidRPr="007D0FD1">
        <w:rPr>
          <w:rFonts w:cs="Arial"/>
          <w:snapToGrid w:val="0"/>
        </w:rPr>
        <w:t>Flexibility</w:t>
      </w:r>
      <w:bookmarkEnd w:id="83"/>
      <w:bookmarkEnd w:id="84"/>
      <w:bookmarkEnd w:id="85"/>
    </w:p>
    <w:p w14:paraId="729027BE" w14:textId="06F55C78" w:rsidR="006A5C98" w:rsidRPr="007D0FD1" w:rsidRDefault="006A5C98">
      <w:pPr>
        <w:pStyle w:val="ListParagraph"/>
        <w:rPr>
          <w:snapToGrid w:val="0"/>
        </w:rPr>
      </w:pPr>
      <w:r w:rsidRPr="007D0FD1">
        <w:rPr>
          <w:snapToGrid w:val="0"/>
        </w:rPr>
        <w:t>Nothing in th</w:t>
      </w:r>
      <w:r w:rsidR="00FB1F38">
        <w:rPr>
          <w:snapToGrid w:val="0"/>
        </w:rPr>
        <w:t>is Framework</w:t>
      </w:r>
      <w:r w:rsidRPr="007D0FD1">
        <w:rPr>
          <w:snapToGrid w:val="0"/>
        </w:rPr>
        <w:t xml:space="preserve"> prevents the </w:t>
      </w:r>
      <w:r w:rsidR="00785459">
        <w:rPr>
          <w:snapToGrid w:val="0"/>
        </w:rPr>
        <w:t>NDIA</w:t>
      </w:r>
      <w:r w:rsidRPr="007D0FD1">
        <w:rPr>
          <w:snapToGrid w:val="0"/>
        </w:rPr>
        <w:t xml:space="preserve"> from making other payments in</w:t>
      </w:r>
      <w:r w:rsidR="000B5495">
        <w:rPr>
          <w:snapToGrid w:val="0"/>
        </w:rPr>
        <w:t> </w:t>
      </w:r>
      <w:r w:rsidRPr="007D0FD1">
        <w:rPr>
          <w:snapToGrid w:val="0"/>
        </w:rPr>
        <w:t>respect of housing</w:t>
      </w:r>
      <w:r w:rsidR="00335F71" w:rsidRPr="007D0FD1">
        <w:rPr>
          <w:snapToGrid w:val="0"/>
        </w:rPr>
        <w:t xml:space="preserve"> or accommodation arrangements that are consistent with the NDIS Act</w:t>
      </w:r>
      <w:r w:rsidRPr="007D0FD1">
        <w:rPr>
          <w:snapToGrid w:val="0"/>
        </w:rPr>
        <w:t xml:space="preserve">. </w:t>
      </w:r>
    </w:p>
    <w:p w14:paraId="1F519192" w14:textId="77777777" w:rsidR="00FA11F6" w:rsidRPr="007D0FD1" w:rsidRDefault="00FA11F6" w:rsidP="00FA11F6">
      <w:pPr>
        <w:rPr>
          <w:snapToGrid w:val="0"/>
        </w:rPr>
      </w:pPr>
    </w:p>
    <w:p w14:paraId="174A5719" w14:textId="4F2E87E9" w:rsidR="00FA11F6" w:rsidRPr="007D0FD1" w:rsidRDefault="00FA11F6" w:rsidP="000B5495">
      <w:pPr>
        <w:pStyle w:val="ListParagraph"/>
        <w:rPr>
          <w:snapToGrid w:val="0"/>
        </w:rPr>
      </w:pPr>
      <w:r w:rsidRPr="007D0FD1">
        <w:rPr>
          <w:snapToGrid w:val="0"/>
        </w:rPr>
        <w:t xml:space="preserve">This includes any funding arrangements the </w:t>
      </w:r>
      <w:r w:rsidR="00785459">
        <w:rPr>
          <w:snapToGrid w:val="0"/>
        </w:rPr>
        <w:t>NDIA</w:t>
      </w:r>
      <w:r w:rsidRPr="007D0FD1">
        <w:rPr>
          <w:snapToGrid w:val="0"/>
        </w:rPr>
        <w:t xml:space="preserve"> may need to facilitate the supply of </w:t>
      </w:r>
      <w:r w:rsidR="002D28D7">
        <w:rPr>
          <w:snapToGrid w:val="0"/>
        </w:rPr>
        <w:t>SDA</w:t>
      </w:r>
      <w:r w:rsidRPr="007D0FD1">
        <w:rPr>
          <w:snapToGrid w:val="0"/>
        </w:rPr>
        <w:t>, where the market is not responding appropriately to the demand for places</w:t>
      </w:r>
      <w:r w:rsidR="00C321DA" w:rsidRPr="007D0FD1">
        <w:rPr>
          <w:snapToGrid w:val="0"/>
        </w:rPr>
        <w:t>, and/or where innovative built forms or</w:t>
      </w:r>
      <w:r w:rsidR="00745539">
        <w:rPr>
          <w:snapToGrid w:val="0"/>
        </w:rPr>
        <w:t> </w:t>
      </w:r>
      <w:r w:rsidR="00C321DA" w:rsidRPr="007D0FD1">
        <w:rPr>
          <w:snapToGrid w:val="0"/>
        </w:rPr>
        <w:t>financing arrangements are needed</w:t>
      </w:r>
      <w:r w:rsidRPr="007D0FD1">
        <w:rPr>
          <w:snapToGrid w:val="0"/>
        </w:rPr>
        <w:t>.</w:t>
      </w:r>
    </w:p>
    <w:p w14:paraId="19FC1162" w14:textId="77777777" w:rsidR="00822834" w:rsidRPr="007D0FD1" w:rsidRDefault="00822834" w:rsidP="00822834">
      <w:pPr>
        <w:rPr>
          <w:snapToGrid w:val="0"/>
        </w:rPr>
      </w:pPr>
    </w:p>
    <w:p w14:paraId="76339206" w14:textId="3825246E" w:rsidR="00822834" w:rsidRPr="007D0FD1" w:rsidRDefault="00822834">
      <w:pPr>
        <w:pStyle w:val="ListParagraph"/>
        <w:rPr>
          <w:snapToGrid w:val="0"/>
        </w:rPr>
      </w:pPr>
      <w:r w:rsidRPr="007D0FD1">
        <w:rPr>
          <w:snapToGrid w:val="0"/>
        </w:rPr>
        <w:lastRenderedPageBreak/>
        <w:t xml:space="preserve">The </w:t>
      </w:r>
      <w:r w:rsidR="00785459">
        <w:rPr>
          <w:snapToGrid w:val="0"/>
        </w:rPr>
        <w:t>NDIA</w:t>
      </w:r>
      <w:r w:rsidRPr="007D0FD1">
        <w:rPr>
          <w:snapToGrid w:val="0"/>
        </w:rPr>
        <w:t xml:space="preserve"> can </w:t>
      </w:r>
      <w:r w:rsidR="00AF5648" w:rsidRPr="007D0FD1">
        <w:rPr>
          <w:snapToGrid w:val="0"/>
        </w:rPr>
        <w:t xml:space="preserve">also </w:t>
      </w:r>
      <w:r w:rsidRPr="007D0FD1">
        <w:rPr>
          <w:snapToGrid w:val="0"/>
        </w:rPr>
        <w:t xml:space="preserve">enter into voluntary agreements with </w:t>
      </w:r>
      <w:r w:rsidR="00AF5648" w:rsidRPr="007D0FD1">
        <w:rPr>
          <w:snapToGrid w:val="0"/>
        </w:rPr>
        <w:t>existing or</w:t>
      </w:r>
      <w:r w:rsidR="00745539">
        <w:rPr>
          <w:snapToGrid w:val="0"/>
        </w:rPr>
        <w:t> </w:t>
      </w:r>
      <w:r w:rsidR="00AF5648" w:rsidRPr="007D0FD1">
        <w:rPr>
          <w:snapToGrid w:val="0"/>
        </w:rPr>
        <w:t xml:space="preserve">prospective </w:t>
      </w:r>
      <w:r w:rsidRPr="007D0FD1">
        <w:rPr>
          <w:snapToGrid w:val="0"/>
        </w:rPr>
        <w:t>accommodation provider</w:t>
      </w:r>
      <w:r w:rsidR="00AF5648" w:rsidRPr="007D0FD1">
        <w:rPr>
          <w:snapToGrid w:val="0"/>
        </w:rPr>
        <w:t>s</w:t>
      </w:r>
      <w:r w:rsidRPr="007D0FD1">
        <w:rPr>
          <w:snapToGrid w:val="0"/>
        </w:rPr>
        <w:t xml:space="preserve"> to reduce payments below the benchmark price in </w:t>
      </w:r>
      <w:r w:rsidR="00AF5648" w:rsidRPr="007D0FD1">
        <w:rPr>
          <w:snapToGrid w:val="0"/>
        </w:rPr>
        <w:t>recognition</w:t>
      </w:r>
      <w:r w:rsidRPr="007D0FD1">
        <w:rPr>
          <w:snapToGrid w:val="0"/>
        </w:rPr>
        <w:t xml:space="preserve"> that</w:t>
      </w:r>
      <w:r w:rsidR="00EB2F2F" w:rsidRPr="007D0FD1">
        <w:rPr>
          <w:snapToGrid w:val="0"/>
        </w:rPr>
        <w:t xml:space="preserve"> families, carers,</w:t>
      </w:r>
      <w:r w:rsidRPr="007D0FD1">
        <w:rPr>
          <w:snapToGrid w:val="0"/>
        </w:rPr>
        <w:t xml:space="preserve"> </w:t>
      </w:r>
      <w:r w:rsidR="00AF5648" w:rsidRPr="007D0FD1">
        <w:rPr>
          <w:snapToGrid w:val="0"/>
        </w:rPr>
        <w:t>faith groups, philanthropic bodies, local</w:t>
      </w:r>
      <w:r w:rsidR="00745539">
        <w:rPr>
          <w:snapToGrid w:val="0"/>
        </w:rPr>
        <w:t> </w:t>
      </w:r>
      <w:r w:rsidR="00AF5648" w:rsidRPr="007D0FD1">
        <w:rPr>
          <w:snapToGrid w:val="0"/>
        </w:rPr>
        <w:t>government bodies and others may wish to make an ongoing contribution to</w:t>
      </w:r>
      <w:r w:rsidR="00745539">
        <w:rPr>
          <w:snapToGrid w:val="0"/>
        </w:rPr>
        <w:t> </w:t>
      </w:r>
      <w:r w:rsidR="002D28D7">
        <w:rPr>
          <w:snapToGrid w:val="0"/>
        </w:rPr>
        <w:t>the provision of SDA</w:t>
      </w:r>
      <w:r w:rsidR="00AF5648" w:rsidRPr="007D0FD1">
        <w:rPr>
          <w:snapToGrid w:val="0"/>
        </w:rPr>
        <w:t>.</w:t>
      </w:r>
    </w:p>
    <w:p w14:paraId="3375DD93" w14:textId="77777777" w:rsidR="006A5C98" w:rsidRPr="007D0FD1" w:rsidRDefault="006A5C98" w:rsidP="006A5C98">
      <w:pPr>
        <w:rPr>
          <w:snapToGrid w:val="0"/>
        </w:rPr>
      </w:pPr>
    </w:p>
    <w:p w14:paraId="4BC231BC" w14:textId="77777777" w:rsidR="00335F71" w:rsidRPr="007D0FD1" w:rsidRDefault="00335F71">
      <w:pPr>
        <w:pStyle w:val="Heading2"/>
        <w:rPr>
          <w:rFonts w:cs="Arial"/>
          <w:snapToGrid w:val="0"/>
        </w:rPr>
      </w:pPr>
      <w:bookmarkStart w:id="86" w:name="_Toc429404584"/>
      <w:bookmarkStart w:id="87" w:name="_Toc531633311"/>
      <w:bookmarkStart w:id="88" w:name="_Toc38548379"/>
      <w:r w:rsidRPr="007D0FD1">
        <w:rPr>
          <w:rFonts w:cs="Arial"/>
          <w:snapToGrid w:val="0"/>
        </w:rPr>
        <w:t>Transition of residents in supported accommodation and aged residential care</w:t>
      </w:r>
      <w:bookmarkEnd w:id="86"/>
      <w:bookmarkEnd w:id="87"/>
      <w:bookmarkEnd w:id="88"/>
    </w:p>
    <w:p w14:paraId="73FAD143" w14:textId="733AEAE8" w:rsidR="00A7461F" w:rsidRPr="007D0FD1" w:rsidRDefault="00A7461F" w:rsidP="00512422">
      <w:pPr>
        <w:pStyle w:val="ListParagraph"/>
        <w:keepNext w:val="0"/>
        <w:rPr>
          <w:snapToGrid w:val="0"/>
        </w:rPr>
      </w:pPr>
      <w:r w:rsidRPr="007D0FD1">
        <w:rPr>
          <w:snapToGrid w:val="0"/>
        </w:rPr>
        <w:t xml:space="preserve">Some people living in existing </w:t>
      </w:r>
      <w:r w:rsidR="002D28D7">
        <w:rPr>
          <w:snapToGrid w:val="0"/>
        </w:rPr>
        <w:t>SDA</w:t>
      </w:r>
      <w:r w:rsidRPr="007D0FD1">
        <w:rPr>
          <w:snapToGrid w:val="0"/>
        </w:rPr>
        <w:t xml:space="preserve"> may not be</w:t>
      </w:r>
      <w:r w:rsidR="00745539">
        <w:rPr>
          <w:snapToGrid w:val="0"/>
        </w:rPr>
        <w:t> </w:t>
      </w:r>
      <w:r w:rsidRPr="007D0FD1">
        <w:rPr>
          <w:snapToGrid w:val="0"/>
        </w:rPr>
        <w:t>assessed as:</w:t>
      </w:r>
    </w:p>
    <w:p w14:paraId="783ADA9E" w14:textId="77777777" w:rsidR="00A7461F" w:rsidRPr="007D0FD1" w:rsidRDefault="00A7461F" w:rsidP="00C87C93">
      <w:pPr>
        <w:pStyle w:val="ListParagraph"/>
        <w:keepNext w:val="0"/>
        <w:numPr>
          <w:ilvl w:val="0"/>
          <w:numId w:val="20"/>
        </w:numPr>
        <w:rPr>
          <w:snapToGrid w:val="0"/>
        </w:rPr>
      </w:pPr>
      <w:r w:rsidRPr="007D0FD1">
        <w:rPr>
          <w:snapToGrid w:val="0"/>
        </w:rPr>
        <w:t>qualifying as an NDIS participant; or</w:t>
      </w:r>
    </w:p>
    <w:p w14:paraId="04E1D32B" w14:textId="2564DCE5" w:rsidR="00A7461F" w:rsidRPr="007D0FD1" w:rsidRDefault="00A7461F" w:rsidP="00C87C93">
      <w:pPr>
        <w:pStyle w:val="ListParagraph"/>
        <w:keepNext w:val="0"/>
        <w:numPr>
          <w:ilvl w:val="0"/>
          <w:numId w:val="20"/>
        </w:numPr>
        <w:rPr>
          <w:snapToGrid w:val="0"/>
        </w:rPr>
      </w:pPr>
      <w:r w:rsidRPr="007D0FD1">
        <w:rPr>
          <w:snapToGrid w:val="0"/>
        </w:rPr>
        <w:t xml:space="preserve">having a reasonable and necessary need for </w:t>
      </w:r>
      <w:r w:rsidR="002D28D7">
        <w:rPr>
          <w:snapToGrid w:val="0"/>
        </w:rPr>
        <w:t>SDA</w:t>
      </w:r>
      <w:r w:rsidRPr="007D0FD1">
        <w:rPr>
          <w:snapToGrid w:val="0"/>
        </w:rPr>
        <w:t xml:space="preserve"> on entry to the NDIS. </w:t>
      </w:r>
    </w:p>
    <w:p w14:paraId="666EBE28" w14:textId="77777777" w:rsidR="00A7461F" w:rsidRPr="007D0FD1" w:rsidRDefault="00A7461F" w:rsidP="00A7461F">
      <w:pPr>
        <w:rPr>
          <w:snapToGrid w:val="0"/>
        </w:rPr>
      </w:pPr>
    </w:p>
    <w:p w14:paraId="418204CF" w14:textId="5BA21FC7" w:rsidR="00A7461F" w:rsidRPr="007D0FD1" w:rsidRDefault="00292D76">
      <w:pPr>
        <w:pStyle w:val="ListParagraph"/>
        <w:rPr>
          <w:snapToGrid w:val="0"/>
        </w:rPr>
      </w:pPr>
      <w:r w:rsidRPr="007D0FD1">
        <w:rPr>
          <w:snapToGrid w:val="0"/>
        </w:rPr>
        <w:t>Continuity of support</w:t>
      </w:r>
      <w:r w:rsidR="00A7461F" w:rsidRPr="007D0FD1">
        <w:rPr>
          <w:snapToGrid w:val="0"/>
        </w:rPr>
        <w:t xml:space="preserve"> arrangements will be developed for people living in</w:t>
      </w:r>
      <w:r w:rsidR="00745539">
        <w:rPr>
          <w:snapToGrid w:val="0"/>
        </w:rPr>
        <w:t> </w:t>
      </w:r>
      <w:r w:rsidR="00A7461F" w:rsidRPr="007D0FD1">
        <w:rPr>
          <w:snapToGrid w:val="0"/>
        </w:rPr>
        <w:t xml:space="preserve">existing </w:t>
      </w:r>
      <w:r w:rsidR="002D28D7">
        <w:rPr>
          <w:snapToGrid w:val="0"/>
        </w:rPr>
        <w:t>SDA</w:t>
      </w:r>
      <w:r w:rsidR="00A7461F" w:rsidRPr="007D0FD1">
        <w:rPr>
          <w:snapToGrid w:val="0"/>
        </w:rPr>
        <w:t xml:space="preserve"> who are in these situations. These arrangements will either retain the person in their current accommodation or find new accommodation </w:t>
      </w:r>
      <w:r w:rsidR="00BF56AC" w:rsidRPr="007D0FD1">
        <w:rPr>
          <w:snapToGrid w:val="0"/>
        </w:rPr>
        <w:t xml:space="preserve">or other </w:t>
      </w:r>
      <w:r w:rsidR="00A7461F" w:rsidRPr="007D0FD1">
        <w:rPr>
          <w:snapToGrid w:val="0"/>
        </w:rPr>
        <w:t xml:space="preserve">arrangements appropriate to their needs. </w:t>
      </w:r>
    </w:p>
    <w:p w14:paraId="33FF51D7" w14:textId="77777777" w:rsidR="004F7DCD" w:rsidRPr="007D0FD1" w:rsidRDefault="004F7DCD" w:rsidP="00A7461F">
      <w:pPr>
        <w:tabs>
          <w:tab w:val="left" w:pos="6360"/>
        </w:tabs>
        <w:rPr>
          <w:rFonts w:cs="Arial"/>
          <w:snapToGrid w:val="0"/>
        </w:rPr>
      </w:pPr>
    </w:p>
    <w:p w14:paraId="64F37A5F" w14:textId="77777777" w:rsidR="00A7461F" w:rsidRPr="007D0FD1" w:rsidRDefault="00FB1F38">
      <w:pPr>
        <w:pStyle w:val="ListParagraph"/>
        <w:rPr>
          <w:snapToGrid w:val="0"/>
        </w:rPr>
      </w:pPr>
      <w:r>
        <w:rPr>
          <w:snapToGrid w:val="0"/>
        </w:rPr>
        <w:t>C</w:t>
      </w:r>
      <w:r w:rsidR="00292D76" w:rsidRPr="007D0FD1">
        <w:rPr>
          <w:snapToGrid w:val="0"/>
        </w:rPr>
        <w:t>ontinuity of support</w:t>
      </w:r>
      <w:r w:rsidR="00A7461F" w:rsidRPr="007D0FD1">
        <w:rPr>
          <w:snapToGrid w:val="0"/>
        </w:rPr>
        <w:t xml:space="preserve"> arrangements </w:t>
      </w:r>
      <w:r>
        <w:rPr>
          <w:snapToGrid w:val="0"/>
        </w:rPr>
        <w:t xml:space="preserve">will </w:t>
      </w:r>
      <w:r w:rsidR="00A7461F" w:rsidRPr="007D0FD1">
        <w:rPr>
          <w:snapToGrid w:val="0"/>
        </w:rPr>
        <w:t xml:space="preserve">apply </w:t>
      </w:r>
      <w:r>
        <w:rPr>
          <w:snapToGrid w:val="0"/>
        </w:rPr>
        <w:t xml:space="preserve">to people who are ineligible for the NDIS and </w:t>
      </w:r>
      <w:r w:rsidR="00A7461F" w:rsidRPr="007D0FD1">
        <w:rPr>
          <w:snapToGrid w:val="0"/>
        </w:rPr>
        <w:t>are/were resident in state or territory managed or funded supported accommodation and residential aged care facilities at the time the scheme was/is rolled out in their location.</w:t>
      </w:r>
      <w:r w:rsidR="00A7461F" w:rsidRPr="00097DB5">
        <w:rPr>
          <w:rStyle w:val="FootnoteReference"/>
          <w:rFonts w:cs="Arial"/>
          <w:snapToGrid w:val="0"/>
        </w:rPr>
        <w:footnoteReference w:id="5"/>
      </w:r>
    </w:p>
    <w:p w14:paraId="6BAA8379" w14:textId="77777777" w:rsidR="00335F71" w:rsidRPr="007D0FD1" w:rsidRDefault="00335F71" w:rsidP="00335F71">
      <w:pPr>
        <w:tabs>
          <w:tab w:val="left" w:pos="6360"/>
        </w:tabs>
        <w:rPr>
          <w:rFonts w:cs="Arial"/>
          <w:snapToGrid w:val="0"/>
        </w:rPr>
      </w:pPr>
    </w:p>
    <w:p w14:paraId="0782A78E" w14:textId="77777777" w:rsidR="006B1857" w:rsidRPr="007D0FD1" w:rsidRDefault="006B1857" w:rsidP="006B1857">
      <w:pPr>
        <w:pStyle w:val="Heading2"/>
        <w:rPr>
          <w:rFonts w:cs="Arial"/>
          <w:snapToGrid w:val="0"/>
        </w:rPr>
      </w:pPr>
      <w:bookmarkStart w:id="89" w:name="_Toc429404585"/>
      <w:bookmarkStart w:id="90" w:name="_Toc531633312"/>
      <w:bookmarkStart w:id="91" w:name="_Toc38548380"/>
      <w:r w:rsidRPr="007D0FD1">
        <w:rPr>
          <w:rFonts w:cs="Arial"/>
          <w:snapToGrid w:val="0"/>
        </w:rPr>
        <w:t>Notification</w:t>
      </w:r>
      <w:bookmarkEnd w:id="89"/>
      <w:bookmarkEnd w:id="90"/>
      <w:bookmarkEnd w:id="91"/>
    </w:p>
    <w:p w14:paraId="3A62A9F5" w14:textId="77777777" w:rsidR="004F7DCD" w:rsidRDefault="006B1857">
      <w:pPr>
        <w:pStyle w:val="ListParagraph"/>
        <w:rPr>
          <w:snapToGrid w:val="0"/>
        </w:rPr>
      </w:pPr>
      <w:r w:rsidRPr="007D0FD1">
        <w:rPr>
          <w:snapToGrid w:val="0"/>
        </w:rPr>
        <w:t xml:space="preserve">The </w:t>
      </w:r>
      <w:r w:rsidR="00785459">
        <w:rPr>
          <w:snapToGrid w:val="0"/>
        </w:rPr>
        <w:t>NDIA</w:t>
      </w:r>
      <w:r w:rsidRPr="007D0FD1">
        <w:rPr>
          <w:snapToGrid w:val="0"/>
        </w:rPr>
        <w:t xml:space="preserve"> will need to adjust its cost structures when a state or territory government wishes to sell or transfer ownership of publicly owned land on which there is an approved dwelling. To give the </w:t>
      </w:r>
      <w:r w:rsidR="00785459">
        <w:rPr>
          <w:snapToGrid w:val="0"/>
        </w:rPr>
        <w:t>NDIA</w:t>
      </w:r>
      <w:r w:rsidRPr="007D0FD1">
        <w:rPr>
          <w:snapToGrid w:val="0"/>
        </w:rPr>
        <w:t xml:space="preserve"> better capacity to manage these pressures, States and Territories will give the </w:t>
      </w:r>
      <w:r w:rsidR="00785459">
        <w:rPr>
          <w:snapToGrid w:val="0"/>
        </w:rPr>
        <w:t>NDIA</w:t>
      </w:r>
      <w:r w:rsidRPr="007D0FD1">
        <w:rPr>
          <w:snapToGrid w:val="0"/>
        </w:rPr>
        <w:t xml:space="preserve"> 6 months’ notice of any intention to change the ownership arrange</w:t>
      </w:r>
      <w:r w:rsidR="004F7DCD">
        <w:rPr>
          <w:snapToGrid w:val="0"/>
        </w:rPr>
        <w:t xml:space="preserve">ments for publicly owned land. </w:t>
      </w:r>
    </w:p>
    <w:p w14:paraId="761EFEC2" w14:textId="77777777" w:rsidR="004F7DCD" w:rsidRPr="004F7DCD" w:rsidRDefault="004F7DCD" w:rsidP="007F69B0">
      <w:pPr>
        <w:ind w:left="720"/>
        <w:rPr>
          <w:snapToGrid w:val="0"/>
        </w:rPr>
      </w:pPr>
    </w:p>
    <w:p w14:paraId="1E2041C1" w14:textId="07384CE7" w:rsidR="008E2AB6" w:rsidRPr="004F7DCD" w:rsidRDefault="008E2AB6">
      <w:pPr>
        <w:pStyle w:val="ListParagraph"/>
        <w:rPr>
          <w:snapToGrid w:val="0"/>
        </w:rPr>
      </w:pPr>
      <w:r w:rsidRPr="004F7DCD">
        <w:rPr>
          <w:snapToGrid w:val="0"/>
        </w:rPr>
        <w:t xml:space="preserve">The Australian Capital Territory does not need to notify the </w:t>
      </w:r>
      <w:r w:rsidR="00785459">
        <w:rPr>
          <w:snapToGrid w:val="0"/>
        </w:rPr>
        <w:t>NDIA</w:t>
      </w:r>
      <w:r w:rsidRPr="004F7DCD">
        <w:rPr>
          <w:snapToGrid w:val="0"/>
        </w:rPr>
        <w:t xml:space="preserve"> in respect of ownership changes for leasehold land, w</w:t>
      </w:r>
      <w:r w:rsidR="00745539">
        <w:rPr>
          <w:snapToGrid w:val="0"/>
        </w:rPr>
        <w:t>here the lease is held by a non</w:t>
      </w:r>
      <w:r w:rsidR="00745539">
        <w:rPr>
          <w:snapToGrid w:val="0"/>
        </w:rPr>
        <w:noBreakHyphen/>
      </w:r>
      <w:r w:rsidRPr="004F7DCD">
        <w:rPr>
          <w:snapToGrid w:val="0"/>
        </w:rPr>
        <w:t xml:space="preserve">government body. </w:t>
      </w:r>
    </w:p>
    <w:p w14:paraId="56874488" w14:textId="77777777" w:rsidR="00AE509F" w:rsidRPr="007D0FD1" w:rsidRDefault="00AE509F" w:rsidP="0009005A">
      <w:pPr>
        <w:tabs>
          <w:tab w:val="left" w:pos="6360"/>
        </w:tabs>
        <w:rPr>
          <w:rFonts w:cs="Arial"/>
          <w:snapToGrid w:val="0"/>
        </w:rPr>
      </w:pPr>
    </w:p>
    <w:p w14:paraId="1E5CF0D2" w14:textId="77777777" w:rsidR="00C84D8D" w:rsidRDefault="00C84D8D" w:rsidP="00BE18DF">
      <w:pPr>
        <w:pStyle w:val="Heading2"/>
        <w:rPr>
          <w:rFonts w:cs="Arial"/>
          <w:snapToGrid w:val="0"/>
        </w:rPr>
      </w:pPr>
      <w:bookmarkStart w:id="92" w:name="_Toc531633313"/>
      <w:bookmarkStart w:id="93" w:name="_Toc38548381"/>
      <w:bookmarkStart w:id="94" w:name="_Toc429404586"/>
      <w:r>
        <w:rPr>
          <w:rFonts w:cs="Arial"/>
          <w:snapToGrid w:val="0"/>
        </w:rPr>
        <w:t>Governance and reviews</w:t>
      </w:r>
      <w:bookmarkEnd w:id="92"/>
      <w:bookmarkEnd w:id="93"/>
    </w:p>
    <w:p w14:paraId="6E8F72D7" w14:textId="68B233B9" w:rsidR="00C84D8D" w:rsidRDefault="00C84D8D">
      <w:pPr>
        <w:pStyle w:val="ListParagraph"/>
        <w:rPr>
          <w:snapToGrid w:val="0"/>
        </w:rPr>
      </w:pPr>
      <w:r>
        <w:rPr>
          <w:snapToGrid w:val="0"/>
        </w:rPr>
        <w:t>The Framework is endorsed and monitored</w:t>
      </w:r>
      <w:r>
        <w:t xml:space="preserve"> </w:t>
      </w:r>
      <w:r>
        <w:rPr>
          <w:snapToGrid w:val="0"/>
        </w:rPr>
        <w:t>by the Commonwealth, states and territories through the Disability Reform Council (DRC) of the Council</w:t>
      </w:r>
      <w:r w:rsidR="00745539">
        <w:rPr>
          <w:snapToGrid w:val="0"/>
        </w:rPr>
        <w:t> </w:t>
      </w:r>
      <w:r>
        <w:rPr>
          <w:snapToGrid w:val="0"/>
        </w:rPr>
        <w:t>of</w:t>
      </w:r>
      <w:r w:rsidR="00745539">
        <w:rPr>
          <w:snapToGrid w:val="0"/>
        </w:rPr>
        <w:t> </w:t>
      </w:r>
      <w:r>
        <w:rPr>
          <w:snapToGrid w:val="0"/>
        </w:rPr>
        <w:t>Australian Governments (COAG).</w:t>
      </w:r>
    </w:p>
    <w:p w14:paraId="1035980C" w14:textId="77777777" w:rsidR="00C84D8D" w:rsidRDefault="00C84D8D" w:rsidP="00C84D8D">
      <w:pPr>
        <w:ind w:left="720"/>
        <w:rPr>
          <w:snapToGrid w:val="0"/>
        </w:rPr>
      </w:pPr>
    </w:p>
    <w:p w14:paraId="7316B43C" w14:textId="77777777" w:rsidR="00C84D8D" w:rsidRDefault="00C84D8D">
      <w:pPr>
        <w:pStyle w:val="ListParagraph"/>
        <w:rPr>
          <w:snapToGrid w:val="0"/>
        </w:rPr>
      </w:pPr>
      <w:r>
        <w:rPr>
          <w:snapToGrid w:val="0"/>
        </w:rPr>
        <w:t xml:space="preserve">The NDIA </w:t>
      </w:r>
      <w:r w:rsidR="00D9650B">
        <w:rPr>
          <w:snapToGrid w:val="0"/>
        </w:rPr>
        <w:t xml:space="preserve">will </w:t>
      </w:r>
      <w:r>
        <w:rPr>
          <w:snapToGrid w:val="0"/>
        </w:rPr>
        <w:t>establish and regularly consult with a SDA Reference Group to support the development of the SDA market, choice and control for participants, and the long-term viability of SDA investments. This reference group must comprise participants, their representatives, providers, investors and other relevant stakeholders.</w:t>
      </w:r>
    </w:p>
    <w:p w14:paraId="490D649F" w14:textId="77777777" w:rsidR="00C84D8D" w:rsidRPr="00C84D8D" w:rsidRDefault="00C84D8D" w:rsidP="00803D11"/>
    <w:p w14:paraId="21DA074C" w14:textId="77777777" w:rsidR="00C84D8D" w:rsidRDefault="00C84D8D" w:rsidP="00C84D8D">
      <w:pPr>
        <w:pStyle w:val="Heading2"/>
        <w:rPr>
          <w:rFonts w:cs="Arial"/>
          <w:snapToGrid w:val="0"/>
        </w:rPr>
      </w:pPr>
      <w:bookmarkStart w:id="95" w:name="_Toc531081085"/>
      <w:bookmarkStart w:id="96" w:name="_Toc530682831"/>
      <w:bookmarkStart w:id="97" w:name="_Toc531633314"/>
      <w:bookmarkStart w:id="98" w:name="_Toc38548382"/>
      <w:r>
        <w:rPr>
          <w:rFonts w:cs="Arial"/>
          <w:snapToGrid w:val="0"/>
        </w:rPr>
        <w:lastRenderedPageBreak/>
        <w:t>Reporting on SDA Supply and Demand</w:t>
      </w:r>
      <w:bookmarkEnd w:id="95"/>
      <w:bookmarkEnd w:id="96"/>
      <w:bookmarkEnd w:id="97"/>
      <w:bookmarkEnd w:id="98"/>
    </w:p>
    <w:p w14:paraId="4456B8CA" w14:textId="77777777" w:rsidR="00C84D8D" w:rsidRDefault="00C84D8D" w:rsidP="00C84D8D">
      <w:pPr>
        <w:ind w:left="644"/>
        <w:rPr>
          <w:snapToGrid w:val="0"/>
        </w:rPr>
      </w:pPr>
    </w:p>
    <w:p w14:paraId="4DFBF07A" w14:textId="77777777" w:rsidR="00C84D8D" w:rsidRDefault="00C84D8D">
      <w:pPr>
        <w:pStyle w:val="ListParagraph"/>
        <w:rPr>
          <w:snapToGrid w:val="0"/>
        </w:rPr>
      </w:pPr>
      <w:r>
        <w:rPr>
          <w:snapToGrid w:val="0"/>
        </w:rPr>
        <w:t>The NDIA will publish data on SDA supply and demand quarterly. This reporting is intended to support the development of the SDA market and to assist providers and investors to make informed investment decisions.</w:t>
      </w:r>
    </w:p>
    <w:p w14:paraId="55456304" w14:textId="77777777" w:rsidR="00C84D8D" w:rsidRDefault="00C84D8D" w:rsidP="00C84D8D">
      <w:pPr>
        <w:ind w:left="644"/>
        <w:rPr>
          <w:snapToGrid w:val="0"/>
        </w:rPr>
      </w:pPr>
    </w:p>
    <w:p w14:paraId="61F48377" w14:textId="77777777" w:rsidR="00C84D8D" w:rsidRDefault="00C84D8D">
      <w:pPr>
        <w:pStyle w:val="ListParagraph"/>
        <w:rPr>
          <w:snapToGrid w:val="0"/>
        </w:rPr>
      </w:pPr>
      <w:r>
        <w:rPr>
          <w:snapToGrid w:val="0"/>
        </w:rPr>
        <w:t>Initially, enhanced SDA supply and demand data will be based on existing data holdings, which will mature over time. Detailed supply and demand data will be available from the first quarter of the 2018-19 financial year.</w:t>
      </w:r>
    </w:p>
    <w:p w14:paraId="7C646576" w14:textId="77777777" w:rsidR="00C84D8D" w:rsidRDefault="00C84D8D" w:rsidP="00C84D8D">
      <w:pPr>
        <w:ind w:left="720"/>
        <w:rPr>
          <w:snapToGrid w:val="0"/>
        </w:rPr>
      </w:pPr>
    </w:p>
    <w:p w14:paraId="32955C06" w14:textId="3847A746" w:rsidR="00766B43" w:rsidRPr="007D0FD1" w:rsidRDefault="00C84D8D">
      <w:pPr>
        <w:pStyle w:val="ListParagraph"/>
        <w:rPr>
          <w:snapToGrid w:val="0"/>
        </w:rPr>
      </w:pPr>
      <w:r>
        <w:rPr>
          <w:snapToGrid w:val="0"/>
        </w:rPr>
        <w:t>The NDIA may also, from time to time, provide qualitative reporting about SDA dwelling development trends, including innovative designs.</w:t>
      </w:r>
      <w:bookmarkEnd w:id="94"/>
    </w:p>
    <w:sectPr w:rsidR="00766B43" w:rsidRPr="007D0FD1" w:rsidSect="00C86964">
      <w:headerReference w:type="default" r:id="rId11"/>
      <w:foot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6FC5F" w14:textId="77777777" w:rsidR="00202022" w:rsidRDefault="00202022" w:rsidP="002457A0">
      <w:r>
        <w:separator/>
      </w:r>
    </w:p>
  </w:endnote>
  <w:endnote w:type="continuationSeparator" w:id="0">
    <w:p w14:paraId="39ECC6F2" w14:textId="77777777" w:rsidR="00202022" w:rsidRDefault="00202022" w:rsidP="002457A0">
      <w:r>
        <w:continuationSeparator/>
      </w:r>
    </w:p>
  </w:endnote>
  <w:endnote w:type="continuationNotice" w:id="1">
    <w:p w14:paraId="48482997" w14:textId="77777777" w:rsidR="00202022" w:rsidRDefault="00202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0A34" w14:textId="08EB7166" w:rsidR="007F7925" w:rsidRPr="002D28F6" w:rsidRDefault="007F7925">
    <w:pPr>
      <w:rPr>
        <w:sz w:val="20"/>
        <w:szCs w:val="20"/>
      </w:rPr>
    </w:pPr>
    <w:r w:rsidRPr="0000177F">
      <w:rPr>
        <w:rFonts w:cs="Arial"/>
        <w:sz w:val="20"/>
        <w:szCs w:val="20"/>
      </w:rPr>
      <w:ptab w:relativeTo="margin" w:alignment="center" w:leader="none"/>
    </w:r>
    <w:r w:rsidRPr="0000177F">
      <w:rPr>
        <w:rFonts w:cs="Arial"/>
        <w:sz w:val="20"/>
        <w:szCs w:val="20"/>
      </w:rPr>
      <w:ptab w:relativeTo="margin" w:alignment="right" w:leader="none"/>
    </w:r>
    <w:sdt>
      <w:sdtPr>
        <w:rPr>
          <w:sz w:val="20"/>
          <w:szCs w:val="20"/>
        </w:rPr>
        <w:id w:val="4180120"/>
        <w:docPartObj>
          <w:docPartGallery w:val="Page Numbers (Top of Page)"/>
          <w:docPartUnique/>
        </w:docPartObj>
      </w:sdtPr>
      <w:sdtEndPr/>
      <w:sdtContent>
        <w:r w:rsidRPr="002D28F6">
          <w:rPr>
            <w:sz w:val="20"/>
            <w:szCs w:val="20"/>
          </w:rPr>
          <w:t xml:space="preserve">Page </w:t>
        </w:r>
        <w:r w:rsidRPr="002D28F6">
          <w:rPr>
            <w:sz w:val="20"/>
            <w:szCs w:val="20"/>
          </w:rPr>
          <w:fldChar w:fldCharType="begin"/>
        </w:r>
        <w:r w:rsidRPr="002D28F6">
          <w:rPr>
            <w:sz w:val="20"/>
            <w:szCs w:val="20"/>
          </w:rPr>
          <w:instrText xml:space="preserve"> PAGE </w:instrText>
        </w:r>
        <w:r w:rsidRPr="002D28F6">
          <w:rPr>
            <w:sz w:val="20"/>
            <w:szCs w:val="20"/>
          </w:rPr>
          <w:fldChar w:fldCharType="separate"/>
        </w:r>
        <w:r w:rsidR="00B206AA">
          <w:rPr>
            <w:noProof/>
            <w:sz w:val="20"/>
            <w:szCs w:val="20"/>
          </w:rPr>
          <w:t>1</w:t>
        </w:r>
        <w:r w:rsidRPr="002D28F6">
          <w:rPr>
            <w:sz w:val="20"/>
            <w:szCs w:val="20"/>
          </w:rPr>
          <w:fldChar w:fldCharType="end"/>
        </w:r>
        <w:r w:rsidRPr="002D28F6">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B206AA">
          <w:rPr>
            <w:noProof/>
            <w:sz w:val="20"/>
            <w:szCs w:val="20"/>
          </w:rPr>
          <w:t>18</w:t>
        </w:r>
        <w:r>
          <w:rPr>
            <w:sz w:val="20"/>
            <w:szCs w:val="20"/>
          </w:rPr>
          <w:fldChar w:fldCharType="end"/>
        </w:r>
      </w:sdtContent>
    </w:sdt>
  </w:p>
  <w:p w14:paraId="62EE108E" w14:textId="77777777" w:rsidR="007F7925" w:rsidRDefault="007F7925" w:rsidP="0023511B">
    <w:pPr>
      <w:jc w:val="center"/>
    </w:pPr>
    <w:r>
      <w:rPr>
        <w:rFonts w:cs="Arial"/>
        <w:sz w:val="20"/>
        <w:szCs w:val="20"/>
      </w:rPr>
      <w:t>Specialist Disability Accommodation Pricing and Payments Framework</w:t>
    </w:r>
  </w:p>
  <w:p w14:paraId="61FE031B" w14:textId="77777777" w:rsidR="007F7925" w:rsidRDefault="007F79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C6DA2" w14:textId="77777777" w:rsidR="00202022" w:rsidRDefault="00202022" w:rsidP="002457A0">
      <w:r>
        <w:separator/>
      </w:r>
    </w:p>
  </w:footnote>
  <w:footnote w:type="continuationSeparator" w:id="0">
    <w:p w14:paraId="4F41AD3C" w14:textId="77777777" w:rsidR="00202022" w:rsidRDefault="00202022" w:rsidP="002457A0">
      <w:r>
        <w:continuationSeparator/>
      </w:r>
    </w:p>
  </w:footnote>
  <w:footnote w:type="continuationNotice" w:id="1">
    <w:p w14:paraId="78CF9FD3" w14:textId="77777777" w:rsidR="00202022" w:rsidRDefault="00202022"/>
  </w:footnote>
  <w:footnote w:id="2">
    <w:p w14:paraId="26F82B45" w14:textId="77777777" w:rsidR="007F7925" w:rsidRDefault="007F7925">
      <w:pPr>
        <w:pStyle w:val="FootnoteText"/>
      </w:pPr>
      <w:r>
        <w:rPr>
          <w:rStyle w:val="FootnoteReference"/>
        </w:rPr>
        <w:footnoteRef/>
      </w:r>
      <w:r>
        <w:t xml:space="preserve"> This would include weights or factors for remoteness.</w:t>
      </w:r>
    </w:p>
  </w:footnote>
  <w:footnote w:id="3">
    <w:p w14:paraId="19A0CEC9" w14:textId="77777777" w:rsidR="007F7925" w:rsidRDefault="007F7925">
      <w:pPr>
        <w:pStyle w:val="FootnoteText"/>
      </w:pPr>
      <w:r>
        <w:rPr>
          <w:rStyle w:val="FootnoteReference"/>
        </w:rPr>
        <w:footnoteRef/>
      </w:r>
      <w:r>
        <w:t xml:space="preserve"> This happens twice a year in March and September.</w:t>
      </w:r>
    </w:p>
  </w:footnote>
  <w:footnote w:id="4">
    <w:p w14:paraId="4929AAE5" w14:textId="77777777" w:rsidR="007F7925" w:rsidRDefault="007F7925" w:rsidP="00A41E4D">
      <w:pPr>
        <w:pStyle w:val="FootnoteText"/>
      </w:pPr>
      <w:r>
        <w:rPr>
          <w:rStyle w:val="FootnoteReference"/>
        </w:rPr>
        <w:footnoteRef/>
      </w:r>
      <w:r>
        <w:t xml:space="preserve"> Including participants with psycho-social disability.</w:t>
      </w:r>
    </w:p>
  </w:footnote>
  <w:footnote w:id="5">
    <w:p w14:paraId="5E8DDDAB" w14:textId="77777777" w:rsidR="007F7925" w:rsidRDefault="007F7925" w:rsidP="00A7461F">
      <w:pPr>
        <w:pStyle w:val="FootnoteText"/>
      </w:pPr>
      <w:r>
        <w:rPr>
          <w:rStyle w:val="FootnoteReference"/>
        </w:rPr>
        <w:footnoteRef/>
      </w:r>
      <w:r>
        <w:t xml:space="preserve"> Continuity of support arrangements may be further addressed in bilateral agreements between the Commonwealth and the states and territories.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E331" w14:textId="28FA83FD" w:rsidR="007F7925" w:rsidRDefault="007F7925" w:rsidP="00853516">
    <w:pPr>
      <w:pStyle w:val="Header"/>
      <w:jc w:val="center"/>
      <w:rPr>
        <w:rFonts w:cs="Arial"/>
        <w:sz w:val="20"/>
        <w:szCs w:val="20"/>
      </w:rPr>
    </w:pPr>
    <w:r>
      <w:rPr>
        <w:rFonts w:cs="Arial"/>
        <w:sz w:val="20"/>
        <w:szCs w:val="20"/>
      </w:rPr>
      <w:t xml:space="preserve"> Specialist Disability Accommodation Pricing and Payments Framework</w:t>
    </w:r>
  </w:p>
  <w:p w14:paraId="02C49397" w14:textId="77777777" w:rsidR="007F7925" w:rsidRDefault="007F7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3EA"/>
    <w:multiLevelType w:val="hybridMultilevel"/>
    <w:tmpl w:val="83722314"/>
    <w:lvl w:ilvl="0" w:tplc="86563958">
      <w:start w:val="1"/>
      <w:numFmt w:val="decimal"/>
      <w:pStyle w:val="ListParagraph"/>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317781"/>
    <w:multiLevelType w:val="hybridMultilevel"/>
    <w:tmpl w:val="A246C036"/>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8505D9"/>
    <w:multiLevelType w:val="hybridMultilevel"/>
    <w:tmpl w:val="26645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E4707"/>
    <w:multiLevelType w:val="hybridMultilevel"/>
    <w:tmpl w:val="C2B04EEC"/>
    <w:lvl w:ilvl="0" w:tplc="D3FC0D06">
      <w:start w:val="1"/>
      <w:numFmt w:val="decimal"/>
      <w:lvlText w:val="%1."/>
      <w:lvlJc w:val="left"/>
      <w:pPr>
        <w:ind w:left="644" w:hanging="360"/>
      </w:pPr>
      <w:rPr>
        <w:rFonts w:hint="default"/>
      </w:rPr>
    </w:lvl>
    <w:lvl w:ilvl="1" w:tplc="80E20284">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1811BE"/>
    <w:multiLevelType w:val="hybridMultilevel"/>
    <w:tmpl w:val="9806BF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276B1F"/>
    <w:multiLevelType w:val="hybridMultilevel"/>
    <w:tmpl w:val="D46259F2"/>
    <w:lvl w:ilvl="0" w:tplc="FAC2AAB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BF034F"/>
    <w:multiLevelType w:val="hybridMultilevel"/>
    <w:tmpl w:val="5754C700"/>
    <w:lvl w:ilvl="0" w:tplc="0C090001">
      <w:start w:val="1"/>
      <w:numFmt w:val="bullet"/>
      <w:lvlText w:val=""/>
      <w:lvlJc w:val="left"/>
      <w:pPr>
        <w:tabs>
          <w:tab w:val="num" w:pos="360"/>
        </w:tabs>
        <w:ind w:left="360" w:hanging="360"/>
      </w:pPr>
      <w:rPr>
        <w:rFonts w:ascii="Symbol" w:hAnsi="Symbol" w:hint="default"/>
        <w:u w:val="none"/>
      </w:rPr>
    </w:lvl>
    <w:lvl w:ilvl="1" w:tplc="E434543A">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6D5E1B"/>
    <w:multiLevelType w:val="hybridMultilevel"/>
    <w:tmpl w:val="D32CBBB2"/>
    <w:lvl w:ilvl="0" w:tplc="B786253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4D63F3"/>
    <w:multiLevelType w:val="hybridMultilevel"/>
    <w:tmpl w:val="2A3EDE2C"/>
    <w:lvl w:ilvl="0" w:tplc="0164C794">
      <w:start w:val="1"/>
      <w:numFmt w:val="decimal"/>
      <w:lvlText w:val="%1."/>
      <w:lvlJc w:val="left"/>
      <w:pPr>
        <w:ind w:left="786" w:hanging="360"/>
      </w:pPr>
      <w:rPr>
        <w:rFonts w:hint="default"/>
      </w:rPr>
    </w:lvl>
    <w:lvl w:ilvl="1" w:tplc="81BA2438">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492192"/>
    <w:multiLevelType w:val="hybridMultilevel"/>
    <w:tmpl w:val="F690A87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AD26FE"/>
    <w:multiLevelType w:val="hybridMultilevel"/>
    <w:tmpl w:val="A3F2EAE0"/>
    <w:lvl w:ilvl="0" w:tplc="5FCEC1C8">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2B3FF3"/>
    <w:multiLevelType w:val="hybridMultilevel"/>
    <w:tmpl w:val="4F86467A"/>
    <w:lvl w:ilvl="0" w:tplc="D3FC0D06">
      <w:start w:val="1"/>
      <w:numFmt w:val="decimal"/>
      <w:lvlText w:val="%1."/>
      <w:lvlJc w:val="left"/>
      <w:pPr>
        <w:ind w:left="786" w:hanging="360"/>
      </w:pPr>
      <w:rPr>
        <w:rFonts w:hint="default"/>
      </w:rPr>
    </w:lvl>
    <w:lvl w:ilvl="1" w:tplc="B7862538">
      <w:start w:val="1"/>
      <w:numFmt w:val="lowerLetter"/>
      <w:lvlText w:val="%2."/>
      <w:lvlJc w:val="left"/>
      <w:pPr>
        <w:ind w:left="1440" w:hanging="360"/>
      </w:pPr>
      <w:rPr>
        <w:rFonts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366101"/>
    <w:multiLevelType w:val="hybridMultilevel"/>
    <w:tmpl w:val="803C055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59C5516"/>
    <w:multiLevelType w:val="hybridMultilevel"/>
    <w:tmpl w:val="8814D19A"/>
    <w:lvl w:ilvl="0" w:tplc="BA84FB8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BC24670"/>
    <w:multiLevelType w:val="hybridMultilevel"/>
    <w:tmpl w:val="2C8EB5FA"/>
    <w:lvl w:ilvl="0" w:tplc="EA069FF2">
      <w:start w:val="1"/>
      <w:numFmt w:val="decimal"/>
      <w:lvlText w:val="%1."/>
      <w:lvlJc w:val="left"/>
      <w:pPr>
        <w:tabs>
          <w:tab w:val="num" w:pos="360"/>
        </w:tabs>
        <w:ind w:left="360" w:hanging="360"/>
      </w:pPr>
      <w:rPr>
        <w:rFonts w:hint="default"/>
        <w:u w:val="none"/>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0"/>
  </w:num>
  <w:num w:numId="3">
    <w:abstractNumId w:val="14"/>
  </w:num>
  <w:num w:numId="4">
    <w:abstractNumId w:val="2"/>
  </w:num>
  <w:num w:numId="5">
    <w:abstractNumId w:val="10"/>
  </w:num>
  <w:num w:numId="6">
    <w:abstractNumId w:val="6"/>
  </w:num>
  <w:num w:numId="7">
    <w:abstractNumId w:val="4"/>
  </w:num>
  <w:num w:numId="8">
    <w:abstractNumId w:val="1"/>
  </w:num>
  <w:num w:numId="9">
    <w:abstractNumId w:val="14"/>
    <w:lvlOverride w:ilvl="0">
      <w:startOverride w:val="1"/>
    </w:lvlOverride>
  </w:num>
  <w:num w:numId="10">
    <w:abstractNumId w:val="8"/>
  </w:num>
  <w:num w:numId="11">
    <w:abstractNumId w:val="11"/>
  </w:num>
  <w:num w:numId="12">
    <w:abstractNumId w:val="7"/>
  </w:num>
  <w:num w:numId="13">
    <w:abstractNumId w:val="3"/>
  </w:num>
  <w:num w:numId="14">
    <w:abstractNumId w:val="0"/>
    <w:lvlOverride w:ilvl="0">
      <w:startOverride w:val="1"/>
    </w:lvlOverride>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5"/>
  </w:num>
  <w:num w:numId="36">
    <w:abstractNumId w:val="0"/>
    <w:lvlOverride w:ilvl="0">
      <w:startOverride w:val="1"/>
    </w:lvlOverride>
  </w:num>
  <w:num w:numId="37">
    <w:abstractNumId w:val="0"/>
  </w:num>
  <w:num w:numId="38">
    <w:abstractNumId w:val="0"/>
  </w:num>
  <w:num w:numId="39">
    <w:abstractNumId w:val="0"/>
  </w:num>
  <w:num w:numId="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A0"/>
    <w:rsid w:val="000075CF"/>
    <w:rsid w:val="0001195E"/>
    <w:rsid w:val="000152C1"/>
    <w:rsid w:val="00021239"/>
    <w:rsid w:val="00030B0E"/>
    <w:rsid w:val="00030FD9"/>
    <w:rsid w:val="0003282D"/>
    <w:rsid w:val="00041463"/>
    <w:rsid w:val="0004782F"/>
    <w:rsid w:val="00055BF5"/>
    <w:rsid w:val="0006183D"/>
    <w:rsid w:val="00061A5D"/>
    <w:rsid w:val="00080BDA"/>
    <w:rsid w:val="0009005A"/>
    <w:rsid w:val="0009191E"/>
    <w:rsid w:val="00091A38"/>
    <w:rsid w:val="00093C01"/>
    <w:rsid w:val="00093EFA"/>
    <w:rsid w:val="00097DB5"/>
    <w:rsid w:val="000A101C"/>
    <w:rsid w:val="000B1C3E"/>
    <w:rsid w:val="000B5495"/>
    <w:rsid w:val="000C58D0"/>
    <w:rsid w:val="000D5F11"/>
    <w:rsid w:val="000D62D8"/>
    <w:rsid w:val="000E13D8"/>
    <w:rsid w:val="000E20F9"/>
    <w:rsid w:val="000E47B0"/>
    <w:rsid w:val="001075FE"/>
    <w:rsid w:val="00110986"/>
    <w:rsid w:val="00124F32"/>
    <w:rsid w:val="0012611C"/>
    <w:rsid w:val="00133370"/>
    <w:rsid w:val="00133C82"/>
    <w:rsid w:val="00146FB3"/>
    <w:rsid w:val="0015402A"/>
    <w:rsid w:val="00161B65"/>
    <w:rsid w:val="00167D4A"/>
    <w:rsid w:val="00171C85"/>
    <w:rsid w:val="00173384"/>
    <w:rsid w:val="00180AE3"/>
    <w:rsid w:val="00181DC2"/>
    <w:rsid w:val="00183530"/>
    <w:rsid w:val="001841D6"/>
    <w:rsid w:val="00184294"/>
    <w:rsid w:val="0018621A"/>
    <w:rsid w:val="00190D1F"/>
    <w:rsid w:val="00194635"/>
    <w:rsid w:val="0019673E"/>
    <w:rsid w:val="001A2121"/>
    <w:rsid w:val="001A2B23"/>
    <w:rsid w:val="001A46DC"/>
    <w:rsid w:val="001A70E9"/>
    <w:rsid w:val="001B3779"/>
    <w:rsid w:val="001B6251"/>
    <w:rsid w:val="001C1035"/>
    <w:rsid w:val="001D04CD"/>
    <w:rsid w:val="001D3955"/>
    <w:rsid w:val="001D3A6C"/>
    <w:rsid w:val="001E15FD"/>
    <w:rsid w:val="001E4443"/>
    <w:rsid w:val="001E5EBC"/>
    <w:rsid w:val="001E630D"/>
    <w:rsid w:val="001F13C0"/>
    <w:rsid w:val="001F21ED"/>
    <w:rsid w:val="001F313E"/>
    <w:rsid w:val="001F40D9"/>
    <w:rsid w:val="001F680F"/>
    <w:rsid w:val="00202022"/>
    <w:rsid w:val="002160E5"/>
    <w:rsid w:val="00216C07"/>
    <w:rsid w:val="00222447"/>
    <w:rsid w:val="00225C44"/>
    <w:rsid w:val="00226196"/>
    <w:rsid w:val="00227D37"/>
    <w:rsid w:val="0023511B"/>
    <w:rsid w:val="00236B19"/>
    <w:rsid w:val="00244089"/>
    <w:rsid w:val="002457A0"/>
    <w:rsid w:val="00252634"/>
    <w:rsid w:val="0026758B"/>
    <w:rsid w:val="002714E8"/>
    <w:rsid w:val="00285602"/>
    <w:rsid w:val="00287031"/>
    <w:rsid w:val="00292D76"/>
    <w:rsid w:val="00293375"/>
    <w:rsid w:val="002A053C"/>
    <w:rsid w:val="002A0797"/>
    <w:rsid w:val="002A6F1A"/>
    <w:rsid w:val="002B1DCC"/>
    <w:rsid w:val="002B54A1"/>
    <w:rsid w:val="002D1032"/>
    <w:rsid w:val="002D28D7"/>
    <w:rsid w:val="002E0CFD"/>
    <w:rsid w:val="002E3EBF"/>
    <w:rsid w:val="002E4D1E"/>
    <w:rsid w:val="002F5BCA"/>
    <w:rsid w:val="003003E7"/>
    <w:rsid w:val="00300CCB"/>
    <w:rsid w:val="00306A48"/>
    <w:rsid w:val="00311849"/>
    <w:rsid w:val="00313641"/>
    <w:rsid w:val="00321424"/>
    <w:rsid w:val="00324476"/>
    <w:rsid w:val="00331C10"/>
    <w:rsid w:val="00331DA3"/>
    <w:rsid w:val="00332451"/>
    <w:rsid w:val="00334744"/>
    <w:rsid w:val="00335F71"/>
    <w:rsid w:val="00336FFE"/>
    <w:rsid w:val="00337D4E"/>
    <w:rsid w:val="003415EC"/>
    <w:rsid w:val="0034184F"/>
    <w:rsid w:val="00343C8C"/>
    <w:rsid w:val="0034627E"/>
    <w:rsid w:val="0034774B"/>
    <w:rsid w:val="00350FEF"/>
    <w:rsid w:val="00352127"/>
    <w:rsid w:val="00355848"/>
    <w:rsid w:val="003560FC"/>
    <w:rsid w:val="00357B8C"/>
    <w:rsid w:val="00360E15"/>
    <w:rsid w:val="00366A29"/>
    <w:rsid w:val="0037395C"/>
    <w:rsid w:val="0039203D"/>
    <w:rsid w:val="00392F4A"/>
    <w:rsid w:val="003966FD"/>
    <w:rsid w:val="003973F5"/>
    <w:rsid w:val="003A1773"/>
    <w:rsid w:val="003A2262"/>
    <w:rsid w:val="003A32BE"/>
    <w:rsid w:val="003A3B33"/>
    <w:rsid w:val="003B2BB8"/>
    <w:rsid w:val="003C3934"/>
    <w:rsid w:val="003C3E4C"/>
    <w:rsid w:val="003C43CB"/>
    <w:rsid w:val="003D2936"/>
    <w:rsid w:val="003D34FF"/>
    <w:rsid w:val="003E3D59"/>
    <w:rsid w:val="003E515A"/>
    <w:rsid w:val="003F5D34"/>
    <w:rsid w:val="0041042C"/>
    <w:rsid w:val="00413A0E"/>
    <w:rsid w:val="0041566B"/>
    <w:rsid w:val="004157C5"/>
    <w:rsid w:val="004333ED"/>
    <w:rsid w:val="00433CB2"/>
    <w:rsid w:val="00443D53"/>
    <w:rsid w:val="00444039"/>
    <w:rsid w:val="004674E2"/>
    <w:rsid w:val="0048054F"/>
    <w:rsid w:val="004907D4"/>
    <w:rsid w:val="004A07B0"/>
    <w:rsid w:val="004B2218"/>
    <w:rsid w:val="004B54CA"/>
    <w:rsid w:val="004E0D97"/>
    <w:rsid w:val="004E5CBF"/>
    <w:rsid w:val="004F40DA"/>
    <w:rsid w:val="004F488F"/>
    <w:rsid w:val="004F7275"/>
    <w:rsid w:val="004F7DCD"/>
    <w:rsid w:val="00505D3F"/>
    <w:rsid w:val="00512422"/>
    <w:rsid w:val="00520EF2"/>
    <w:rsid w:val="00521C85"/>
    <w:rsid w:val="0052294C"/>
    <w:rsid w:val="00525519"/>
    <w:rsid w:val="0053526F"/>
    <w:rsid w:val="00546640"/>
    <w:rsid w:val="00547EC4"/>
    <w:rsid w:val="00553C78"/>
    <w:rsid w:val="0055450B"/>
    <w:rsid w:val="00560792"/>
    <w:rsid w:val="00565920"/>
    <w:rsid w:val="00572E8A"/>
    <w:rsid w:val="00582878"/>
    <w:rsid w:val="00590C9C"/>
    <w:rsid w:val="00595D46"/>
    <w:rsid w:val="005A66DA"/>
    <w:rsid w:val="005A7003"/>
    <w:rsid w:val="005B0BB9"/>
    <w:rsid w:val="005B3A14"/>
    <w:rsid w:val="005B7B69"/>
    <w:rsid w:val="005C1CEC"/>
    <w:rsid w:val="005C222D"/>
    <w:rsid w:val="005C2393"/>
    <w:rsid w:val="005C2E2D"/>
    <w:rsid w:val="005C3AA9"/>
    <w:rsid w:val="005C4CAD"/>
    <w:rsid w:val="005C6CD9"/>
    <w:rsid w:val="005D054A"/>
    <w:rsid w:val="005D1853"/>
    <w:rsid w:val="005D5293"/>
    <w:rsid w:val="005E2426"/>
    <w:rsid w:val="005E4695"/>
    <w:rsid w:val="005F65D0"/>
    <w:rsid w:val="00603050"/>
    <w:rsid w:val="00604611"/>
    <w:rsid w:val="00605A2E"/>
    <w:rsid w:val="00606199"/>
    <w:rsid w:val="00611ADF"/>
    <w:rsid w:val="00616EB4"/>
    <w:rsid w:val="006224C2"/>
    <w:rsid w:val="00622F5A"/>
    <w:rsid w:val="006257C1"/>
    <w:rsid w:val="00627BDD"/>
    <w:rsid w:val="006370C2"/>
    <w:rsid w:val="00640C90"/>
    <w:rsid w:val="00647E53"/>
    <w:rsid w:val="00651491"/>
    <w:rsid w:val="00656701"/>
    <w:rsid w:val="00660278"/>
    <w:rsid w:val="00660418"/>
    <w:rsid w:val="0066170E"/>
    <w:rsid w:val="00667196"/>
    <w:rsid w:val="006710E9"/>
    <w:rsid w:val="00672FBE"/>
    <w:rsid w:val="00681736"/>
    <w:rsid w:val="006838DB"/>
    <w:rsid w:val="00685678"/>
    <w:rsid w:val="00687138"/>
    <w:rsid w:val="006A148C"/>
    <w:rsid w:val="006A4CE7"/>
    <w:rsid w:val="006A5C98"/>
    <w:rsid w:val="006B1857"/>
    <w:rsid w:val="006C7F7D"/>
    <w:rsid w:val="006D4CFA"/>
    <w:rsid w:val="006D6521"/>
    <w:rsid w:val="006F136D"/>
    <w:rsid w:val="006F31B0"/>
    <w:rsid w:val="00701D57"/>
    <w:rsid w:val="00704F78"/>
    <w:rsid w:val="007163D2"/>
    <w:rsid w:val="007300B7"/>
    <w:rsid w:val="0073077A"/>
    <w:rsid w:val="0073123D"/>
    <w:rsid w:val="00733505"/>
    <w:rsid w:val="00737C0D"/>
    <w:rsid w:val="00745539"/>
    <w:rsid w:val="00745569"/>
    <w:rsid w:val="0074592B"/>
    <w:rsid w:val="00745A94"/>
    <w:rsid w:val="00747903"/>
    <w:rsid w:val="00751E43"/>
    <w:rsid w:val="007536D7"/>
    <w:rsid w:val="007652A7"/>
    <w:rsid w:val="00766343"/>
    <w:rsid w:val="00766B43"/>
    <w:rsid w:val="00773701"/>
    <w:rsid w:val="00781132"/>
    <w:rsid w:val="00782442"/>
    <w:rsid w:val="00785261"/>
    <w:rsid w:val="00785459"/>
    <w:rsid w:val="00786A1D"/>
    <w:rsid w:val="00793369"/>
    <w:rsid w:val="007977AE"/>
    <w:rsid w:val="007A25B0"/>
    <w:rsid w:val="007B0256"/>
    <w:rsid w:val="007B1A2F"/>
    <w:rsid w:val="007B3C8B"/>
    <w:rsid w:val="007B6F25"/>
    <w:rsid w:val="007C1DCB"/>
    <w:rsid w:val="007C63D9"/>
    <w:rsid w:val="007C7288"/>
    <w:rsid w:val="007D0FD1"/>
    <w:rsid w:val="007D353B"/>
    <w:rsid w:val="007D7CC1"/>
    <w:rsid w:val="007E2C1F"/>
    <w:rsid w:val="007E59FF"/>
    <w:rsid w:val="007E6BD9"/>
    <w:rsid w:val="007F3BFF"/>
    <w:rsid w:val="007F55D5"/>
    <w:rsid w:val="007F69B0"/>
    <w:rsid w:val="007F7925"/>
    <w:rsid w:val="00803D11"/>
    <w:rsid w:val="008069B1"/>
    <w:rsid w:val="00807D25"/>
    <w:rsid w:val="00814125"/>
    <w:rsid w:val="00821B44"/>
    <w:rsid w:val="00822834"/>
    <w:rsid w:val="008229D5"/>
    <w:rsid w:val="0082607F"/>
    <w:rsid w:val="00827D6E"/>
    <w:rsid w:val="008326E1"/>
    <w:rsid w:val="008364DF"/>
    <w:rsid w:val="00837F2D"/>
    <w:rsid w:val="0084213B"/>
    <w:rsid w:val="0084502B"/>
    <w:rsid w:val="00851FB3"/>
    <w:rsid w:val="00852675"/>
    <w:rsid w:val="00853516"/>
    <w:rsid w:val="00854C98"/>
    <w:rsid w:val="00866ED1"/>
    <w:rsid w:val="00870F1A"/>
    <w:rsid w:val="00874437"/>
    <w:rsid w:val="008802BC"/>
    <w:rsid w:val="008854F7"/>
    <w:rsid w:val="008857CF"/>
    <w:rsid w:val="008911AF"/>
    <w:rsid w:val="00892AAF"/>
    <w:rsid w:val="008A06DA"/>
    <w:rsid w:val="008A4545"/>
    <w:rsid w:val="008B1FA5"/>
    <w:rsid w:val="008B49D0"/>
    <w:rsid w:val="008C0658"/>
    <w:rsid w:val="008C1BE2"/>
    <w:rsid w:val="008C53A5"/>
    <w:rsid w:val="008D2025"/>
    <w:rsid w:val="008D3644"/>
    <w:rsid w:val="008E09E5"/>
    <w:rsid w:val="008E1BED"/>
    <w:rsid w:val="008E2AB6"/>
    <w:rsid w:val="008E3DCB"/>
    <w:rsid w:val="008E449E"/>
    <w:rsid w:val="008F0CF7"/>
    <w:rsid w:val="008F3347"/>
    <w:rsid w:val="00904D9A"/>
    <w:rsid w:val="00907C10"/>
    <w:rsid w:val="00911AF4"/>
    <w:rsid w:val="009149B6"/>
    <w:rsid w:val="00916DE6"/>
    <w:rsid w:val="00917FD4"/>
    <w:rsid w:val="00921A83"/>
    <w:rsid w:val="009225F0"/>
    <w:rsid w:val="009246DC"/>
    <w:rsid w:val="00927013"/>
    <w:rsid w:val="009328EA"/>
    <w:rsid w:val="00935675"/>
    <w:rsid w:val="009409A2"/>
    <w:rsid w:val="009444B0"/>
    <w:rsid w:val="009471CE"/>
    <w:rsid w:val="00952227"/>
    <w:rsid w:val="0095691A"/>
    <w:rsid w:val="00961C09"/>
    <w:rsid w:val="00961CD0"/>
    <w:rsid w:val="009643EA"/>
    <w:rsid w:val="00972F9F"/>
    <w:rsid w:val="00976B68"/>
    <w:rsid w:val="00981B6C"/>
    <w:rsid w:val="00991D6A"/>
    <w:rsid w:val="00991EC4"/>
    <w:rsid w:val="00993676"/>
    <w:rsid w:val="009942E8"/>
    <w:rsid w:val="00997010"/>
    <w:rsid w:val="00997BA8"/>
    <w:rsid w:val="009A7B8C"/>
    <w:rsid w:val="009B6F57"/>
    <w:rsid w:val="009D5A74"/>
    <w:rsid w:val="009E5275"/>
    <w:rsid w:val="009F0A05"/>
    <w:rsid w:val="009F2803"/>
    <w:rsid w:val="00A006D0"/>
    <w:rsid w:val="00A03D7E"/>
    <w:rsid w:val="00A04EE5"/>
    <w:rsid w:val="00A11D21"/>
    <w:rsid w:val="00A152FA"/>
    <w:rsid w:val="00A2278B"/>
    <w:rsid w:val="00A236C6"/>
    <w:rsid w:val="00A276F9"/>
    <w:rsid w:val="00A323E4"/>
    <w:rsid w:val="00A3645F"/>
    <w:rsid w:val="00A36788"/>
    <w:rsid w:val="00A41E4D"/>
    <w:rsid w:val="00A46CF4"/>
    <w:rsid w:val="00A573C7"/>
    <w:rsid w:val="00A63D17"/>
    <w:rsid w:val="00A642CA"/>
    <w:rsid w:val="00A7216C"/>
    <w:rsid w:val="00A7461F"/>
    <w:rsid w:val="00A75DE5"/>
    <w:rsid w:val="00A81029"/>
    <w:rsid w:val="00A940C3"/>
    <w:rsid w:val="00A94ECC"/>
    <w:rsid w:val="00A970C8"/>
    <w:rsid w:val="00AA3445"/>
    <w:rsid w:val="00AC1348"/>
    <w:rsid w:val="00AC2E37"/>
    <w:rsid w:val="00AD4D6E"/>
    <w:rsid w:val="00AD71B0"/>
    <w:rsid w:val="00AE1D9C"/>
    <w:rsid w:val="00AE509F"/>
    <w:rsid w:val="00AE6B56"/>
    <w:rsid w:val="00AE7D98"/>
    <w:rsid w:val="00AF3A5E"/>
    <w:rsid w:val="00AF5648"/>
    <w:rsid w:val="00AF5CBB"/>
    <w:rsid w:val="00B03776"/>
    <w:rsid w:val="00B111C6"/>
    <w:rsid w:val="00B12CBE"/>
    <w:rsid w:val="00B17778"/>
    <w:rsid w:val="00B206AA"/>
    <w:rsid w:val="00B21955"/>
    <w:rsid w:val="00B25068"/>
    <w:rsid w:val="00B25653"/>
    <w:rsid w:val="00B2600C"/>
    <w:rsid w:val="00B27B04"/>
    <w:rsid w:val="00B31026"/>
    <w:rsid w:val="00B3419D"/>
    <w:rsid w:val="00B36A68"/>
    <w:rsid w:val="00B40C6C"/>
    <w:rsid w:val="00B50544"/>
    <w:rsid w:val="00B513CB"/>
    <w:rsid w:val="00B51905"/>
    <w:rsid w:val="00B51DC7"/>
    <w:rsid w:val="00B52336"/>
    <w:rsid w:val="00B52571"/>
    <w:rsid w:val="00B53603"/>
    <w:rsid w:val="00B53D0F"/>
    <w:rsid w:val="00B565D7"/>
    <w:rsid w:val="00B646EF"/>
    <w:rsid w:val="00B64B01"/>
    <w:rsid w:val="00B72445"/>
    <w:rsid w:val="00B75831"/>
    <w:rsid w:val="00B80E30"/>
    <w:rsid w:val="00B80FF8"/>
    <w:rsid w:val="00B86136"/>
    <w:rsid w:val="00B92E09"/>
    <w:rsid w:val="00B92E4B"/>
    <w:rsid w:val="00B93D35"/>
    <w:rsid w:val="00BA2DB9"/>
    <w:rsid w:val="00BA48C0"/>
    <w:rsid w:val="00BB0018"/>
    <w:rsid w:val="00BB119F"/>
    <w:rsid w:val="00BB2C3D"/>
    <w:rsid w:val="00BC3F9C"/>
    <w:rsid w:val="00BD08C4"/>
    <w:rsid w:val="00BD781F"/>
    <w:rsid w:val="00BE08E4"/>
    <w:rsid w:val="00BE18DF"/>
    <w:rsid w:val="00BE19C9"/>
    <w:rsid w:val="00BE7148"/>
    <w:rsid w:val="00BE7B7D"/>
    <w:rsid w:val="00BF1016"/>
    <w:rsid w:val="00BF2F41"/>
    <w:rsid w:val="00BF3797"/>
    <w:rsid w:val="00BF56AC"/>
    <w:rsid w:val="00BF7FC3"/>
    <w:rsid w:val="00C03C8A"/>
    <w:rsid w:val="00C064CB"/>
    <w:rsid w:val="00C07B59"/>
    <w:rsid w:val="00C130D7"/>
    <w:rsid w:val="00C21EA1"/>
    <w:rsid w:val="00C24C27"/>
    <w:rsid w:val="00C24DF4"/>
    <w:rsid w:val="00C321DA"/>
    <w:rsid w:val="00C33CE6"/>
    <w:rsid w:val="00C34BA0"/>
    <w:rsid w:val="00C413AB"/>
    <w:rsid w:val="00C41FF4"/>
    <w:rsid w:val="00C43BE3"/>
    <w:rsid w:val="00C53B70"/>
    <w:rsid w:val="00C61251"/>
    <w:rsid w:val="00C64FE5"/>
    <w:rsid w:val="00C75638"/>
    <w:rsid w:val="00C75A53"/>
    <w:rsid w:val="00C8268F"/>
    <w:rsid w:val="00C82B64"/>
    <w:rsid w:val="00C84D8D"/>
    <w:rsid w:val="00C86964"/>
    <w:rsid w:val="00C86F45"/>
    <w:rsid w:val="00C87C93"/>
    <w:rsid w:val="00C92535"/>
    <w:rsid w:val="00CA0F81"/>
    <w:rsid w:val="00CA6A5E"/>
    <w:rsid w:val="00CB0517"/>
    <w:rsid w:val="00CE079F"/>
    <w:rsid w:val="00CE71D2"/>
    <w:rsid w:val="00CF2BFF"/>
    <w:rsid w:val="00CF6775"/>
    <w:rsid w:val="00CF7846"/>
    <w:rsid w:val="00D0248C"/>
    <w:rsid w:val="00D0319D"/>
    <w:rsid w:val="00D05860"/>
    <w:rsid w:val="00D1207C"/>
    <w:rsid w:val="00D14629"/>
    <w:rsid w:val="00D17FFA"/>
    <w:rsid w:val="00D20C79"/>
    <w:rsid w:val="00D23980"/>
    <w:rsid w:val="00D34A10"/>
    <w:rsid w:val="00D35648"/>
    <w:rsid w:val="00D43031"/>
    <w:rsid w:val="00D432DA"/>
    <w:rsid w:val="00D432E3"/>
    <w:rsid w:val="00D44B69"/>
    <w:rsid w:val="00D459B1"/>
    <w:rsid w:val="00D61AC4"/>
    <w:rsid w:val="00D62638"/>
    <w:rsid w:val="00D62F3C"/>
    <w:rsid w:val="00D63457"/>
    <w:rsid w:val="00D64117"/>
    <w:rsid w:val="00D67367"/>
    <w:rsid w:val="00D67EF8"/>
    <w:rsid w:val="00D7292A"/>
    <w:rsid w:val="00D800E3"/>
    <w:rsid w:val="00D852E0"/>
    <w:rsid w:val="00D86439"/>
    <w:rsid w:val="00D9650B"/>
    <w:rsid w:val="00DA149E"/>
    <w:rsid w:val="00DA7C65"/>
    <w:rsid w:val="00DB1FF2"/>
    <w:rsid w:val="00DB43F1"/>
    <w:rsid w:val="00DB4795"/>
    <w:rsid w:val="00DB4FEB"/>
    <w:rsid w:val="00DC010E"/>
    <w:rsid w:val="00DC59FD"/>
    <w:rsid w:val="00DD1BD0"/>
    <w:rsid w:val="00DD5B43"/>
    <w:rsid w:val="00DE0653"/>
    <w:rsid w:val="00DE09BB"/>
    <w:rsid w:val="00DE22D4"/>
    <w:rsid w:val="00DE79CD"/>
    <w:rsid w:val="00DE7EE7"/>
    <w:rsid w:val="00E12D67"/>
    <w:rsid w:val="00E13211"/>
    <w:rsid w:val="00E15FFE"/>
    <w:rsid w:val="00E168BC"/>
    <w:rsid w:val="00E24994"/>
    <w:rsid w:val="00E25E96"/>
    <w:rsid w:val="00E327F8"/>
    <w:rsid w:val="00E40332"/>
    <w:rsid w:val="00E430B5"/>
    <w:rsid w:val="00E44CC8"/>
    <w:rsid w:val="00E4558E"/>
    <w:rsid w:val="00E47550"/>
    <w:rsid w:val="00E4774F"/>
    <w:rsid w:val="00E54197"/>
    <w:rsid w:val="00E54870"/>
    <w:rsid w:val="00E61437"/>
    <w:rsid w:val="00E626CB"/>
    <w:rsid w:val="00E65F09"/>
    <w:rsid w:val="00E6624E"/>
    <w:rsid w:val="00E820BD"/>
    <w:rsid w:val="00E835CA"/>
    <w:rsid w:val="00E85FFC"/>
    <w:rsid w:val="00E86DB3"/>
    <w:rsid w:val="00E90099"/>
    <w:rsid w:val="00E94490"/>
    <w:rsid w:val="00EA2D95"/>
    <w:rsid w:val="00EA4A2D"/>
    <w:rsid w:val="00EA577E"/>
    <w:rsid w:val="00EA586B"/>
    <w:rsid w:val="00EB16D1"/>
    <w:rsid w:val="00EB2524"/>
    <w:rsid w:val="00EB2F2F"/>
    <w:rsid w:val="00EB3485"/>
    <w:rsid w:val="00EB7733"/>
    <w:rsid w:val="00EC544E"/>
    <w:rsid w:val="00EC6B63"/>
    <w:rsid w:val="00EC70FD"/>
    <w:rsid w:val="00ED3264"/>
    <w:rsid w:val="00ED32AF"/>
    <w:rsid w:val="00EE410F"/>
    <w:rsid w:val="00EE46D9"/>
    <w:rsid w:val="00EF0F57"/>
    <w:rsid w:val="00F053A1"/>
    <w:rsid w:val="00F07EC6"/>
    <w:rsid w:val="00F10347"/>
    <w:rsid w:val="00F136B6"/>
    <w:rsid w:val="00F15DDB"/>
    <w:rsid w:val="00F22E90"/>
    <w:rsid w:val="00F32064"/>
    <w:rsid w:val="00F36D53"/>
    <w:rsid w:val="00F41176"/>
    <w:rsid w:val="00F41CDC"/>
    <w:rsid w:val="00F4347E"/>
    <w:rsid w:val="00F44062"/>
    <w:rsid w:val="00F453F5"/>
    <w:rsid w:val="00F46BDC"/>
    <w:rsid w:val="00F5110C"/>
    <w:rsid w:val="00F54F81"/>
    <w:rsid w:val="00F565CF"/>
    <w:rsid w:val="00F56838"/>
    <w:rsid w:val="00F61369"/>
    <w:rsid w:val="00F66310"/>
    <w:rsid w:val="00F67F7D"/>
    <w:rsid w:val="00F72996"/>
    <w:rsid w:val="00F8756F"/>
    <w:rsid w:val="00F879C2"/>
    <w:rsid w:val="00F912A0"/>
    <w:rsid w:val="00F92938"/>
    <w:rsid w:val="00F94B29"/>
    <w:rsid w:val="00F9540A"/>
    <w:rsid w:val="00F956B2"/>
    <w:rsid w:val="00F95A4C"/>
    <w:rsid w:val="00FA11F6"/>
    <w:rsid w:val="00FA476B"/>
    <w:rsid w:val="00FA622C"/>
    <w:rsid w:val="00FB0C1C"/>
    <w:rsid w:val="00FB1F38"/>
    <w:rsid w:val="00FB4430"/>
    <w:rsid w:val="00FB5059"/>
    <w:rsid w:val="00FC06CF"/>
    <w:rsid w:val="00FC7D64"/>
    <w:rsid w:val="00FD41EF"/>
    <w:rsid w:val="00FE7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4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4B"/>
    <w:pPr>
      <w:spacing w:after="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851FB3"/>
    <w:pPr>
      <w:keepNext/>
      <w:spacing w:before="480"/>
      <w:contextualSpacing/>
      <w:jc w:val="center"/>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8F0CF7"/>
    <w:pPr>
      <w:keepNext/>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E71D2"/>
    <w:pPr>
      <w:keepNext/>
      <w:spacing w:before="200" w:line="271" w:lineRule="auto"/>
      <w:outlineLvl w:val="2"/>
    </w:pPr>
    <w:rPr>
      <w:rFonts w:eastAsiaTheme="majorEastAsia" w:cstheme="majorBidi"/>
      <w:bCs/>
      <w:i/>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FB3"/>
    <w:rPr>
      <w:rFonts w:eastAsiaTheme="majorEastAsia" w:cstheme="majorBidi"/>
      <w:b/>
      <w:bCs/>
      <w:sz w:val="26"/>
      <w:szCs w:val="28"/>
      <w:lang w:eastAsia="en-AU"/>
    </w:rPr>
  </w:style>
  <w:style w:type="character" w:customStyle="1" w:styleId="Heading2Char">
    <w:name w:val="Heading 2 Char"/>
    <w:basedOn w:val="DefaultParagraphFont"/>
    <w:link w:val="Heading2"/>
    <w:uiPriority w:val="9"/>
    <w:rsid w:val="008F0CF7"/>
    <w:rPr>
      <w:rFonts w:ascii="Arial" w:eastAsiaTheme="majorEastAsia" w:hAnsi="Arial" w:cstheme="majorBidi"/>
      <w:b/>
      <w:bCs/>
      <w:sz w:val="24"/>
      <w:szCs w:val="26"/>
      <w:lang w:eastAsia="en-AU"/>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CE71D2"/>
    <w:rPr>
      <w:rFonts w:eastAsiaTheme="majorEastAsia" w:cstheme="majorBidi"/>
      <w:bCs/>
      <w:i/>
      <w:sz w:val="24"/>
      <w:szCs w:val="24"/>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
    <w:basedOn w:val="Normal"/>
    <w:link w:val="ListParagraphChar"/>
    <w:autoRedefine/>
    <w:uiPriority w:val="34"/>
    <w:qFormat/>
    <w:rsid w:val="00512422"/>
    <w:pPr>
      <w:keepNext/>
      <w:keepLines/>
      <w:numPr>
        <w:numId w:val="2"/>
      </w:numPr>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2457A0"/>
    <w:pPr>
      <w:tabs>
        <w:tab w:val="center" w:pos="4513"/>
        <w:tab w:val="right" w:pos="9026"/>
      </w:tabs>
    </w:pPr>
  </w:style>
  <w:style w:type="character" w:customStyle="1" w:styleId="HeaderChar">
    <w:name w:val="Header Char"/>
    <w:basedOn w:val="DefaultParagraphFont"/>
    <w:link w:val="Header"/>
    <w:rsid w:val="002457A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457A0"/>
    <w:pPr>
      <w:tabs>
        <w:tab w:val="center" w:pos="4513"/>
        <w:tab w:val="right" w:pos="9026"/>
      </w:tabs>
    </w:pPr>
  </w:style>
  <w:style w:type="character" w:customStyle="1" w:styleId="FooterChar">
    <w:name w:val="Footer Char"/>
    <w:basedOn w:val="DefaultParagraphFont"/>
    <w:link w:val="Footer"/>
    <w:uiPriority w:val="99"/>
    <w:rsid w:val="002457A0"/>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457A0"/>
    <w:rPr>
      <w:rFonts w:ascii="Tahoma" w:hAnsi="Tahoma" w:cs="Tahoma"/>
      <w:sz w:val="16"/>
      <w:szCs w:val="16"/>
    </w:rPr>
  </w:style>
  <w:style w:type="character" w:customStyle="1" w:styleId="BalloonTextChar">
    <w:name w:val="Balloon Text Char"/>
    <w:basedOn w:val="DefaultParagraphFont"/>
    <w:link w:val="BalloonText"/>
    <w:uiPriority w:val="99"/>
    <w:semiHidden/>
    <w:rsid w:val="002457A0"/>
    <w:rPr>
      <w:rFonts w:ascii="Tahoma" w:eastAsia="Times New Roman" w:hAnsi="Tahoma" w:cs="Tahoma"/>
      <w:sz w:val="16"/>
      <w:szCs w:val="16"/>
      <w:lang w:eastAsia="en-AU"/>
    </w:rPr>
  </w:style>
  <w:style w:type="paragraph" w:styleId="CommentText">
    <w:name w:val="annotation text"/>
    <w:basedOn w:val="Normal"/>
    <w:link w:val="CommentTextChar"/>
    <w:uiPriority w:val="99"/>
    <w:unhideWhenUsed/>
    <w:rsid w:val="00991D6A"/>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991D6A"/>
    <w:rPr>
      <w:rFonts w:ascii="Times New Roman" w:eastAsia="Calibri" w:hAnsi="Times New Roman" w:cs="Times New Roman"/>
      <w:sz w:val="20"/>
      <w:szCs w:val="20"/>
    </w:rPr>
  </w:style>
  <w:style w:type="character" w:styleId="CommentReference">
    <w:name w:val="annotation reference"/>
    <w:basedOn w:val="DefaultParagraphFont"/>
    <w:rsid w:val="00991D6A"/>
    <w:rPr>
      <w:sz w:val="16"/>
      <w:szCs w:val="16"/>
    </w:rPr>
  </w:style>
  <w:style w:type="character" w:customStyle="1" w:styleId="ListParagraphChar">
    <w:name w:val="List Paragraph Char"/>
    <w:aliases w:val="List Paragraph1 Char,List Paragraph11 Char,Recommendation Char"/>
    <w:link w:val="ListParagraph"/>
    <w:uiPriority w:val="34"/>
    <w:locked/>
    <w:rsid w:val="00961CD0"/>
    <w:rPr>
      <w:rFonts w:eastAsia="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67F7D"/>
    <w:pPr>
      <w:spacing w:line="240" w:lineRule="auto"/>
    </w:pPr>
    <w:rPr>
      <w:rFonts w:eastAsia="Times New Roman"/>
      <w:b/>
      <w:bCs/>
      <w:lang w:eastAsia="en-AU"/>
    </w:rPr>
  </w:style>
  <w:style w:type="character" w:customStyle="1" w:styleId="CommentSubjectChar">
    <w:name w:val="Comment Subject Char"/>
    <w:basedOn w:val="CommentTextChar"/>
    <w:link w:val="CommentSubject"/>
    <w:uiPriority w:val="99"/>
    <w:semiHidden/>
    <w:rsid w:val="00F67F7D"/>
    <w:rPr>
      <w:rFonts w:ascii="Times New Roman" w:eastAsia="Times New Roman" w:hAnsi="Times New Roman" w:cs="Times New Roman"/>
      <w:b/>
      <w:bCs/>
      <w:sz w:val="20"/>
      <w:szCs w:val="20"/>
      <w:lang w:eastAsia="en-AU"/>
    </w:rPr>
  </w:style>
  <w:style w:type="paragraph" w:styleId="EndnoteText">
    <w:name w:val="endnote text"/>
    <w:basedOn w:val="Normal"/>
    <w:link w:val="EndnoteTextChar"/>
    <w:semiHidden/>
    <w:unhideWhenUsed/>
    <w:rsid w:val="008F3347"/>
    <w:rPr>
      <w:sz w:val="20"/>
      <w:szCs w:val="20"/>
    </w:rPr>
  </w:style>
  <w:style w:type="character" w:customStyle="1" w:styleId="EndnoteTextChar">
    <w:name w:val="Endnote Text Char"/>
    <w:basedOn w:val="DefaultParagraphFont"/>
    <w:link w:val="EndnoteText"/>
    <w:semiHidden/>
    <w:rsid w:val="008F3347"/>
    <w:rPr>
      <w:rFonts w:ascii="Times New Roman" w:eastAsia="Times New Roman" w:hAnsi="Times New Roman" w:cs="Times New Roman"/>
      <w:sz w:val="20"/>
      <w:szCs w:val="20"/>
      <w:lang w:eastAsia="en-AU"/>
    </w:rPr>
  </w:style>
  <w:style w:type="character" w:styleId="EndnoteReference">
    <w:name w:val="endnote reference"/>
    <w:basedOn w:val="DefaultParagraphFont"/>
    <w:unhideWhenUsed/>
    <w:rsid w:val="008F3347"/>
    <w:rPr>
      <w:vertAlign w:val="superscript"/>
    </w:rPr>
  </w:style>
  <w:style w:type="paragraph" w:styleId="FootnoteText">
    <w:name w:val="footnote text"/>
    <w:basedOn w:val="Normal"/>
    <w:link w:val="FootnoteTextChar"/>
    <w:uiPriority w:val="99"/>
    <w:semiHidden/>
    <w:unhideWhenUsed/>
    <w:rsid w:val="008F3347"/>
    <w:rPr>
      <w:sz w:val="20"/>
      <w:szCs w:val="20"/>
    </w:rPr>
  </w:style>
  <w:style w:type="character" w:customStyle="1" w:styleId="FootnoteTextChar">
    <w:name w:val="Footnote Text Char"/>
    <w:basedOn w:val="DefaultParagraphFont"/>
    <w:link w:val="FootnoteText"/>
    <w:uiPriority w:val="99"/>
    <w:semiHidden/>
    <w:rsid w:val="008F334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F3347"/>
    <w:rPr>
      <w:vertAlign w:val="superscript"/>
    </w:rPr>
  </w:style>
  <w:style w:type="paragraph" w:styleId="TOC1">
    <w:name w:val="toc 1"/>
    <w:basedOn w:val="Normal"/>
    <w:next w:val="Normal"/>
    <w:autoRedefine/>
    <w:uiPriority w:val="39"/>
    <w:unhideWhenUsed/>
    <w:rsid w:val="008F0CF7"/>
    <w:pPr>
      <w:spacing w:after="100"/>
    </w:pPr>
  </w:style>
  <w:style w:type="paragraph" w:styleId="TOC2">
    <w:name w:val="toc 2"/>
    <w:basedOn w:val="Normal"/>
    <w:next w:val="Normal"/>
    <w:autoRedefine/>
    <w:uiPriority w:val="39"/>
    <w:unhideWhenUsed/>
    <w:rsid w:val="008F0CF7"/>
    <w:pPr>
      <w:spacing w:after="100"/>
      <w:ind w:left="240"/>
    </w:pPr>
  </w:style>
  <w:style w:type="character" w:styleId="Hyperlink">
    <w:name w:val="Hyperlink"/>
    <w:basedOn w:val="DefaultParagraphFont"/>
    <w:uiPriority w:val="99"/>
    <w:unhideWhenUsed/>
    <w:rsid w:val="008F0CF7"/>
    <w:rPr>
      <w:color w:val="0000FF" w:themeColor="hyperlink"/>
      <w:u w:val="single"/>
    </w:rPr>
  </w:style>
  <w:style w:type="table" w:styleId="TableGrid">
    <w:name w:val="Table Grid"/>
    <w:basedOn w:val="TableNormal"/>
    <w:uiPriority w:val="59"/>
    <w:rsid w:val="00DE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B47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42">
      <w:bodyDiv w:val="1"/>
      <w:marLeft w:val="0"/>
      <w:marRight w:val="0"/>
      <w:marTop w:val="0"/>
      <w:marBottom w:val="0"/>
      <w:divBdr>
        <w:top w:val="none" w:sz="0" w:space="0" w:color="auto"/>
        <w:left w:val="none" w:sz="0" w:space="0" w:color="auto"/>
        <w:bottom w:val="none" w:sz="0" w:space="0" w:color="auto"/>
        <w:right w:val="none" w:sz="0" w:space="0" w:color="auto"/>
      </w:divBdr>
    </w:div>
    <w:div w:id="167913625">
      <w:bodyDiv w:val="1"/>
      <w:marLeft w:val="0"/>
      <w:marRight w:val="0"/>
      <w:marTop w:val="0"/>
      <w:marBottom w:val="0"/>
      <w:divBdr>
        <w:top w:val="none" w:sz="0" w:space="0" w:color="auto"/>
        <w:left w:val="none" w:sz="0" w:space="0" w:color="auto"/>
        <w:bottom w:val="none" w:sz="0" w:space="0" w:color="auto"/>
        <w:right w:val="none" w:sz="0" w:space="0" w:color="auto"/>
      </w:divBdr>
    </w:div>
    <w:div w:id="222108347">
      <w:bodyDiv w:val="1"/>
      <w:marLeft w:val="0"/>
      <w:marRight w:val="0"/>
      <w:marTop w:val="0"/>
      <w:marBottom w:val="0"/>
      <w:divBdr>
        <w:top w:val="none" w:sz="0" w:space="0" w:color="auto"/>
        <w:left w:val="none" w:sz="0" w:space="0" w:color="auto"/>
        <w:bottom w:val="none" w:sz="0" w:space="0" w:color="auto"/>
        <w:right w:val="none" w:sz="0" w:space="0" w:color="auto"/>
      </w:divBdr>
    </w:div>
    <w:div w:id="279651874">
      <w:bodyDiv w:val="1"/>
      <w:marLeft w:val="0"/>
      <w:marRight w:val="0"/>
      <w:marTop w:val="0"/>
      <w:marBottom w:val="0"/>
      <w:divBdr>
        <w:top w:val="none" w:sz="0" w:space="0" w:color="auto"/>
        <w:left w:val="none" w:sz="0" w:space="0" w:color="auto"/>
        <w:bottom w:val="none" w:sz="0" w:space="0" w:color="auto"/>
        <w:right w:val="none" w:sz="0" w:space="0" w:color="auto"/>
      </w:divBdr>
    </w:div>
    <w:div w:id="320695063">
      <w:bodyDiv w:val="1"/>
      <w:marLeft w:val="0"/>
      <w:marRight w:val="0"/>
      <w:marTop w:val="0"/>
      <w:marBottom w:val="0"/>
      <w:divBdr>
        <w:top w:val="none" w:sz="0" w:space="0" w:color="auto"/>
        <w:left w:val="none" w:sz="0" w:space="0" w:color="auto"/>
        <w:bottom w:val="none" w:sz="0" w:space="0" w:color="auto"/>
        <w:right w:val="none" w:sz="0" w:space="0" w:color="auto"/>
      </w:divBdr>
    </w:div>
    <w:div w:id="616373435">
      <w:bodyDiv w:val="1"/>
      <w:marLeft w:val="0"/>
      <w:marRight w:val="0"/>
      <w:marTop w:val="0"/>
      <w:marBottom w:val="0"/>
      <w:divBdr>
        <w:top w:val="none" w:sz="0" w:space="0" w:color="auto"/>
        <w:left w:val="none" w:sz="0" w:space="0" w:color="auto"/>
        <w:bottom w:val="none" w:sz="0" w:space="0" w:color="auto"/>
        <w:right w:val="none" w:sz="0" w:space="0" w:color="auto"/>
      </w:divBdr>
    </w:div>
    <w:div w:id="656878085">
      <w:bodyDiv w:val="1"/>
      <w:marLeft w:val="0"/>
      <w:marRight w:val="0"/>
      <w:marTop w:val="0"/>
      <w:marBottom w:val="0"/>
      <w:divBdr>
        <w:top w:val="none" w:sz="0" w:space="0" w:color="auto"/>
        <w:left w:val="none" w:sz="0" w:space="0" w:color="auto"/>
        <w:bottom w:val="none" w:sz="0" w:space="0" w:color="auto"/>
        <w:right w:val="none" w:sz="0" w:space="0" w:color="auto"/>
      </w:divBdr>
    </w:div>
    <w:div w:id="747264050">
      <w:bodyDiv w:val="1"/>
      <w:marLeft w:val="0"/>
      <w:marRight w:val="0"/>
      <w:marTop w:val="0"/>
      <w:marBottom w:val="0"/>
      <w:divBdr>
        <w:top w:val="none" w:sz="0" w:space="0" w:color="auto"/>
        <w:left w:val="none" w:sz="0" w:space="0" w:color="auto"/>
        <w:bottom w:val="none" w:sz="0" w:space="0" w:color="auto"/>
        <w:right w:val="none" w:sz="0" w:space="0" w:color="auto"/>
      </w:divBdr>
    </w:div>
    <w:div w:id="778643987">
      <w:bodyDiv w:val="1"/>
      <w:marLeft w:val="0"/>
      <w:marRight w:val="0"/>
      <w:marTop w:val="0"/>
      <w:marBottom w:val="0"/>
      <w:divBdr>
        <w:top w:val="none" w:sz="0" w:space="0" w:color="auto"/>
        <w:left w:val="none" w:sz="0" w:space="0" w:color="auto"/>
        <w:bottom w:val="none" w:sz="0" w:space="0" w:color="auto"/>
        <w:right w:val="none" w:sz="0" w:space="0" w:color="auto"/>
      </w:divBdr>
    </w:div>
    <w:div w:id="808937325">
      <w:bodyDiv w:val="1"/>
      <w:marLeft w:val="0"/>
      <w:marRight w:val="0"/>
      <w:marTop w:val="0"/>
      <w:marBottom w:val="0"/>
      <w:divBdr>
        <w:top w:val="none" w:sz="0" w:space="0" w:color="auto"/>
        <w:left w:val="none" w:sz="0" w:space="0" w:color="auto"/>
        <w:bottom w:val="none" w:sz="0" w:space="0" w:color="auto"/>
        <w:right w:val="none" w:sz="0" w:space="0" w:color="auto"/>
      </w:divBdr>
    </w:div>
    <w:div w:id="850679695">
      <w:bodyDiv w:val="1"/>
      <w:marLeft w:val="0"/>
      <w:marRight w:val="0"/>
      <w:marTop w:val="0"/>
      <w:marBottom w:val="0"/>
      <w:divBdr>
        <w:top w:val="none" w:sz="0" w:space="0" w:color="auto"/>
        <w:left w:val="none" w:sz="0" w:space="0" w:color="auto"/>
        <w:bottom w:val="none" w:sz="0" w:space="0" w:color="auto"/>
        <w:right w:val="none" w:sz="0" w:space="0" w:color="auto"/>
      </w:divBdr>
    </w:div>
    <w:div w:id="874119297">
      <w:bodyDiv w:val="1"/>
      <w:marLeft w:val="0"/>
      <w:marRight w:val="0"/>
      <w:marTop w:val="0"/>
      <w:marBottom w:val="0"/>
      <w:divBdr>
        <w:top w:val="none" w:sz="0" w:space="0" w:color="auto"/>
        <w:left w:val="none" w:sz="0" w:space="0" w:color="auto"/>
        <w:bottom w:val="none" w:sz="0" w:space="0" w:color="auto"/>
        <w:right w:val="none" w:sz="0" w:space="0" w:color="auto"/>
      </w:divBdr>
    </w:div>
    <w:div w:id="1007708233">
      <w:bodyDiv w:val="1"/>
      <w:marLeft w:val="0"/>
      <w:marRight w:val="0"/>
      <w:marTop w:val="0"/>
      <w:marBottom w:val="0"/>
      <w:divBdr>
        <w:top w:val="none" w:sz="0" w:space="0" w:color="auto"/>
        <w:left w:val="none" w:sz="0" w:space="0" w:color="auto"/>
        <w:bottom w:val="none" w:sz="0" w:space="0" w:color="auto"/>
        <w:right w:val="none" w:sz="0" w:space="0" w:color="auto"/>
      </w:divBdr>
    </w:div>
    <w:div w:id="1021664272">
      <w:bodyDiv w:val="1"/>
      <w:marLeft w:val="0"/>
      <w:marRight w:val="0"/>
      <w:marTop w:val="0"/>
      <w:marBottom w:val="0"/>
      <w:divBdr>
        <w:top w:val="none" w:sz="0" w:space="0" w:color="auto"/>
        <w:left w:val="none" w:sz="0" w:space="0" w:color="auto"/>
        <w:bottom w:val="none" w:sz="0" w:space="0" w:color="auto"/>
        <w:right w:val="none" w:sz="0" w:space="0" w:color="auto"/>
      </w:divBdr>
    </w:div>
    <w:div w:id="1265764426">
      <w:bodyDiv w:val="1"/>
      <w:marLeft w:val="0"/>
      <w:marRight w:val="0"/>
      <w:marTop w:val="0"/>
      <w:marBottom w:val="0"/>
      <w:divBdr>
        <w:top w:val="none" w:sz="0" w:space="0" w:color="auto"/>
        <w:left w:val="none" w:sz="0" w:space="0" w:color="auto"/>
        <w:bottom w:val="none" w:sz="0" w:space="0" w:color="auto"/>
        <w:right w:val="none" w:sz="0" w:space="0" w:color="auto"/>
      </w:divBdr>
    </w:div>
    <w:div w:id="1270626783">
      <w:bodyDiv w:val="1"/>
      <w:marLeft w:val="0"/>
      <w:marRight w:val="0"/>
      <w:marTop w:val="0"/>
      <w:marBottom w:val="0"/>
      <w:divBdr>
        <w:top w:val="none" w:sz="0" w:space="0" w:color="auto"/>
        <w:left w:val="none" w:sz="0" w:space="0" w:color="auto"/>
        <w:bottom w:val="none" w:sz="0" w:space="0" w:color="auto"/>
        <w:right w:val="none" w:sz="0" w:space="0" w:color="auto"/>
      </w:divBdr>
    </w:div>
    <w:div w:id="1358772974">
      <w:bodyDiv w:val="1"/>
      <w:marLeft w:val="0"/>
      <w:marRight w:val="0"/>
      <w:marTop w:val="0"/>
      <w:marBottom w:val="0"/>
      <w:divBdr>
        <w:top w:val="none" w:sz="0" w:space="0" w:color="auto"/>
        <w:left w:val="none" w:sz="0" w:space="0" w:color="auto"/>
        <w:bottom w:val="none" w:sz="0" w:space="0" w:color="auto"/>
        <w:right w:val="none" w:sz="0" w:space="0" w:color="auto"/>
      </w:divBdr>
    </w:div>
    <w:div w:id="1374304703">
      <w:bodyDiv w:val="1"/>
      <w:marLeft w:val="0"/>
      <w:marRight w:val="0"/>
      <w:marTop w:val="0"/>
      <w:marBottom w:val="0"/>
      <w:divBdr>
        <w:top w:val="none" w:sz="0" w:space="0" w:color="auto"/>
        <w:left w:val="none" w:sz="0" w:space="0" w:color="auto"/>
        <w:bottom w:val="none" w:sz="0" w:space="0" w:color="auto"/>
        <w:right w:val="none" w:sz="0" w:space="0" w:color="auto"/>
      </w:divBdr>
    </w:div>
    <w:div w:id="1385520738">
      <w:bodyDiv w:val="1"/>
      <w:marLeft w:val="0"/>
      <w:marRight w:val="0"/>
      <w:marTop w:val="0"/>
      <w:marBottom w:val="0"/>
      <w:divBdr>
        <w:top w:val="none" w:sz="0" w:space="0" w:color="auto"/>
        <w:left w:val="none" w:sz="0" w:space="0" w:color="auto"/>
        <w:bottom w:val="none" w:sz="0" w:space="0" w:color="auto"/>
        <w:right w:val="none" w:sz="0" w:space="0" w:color="auto"/>
      </w:divBdr>
    </w:div>
    <w:div w:id="1403482632">
      <w:bodyDiv w:val="1"/>
      <w:marLeft w:val="0"/>
      <w:marRight w:val="0"/>
      <w:marTop w:val="0"/>
      <w:marBottom w:val="0"/>
      <w:divBdr>
        <w:top w:val="none" w:sz="0" w:space="0" w:color="auto"/>
        <w:left w:val="none" w:sz="0" w:space="0" w:color="auto"/>
        <w:bottom w:val="none" w:sz="0" w:space="0" w:color="auto"/>
        <w:right w:val="none" w:sz="0" w:space="0" w:color="auto"/>
      </w:divBdr>
    </w:div>
    <w:div w:id="1574702658">
      <w:bodyDiv w:val="1"/>
      <w:marLeft w:val="0"/>
      <w:marRight w:val="0"/>
      <w:marTop w:val="0"/>
      <w:marBottom w:val="0"/>
      <w:divBdr>
        <w:top w:val="none" w:sz="0" w:space="0" w:color="auto"/>
        <w:left w:val="none" w:sz="0" w:space="0" w:color="auto"/>
        <w:bottom w:val="none" w:sz="0" w:space="0" w:color="auto"/>
        <w:right w:val="none" w:sz="0" w:space="0" w:color="auto"/>
      </w:divBdr>
    </w:div>
    <w:div w:id="1662540981">
      <w:bodyDiv w:val="1"/>
      <w:marLeft w:val="0"/>
      <w:marRight w:val="0"/>
      <w:marTop w:val="0"/>
      <w:marBottom w:val="0"/>
      <w:divBdr>
        <w:top w:val="none" w:sz="0" w:space="0" w:color="auto"/>
        <w:left w:val="none" w:sz="0" w:space="0" w:color="auto"/>
        <w:bottom w:val="none" w:sz="0" w:space="0" w:color="auto"/>
        <w:right w:val="none" w:sz="0" w:space="0" w:color="auto"/>
      </w:divBdr>
    </w:div>
    <w:div w:id="1689285215">
      <w:bodyDiv w:val="1"/>
      <w:marLeft w:val="0"/>
      <w:marRight w:val="0"/>
      <w:marTop w:val="0"/>
      <w:marBottom w:val="0"/>
      <w:divBdr>
        <w:top w:val="none" w:sz="0" w:space="0" w:color="auto"/>
        <w:left w:val="none" w:sz="0" w:space="0" w:color="auto"/>
        <w:bottom w:val="none" w:sz="0" w:space="0" w:color="auto"/>
        <w:right w:val="none" w:sz="0" w:space="0" w:color="auto"/>
      </w:divBdr>
    </w:div>
    <w:div w:id="1747146231">
      <w:bodyDiv w:val="1"/>
      <w:marLeft w:val="0"/>
      <w:marRight w:val="0"/>
      <w:marTop w:val="0"/>
      <w:marBottom w:val="0"/>
      <w:divBdr>
        <w:top w:val="none" w:sz="0" w:space="0" w:color="auto"/>
        <w:left w:val="none" w:sz="0" w:space="0" w:color="auto"/>
        <w:bottom w:val="none" w:sz="0" w:space="0" w:color="auto"/>
        <w:right w:val="none" w:sz="0" w:space="0" w:color="auto"/>
      </w:divBdr>
    </w:div>
    <w:div w:id="1774394435">
      <w:bodyDiv w:val="1"/>
      <w:marLeft w:val="0"/>
      <w:marRight w:val="0"/>
      <w:marTop w:val="0"/>
      <w:marBottom w:val="0"/>
      <w:divBdr>
        <w:top w:val="none" w:sz="0" w:space="0" w:color="auto"/>
        <w:left w:val="none" w:sz="0" w:space="0" w:color="auto"/>
        <w:bottom w:val="none" w:sz="0" w:space="0" w:color="auto"/>
        <w:right w:val="none" w:sz="0" w:space="0" w:color="auto"/>
      </w:divBdr>
    </w:div>
    <w:div w:id="2006589213">
      <w:bodyDiv w:val="1"/>
      <w:marLeft w:val="0"/>
      <w:marRight w:val="0"/>
      <w:marTop w:val="0"/>
      <w:marBottom w:val="0"/>
      <w:divBdr>
        <w:top w:val="none" w:sz="0" w:space="0" w:color="auto"/>
        <w:left w:val="none" w:sz="0" w:space="0" w:color="auto"/>
        <w:bottom w:val="none" w:sz="0" w:space="0" w:color="auto"/>
        <w:right w:val="none" w:sz="0" w:space="0" w:color="auto"/>
      </w:divBdr>
    </w:div>
    <w:div w:id="20275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84FEFCAF9B6142AEB2DF0A385BF696" ma:contentTypeVersion="" ma:contentTypeDescription="PDMS Document Site Content Type" ma:contentTypeScope="" ma:versionID="06005d4397c892bf7a55edd77e80d8a6">
  <xsd:schema xmlns:xsd="http://www.w3.org/2001/XMLSchema" xmlns:xs="http://www.w3.org/2001/XMLSchema" xmlns:p="http://schemas.microsoft.com/office/2006/metadata/properties" xmlns:ns2="22F55C1B-D741-4558-AE25-6D03D9B02509" targetNamespace="http://schemas.microsoft.com/office/2006/metadata/properties" ma:root="true" ma:fieldsID="bce3e34f13ac8b7d6343993a5f138560" ns2:_="">
    <xsd:import namespace="22F55C1B-D741-4558-AE25-6D03D9B0250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55C1B-D741-4558-AE25-6D03D9B0250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2F55C1B-D741-4558-AE25-6D03D9B025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33B82-3F54-4023-8382-C1D6C8864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55C1B-D741-4558-AE25-6D03D9B0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7CC43-9CB2-4514-8BB4-F03BDEBB5766}">
  <ds:schemaRefs>
    <ds:schemaRef ds:uri="http://schemas.microsoft.com/office/2006/documentManagement/types"/>
    <ds:schemaRef ds:uri="http://purl.org/dc/terms/"/>
    <ds:schemaRef ds:uri="22F55C1B-D741-4558-AE25-6D03D9B0250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0E67B30-1510-4225-B68E-4445254249E5}">
  <ds:schemaRefs>
    <ds:schemaRef ds:uri="http://schemas.microsoft.com/sharepoint/v3/contenttype/forms"/>
  </ds:schemaRefs>
</ds:datastoreItem>
</file>

<file path=customXml/itemProps4.xml><?xml version="1.0" encoding="utf-8"?>
<ds:datastoreItem xmlns:ds="http://schemas.openxmlformats.org/officeDocument/2006/customXml" ds:itemID="{EC8E3E8C-8916-45DF-A9FE-8FE7E2F8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6250</Words>
  <Characters>35626</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2020-06-17T22:58:00Z</dcterms:created>
  <dcterms:modified xsi:type="dcterms:W3CDTF">2020-06-17T22:58:00Z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0x010100266966F133664895A6EE3632470D45F5005D84FEFCAF9B6142AEB2DF0A385BF696</vt:lpwstr>
  </property>
</Properties>
</file>