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B07" w:rsidRDefault="00725B07" w:rsidP="00911902">
      <w:pPr>
        <w:pStyle w:val="Covertitle1108pt"/>
        <w:spacing w:line="240" w:lineRule="auto"/>
        <w:ind w:left="992" w:right="-4111"/>
        <w:rPr>
          <w:rFonts w:ascii="KPMG Extralight" w:hAnsi="KPMG Extralight"/>
          <w:color w:val="auto"/>
          <w:sz w:val="136"/>
          <w:szCs w:val="136"/>
        </w:rPr>
      </w:pPr>
      <w:r w:rsidRPr="00D43B07">
        <w:rPr>
          <w:rFonts w:ascii="KPMG Extralight" w:hAnsi="KPMG Extralight"/>
          <w:color w:val="auto"/>
          <w:sz w:val="136"/>
          <w:szCs w:val="136"/>
        </w:rPr>
        <w:t xml:space="preserve">Specialist Disability Accommodation Pricing </w:t>
      </w:r>
      <w:r w:rsidRPr="00D43B07">
        <w:rPr>
          <w:rFonts w:ascii="KPMG Extralight" w:hAnsi="KPMG Extralight"/>
          <w:color w:val="auto"/>
          <w:sz w:val="136"/>
          <w:szCs w:val="136"/>
        </w:rPr>
        <w:br/>
        <w:t xml:space="preserve">and Payments </w:t>
      </w:r>
      <w:r w:rsidRPr="00D43B07">
        <w:rPr>
          <w:rFonts w:ascii="KPMG Extralight" w:hAnsi="KPMG Extralight"/>
          <w:color w:val="auto"/>
          <w:sz w:val="136"/>
          <w:szCs w:val="136"/>
        </w:rPr>
        <w:br/>
        <w:t>Framework Review</w:t>
      </w:r>
    </w:p>
    <w:p w:rsidR="00911902" w:rsidRPr="00D43B07" w:rsidRDefault="00911902" w:rsidP="00911902">
      <w:pPr>
        <w:pStyle w:val="Covertitle1108pt"/>
        <w:spacing w:line="240" w:lineRule="auto"/>
        <w:ind w:left="992" w:right="-4111"/>
        <w:rPr>
          <w:rFonts w:ascii="KPMG Extralight" w:hAnsi="KPMG Extralight"/>
          <w:color w:val="auto"/>
        </w:rPr>
      </w:pPr>
    </w:p>
    <w:p w:rsidR="00725B07" w:rsidRPr="00D43B07" w:rsidRDefault="00D60E7F" w:rsidP="00725B07">
      <w:pPr>
        <w:pStyle w:val="Covertitle216ptB"/>
        <w:ind w:left="993" w:right="-4113"/>
        <w:rPr>
          <w:color w:val="auto"/>
          <w:sz w:val="36"/>
        </w:rPr>
      </w:pPr>
      <w:r w:rsidRPr="00D43B07">
        <w:rPr>
          <w:color w:val="auto"/>
          <w:sz w:val="36"/>
        </w:rPr>
        <w:t xml:space="preserve">Final Report </w:t>
      </w:r>
    </w:p>
    <w:p w:rsidR="00725B07" w:rsidRPr="00D43B07" w:rsidRDefault="00357916" w:rsidP="00725B07">
      <w:pPr>
        <w:pStyle w:val="Covertitle216ptB"/>
        <w:spacing w:before="120"/>
        <w:ind w:left="993" w:right="-4113"/>
        <w:rPr>
          <w:b w:val="0"/>
          <w:color w:val="auto"/>
          <w:sz w:val="28"/>
          <w:szCs w:val="24"/>
        </w:rPr>
      </w:pPr>
      <w:r w:rsidRPr="00D43B07">
        <w:rPr>
          <w:b w:val="0"/>
          <w:color w:val="auto"/>
          <w:sz w:val="28"/>
          <w:szCs w:val="24"/>
        </w:rPr>
        <w:t>3</w:t>
      </w:r>
      <w:r w:rsidR="00BA4C61" w:rsidRPr="00D43B07">
        <w:rPr>
          <w:b w:val="0"/>
          <w:color w:val="auto"/>
          <w:sz w:val="28"/>
          <w:szCs w:val="24"/>
        </w:rPr>
        <w:t xml:space="preserve"> December</w:t>
      </w:r>
      <w:r w:rsidR="00D60E7F" w:rsidRPr="00D43B07">
        <w:rPr>
          <w:b w:val="0"/>
          <w:color w:val="auto"/>
          <w:sz w:val="28"/>
          <w:szCs w:val="24"/>
        </w:rPr>
        <w:t xml:space="preserve"> 2018</w:t>
      </w:r>
    </w:p>
    <w:p w:rsidR="009633A2" w:rsidRPr="0020182A" w:rsidRDefault="009633A2" w:rsidP="009633A2">
      <w:pPr>
        <w:sectPr w:rsidR="009633A2" w:rsidRPr="0020182A" w:rsidSect="009C3CFC">
          <w:headerReference w:type="even" r:id="rId8"/>
          <w:headerReference w:type="default" r:id="rId9"/>
          <w:footerReference w:type="even" r:id="rId10"/>
          <w:footerReference w:type="default" r:id="rId11"/>
          <w:headerReference w:type="first" r:id="rId12"/>
          <w:footerReference w:type="first" r:id="rId13"/>
          <w:pgSz w:w="11906" w:h="16838"/>
          <w:pgMar w:top="2665" w:right="5103" w:bottom="1418" w:left="1418" w:header="709" w:footer="709" w:gutter="0"/>
          <w:cols w:space="708"/>
          <w:docGrid w:linePitch="360"/>
        </w:sectPr>
      </w:pPr>
    </w:p>
    <w:p w:rsidR="009633A2" w:rsidRPr="0020182A" w:rsidRDefault="007634C5" w:rsidP="00926C88">
      <w:pPr>
        <w:pStyle w:val="Heading1Noshow"/>
      </w:pPr>
      <w:r w:rsidRPr="0020182A">
        <w:lastRenderedPageBreak/>
        <w:t>Contents</w:t>
      </w:r>
    </w:p>
    <w:tbl>
      <w:tblPr>
        <w:tblStyle w:val="TableGrid"/>
        <w:tblW w:w="0" w:type="auto"/>
        <w:tblLook w:val="04A0" w:firstRow="1" w:lastRow="0" w:firstColumn="1" w:lastColumn="0" w:noHBand="0" w:noVBand="1"/>
        <w:tblCaption w:val="Table of contents"/>
        <w:tblDescription w:val="Lists sections of the report including glossary, executive summary, introduction, approach to the review, delivering a new specialist disability housing market, review findings, future framework and the appendix. "/>
      </w:tblPr>
      <w:tblGrid>
        <w:gridCol w:w="3544"/>
      </w:tblGrid>
      <w:tr w:rsidR="00EA3591" w:rsidRPr="0020182A" w:rsidTr="00D43B07">
        <w:trPr>
          <w:tblHeader/>
        </w:trPr>
        <w:tc>
          <w:tcPr>
            <w:tcW w:w="3544" w:type="dxa"/>
            <w:tcBorders>
              <w:top w:val="single" w:sz="12" w:space="0" w:color="0091DA" w:themeColor="accent2"/>
              <w:left w:val="nil"/>
              <w:bottom w:val="nil"/>
              <w:right w:val="nil"/>
            </w:tcBorders>
          </w:tcPr>
          <w:p w:rsidR="00EA3591" w:rsidRPr="0020182A" w:rsidRDefault="00EA3591" w:rsidP="00EA3591">
            <w:pPr>
              <w:pStyle w:val="BodyText1"/>
            </w:pPr>
          </w:p>
        </w:tc>
      </w:tr>
    </w:tbl>
    <w:p w:rsidR="00E7742C" w:rsidRPr="0020182A" w:rsidRDefault="00AD5D9B">
      <w:pPr>
        <w:pStyle w:val="TOC1"/>
        <w:rPr>
          <w:rFonts w:ascii="Univers 45 Light" w:eastAsiaTheme="minorEastAsia" w:hAnsi="Univers 45 Light"/>
          <w:sz w:val="22"/>
          <w:lang w:eastAsia="en-AU"/>
        </w:rPr>
      </w:pPr>
      <w:r w:rsidRPr="0020182A">
        <w:rPr>
          <w:rFonts w:ascii="Univers 45 Light" w:hAnsi="Univers 45 Light"/>
        </w:rPr>
        <w:fldChar w:fldCharType="begin"/>
      </w:r>
      <w:r w:rsidRPr="0020182A">
        <w:rPr>
          <w:rFonts w:ascii="Univers 45 Light" w:hAnsi="Univers 45 Light"/>
        </w:rPr>
        <w:instrText xml:space="preserve"> TOC \h \z \t "Heading 1,1,Heading 2,2,HeadingLevel1NoNumber,1,Appendix heading,1" </w:instrText>
      </w:r>
      <w:r w:rsidRPr="0020182A">
        <w:rPr>
          <w:rFonts w:ascii="Univers 45 Light" w:hAnsi="Univers 45 Light"/>
        </w:rPr>
        <w:fldChar w:fldCharType="separate"/>
      </w:r>
      <w:hyperlink w:anchor="_Toc530648939" w:history="1">
        <w:r w:rsidR="00E7742C" w:rsidRPr="0020182A">
          <w:rPr>
            <w:rStyle w:val="Hyperlink"/>
          </w:rPr>
          <w:t>Glossary</w:t>
        </w:r>
        <w:r w:rsidR="00E7742C" w:rsidRPr="0020182A">
          <w:rPr>
            <w:rFonts w:ascii="Univers 45 Light" w:hAnsi="Univers 45 Light"/>
            <w:webHidden/>
          </w:rPr>
          <w:tab/>
        </w:r>
        <w:r w:rsidR="00E7742C" w:rsidRPr="0020182A">
          <w:rPr>
            <w:rFonts w:ascii="Univers 45 Light" w:hAnsi="Univers 45 Light"/>
            <w:webHidden/>
          </w:rPr>
          <w:fldChar w:fldCharType="begin"/>
        </w:r>
        <w:r w:rsidR="00E7742C" w:rsidRPr="0020182A">
          <w:rPr>
            <w:rFonts w:ascii="Univers 45 Light" w:hAnsi="Univers 45 Light"/>
            <w:webHidden/>
          </w:rPr>
          <w:instrText xml:space="preserve"> PAGEREF _Toc530648939 \h </w:instrText>
        </w:r>
        <w:r w:rsidR="00E7742C" w:rsidRPr="0020182A">
          <w:rPr>
            <w:rFonts w:ascii="Univers 45 Light" w:hAnsi="Univers 45 Light"/>
            <w:webHidden/>
          </w:rPr>
        </w:r>
        <w:r w:rsidR="00E7742C" w:rsidRPr="0020182A">
          <w:rPr>
            <w:rFonts w:ascii="Univers 45 Light" w:hAnsi="Univers 45 Light"/>
            <w:webHidden/>
          </w:rPr>
          <w:fldChar w:fldCharType="separate"/>
        </w:r>
        <w:r w:rsidR="00E710B1">
          <w:rPr>
            <w:rFonts w:ascii="Univers 45 Light" w:hAnsi="Univers 45 Light"/>
            <w:webHidden/>
          </w:rPr>
          <w:t>1</w:t>
        </w:r>
        <w:r w:rsidR="00E7742C" w:rsidRPr="0020182A">
          <w:rPr>
            <w:rFonts w:ascii="Univers 45 Light" w:hAnsi="Univers 45 Light"/>
            <w:webHidden/>
          </w:rPr>
          <w:fldChar w:fldCharType="end"/>
        </w:r>
      </w:hyperlink>
    </w:p>
    <w:p w:rsidR="00E7742C" w:rsidRPr="0020182A" w:rsidRDefault="003A6A6C">
      <w:pPr>
        <w:pStyle w:val="TOC1"/>
        <w:rPr>
          <w:rFonts w:ascii="Univers 45 Light" w:eastAsiaTheme="minorEastAsia" w:hAnsi="Univers 45 Light"/>
          <w:sz w:val="22"/>
          <w:lang w:eastAsia="en-AU"/>
        </w:rPr>
      </w:pPr>
      <w:hyperlink w:anchor="_Toc530648940" w:history="1">
        <w:r w:rsidR="00E7742C" w:rsidRPr="0020182A">
          <w:rPr>
            <w:rStyle w:val="Hyperlink"/>
          </w:rPr>
          <w:t>Executive Summary</w:t>
        </w:r>
        <w:r w:rsidR="00E7742C" w:rsidRPr="0020182A">
          <w:rPr>
            <w:rFonts w:ascii="Univers 45 Light" w:hAnsi="Univers 45 Light"/>
            <w:webHidden/>
          </w:rPr>
          <w:tab/>
        </w:r>
        <w:r w:rsidR="00E7742C" w:rsidRPr="0020182A">
          <w:rPr>
            <w:rFonts w:ascii="Univers 45 Light" w:hAnsi="Univers 45 Light"/>
            <w:webHidden/>
          </w:rPr>
          <w:fldChar w:fldCharType="begin"/>
        </w:r>
        <w:r w:rsidR="00E7742C" w:rsidRPr="0020182A">
          <w:rPr>
            <w:rFonts w:ascii="Univers 45 Light" w:hAnsi="Univers 45 Light"/>
            <w:webHidden/>
          </w:rPr>
          <w:instrText xml:space="preserve"> PAGEREF _Toc530648940 \h </w:instrText>
        </w:r>
        <w:r w:rsidR="00E7742C" w:rsidRPr="0020182A">
          <w:rPr>
            <w:rFonts w:ascii="Univers 45 Light" w:hAnsi="Univers 45 Light"/>
            <w:webHidden/>
          </w:rPr>
        </w:r>
        <w:r w:rsidR="00E7742C" w:rsidRPr="0020182A">
          <w:rPr>
            <w:rFonts w:ascii="Univers 45 Light" w:hAnsi="Univers 45 Light"/>
            <w:webHidden/>
          </w:rPr>
          <w:fldChar w:fldCharType="separate"/>
        </w:r>
        <w:r w:rsidR="00E710B1">
          <w:rPr>
            <w:rFonts w:ascii="Univers 45 Light" w:hAnsi="Univers 45 Light"/>
            <w:webHidden/>
          </w:rPr>
          <w:t>4</w:t>
        </w:r>
        <w:r w:rsidR="00E7742C" w:rsidRPr="0020182A">
          <w:rPr>
            <w:rFonts w:ascii="Univers 45 Light" w:hAnsi="Univers 45 Light"/>
            <w:webHidden/>
          </w:rPr>
          <w:fldChar w:fldCharType="end"/>
        </w:r>
      </w:hyperlink>
    </w:p>
    <w:p w:rsidR="00E7742C" w:rsidRPr="0020182A" w:rsidRDefault="003A6A6C">
      <w:pPr>
        <w:pStyle w:val="TOC1"/>
        <w:rPr>
          <w:rFonts w:ascii="Univers 45 Light" w:eastAsiaTheme="minorEastAsia" w:hAnsi="Univers 45 Light"/>
          <w:sz w:val="22"/>
          <w:lang w:eastAsia="en-AU"/>
        </w:rPr>
      </w:pPr>
      <w:hyperlink w:anchor="_Toc530648941" w:history="1">
        <w:r w:rsidR="00E7742C" w:rsidRPr="0020182A">
          <w:rPr>
            <w:rStyle w:val="Hyperlink"/>
          </w:rPr>
          <w:t>1</w:t>
        </w:r>
        <w:r w:rsidR="00E7742C" w:rsidRPr="0020182A">
          <w:rPr>
            <w:rFonts w:ascii="Univers 45 Light" w:eastAsiaTheme="minorEastAsia" w:hAnsi="Univers 45 Light"/>
            <w:sz w:val="22"/>
            <w:lang w:eastAsia="en-AU"/>
          </w:rPr>
          <w:tab/>
        </w:r>
        <w:r w:rsidR="00E7742C" w:rsidRPr="0020182A">
          <w:rPr>
            <w:rStyle w:val="Hyperlink"/>
          </w:rPr>
          <w:t>Introduction</w:t>
        </w:r>
        <w:r w:rsidR="00E7742C" w:rsidRPr="0020182A">
          <w:rPr>
            <w:rFonts w:ascii="Univers 45 Light" w:hAnsi="Univers 45 Light"/>
            <w:webHidden/>
          </w:rPr>
          <w:tab/>
        </w:r>
        <w:r w:rsidR="00E7742C" w:rsidRPr="0020182A">
          <w:rPr>
            <w:rFonts w:ascii="Univers 45 Light" w:hAnsi="Univers 45 Light"/>
            <w:webHidden/>
          </w:rPr>
          <w:fldChar w:fldCharType="begin"/>
        </w:r>
        <w:r w:rsidR="00E7742C" w:rsidRPr="0020182A">
          <w:rPr>
            <w:rFonts w:ascii="Univers 45 Light" w:hAnsi="Univers 45 Light"/>
            <w:webHidden/>
          </w:rPr>
          <w:instrText xml:space="preserve"> PAGEREF _Toc530648941 \h </w:instrText>
        </w:r>
        <w:r w:rsidR="00E7742C" w:rsidRPr="0020182A">
          <w:rPr>
            <w:rFonts w:ascii="Univers 45 Light" w:hAnsi="Univers 45 Light"/>
            <w:webHidden/>
          </w:rPr>
        </w:r>
        <w:r w:rsidR="00E7742C" w:rsidRPr="0020182A">
          <w:rPr>
            <w:rFonts w:ascii="Univers 45 Light" w:hAnsi="Univers 45 Light"/>
            <w:webHidden/>
          </w:rPr>
          <w:fldChar w:fldCharType="separate"/>
        </w:r>
        <w:r w:rsidR="00E710B1">
          <w:rPr>
            <w:rFonts w:ascii="Univers 45 Light" w:hAnsi="Univers 45 Light"/>
            <w:webHidden/>
          </w:rPr>
          <w:t>26</w:t>
        </w:r>
        <w:r w:rsidR="00E7742C" w:rsidRPr="0020182A">
          <w:rPr>
            <w:rFonts w:ascii="Univers 45 Light" w:hAnsi="Univers 45 Light"/>
            <w:webHidden/>
          </w:rPr>
          <w:fldChar w:fldCharType="end"/>
        </w:r>
      </w:hyperlink>
    </w:p>
    <w:p w:rsidR="00E7742C" w:rsidRPr="0020182A" w:rsidRDefault="003A6A6C">
      <w:pPr>
        <w:pStyle w:val="TOC2"/>
        <w:rPr>
          <w:rFonts w:eastAsiaTheme="minorEastAsia"/>
          <w:sz w:val="22"/>
          <w:lang w:eastAsia="en-AU"/>
        </w:rPr>
      </w:pPr>
      <w:hyperlink w:anchor="_Toc530648942" w:history="1">
        <w:r w:rsidR="00E7742C" w:rsidRPr="0020182A">
          <w:rPr>
            <w:rStyle w:val="Hyperlink"/>
          </w:rPr>
          <w:t>1.1</w:t>
        </w:r>
        <w:r w:rsidR="00E7742C" w:rsidRPr="0020182A">
          <w:rPr>
            <w:rFonts w:eastAsiaTheme="minorEastAsia"/>
            <w:sz w:val="22"/>
            <w:lang w:eastAsia="en-AU"/>
          </w:rPr>
          <w:tab/>
        </w:r>
        <w:r w:rsidR="00E7742C" w:rsidRPr="0020182A">
          <w:rPr>
            <w:rStyle w:val="Hyperlink"/>
          </w:rPr>
          <w:t>Specialist Disability Accommodation</w:t>
        </w:r>
        <w:r w:rsidR="00E7742C" w:rsidRPr="0020182A">
          <w:rPr>
            <w:webHidden/>
          </w:rPr>
          <w:tab/>
        </w:r>
        <w:r w:rsidR="00E7742C" w:rsidRPr="0020182A">
          <w:rPr>
            <w:webHidden/>
          </w:rPr>
          <w:fldChar w:fldCharType="begin"/>
        </w:r>
        <w:r w:rsidR="00E7742C" w:rsidRPr="0020182A">
          <w:rPr>
            <w:webHidden/>
          </w:rPr>
          <w:instrText xml:space="preserve"> PAGEREF _Toc530648942 \h </w:instrText>
        </w:r>
        <w:r w:rsidR="00E7742C" w:rsidRPr="0020182A">
          <w:rPr>
            <w:webHidden/>
          </w:rPr>
        </w:r>
        <w:r w:rsidR="00E7742C" w:rsidRPr="0020182A">
          <w:rPr>
            <w:webHidden/>
          </w:rPr>
          <w:fldChar w:fldCharType="separate"/>
        </w:r>
        <w:r w:rsidR="00E710B1">
          <w:rPr>
            <w:webHidden/>
          </w:rPr>
          <w:t>26</w:t>
        </w:r>
        <w:r w:rsidR="00E7742C" w:rsidRPr="0020182A">
          <w:rPr>
            <w:webHidden/>
          </w:rPr>
          <w:fldChar w:fldCharType="end"/>
        </w:r>
      </w:hyperlink>
    </w:p>
    <w:p w:rsidR="00E7742C" w:rsidRPr="0020182A" w:rsidRDefault="003A6A6C">
      <w:pPr>
        <w:pStyle w:val="TOC2"/>
        <w:rPr>
          <w:rFonts w:eastAsiaTheme="minorEastAsia"/>
          <w:sz w:val="22"/>
          <w:lang w:eastAsia="en-AU"/>
        </w:rPr>
      </w:pPr>
      <w:hyperlink w:anchor="_Toc530648943" w:history="1">
        <w:r w:rsidR="00E7742C" w:rsidRPr="0020182A">
          <w:rPr>
            <w:rStyle w:val="Hyperlink"/>
          </w:rPr>
          <w:t>1.2</w:t>
        </w:r>
        <w:r w:rsidR="00E7742C" w:rsidRPr="0020182A">
          <w:rPr>
            <w:rFonts w:eastAsiaTheme="minorEastAsia"/>
            <w:sz w:val="22"/>
            <w:lang w:eastAsia="en-AU"/>
          </w:rPr>
          <w:tab/>
        </w:r>
        <w:r w:rsidR="00E7742C" w:rsidRPr="0020182A">
          <w:rPr>
            <w:rStyle w:val="Hyperlink"/>
          </w:rPr>
          <w:t>SDA Pricing and Payments Framework</w:t>
        </w:r>
        <w:r w:rsidR="00E7742C" w:rsidRPr="0020182A">
          <w:rPr>
            <w:webHidden/>
          </w:rPr>
          <w:tab/>
        </w:r>
        <w:r w:rsidR="00E7742C" w:rsidRPr="0020182A">
          <w:rPr>
            <w:webHidden/>
          </w:rPr>
          <w:fldChar w:fldCharType="begin"/>
        </w:r>
        <w:r w:rsidR="00E7742C" w:rsidRPr="0020182A">
          <w:rPr>
            <w:webHidden/>
          </w:rPr>
          <w:instrText xml:space="preserve"> PAGEREF _Toc530648943 \h </w:instrText>
        </w:r>
        <w:r w:rsidR="00E7742C" w:rsidRPr="0020182A">
          <w:rPr>
            <w:webHidden/>
          </w:rPr>
        </w:r>
        <w:r w:rsidR="00E7742C" w:rsidRPr="0020182A">
          <w:rPr>
            <w:webHidden/>
          </w:rPr>
          <w:fldChar w:fldCharType="separate"/>
        </w:r>
        <w:r w:rsidR="00E710B1">
          <w:rPr>
            <w:webHidden/>
          </w:rPr>
          <w:t>27</w:t>
        </w:r>
        <w:r w:rsidR="00E7742C" w:rsidRPr="0020182A">
          <w:rPr>
            <w:webHidden/>
          </w:rPr>
          <w:fldChar w:fldCharType="end"/>
        </w:r>
      </w:hyperlink>
    </w:p>
    <w:p w:rsidR="00E7742C" w:rsidRPr="0020182A" w:rsidRDefault="003A6A6C">
      <w:pPr>
        <w:pStyle w:val="TOC2"/>
        <w:rPr>
          <w:rFonts w:eastAsiaTheme="minorEastAsia"/>
          <w:sz w:val="22"/>
          <w:lang w:eastAsia="en-AU"/>
        </w:rPr>
      </w:pPr>
      <w:hyperlink w:anchor="_Toc530648944" w:history="1">
        <w:r w:rsidR="00E7742C" w:rsidRPr="0020182A">
          <w:rPr>
            <w:rStyle w:val="Hyperlink"/>
          </w:rPr>
          <w:t>1.3</w:t>
        </w:r>
        <w:r w:rsidR="00E7742C" w:rsidRPr="0020182A">
          <w:rPr>
            <w:rFonts w:eastAsiaTheme="minorEastAsia"/>
            <w:sz w:val="22"/>
            <w:lang w:eastAsia="en-AU"/>
          </w:rPr>
          <w:tab/>
        </w:r>
        <w:r w:rsidR="00E7742C" w:rsidRPr="0020182A">
          <w:rPr>
            <w:rStyle w:val="Hyperlink"/>
          </w:rPr>
          <w:t>The SDA Framework Review</w:t>
        </w:r>
        <w:r w:rsidR="00E7742C" w:rsidRPr="0020182A">
          <w:rPr>
            <w:webHidden/>
          </w:rPr>
          <w:tab/>
        </w:r>
        <w:r w:rsidR="00E7742C" w:rsidRPr="0020182A">
          <w:rPr>
            <w:webHidden/>
          </w:rPr>
          <w:fldChar w:fldCharType="begin"/>
        </w:r>
        <w:r w:rsidR="00E7742C" w:rsidRPr="0020182A">
          <w:rPr>
            <w:webHidden/>
          </w:rPr>
          <w:instrText xml:space="preserve"> PAGEREF _Toc530648944 \h </w:instrText>
        </w:r>
        <w:r w:rsidR="00E7742C" w:rsidRPr="0020182A">
          <w:rPr>
            <w:webHidden/>
          </w:rPr>
        </w:r>
        <w:r w:rsidR="00E7742C" w:rsidRPr="0020182A">
          <w:rPr>
            <w:webHidden/>
          </w:rPr>
          <w:fldChar w:fldCharType="separate"/>
        </w:r>
        <w:r w:rsidR="00E710B1">
          <w:rPr>
            <w:webHidden/>
          </w:rPr>
          <w:t>28</w:t>
        </w:r>
        <w:r w:rsidR="00E7742C" w:rsidRPr="0020182A">
          <w:rPr>
            <w:webHidden/>
          </w:rPr>
          <w:fldChar w:fldCharType="end"/>
        </w:r>
      </w:hyperlink>
    </w:p>
    <w:p w:rsidR="00E7742C" w:rsidRPr="0020182A" w:rsidRDefault="003A6A6C">
      <w:pPr>
        <w:pStyle w:val="TOC2"/>
        <w:rPr>
          <w:rFonts w:eastAsiaTheme="minorEastAsia"/>
          <w:sz w:val="22"/>
          <w:lang w:eastAsia="en-AU"/>
        </w:rPr>
      </w:pPr>
      <w:hyperlink w:anchor="_Toc530648945" w:history="1">
        <w:r w:rsidR="00E7742C" w:rsidRPr="0020182A">
          <w:rPr>
            <w:rStyle w:val="Hyperlink"/>
          </w:rPr>
          <w:t>1.4</w:t>
        </w:r>
        <w:r w:rsidR="00E7742C" w:rsidRPr="0020182A">
          <w:rPr>
            <w:rFonts w:eastAsiaTheme="minorEastAsia"/>
            <w:sz w:val="22"/>
            <w:lang w:eastAsia="en-AU"/>
          </w:rPr>
          <w:tab/>
        </w:r>
        <w:r w:rsidR="00E7742C" w:rsidRPr="0020182A">
          <w:rPr>
            <w:rStyle w:val="Hyperlink"/>
          </w:rPr>
          <w:t>Purpose of this document</w:t>
        </w:r>
        <w:r w:rsidR="00E7742C" w:rsidRPr="0020182A">
          <w:rPr>
            <w:webHidden/>
          </w:rPr>
          <w:tab/>
        </w:r>
        <w:r w:rsidR="00E7742C" w:rsidRPr="0020182A">
          <w:rPr>
            <w:webHidden/>
          </w:rPr>
          <w:fldChar w:fldCharType="begin"/>
        </w:r>
        <w:r w:rsidR="00E7742C" w:rsidRPr="0020182A">
          <w:rPr>
            <w:webHidden/>
          </w:rPr>
          <w:instrText xml:space="preserve"> PAGEREF _Toc530648945 \h </w:instrText>
        </w:r>
        <w:r w:rsidR="00E7742C" w:rsidRPr="0020182A">
          <w:rPr>
            <w:webHidden/>
          </w:rPr>
        </w:r>
        <w:r w:rsidR="00E7742C" w:rsidRPr="0020182A">
          <w:rPr>
            <w:webHidden/>
          </w:rPr>
          <w:fldChar w:fldCharType="separate"/>
        </w:r>
        <w:r w:rsidR="00E710B1">
          <w:rPr>
            <w:webHidden/>
          </w:rPr>
          <w:t>30</w:t>
        </w:r>
        <w:r w:rsidR="00E7742C" w:rsidRPr="0020182A">
          <w:rPr>
            <w:webHidden/>
          </w:rPr>
          <w:fldChar w:fldCharType="end"/>
        </w:r>
      </w:hyperlink>
    </w:p>
    <w:p w:rsidR="00E7742C" w:rsidRPr="0020182A" w:rsidRDefault="003A6A6C">
      <w:pPr>
        <w:pStyle w:val="TOC1"/>
        <w:rPr>
          <w:rFonts w:ascii="Univers 45 Light" w:eastAsiaTheme="minorEastAsia" w:hAnsi="Univers 45 Light"/>
          <w:sz w:val="22"/>
          <w:lang w:eastAsia="en-AU"/>
        </w:rPr>
      </w:pPr>
      <w:hyperlink w:anchor="_Toc530648946" w:history="1">
        <w:r w:rsidR="00E7742C" w:rsidRPr="0020182A">
          <w:rPr>
            <w:rStyle w:val="Hyperlink"/>
          </w:rPr>
          <w:t>2</w:t>
        </w:r>
        <w:r w:rsidR="00E7742C" w:rsidRPr="0020182A">
          <w:rPr>
            <w:rFonts w:ascii="Univers 45 Light" w:eastAsiaTheme="minorEastAsia" w:hAnsi="Univers 45 Light"/>
            <w:sz w:val="22"/>
            <w:lang w:eastAsia="en-AU"/>
          </w:rPr>
          <w:tab/>
        </w:r>
        <w:r w:rsidR="00E7742C" w:rsidRPr="0020182A">
          <w:rPr>
            <w:rStyle w:val="Hyperlink"/>
          </w:rPr>
          <w:t>Approach to the Review</w:t>
        </w:r>
        <w:r w:rsidR="00E7742C" w:rsidRPr="0020182A">
          <w:rPr>
            <w:rFonts w:ascii="Univers 45 Light" w:hAnsi="Univers 45 Light"/>
            <w:webHidden/>
          </w:rPr>
          <w:tab/>
        </w:r>
        <w:r w:rsidR="00E7742C" w:rsidRPr="0020182A">
          <w:rPr>
            <w:rFonts w:ascii="Univers 45 Light" w:hAnsi="Univers 45 Light"/>
            <w:webHidden/>
          </w:rPr>
          <w:fldChar w:fldCharType="begin"/>
        </w:r>
        <w:r w:rsidR="00E7742C" w:rsidRPr="0020182A">
          <w:rPr>
            <w:rFonts w:ascii="Univers 45 Light" w:hAnsi="Univers 45 Light"/>
            <w:webHidden/>
          </w:rPr>
          <w:instrText xml:space="preserve"> PAGEREF _Toc530648946 \h </w:instrText>
        </w:r>
        <w:r w:rsidR="00E7742C" w:rsidRPr="0020182A">
          <w:rPr>
            <w:rFonts w:ascii="Univers 45 Light" w:hAnsi="Univers 45 Light"/>
            <w:webHidden/>
          </w:rPr>
        </w:r>
        <w:r w:rsidR="00E7742C" w:rsidRPr="0020182A">
          <w:rPr>
            <w:rFonts w:ascii="Univers 45 Light" w:hAnsi="Univers 45 Light"/>
            <w:webHidden/>
          </w:rPr>
          <w:fldChar w:fldCharType="separate"/>
        </w:r>
        <w:r w:rsidR="00E710B1">
          <w:rPr>
            <w:rFonts w:ascii="Univers 45 Light" w:hAnsi="Univers 45 Light"/>
            <w:webHidden/>
          </w:rPr>
          <w:t>32</w:t>
        </w:r>
        <w:r w:rsidR="00E7742C" w:rsidRPr="0020182A">
          <w:rPr>
            <w:rFonts w:ascii="Univers 45 Light" w:hAnsi="Univers 45 Light"/>
            <w:webHidden/>
          </w:rPr>
          <w:fldChar w:fldCharType="end"/>
        </w:r>
      </w:hyperlink>
    </w:p>
    <w:p w:rsidR="00E7742C" w:rsidRPr="0020182A" w:rsidRDefault="003A6A6C">
      <w:pPr>
        <w:pStyle w:val="TOC2"/>
        <w:rPr>
          <w:rFonts w:eastAsiaTheme="minorEastAsia"/>
          <w:sz w:val="22"/>
          <w:lang w:eastAsia="en-AU"/>
        </w:rPr>
      </w:pPr>
      <w:hyperlink w:anchor="_Toc530648947" w:history="1">
        <w:r w:rsidR="00E7742C" w:rsidRPr="0020182A">
          <w:rPr>
            <w:rStyle w:val="Hyperlink"/>
          </w:rPr>
          <w:t>2.1</w:t>
        </w:r>
        <w:r w:rsidR="00E7742C" w:rsidRPr="0020182A">
          <w:rPr>
            <w:rFonts w:eastAsiaTheme="minorEastAsia"/>
            <w:sz w:val="22"/>
            <w:lang w:eastAsia="en-AU"/>
          </w:rPr>
          <w:tab/>
        </w:r>
        <w:r w:rsidR="00E7742C" w:rsidRPr="0020182A">
          <w:rPr>
            <w:rStyle w:val="Hyperlink"/>
          </w:rPr>
          <w:t>Focus of the Review</w:t>
        </w:r>
        <w:r w:rsidR="00E7742C" w:rsidRPr="0020182A">
          <w:rPr>
            <w:webHidden/>
          </w:rPr>
          <w:tab/>
        </w:r>
        <w:r w:rsidR="00E7742C" w:rsidRPr="0020182A">
          <w:rPr>
            <w:webHidden/>
          </w:rPr>
          <w:fldChar w:fldCharType="begin"/>
        </w:r>
        <w:r w:rsidR="00E7742C" w:rsidRPr="0020182A">
          <w:rPr>
            <w:webHidden/>
          </w:rPr>
          <w:instrText xml:space="preserve"> PAGEREF _Toc530648947 \h </w:instrText>
        </w:r>
        <w:r w:rsidR="00E7742C" w:rsidRPr="0020182A">
          <w:rPr>
            <w:webHidden/>
          </w:rPr>
        </w:r>
        <w:r w:rsidR="00E7742C" w:rsidRPr="0020182A">
          <w:rPr>
            <w:webHidden/>
          </w:rPr>
          <w:fldChar w:fldCharType="separate"/>
        </w:r>
        <w:r w:rsidR="00E710B1">
          <w:rPr>
            <w:webHidden/>
          </w:rPr>
          <w:t>32</w:t>
        </w:r>
        <w:r w:rsidR="00E7742C" w:rsidRPr="0020182A">
          <w:rPr>
            <w:webHidden/>
          </w:rPr>
          <w:fldChar w:fldCharType="end"/>
        </w:r>
      </w:hyperlink>
    </w:p>
    <w:p w:rsidR="00E7742C" w:rsidRPr="0020182A" w:rsidRDefault="003A6A6C">
      <w:pPr>
        <w:pStyle w:val="TOC2"/>
        <w:rPr>
          <w:rFonts w:eastAsiaTheme="minorEastAsia"/>
          <w:sz w:val="22"/>
          <w:lang w:eastAsia="en-AU"/>
        </w:rPr>
      </w:pPr>
      <w:hyperlink w:anchor="_Toc530648948" w:history="1">
        <w:r w:rsidR="00E7742C" w:rsidRPr="0020182A">
          <w:rPr>
            <w:rStyle w:val="Hyperlink"/>
          </w:rPr>
          <w:t>2.2</w:t>
        </w:r>
        <w:r w:rsidR="00E7742C" w:rsidRPr="0020182A">
          <w:rPr>
            <w:rFonts w:eastAsiaTheme="minorEastAsia"/>
            <w:sz w:val="22"/>
            <w:lang w:eastAsia="en-AU"/>
          </w:rPr>
          <w:tab/>
        </w:r>
        <w:r w:rsidR="00E7742C" w:rsidRPr="0020182A">
          <w:rPr>
            <w:rStyle w:val="Hyperlink"/>
          </w:rPr>
          <w:t>Review Framework</w:t>
        </w:r>
        <w:r w:rsidR="00E7742C" w:rsidRPr="0020182A">
          <w:rPr>
            <w:webHidden/>
          </w:rPr>
          <w:tab/>
        </w:r>
        <w:r w:rsidR="00E7742C" w:rsidRPr="0020182A">
          <w:rPr>
            <w:webHidden/>
          </w:rPr>
          <w:fldChar w:fldCharType="begin"/>
        </w:r>
        <w:r w:rsidR="00E7742C" w:rsidRPr="0020182A">
          <w:rPr>
            <w:webHidden/>
          </w:rPr>
          <w:instrText xml:space="preserve"> PAGEREF _Toc530648948 \h </w:instrText>
        </w:r>
        <w:r w:rsidR="00E7742C" w:rsidRPr="0020182A">
          <w:rPr>
            <w:webHidden/>
          </w:rPr>
        </w:r>
        <w:r w:rsidR="00E7742C" w:rsidRPr="0020182A">
          <w:rPr>
            <w:webHidden/>
          </w:rPr>
          <w:fldChar w:fldCharType="separate"/>
        </w:r>
        <w:r w:rsidR="00E710B1">
          <w:rPr>
            <w:webHidden/>
          </w:rPr>
          <w:t>32</w:t>
        </w:r>
        <w:r w:rsidR="00E7742C" w:rsidRPr="0020182A">
          <w:rPr>
            <w:webHidden/>
          </w:rPr>
          <w:fldChar w:fldCharType="end"/>
        </w:r>
      </w:hyperlink>
    </w:p>
    <w:p w:rsidR="00E7742C" w:rsidRPr="0020182A" w:rsidRDefault="003A6A6C">
      <w:pPr>
        <w:pStyle w:val="TOC2"/>
        <w:rPr>
          <w:rFonts w:eastAsiaTheme="minorEastAsia"/>
          <w:sz w:val="22"/>
          <w:lang w:eastAsia="en-AU"/>
        </w:rPr>
      </w:pPr>
      <w:hyperlink w:anchor="_Toc530648949" w:history="1">
        <w:r w:rsidR="00E7742C" w:rsidRPr="0020182A">
          <w:rPr>
            <w:rStyle w:val="Hyperlink"/>
          </w:rPr>
          <w:t>2.3</w:t>
        </w:r>
        <w:r w:rsidR="00E7742C" w:rsidRPr="0020182A">
          <w:rPr>
            <w:rFonts w:eastAsiaTheme="minorEastAsia"/>
            <w:sz w:val="22"/>
            <w:lang w:eastAsia="en-AU"/>
          </w:rPr>
          <w:tab/>
        </w:r>
        <w:r w:rsidR="00E7742C" w:rsidRPr="0020182A">
          <w:rPr>
            <w:rStyle w:val="Hyperlink"/>
          </w:rPr>
          <w:t>Review approach</w:t>
        </w:r>
        <w:r w:rsidR="00E7742C" w:rsidRPr="0020182A">
          <w:rPr>
            <w:webHidden/>
          </w:rPr>
          <w:tab/>
        </w:r>
        <w:r w:rsidR="00E7742C" w:rsidRPr="0020182A">
          <w:rPr>
            <w:webHidden/>
          </w:rPr>
          <w:fldChar w:fldCharType="begin"/>
        </w:r>
        <w:r w:rsidR="00E7742C" w:rsidRPr="0020182A">
          <w:rPr>
            <w:webHidden/>
          </w:rPr>
          <w:instrText xml:space="preserve"> PAGEREF _Toc530648949 \h </w:instrText>
        </w:r>
        <w:r w:rsidR="00E7742C" w:rsidRPr="0020182A">
          <w:rPr>
            <w:webHidden/>
          </w:rPr>
        </w:r>
        <w:r w:rsidR="00E7742C" w:rsidRPr="0020182A">
          <w:rPr>
            <w:webHidden/>
          </w:rPr>
          <w:fldChar w:fldCharType="separate"/>
        </w:r>
        <w:r w:rsidR="00E710B1">
          <w:rPr>
            <w:webHidden/>
          </w:rPr>
          <w:t>35</w:t>
        </w:r>
        <w:r w:rsidR="00E7742C" w:rsidRPr="0020182A">
          <w:rPr>
            <w:webHidden/>
          </w:rPr>
          <w:fldChar w:fldCharType="end"/>
        </w:r>
      </w:hyperlink>
    </w:p>
    <w:p w:rsidR="00E7742C" w:rsidRPr="0020182A" w:rsidRDefault="003A6A6C">
      <w:pPr>
        <w:pStyle w:val="TOC1"/>
        <w:rPr>
          <w:rFonts w:ascii="Univers 45 Light" w:eastAsiaTheme="minorEastAsia" w:hAnsi="Univers 45 Light"/>
          <w:sz w:val="22"/>
          <w:lang w:eastAsia="en-AU"/>
        </w:rPr>
      </w:pPr>
      <w:hyperlink w:anchor="_Toc530648950" w:history="1">
        <w:r w:rsidR="00E7742C" w:rsidRPr="0020182A">
          <w:rPr>
            <w:rStyle w:val="Hyperlink"/>
          </w:rPr>
          <w:t>3</w:t>
        </w:r>
        <w:r w:rsidR="00E7742C" w:rsidRPr="0020182A">
          <w:rPr>
            <w:rFonts w:ascii="Univers 45 Light" w:eastAsiaTheme="minorEastAsia" w:hAnsi="Univers 45 Light"/>
            <w:sz w:val="22"/>
            <w:lang w:eastAsia="en-AU"/>
          </w:rPr>
          <w:tab/>
        </w:r>
        <w:r w:rsidR="00E7742C" w:rsidRPr="0020182A">
          <w:rPr>
            <w:rStyle w:val="Hyperlink"/>
          </w:rPr>
          <w:t>Delivering a new specialist disability housing market</w:t>
        </w:r>
        <w:r w:rsidR="00E7742C" w:rsidRPr="0020182A">
          <w:rPr>
            <w:rFonts w:ascii="Univers 45 Light" w:hAnsi="Univers 45 Light"/>
            <w:webHidden/>
          </w:rPr>
          <w:tab/>
        </w:r>
        <w:r w:rsidR="00E7742C" w:rsidRPr="0020182A">
          <w:rPr>
            <w:rFonts w:ascii="Univers 45 Light" w:hAnsi="Univers 45 Light"/>
            <w:webHidden/>
          </w:rPr>
          <w:fldChar w:fldCharType="begin"/>
        </w:r>
        <w:r w:rsidR="00E7742C" w:rsidRPr="0020182A">
          <w:rPr>
            <w:rFonts w:ascii="Univers 45 Light" w:hAnsi="Univers 45 Light"/>
            <w:webHidden/>
          </w:rPr>
          <w:instrText xml:space="preserve"> PAGEREF _Toc530648950 \h </w:instrText>
        </w:r>
        <w:r w:rsidR="00E7742C" w:rsidRPr="0020182A">
          <w:rPr>
            <w:rFonts w:ascii="Univers 45 Light" w:hAnsi="Univers 45 Light"/>
            <w:webHidden/>
          </w:rPr>
        </w:r>
        <w:r w:rsidR="00E7742C" w:rsidRPr="0020182A">
          <w:rPr>
            <w:rFonts w:ascii="Univers 45 Light" w:hAnsi="Univers 45 Light"/>
            <w:webHidden/>
          </w:rPr>
          <w:fldChar w:fldCharType="separate"/>
        </w:r>
        <w:r w:rsidR="00E710B1">
          <w:rPr>
            <w:rFonts w:ascii="Univers 45 Light" w:hAnsi="Univers 45 Light"/>
            <w:webHidden/>
          </w:rPr>
          <w:t>39</w:t>
        </w:r>
        <w:r w:rsidR="00E7742C" w:rsidRPr="0020182A">
          <w:rPr>
            <w:rFonts w:ascii="Univers 45 Light" w:hAnsi="Univers 45 Light"/>
            <w:webHidden/>
          </w:rPr>
          <w:fldChar w:fldCharType="end"/>
        </w:r>
      </w:hyperlink>
    </w:p>
    <w:p w:rsidR="00E7742C" w:rsidRPr="0020182A" w:rsidRDefault="003A6A6C">
      <w:pPr>
        <w:pStyle w:val="TOC2"/>
        <w:rPr>
          <w:rFonts w:eastAsiaTheme="minorEastAsia"/>
          <w:sz w:val="22"/>
          <w:lang w:eastAsia="en-AU"/>
        </w:rPr>
      </w:pPr>
      <w:hyperlink w:anchor="_Toc530648951" w:history="1">
        <w:r w:rsidR="00E7742C" w:rsidRPr="0020182A">
          <w:rPr>
            <w:rStyle w:val="Hyperlink"/>
          </w:rPr>
          <w:t>3.1</w:t>
        </w:r>
        <w:r w:rsidR="00E7742C" w:rsidRPr="0020182A">
          <w:rPr>
            <w:rFonts w:eastAsiaTheme="minorEastAsia"/>
            <w:sz w:val="22"/>
            <w:lang w:eastAsia="en-AU"/>
          </w:rPr>
          <w:tab/>
        </w:r>
        <w:r w:rsidR="00E7742C" w:rsidRPr="0020182A">
          <w:rPr>
            <w:rStyle w:val="Hyperlink"/>
          </w:rPr>
          <w:t>Features of a successful market</w:t>
        </w:r>
        <w:r w:rsidR="00E7742C" w:rsidRPr="0020182A">
          <w:rPr>
            <w:webHidden/>
          </w:rPr>
          <w:tab/>
        </w:r>
        <w:r w:rsidR="00E7742C" w:rsidRPr="0020182A">
          <w:rPr>
            <w:webHidden/>
          </w:rPr>
          <w:fldChar w:fldCharType="begin"/>
        </w:r>
        <w:r w:rsidR="00E7742C" w:rsidRPr="0020182A">
          <w:rPr>
            <w:webHidden/>
          </w:rPr>
          <w:instrText xml:space="preserve"> PAGEREF _Toc530648951 \h </w:instrText>
        </w:r>
        <w:r w:rsidR="00E7742C" w:rsidRPr="0020182A">
          <w:rPr>
            <w:webHidden/>
          </w:rPr>
        </w:r>
        <w:r w:rsidR="00E7742C" w:rsidRPr="0020182A">
          <w:rPr>
            <w:webHidden/>
          </w:rPr>
          <w:fldChar w:fldCharType="separate"/>
        </w:r>
        <w:r w:rsidR="00E710B1">
          <w:rPr>
            <w:webHidden/>
          </w:rPr>
          <w:t>39</w:t>
        </w:r>
        <w:r w:rsidR="00E7742C" w:rsidRPr="0020182A">
          <w:rPr>
            <w:webHidden/>
          </w:rPr>
          <w:fldChar w:fldCharType="end"/>
        </w:r>
      </w:hyperlink>
    </w:p>
    <w:p w:rsidR="00E7742C" w:rsidRPr="0020182A" w:rsidRDefault="003A6A6C">
      <w:pPr>
        <w:pStyle w:val="TOC2"/>
        <w:rPr>
          <w:rFonts w:eastAsiaTheme="minorEastAsia"/>
          <w:sz w:val="22"/>
          <w:lang w:eastAsia="en-AU"/>
        </w:rPr>
      </w:pPr>
      <w:hyperlink w:anchor="_Toc530648952" w:history="1">
        <w:r w:rsidR="00E7742C" w:rsidRPr="0020182A">
          <w:rPr>
            <w:rStyle w:val="Hyperlink"/>
          </w:rPr>
          <w:t>3.2</w:t>
        </w:r>
        <w:r w:rsidR="00E7742C" w:rsidRPr="0020182A">
          <w:rPr>
            <w:rFonts w:eastAsiaTheme="minorEastAsia"/>
            <w:sz w:val="22"/>
            <w:lang w:eastAsia="en-AU"/>
          </w:rPr>
          <w:tab/>
        </w:r>
        <w:r w:rsidR="00E7742C" w:rsidRPr="0020182A">
          <w:rPr>
            <w:rStyle w:val="Hyperlink"/>
          </w:rPr>
          <w:t>Developing the SDA market</w:t>
        </w:r>
        <w:r w:rsidR="00E7742C" w:rsidRPr="0020182A">
          <w:rPr>
            <w:webHidden/>
          </w:rPr>
          <w:tab/>
        </w:r>
        <w:r w:rsidR="00E7742C" w:rsidRPr="0020182A">
          <w:rPr>
            <w:webHidden/>
          </w:rPr>
          <w:fldChar w:fldCharType="begin"/>
        </w:r>
        <w:r w:rsidR="00E7742C" w:rsidRPr="0020182A">
          <w:rPr>
            <w:webHidden/>
          </w:rPr>
          <w:instrText xml:space="preserve"> PAGEREF _Toc530648952 \h </w:instrText>
        </w:r>
        <w:r w:rsidR="00E7742C" w:rsidRPr="0020182A">
          <w:rPr>
            <w:webHidden/>
          </w:rPr>
        </w:r>
        <w:r w:rsidR="00E7742C" w:rsidRPr="0020182A">
          <w:rPr>
            <w:webHidden/>
          </w:rPr>
          <w:fldChar w:fldCharType="separate"/>
        </w:r>
        <w:r w:rsidR="00E710B1">
          <w:rPr>
            <w:webHidden/>
          </w:rPr>
          <w:t>41</w:t>
        </w:r>
        <w:r w:rsidR="00E7742C" w:rsidRPr="0020182A">
          <w:rPr>
            <w:webHidden/>
          </w:rPr>
          <w:fldChar w:fldCharType="end"/>
        </w:r>
      </w:hyperlink>
    </w:p>
    <w:p w:rsidR="00E7742C" w:rsidRPr="0020182A" w:rsidRDefault="003A6A6C">
      <w:pPr>
        <w:pStyle w:val="TOC2"/>
        <w:rPr>
          <w:rFonts w:eastAsiaTheme="minorEastAsia"/>
          <w:sz w:val="22"/>
          <w:lang w:eastAsia="en-AU"/>
        </w:rPr>
      </w:pPr>
      <w:hyperlink w:anchor="_Toc530648953" w:history="1">
        <w:r w:rsidR="00E7742C" w:rsidRPr="0020182A">
          <w:rPr>
            <w:rStyle w:val="Hyperlink"/>
          </w:rPr>
          <w:t>3.3</w:t>
        </w:r>
        <w:r w:rsidR="00E7742C" w:rsidRPr="0020182A">
          <w:rPr>
            <w:rFonts w:eastAsiaTheme="minorEastAsia"/>
            <w:sz w:val="22"/>
            <w:lang w:eastAsia="en-AU"/>
          </w:rPr>
          <w:tab/>
        </w:r>
        <w:r w:rsidR="00E7742C" w:rsidRPr="0020182A">
          <w:rPr>
            <w:rStyle w:val="Hyperlink"/>
          </w:rPr>
          <w:t>Current state of the SDA market</w:t>
        </w:r>
        <w:r w:rsidR="00E7742C" w:rsidRPr="0020182A">
          <w:rPr>
            <w:webHidden/>
          </w:rPr>
          <w:tab/>
        </w:r>
        <w:r w:rsidR="00E7742C" w:rsidRPr="0020182A">
          <w:rPr>
            <w:webHidden/>
          </w:rPr>
          <w:fldChar w:fldCharType="begin"/>
        </w:r>
        <w:r w:rsidR="00E7742C" w:rsidRPr="0020182A">
          <w:rPr>
            <w:webHidden/>
          </w:rPr>
          <w:instrText xml:space="preserve"> PAGEREF _Toc530648953 \h </w:instrText>
        </w:r>
        <w:r w:rsidR="00E7742C" w:rsidRPr="0020182A">
          <w:rPr>
            <w:webHidden/>
          </w:rPr>
        </w:r>
        <w:r w:rsidR="00E7742C" w:rsidRPr="0020182A">
          <w:rPr>
            <w:webHidden/>
          </w:rPr>
          <w:fldChar w:fldCharType="separate"/>
        </w:r>
        <w:r w:rsidR="00E710B1">
          <w:rPr>
            <w:webHidden/>
          </w:rPr>
          <w:t>43</w:t>
        </w:r>
        <w:r w:rsidR="00E7742C" w:rsidRPr="0020182A">
          <w:rPr>
            <w:webHidden/>
          </w:rPr>
          <w:fldChar w:fldCharType="end"/>
        </w:r>
      </w:hyperlink>
    </w:p>
    <w:p w:rsidR="00E7742C" w:rsidRPr="0020182A" w:rsidRDefault="003A6A6C">
      <w:pPr>
        <w:pStyle w:val="TOC1"/>
        <w:rPr>
          <w:rFonts w:ascii="Univers 45 Light" w:eastAsiaTheme="minorEastAsia" w:hAnsi="Univers 45 Light"/>
          <w:sz w:val="22"/>
          <w:lang w:eastAsia="en-AU"/>
        </w:rPr>
      </w:pPr>
      <w:hyperlink w:anchor="_Toc530648954" w:history="1">
        <w:r w:rsidR="00E7742C" w:rsidRPr="0020182A">
          <w:rPr>
            <w:rStyle w:val="Hyperlink"/>
          </w:rPr>
          <w:t>4</w:t>
        </w:r>
        <w:r w:rsidR="00E7742C" w:rsidRPr="0020182A">
          <w:rPr>
            <w:rFonts w:ascii="Univers 45 Light" w:eastAsiaTheme="minorEastAsia" w:hAnsi="Univers 45 Light"/>
            <w:sz w:val="22"/>
            <w:lang w:eastAsia="en-AU"/>
          </w:rPr>
          <w:tab/>
        </w:r>
        <w:r w:rsidR="00E7742C" w:rsidRPr="0020182A">
          <w:rPr>
            <w:rStyle w:val="Hyperlink"/>
          </w:rPr>
          <w:t>Review findings</w:t>
        </w:r>
        <w:r w:rsidR="00E7742C" w:rsidRPr="0020182A">
          <w:rPr>
            <w:rFonts w:ascii="Univers 45 Light" w:hAnsi="Univers 45 Light"/>
            <w:webHidden/>
          </w:rPr>
          <w:tab/>
        </w:r>
        <w:r w:rsidR="00E7742C" w:rsidRPr="0020182A">
          <w:rPr>
            <w:rFonts w:ascii="Univers 45 Light" w:hAnsi="Univers 45 Light"/>
            <w:webHidden/>
          </w:rPr>
          <w:fldChar w:fldCharType="begin"/>
        </w:r>
        <w:r w:rsidR="00E7742C" w:rsidRPr="0020182A">
          <w:rPr>
            <w:rFonts w:ascii="Univers 45 Light" w:hAnsi="Univers 45 Light"/>
            <w:webHidden/>
          </w:rPr>
          <w:instrText xml:space="preserve"> PAGEREF _Toc530648954 \h </w:instrText>
        </w:r>
        <w:r w:rsidR="00E7742C" w:rsidRPr="0020182A">
          <w:rPr>
            <w:rFonts w:ascii="Univers 45 Light" w:hAnsi="Univers 45 Light"/>
            <w:webHidden/>
          </w:rPr>
        </w:r>
        <w:r w:rsidR="00E7742C" w:rsidRPr="0020182A">
          <w:rPr>
            <w:rFonts w:ascii="Univers 45 Light" w:hAnsi="Univers 45 Light"/>
            <w:webHidden/>
          </w:rPr>
          <w:fldChar w:fldCharType="separate"/>
        </w:r>
        <w:r w:rsidR="00E710B1">
          <w:rPr>
            <w:rFonts w:ascii="Univers 45 Light" w:hAnsi="Univers 45 Light"/>
            <w:webHidden/>
          </w:rPr>
          <w:t>49</w:t>
        </w:r>
        <w:r w:rsidR="00E7742C" w:rsidRPr="0020182A">
          <w:rPr>
            <w:rFonts w:ascii="Univers 45 Light" w:hAnsi="Univers 45 Light"/>
            <w:webHidden/>
          </w:rPr>
          <w:fldChar w:fldCharType="end"/>
        </w:r>
      </w:hyperlink>
    </w:p>
    <w:p w:rsidR="00E7742C" w:rsidRPr="0020182A" w:rsidRDefault="003A6A6C">
      <w:pPr>
        <w:pStyle w:val="TOC2"/>
        <w:rPr>
          <w:rFonts w:eastAsiaTheme="minorEastAsia"/>
          <w:sz w:val="22"/>
          <w:lang w:eastAsia="en-AU"/>
        </w:rPr>
      </w:pPr>
      <w:hyperlink w:anchor="_Toc530648955" w:history="1">
        <w:r w:rsidR="00E7742C" w:rsidRPr="0020182A">
          <w:rPr>
            <w:rStyle w:val="Hyperlink"/>
          </w:rPr>
          <w:t>4.1</w:t>
        </w:r>
        <w:r w:rsidR="00E7742C" w:rsidRPr="0020182A">
          <w:rPr>
            <w:rFonts w:eastAsiaTheme="minorEastAsia"/>
            <w:sz w:val="22"/>
            <w:lang w:eastAsia="en-AU"/>
          </w:rPr>
          <w:tab/>
        </w:r>
        <w:r w:rsidR="00E7742C" w:rsidRPr="0020182A">
          <w:rPr>
            <w:rStyle w:val="Hyperlink"/>
          </w:rPr>
          <w:t>Introduction</w:t>
        </w:r>
        <w:r w:rsidR="00E7742C" w:rsidRPr="0020182A">
          <w:rPr>
            <w:webHidden/>
          </w:rPr>
          <w:tab/>
        </w:r>
        <w:r w:rsidR="00E7742C" w:rsidRPr="0020182A">
          <w:rPr>
            <w:webHidden/>
          </w:rPr>
          <w:fldChar w:fldCharType="begin"/>
        </w:r>
        <w:r w:rsidR="00E7742C" w:rsidRPr="0020182A">
          <w:rPr>
            <w:webHidden/>
          </w:rPr>
          <w:instrText xml:space="preserve"> PAGEREF _Toc530648955 \h </w:instrText>
        </w:r>
        <w:r w:rsidR="00E7742C" w:rsidRPr="0020182A">
          <w:rPr>
            <w:webHidden/>
          </w:rPr>
        </w:r>
        <w:r w:rsidR="00E7742C" w:rsidRPr="0020182A">
          <w:rPr>
            <w:webHidden/>
          </w:rPr>
          <w:fldChar w:fldCharType="separate"/>
        </w:r>
        <w:r w:rsidR="00E710B1">
          <w:rPr>
            <w:webHidden/>
          </w:rPr>
          <w:t>49</w:t>
        </w:r>
        <w:r w:rsidR="00E7742C" w:rsidRPr="0020182A">
          <w:rPr>
            <w:webHidden/>
          </w:rPr>
          <w:fldChar w:fldCharType="end"/>
        </w:r>
      </w:hyperlink>
    </w:p>
    <w:p w:rsidR="00E7742C" w:rsidRPr="0020182A" w:rsidRDefault="003A6A6C">
      <w:pPr>
        <w:pStyle w:val="TOC2"/>
        <w:rPr>
          <w:rFonts w:eastAsiaTheme="minorEastAsia"/>
          <w:sz w:val="22"/>
          <w:lang w:eastAsia="en-AU"/>
        </w:rPr>
      </w:pPr>
      <w:hyperlink w:anchor="_Toc530648956" w:history="1">
        <w:r w:rsidR="00E7742C" w:rsidRPr="0020182A">
          <w:rPr>
            <w:rStyle w:val="Hyperlink"/>
          </w:rPr>
          <w:t>4.2</w:t>
        </w:r>
        <w:r w:rsidR="00E7742C" w:rsidRPr="0020182A">
          <w:rPr>
            <w:rFonts w:eastAsiaTheme="minorEastAsia"/>
            <w:sz w:val="22"/>
            <w:lang w:eastAsia="en-AU"/>
          </w:rPr>
          <w:tab/>
        </w:r>
        <w:r w:rsidR="00E7742C" w:rsidRPr="0020182A">
          <w:rPr>
            <w:rStyle w:val="Hyperlink"/>
          </w:rPr>
          <w:t>Demand</w:t>
        </w:r>
        <w:r w:rsidR="00E7742C" w:rsidRPr="0020182A">
          <w:rPr>
            <w:webHidden/>
          </w:rPr>
          <w:tab/>
        </w:r>
        <w:r w:rsidR="00E7742C" w:rsidRPr="0020182A">
          <w:rPr>
            <w:webHidden/>
          </w:rPr>
          <w:fldChar w:fldCharType="begin"/>
        </w:r>
        <w:r w:rsidR="00E7742C" w:rsidRPr="0020182A">
          <w:rPr>
            <w:webHidden/>
          </w:rPr>
          <w:instrText xml:space="preserve"> PAGEREF _Toc530648956 \h </w:instrText>
        </w:r>
        <w:r w:rsidR="00E7742C" w:rsidRPr="0020182A">
          <w:rPr>
            <w:webHidden/>
          </w:rPr>
        </w:r>
        <w:r w:rsidR="00E7742C" w:rsidRPr="0020182A">
          <w:rPr>
            <w:webHidden/>
          </w:rPr>
          <w:fldChar w:fldCharType="separate"/>
        </w:r>
        <w:r w:rsidR="00E710B1">
          <w:rPr>
            <w:webHidden/>
          </w:rPr>
          <w:t>49</w:t>
        </w:r>
        <w:r w:rsidR="00E7742C" w:rsidRPr="0020182A">
          <w:rPr>
            <w:webHidden/>
          </w:rPr>
          <w:fldChar w:fldCharType="end"/>
        </w:r>
      </w:hyperlink>
    </w:p>
    <w:p w:rsidR="00E7742C" w:rsidRPr="0020182A" w:rsidRDefault="003A6A6C">
      <w:pPr>
        <w:pStyle w:val="TOC2"/>
        <w:rPr>
          <w:rFonts w:eastAsiaTheme="minorEastAsia"/>
          <w:sz w:val="22"/>
          <w:lang w:eastAsia="en-AU"/>
        </w:rPr>
      </w:pPr>
      <w:hyperlink w:anchor="_Toc530648957" w:history="1">
        <w:r w:rsidR="00E7742C" w:rsidRPr="0020182A">
          <w:rPr>
            <w:rStyle w:val="Hyperlink"/>
          </w:rPr>
          <w:t>4.3</w:t>
        </w:r>
        <w:r w:rsidR="00E7742C" w:rsidRPr="0020182A">
          <w:rPr>
            <w:rFonts w:eastAsiaTheme="minorEastAsia"/>
            <w:sz w:val="22"/>
            <w:lang w:eastAsia="en-AU"/>
          </w:rPr>
          <w:tab/>
        </w:r>
        <w:r w:rsidR="00E7742C" w:rsidRPr="0020182A">
          <w:rPr>
            <w:rStyle w:val="Hyperlink"/>
          </w:rPr>
          <w:t>Supply</w:t>
        </w:r>
        <w:r w:rsidR="00E7742C" w:rsidRPr="0020182A">
          <w:rPr>
            <w:webHidden/>
          </w:rPr>
          <w:tab/>
        </w:r>
        <w:r w:rsidR="00E7742C" w:rsidRPr="0020182A">
          <w:rPr>
            <w:webHidden/>
          </w:rPr>
          <w:fldChar w:fldCharType="begin"/>
        </w:r>
        <w:r w:rsidR="00E7742C" w:rsidRPr="0020182A">
          <w:rPr>
            <w:webHidden/>
          </w:rPr>
          <w:instrText xml:space="preserve"> PAGEREF _Toc530648957 \h </w:instrText>
        </w:r>
        <w:r w:rsidR="00E7742C" w:rsidRPr="0020182A">
          <w:rPr>
            <w:webHidden/>
          </w:rPr>
        </w:r>
        <w:r w:rsidR="00E7742C" w:rsidRPr="0020182A">
          <w:rPr>
            <w:webHidden/>
          </w:rPr>
          <w:fldChar w:fldCharType="separate"/>
        </w:r>
        <w:r w:rsidR="00E710B1">
          <w:rPr>
            <w:webHidden/>
          </w:rPr>
          <w:t>61</w:t>
        </w:r>
        <w:r w:rsidR="00E7742C" w:rsidRPr="0020182A">
          <w:rPr>
            <w:webHidden/>
          </w:rPr>
          <w:fldChar w:fldCharType="end"/>
        </w:r>
      </w:hyperlink>
    </w:p>
    <w:p w:rsidR="00E7742C" w:rsidRPr="0020182A" w:rsidRDefault="003A6A6C">
      <w:pPr>
        <w:pStyle w:val="TOC2"/>
        <w:rPr>
          <w:rFonts w:eastAsiaTheme="minorEastAsia"/>
          <w:sz w:val="22"/>
          <w:lang w:eastAsia="en-AU"/>
        </w:rPr>
      </w:pPr>
      <w:hyperlink w:anchor="_Toc530648958" w:history="1">
        <w:r w:rsidR="00E7742C" w:rsidRPr="0020182A">
          <w:rPr>
            <w:rStyle w:val="Hyperlink"/>
          </w:rPr>
          <w:t>4.4</w:t>
        </w:r>
        <w:r w:rsidR="00E7742C" w:rsidRPr="0020182A">
          <w:rPr>
            <w:rFonts w:eastAsiaTheme="minorEastAsia"/>
            <w:sz w:val="22"/>
            <w:lang w:eastAsia="en-AU"/>
          </w:rPr>
          <w:tab/>
        </w:r>
        <w:r w:rsidR="00E7742C" w:rsidRPr="0020182A">
          <w:rPr>
            <w:rStyle w:val="Hyperlink"/>
          </w:rPr>
          <w:t>Efficiency and value for money</w:t>
        </w:r>
        <w:r w:rsidR="00E7742C" w:rsidRPr="0020182A">
          <w:rPr>
            <w:webHidden/>
          </w:rPr>
          <w:tab/>
        </w:r>
        <w:r w:rsidR="00E7742C" w:rsidRPr="0020182A">
          <w:rPr>
            <w:webHidden/>
          </w:rPr>
          <w:fldChar w:fldCharType="begin"/>
        </w:r>
        <w:r w:rsidR="00E7742C" w:rsidRPr="0020182A">
          <w:rPr>
            <w:webHidden/>
          </w:rPr>
          <w:instrText xml:space="preserve"> PAGEREF _Toc530648958 \h </w:instrText>
        </w:r>
        <w:r w:rsidR="00E7742C" w:rsidRPr="0020182A">
          <w:rPr>
            <w:webHidden/>
          </w:rPr>
        </w:r>
        <w:r w:rsidR="00E7742C" w:rsidRPr="0020182A">
          <w:rPr>
            <w:webHidden/>
          </w:rPr>
          <w:fldChar w:fldCharType="separate"/>
        </w:r>
        <w:r w:rsidR="00E710B1">
          <w:rPr>
            <w:webHidden/>
          </w:rPr>
          <w:t>88</w:t>
        </w:r>
        <w:r w:rsidR="00E7742C" w:rsidRPr="0020182A">
          <w:rPr>
            <w:webHidden/>
          </w:rPr>
          <w:fldChar w:fldCharType="end"/>
        </w:r>
      </w:hyperlink>
    </w:p>
    <w:p w:rsidR="00E7742C" w:rsidRPr="0020182A" w:rsidRDefault="003A6A6C">
      <w:pPr>
        <w:pStyle w:val="TOC2"/>
        <w:rPr>
          <w:rFonts w:eastAsiaTheme="minorEastAsia"/>
          <w:sz w:val="22"/>
          <w:lang w:eastAsia="en-AU"/>
        </w:rPr>
      </w:pPr>
      <w:hyperlink w:anchor="_Toc530648959" w:history="1">
        <w:r w:rsidR="00E7742C" w:rsidRPr="0020182A">
          <w:rPr>
            <w:rStyle w:val="Hyperlink"/>
          </w:rPr>
          <w:t>4.5</w:t>
        </w:r>
        <w:r w:rsidR="00E7742C" w:rsidRPr="0020182A">
          <w:rPr>
            <w:rFonts w:eastAsiaTheme="minorEastAsia"/>
            <w:sz w:val="22"/>
            <w:lang w:eastAsia="en-AU"/>
          </w:rPr>
          <w:tab/>
        </w:r>
        <w:r w:rsidR="00E7742C" w:rsidRPr="0020182A">
          <w:rPr>
            <w:rStyle w:val="Hyperlink"/>
          </w:rPr>
          <w:t>Summary of findings</w:t>
        </w:r>
        <w:r w:rsidR="00E7742C" w:rsidRPr="0020182A">
          <w:rPr>
            <w:webHidden/>
          </w:rPr>
          <w:tab/>
        </w:r>
        <w:r w:rsidR="00E7742C" w:rsidRPr="0020182A">
          <w:rPr>
            <w:webHidden/>
          </w:rPr>
          <w:fldChar w:fldCharType="begin"/>
        </w:r>
        <w:r w:rsidR="00E7742C" w:rsidRPr="0020182A">
          <w:rPr>
            <w:webHidden/>
          </w:rPr>
          <w:instrText xml:space="preserve"> PAGEREF _Toc530648959 \h </w:instrText>
        </w:r>
        <w:r w:rsidR="00E7742C" w:rsidRPr="0020182A">
          <w:rPr>
            <w:webHidden/>
          </w:rPr>
        </w:r>
        <w:r w:rsidR="00E7742C" w:rsidRPr="0020182A">
          <w:rPr>
            <w:webHidden/>
          </w:rPr>
          <w:fldChar w:fldCharType="separate"/>
        </w:r>
        <w:r w:rsidR="00E710B1">
          <w:rPr>
            <w:webHidden/>
          </w:rPr>
          <w:t>92</w:t>
        </w:r>
        <w:r w:rsidR="00E7742C" w:rsidRPr="0020182A">
          <w:rPr>
            <w:webHidden/>
          </w:rPr>
          <w:fldChar w:fldCharType="end"/>
        </w:r>
      </w:hyperlink>
    </w:p>
    <w:p w:rsidR="00E7742C" w:rsidRPr="0020182A" w:rsidRDefault="003A6A6C">
      <w:pPr>
        <w:pStyle w:val="TOC1"/>
        <w:rPr>
          <w:rFonts w:ascii="Univers 45 Light" w:eastAsiaTheme="minorEastAsia" w:hAnsi="Univers 45 Light"/>
          <w:sz w:val="22"/>
          <w:lang w:eastAsia="en-AU"/>
        </w:rPr>
      </w:pPr>
      <w:hyperlink w:anchor="_Toc530648960" w:history="1">
        <w:r w:rsidR="00E7742C" w:rsidRPr="0020182A">
          <w:rPr>
            <w:rStyle w:val="Hyperlink"/>
          </w:rPr>
          <w:t>5</w:t>
        </w:r>
        <w:r w:rsidR="00E7742C" w:rsidRPr="0020182A">
          <w:rPr>
            <w:rFonts w:ascii="Univers 45 Light" w:eastAsiaTheme="minorEastAsia" w:hAnsi="Univers 45 Light"/>
            <w:sz w:val="22"/>
            <w:lang w:eastAsia="en-AU"/>
          </w:rPr>
          <w:tab/>
        </w:r>
        <w:r w:rsidR="00E7742C" w:rsidRPr="0020182A">
          <w:rPr>
            <w:rStyle w:val="Hyperlink"/>
          </w:rPr>
          <w:t>The future Framework</w:t>
        </w:r>
        <w:r w:rsidR="00E7742C" w:rsidRPr="0020182A">
          <w:rPr>
            <w:rFonts w:ascii="Univers 45 Light" w:hAnsi="Univers 45 Light"/>
            <w:webHidden/>
          </w:rPr>
          <w:tab/>
        </w:r>
        <w:r w:rsidR="00E7742C" w:rsidRPr="0020182A">
          <w:rPr>
            <w:rFonts w:ascii="Univers 45 Light" w:hAnsi="Univers 45 Light"/>
            <w:webHidden/>
          </w:rPr>
          <w:fldChar w:fldCharType="begin"/>
        </w:r>
        <w:r w:rsidR="00E7742C" w:rsidRPr="0020182A">
          <w:rPr>
            <w:rFonts w:ascii="Univers 45 Light" w:hAnsi="Univers 45 Light"/>
            <w:webHidden/>
          </w:rPr>
          <w:instrText xml:space="preserve"> PAGEREF _Toc530648960 \h </w:instrText>
        </w:r>
        <w:r w:rsidR="00E7742C" w:rsidRPr="0020182A">
          <w:rPr>
            <w:rFonts w:ascii="Univers 45 Light" w:hAnsi="Univers 45 Light"/>
            <w:webHidden/>
          </w:rPr>
        </w:r>
        <w:r w:rsidR="00E7742C" w:rsidRPr="0020182A">
          <w:rPr>
            <w:rFonts w:ascii="Univers 45 Light" w:hAnsi="Univers 45 Light"/>
            <w:webHidden/>
          </w:rPr>
          <w:fldChar w:fldCharType="separate"/>
        </w:r>
        <w:r w:rsidR="00E710B1">
          <w:rPr>
            <w:rFonts w:ascii="Univers 45 Light" w:hAnsi="Univers 45 Light"/>
            <w:webHidden/>
          </w:rPr>
          <w:t>105</w:t>
        </w:r>
        <w:r w:rsidR="00E7742C" w:rsidRPr="0020182A">
          <w:rPr>
            <w:rFonts w:ascii="Univers 45 Light" w:hAnsi="Univers 45 Light"/>
            <w:webHidden/>
          </w:rPr>
          <w:fldChar w:fldCharType="end"/>
        </w:r>
      </w:hyperlink>
    </w:p>
    <w:p w:rsidR="00E7742C" w:rsidRPr="0020182A" w:rsidRDefault="003A6A6C">
      <w:pPr>
        <w:pStyle w:val="TOC2"/>
        <w:rPr>
          <w:rFonts w:eastAsiaTheme="minorEastAsia"/>
          <w:sz w:val="22"/>
          <w:lang w:eastAsia="en-AU"/>
        </w:rPr>
      </w:pPr>
      <w:hyperlink w:anchor="_Toc530648961" w:history="1">
        <w:r w:rsidR="00E7742C" w:rsidRPr="0020182A">
          <w:rPr>
            <w:rStyle w:val="Hyperlink"/>
          </w:rPr>
          <w:t>5.1</w:t>
        </w:r>
        <w:r w:rsidR="00E7742C" w:rsidRPr="0020182A">
          <w:rPr>
            <w:rFonts w:eastAsiaTheme="minorEastAsia"/>
            <w:sz w:val="22"/>
            <w:lang w:eastAsia="en-AU"/>
          </w:rPr>
          <w:tab/>
        </w:r>
        <w:r w:rsidR="00E7742C" w:rsidRPr="0020182A">
          <w:rPr>
            <w:rStyle w:val="Hyperlink"/>
          </w:rPr>
          <w:t>The future Framework</w:t>
        </w:r>
        <w:r w:rsidR="00E7742C" w:rsidRPr="0020182A">
          <w:rPr>
            <w:webHidden/>
          </w:rPr>
          <w:tab/>
        </w:r>
        <w:r w:rsidR="00E7742C" w:rsidRPr="0020182A">
          <w:rPr>
            <w:webHidden/>
          </w:rPr>
          <w:fldChar w:fldCharType="begin"/>
        </w:r>
        <w:r w:rsidR="00E7742C" w:rsidRPr="0020182A">
          <w:rPr>
            <w:webHidden/>
          </w:rPr>
          <w:instrText xml:space="preserve"> PAGEREF _Toc530648961 \h </w:instrText>
        </w:r>
        <w:r w:rsidR="00E7742C" w:rsidRPr="0020182A">
          <w:rPr>
            <w:webHidden/>
          </w:rPr>
        </w:r>
        <w:r w:rsidR="00E7742C" w:rsidRPr="0020182A">
          <w:rPr>
            <w:webHidden/>
          </w:rPr>
          <w:fldChar w:fldCharType="separate"/>
        </w:r>
        <w:r w:rsidR="00E710B1">
          <w:rPr>
            <w:webHidden/>
          </w:rPr>
          <w:t>105</w:t>
        </w:r>
        <w:r w:rsidR="00E7742C" w:rsidRPr="0020182A">
          <w:rPr>
            <w:webHidden/>
          </w:rPr>
          <w:fldChar w:fldCharType="end"/>
        </w:r>
      </w:hyperlink>
    </w:p>
    <w:p w:rsidR="00E7742C" w:rsidRPr="0020182A" w:rsidRDefault="003A6A6C">
      <w:pPr>
        <w:pStyle w:val="TOC2"/>
        <w:rPr>
          <w:rFonts w:eastAsiaTheme="minorEastAsia"/>
          <w:sz w:val="22"/>
          <w:lang w:eastAsia="en-AU"/>
        </w:rPr>
      </w:pPr>
      <w:hyperlink w:anchor="_Toc530648962" w:history="1">
        <w:r w:rsidR="00E7742C" w:rsidRPr="0020182A">
          <w:rPr>
            <w:rStyle w:val="Hyperlink"/>
          </w:rPr>
          <w:t>5.2</w:t>
        </w:r>
        <w:r w:rsidR="00E7742C" w:rsidRPr="0020182A">
          <w:rPr>
            <w:rFonts w:eastAsiaTheme="minorEastAsia"/>
            <w:sz w:val="22"/>
            <w:lang w:eastAsia="en-AU"/>
          </w:rPr>
          <w:tab/>
        </w:r>
        <w:r w:rsidR="00E7742C" w:rsidRPr="0020182A">
          <w:rPr>
            <w:rStyle w:val="Hyperlink"/>
          </w:rPr>
          <w:t>Next steps</w:t>
        </w:r>
        <w:r w:rsidR="00E7742C" w:rsidRPr="0020182A">
          <w:rPr>
            <w:webHidden/>
          </w:rPr>
          <w:tab/>
        </w:r>
        <w:r w:rsidR="00E7742C" w:rsidRPr="0020182A">
          <w:rPr>
            <w:webHidden/>
          </w:rPr>
          <w:fldChar w:fldCharType="begin"/>
        </w:r>
        <w:r w:rsidR="00E7742C" w:rsidRPr="0020182A">
          <w:rPr>
            <w:webHidden/>
          </w:rPr>
          <w:instrText xml:space="preserve"> PAGEREF _Toc530648962 \h </w:instrText>
        </w:r>
        <w:r w:rsidR="00E7742C" w:rsidRPr="0020182A">
          <w:rPr>
            <w:webHidden/>
          </w:rPr>
        </w:r>
        <w:r w:rsidR="00E7742C" w:rsidRPr="0020182A">
          <w:rPr>
            <w:webHidden/>
          </w:rPr>
          <w:fldChar w:fldCharType="separate"/>
        </w:r>
        <w:r w:rsidR="00E710B1">
          <w:rPr>
            <w:webHidden/>
          </w:rPr>
          <w:t>107</w:t>
        </w:r>
        <w:r w:rsidR="00E7742C" w:rsidRPr="0020182A">
          <w:rPr>
            <w:webHidden/>
          </w:rPr>
          <w:fldChar w:fldCharType="end"/>
        </w:r>
      </w:hyperlink>
    </w:p>
    <w:p w:rsidR="00E7742C" w:rsidRPr="0020182A" w:rsidRDefault="003A6A6C">
      <w:pPr>
        <w:pStyle w:val="TOC1"/>
        <w:rPr>
          <w:rFonts w:ascii="Univers 45 Light" w:eastAsiaTheme="minorEastAsia" w:hAnsi="Univers 45 Light"/>
          <w:sz w:val="22"/>
          <w:lang w:eastAsia="en-AU"/>
        </w:rPr>
      </w:pPr>
      <w:hyperlink w:anchor="_Toc530648963" w:history="1">
        <w:r w:rsidR="00E7742C" w:rsidRPr="0020182A">
          <w:rPr>
            <w:rStyle w:val="Hyperlink"/>
          </w:rPr>
          <w:t>Appendix A : Stakeholder consultation</w:t>
        </w:r>
        <w:r w:rsidR="00E7742C" w:rsidRPr="0020182A">
          <w:rPr>
            <w:rFonts w:ascii="Univers 45 Light" w:hAnsi="Univers 45 Light"/>
            <w:webHidden/>
          </w:rPr>
          <w:tab/>
        </w:r>
        <w:r w:rsidR="00E7742C" w:rsidRPr="0020182A">
          <w:rPr>
            <w:rFonts w:ascii="Univers 45 Light" w:hAnsi="Univers 45 Light"/>
            <w:webHidden/>
          </w:rPr>
          <w:fldChar w:fldCharType="begin"/>
        </w:r>
        <w:r w:rsidR="00E7742C" w:rsidRPr="0020182A">
          <w:rPr>
            <w:rFonts w:ascii="Univers 45 Light" w:hAnsi="Univers 45 Light"/>
            <w:webHidden/>
          </w:rPr>
          <w:instrText xml:space="preserve"> PAGEREF _Toc530648963 \h </w:instrText>
        </w:r>
        <w:r w:rsidR="00E7742C" w:rsidRPr="0020182A">
          <w:rPr>
            <w:rFonts w:ascii="Univers 45 Light" w:hAnsi="Univers 45 Light"/>
            <w:webHidden/>
          </w:rPr>
        </w:r>
        <w:r w:rsidR="00E7742C" w:rsidRPr="0020182A">
          <w:rPr>
            <w:rFonts w:ascii="Univers 45 Light" w:hAnsi="Univers 45 Light"/>
            <w:webHidden/>
          </w:rPr>
          <w:fldChar w:fldCharType="separate"/>
        </w:r>
        <w:r w:rsidR="00E710B1">
          <w:rPr>
            <w:rFonts w:ascii="Univers 45 Light" w:hAnsi="Univers 45 Light"/>
            <w:webHidden/>
          </w:rPr>
          <w:t>109</w:t>
        </w:r>
        <w:r w:rsidR="00E7742C" w:rsidRPr="0020182A">
          <w:rPr>
            <w:rFonts w:ascii="Univers 45 Light" w:hAnsi="Univers 45 Light"/>
            <w:webHidden/>
          </w:rPr>
          <w:fldChar w:fldCharType="end"/>
        </w:r>
      </w:hyperlink>
    </w:p>
    <w:p w:rsidR="00E7742C" w:rsidRPr="0020182A" w:rsidRDefault="003A6A6C">
      <w:pPr>
        <w:pStyle w:val="TOC1"/>
        <w:rPr>
          <w:rFonts w:ascii="Univers 45 Light" w:eastAsiaTheme="minorEastAsia" w:hAnsi="Univers 45 Light"/>
          <w:sz w:val="22"/>
          <w:lang w:eastAsia="en-AU"/>
        </w:rPr>
      </w:pPr>
      <w:hyperlink w:anchor="_Toc530648964" w:history="1">
        <w:r w:rsidR="00E7742C" w:rsidRPr="0020182A">
          <w:rPr>
            <w:rStyle w:val="Hyperlink"/>
          </w:rPr>
          <w:t>Appendix B : Review framework</w:t>
        </w:r>
        <w:r w:rsidR="00E7742C" w:rsidRPr="0020182A">
          <w:rPr>
            <w:rFonts w:ascii="Univers 45 Light" w:hAnsi="Univers 45 Light"/>
            <w:webHidden/>
          </w:rPr>
          <w:tab/>
        </w:r>
        <w:r w:rsidR="00E7742C" w:rsidRPr="0020182A">
          <w:rPr>
            <w:rFonts w:ascii="Univers 45 Light" w:hAnsi="Univers 45 Light"/>
            <w:webHidden/>
          </w:rPr>
          <w:fldChar w:fldCharType="begin"/>
        </w:r>
        <w:r w:rsidR="00E7742C" w:rsidRPr="0020182A">
          <w:rPr>
            <w:rFonts w:ascii="Univers 45 Light" w:hAnsi="Univers 45 Light"/>
            <w:webHidden/>
          </w:rPr>
          <w:instrText xml:space="preserve"> PAGEREF _Toc530648964 \h </w:instrText>
        </w:r>
        <w:r w:rsidR="00E7742C" w:rsidRPr="0020182A">
          <w:rPr>
            <w:rFonts w:ascii="Univers 45 Light" w:hAnsi="Univers 45 Light"/>
            <w:webHidden/>
          </w:rPr>
        </w:r>
        <w:r w:rsidR="00E7742C" w:rsidRPr="0020182A">
          <w:rPr>
            <w:rFonts w:ascii="Univers 45 Light" w:hAnsi="Univers 45 Light"/>
            <w:webHidden/>
          </w:rPr>
          <w:fldChar w:fldCharType="separate"/>
        </w:r>
        <w:r w:rsidR="00E710B1">
          <w:rPr>
            <w:rFonts w:ascii="Univers 45 Light" w:hAnsi="Univers 45 Light"/>
            <w:webHidden/>
          </w:rPr>
          <w:t>112</w:t>
        </w:r>
        <w:r w:rsidR="00E7742C" w:rsidRPr="0020182A">
          <w:rPr>
            <w:rFonts w:ascii="Univers 45 Light" w:hAnsi="Univers 45 Light"/>
            <w:webHidden/>
          </w:rPr>
          <w:fldChar w:fldCharType="end"/>
        </w:r>
      </w:hyperlink>
    </w:p>
    <w:p w:rsidR="00BD7266" w:rsidRPr="0020182A" w:rsidRDefault="00AD5D9B" w:rsidP="0069234F">
      <w:pPr>
        <w:pStyle w:val="TOC1"/>
        <w:rPr>
          <w:rFonts w:ascii="Univers 45 Light" w:hAnsi="Univers 45 Light"/>
        </w:rPr>
      </w:pPr>
      <w:r w:rsidRPr="0020182A">
        <w:rPr>
          <w:rFonts w:ascii="Univers 45 Light" w:hAnsi="Univers 45 Light"/>
        </w:rPr>
        <w:fldChar w:fldCharType="end"/>
      </w:r>
    </w:p>
    <w:p w:rsidR="00506FC0" w:rsidRPr="0020182A" w:rsidRDefault="00506FC0" w:rsidP="00506FC0">
      <w:pPr>
        <w:pStyle w:val="BodyText1"/>
        <w:rPr>
          <w:b/>
          <w:sz w:val="16"/>
        </w:rPr>
        <w:sectPr w:rsidR="00506FC0" w:rsidRPr="0020182A" w:rsidSect="00013847">
          <w:headerReference w:type="default" r:id="rId14"/>
          <w:footerReference w:type="default" r:id="rId15"/>
          <w:pgSz w:w="11906" w:h="16838"/>
          <w:pgMar w:top="1418" w:right="1418" w:bottom="1418" w:left="1560" w:header="709" w:footer="709" w:gutter="0"/>
          <w:pgNumType w:fmt="lowerRoman"/>
          <w:cols w:space="708"/>
          <w:docGrid w:linePitch="360"/>
        </w:sectPr>
      </w:pPr>
    </w:p>
    <w:p w:rsidR="00DB453F" w:rsidRPr="0020182A" w:rsidRDefault="00DB453F" w:rsidP="00251F6E">
      <w:pPr>
        <w:pStyle w:val="HeadingLevel2NoNumber"/>
      </w:pPr>
      <w:bookmarkStart w:id="0" w:name="_Toc518593614"/>
      <w:bookmarkStart w:id="1" w:name="_Toc523122957"/>
      <w:bookmarkStart w:id="2" w:name="_Toc530648939"/>
      <w:bookmarkStart w:id="3" w:name="_Toc509246609"/>
      <w:r w:rsidRPr="0020182A">
        <w:lastRenderedPageBreak/>
        <w:t>Glossary</w:t>
      </w:r>
      <w:bookmarkEnd w:id="0"/>
      <w:bookmarkEnd w:id="1"/>
      <w:bookmarkEnd w:id="2"/>
    </w:p>
    <w:tbl>
      <w:tblPr>
        <w:tblStyle w:val="McLLTableGeneralText1"/>
        <w:tblW w:w="0" w:type="auto"/>
        <w:tblBorders>
          <w:top w:val="none" w:sz="0" w:space="0" w:color="auto"/>
          <w:left w:val="none" w:sz="0" w:space="0" w:color="auto"/>
          <w:bottom w:val="none" w:sz="0" w:space="0" w:color="auto"/>
          <w:right w:val="none" w:sz="0" w:space="0" w:color="auto"/>
          <w:insideH w:val="single" w:sz="2" w:space="0" w:color="D9D9D9" w:themeColor="background1" w:themeShade="D9"/>
          <w:insideV w:val="none" w:sz="0" w:space="0" w:color="auto"/>
        </w:tblBorders>
        <w:tblLook w:val="04A0" w:firstRow="1" w:lastRow="0" w:firstColumn="1" w:lastColumn="0" w:noHBand="0" w:noVBand="1"/>
        <w:tblCaption w:val="Glossary"/>
        <w:tblDescription w:val="Includes terms found in the report and definitions for these"/>
      </w:tblPr>
      <w:tblGrid>
        <w:gridCol w:w="1985"/>
        <w:gridCol w:w="7044"/>
      </w:tblGrid>
      <w:tr w:rsidR="00D60E7F" w:rsidRPr="0020182A" w:rsidTr="00866788">
        <w:trPr>
          <w:tblHeader/>
        </w:trPr>
        <w:tc>
          <w:tcPr>
            <w:tcW w:w="1985" w:type="dxa"/>
            <w:shd w:val="clear" w:color="auto" w:fill="0091DA" w:themeFill="accent2"/>
          </w:tcPr>
          <w:p w:rsidR="00D60E7F" w:rsidRPr="0020182A" w:rsidRDefault="00D60E7F" w:rsidP="00D60E7F">
            <w:pPr>
              <w:pStyle w:val="Tableheading"/>
              <w:rPr>
                <w:rFonts w:cs="Arial"/>
                <w:szCs w:val="20"/>
              </w:rPr>
            </w:pPr>
            <w:r w:rsidRPr="0020182A">
              <w:rPr>
                <w:rFonts w:cs="Arial"/>
                <w:szCs w:val="20"/>
              </w:rPr>
              <w:t>Term</w:t>
            </w:r>
          </w:p>
        </w:tc>
        <w:tc>
          <w:tcPr>
            <w:tcW w:w="7044" w:type="dxa"/>
            <w:shd w:val="clear" w:color="auto" w:fill="0091DA" w:themeFill="accent2"/>
          </w:tcPr>
          <w:p w:rsidR="00D60E7F" w:rsidRPr="0020182A" w:rsidRDefault="00D60E7F" w:rsidP="00D60E7F">
            <w:pPr>
              <w:pStyle w:val="Tableheading"/>
              <w:rPr>
                <w:rFonts w:cs="Arial"/>
                <w:szCs w:val="20"/>
              </w:rPr>
            </w:pPr>
            <w:r w:rsidRPr="0020182A">
              <w:rPr>
                <w:rFonts w:cs="Arial"/>
                <w:szCs w:val="20"/>
              </w:rPr>
              <w:t>Definition</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ACT</w:t>
            </w:r>
          </w:p>
        </w:tc>
        <w:tc>
          <w:tcPr>
            <w:tcW w:w="7044" w:type="dxa"/>
            <w:vAlign w:val="center"/>
          </w:tcPr>
          <w:p w:rsidR="00D60E7F" w:rsidRPr="0020182A" w:rsidRDefault="00D60E7F" w:rsidP="00D60E7F">
            <w:pPr>
              <w:pStyle w:val="Tabletext"/>
              <w:rPr>
                <w:rFonts w:cs="Arial"/>
                <w:szCs w:val="20"/>
              </w:rPr>
            </w:pPr>
            <w:r w:rsidRPr="0020182A">
              <w:rPr>
                <w:rFonts w:cs="Arial"/>
                <w:szCs w:val="20"/>
              </w:rPr>
              <w:t>Australian Capital Territory</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Basic</w:t>
            </w:r>
          </w:p>
        </w:tc>
        <w:tc>
          <w:tcPr>
            <w:tcW w:w="7044" w:type="dxa"/>
            <w:vAlign w:val="center"/>
          </w:tcPr>
          <w:p w:rsidR="00D60E7F" w:rsidRPr="0020182A" w:rsidRDefault="00D60E7F" w:rsidP="00D60E7F">
            <w:pPr>
              <w:pStyle w:val="Tabletext"/>
              <w:rPr>
                <w:rFonts w:cs="Arial"/>
                <w:szCs w:val="20"/>
              </w:rPr>
            </w:pPr>
            <w:r w:rsidRPr="0020182A">
              <w:rPr>
                <w:rFonts w:cs="Arial"/>
                <w:szCs w:val="20"/>
              </w:rPr>
              <w:t>Housing without specialist design features but with a location or other features that cater for the needs of people with disability and assist with the delivery of support services.</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Demand</w:t>
            </w:r>
          </w:p>
        </w:tc>
        <w:tc>
          <w:tcPr>
            <w:tcW w:w="7044" w:type="dxa"/>
            <w:vAlign w:val="center"/>
          </w:tcPr>
          <w:p w:rsidR="00D60E7F" w:rsidRPr="0020182A" w:rsidRDefault="00D60E7F" w:rsidP="00D60E7F">
            <w:pPr>
              <w:pStyle w:val="Tabletext"/>
              <w:rPr>
                <w:rFonts w:cs="Arial"/>
                <w:szCs w:val="20"/>
              </w:rPr>
            </w:pPr>
            <w:r w:rsidRPr="0020182A">
              <w:rPr>
                <w:rFonts w:cs="Arial"/>
                <w:szCs w:val="20"/>
              </w:rPr>
              <w:t>Market demand for specialist disability accommodation</w:t>
            </w:r>
            <w:r w:rsidR="00866788">
              <w:rPr>
                <w:rFonts w:cs="Arial"/>
                <w:szCs w:val="20"/>
              </w:rPr>
              <w:t>.</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DRC</w:t>
            </w:r>
          </w:p>
        </w:tc>
        <w:tc>
          <w:tcPr>
            <w:tcW w:w="7044" w:type="dxa"/>
            <w:vAlign w:val="center"/>
          </w:tcPr>
          <w:p w:rsidR="00D60E7F" w:rsidRPr="0020182A" w:rsidRDefault="00D60E7F" w:rsidP="00D60E7F">
            <w:pPr>
              <w:pStyle w:val="Tabletext"/>
              <w:rPr>
                <w:rFonts w:cs="Arial"/>
                <w:szCs w:val="20"/>
              </w:rPr>
            </w:pPr>
            <w:r w:rsidRPr="0020182A">
              <w:rPr>
                <w:rFonts w:cs="Arial"/>
                <w:szCs w:val="20"/>
              </w:rPr>
              <w:t>Disability Reform Council</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DSS</w:t>
            </w:r>
          </w:p>
        </w:tc>
        <w:tc>
          <w:tcPr>
            <w:tcW w:w="7044" w:type="dxa"/>
            <w:vAlign w:val="center"/>
          </w:tcPr>
          <w:p w:rsidR="00D60E7F" w:rsidRPr="0020182A" w:rsidRDefault="00D60E7F" w:rsidP="00D60E7F">
            <w:pPr>
              <w:pStyle w:val="Tabletext"/>
              <w:rPr>
                <w:rFonts w:cs="Arial"/>
                <w:szCs w:val="20"/>
              </w:rPr>
            </w:pPr>
            <w:r w:rsidRPr="0020182A">
              <w:rPr>
                <w:rFonts w:cs="Arial"/>
                <w:szCs w:val="20"/>
              </w:rPr>
              <w:t>Department of Social Services</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Existing Stock</w:t>
            </w:r>
          </w:p>
        </w:tc>
        <w:tc>
          <w:tcPr>
            <w:tcW w:w="7044" w:type="dxa"/>
            <w:vAlign w:val="center"/>
          </w:tcPr>
          <w:p w:rsidR="00D60E7F" w:rsidRPr="0020182A" w:rsidRDefault="00D60E7F" w:rsidP="00866788">
            <w:pPr>
              <w:pStyle w:val="Tabletext"/>
              <w:rPr>
                <w:rFonts w:cs="Arial"/>
                <w:szCs w:val="20"/>
              </w:rPr>
            </w:pPr>
            <w:r w:rsidRPr="0020182A">
              <w:rPr>
                <w:rFonts w:cs="Arial"/>
                <w:szCs w:val="20"/>
              </w:rPr>
              <w:t xml:space="preserve">Refers to dwellings that have obtained an occupancy certificate prior to 1 April 2016; and house </w:t>
            </w:r>
            <w:r w:rsidR="00866788">
              <w:rPr>
                <w:rFonts w:cs="Arial"/>
                <w:szCs w:val="20"/>
              </w:rPr>
              <w:t>five</w:t>
            </w:r>
            <w:r w:rsidR="00866788" w:rsidRPr="0020182A">
              <w:rPr>
                <w:rFonts w:cs="Arial"/>
                <w:szCs w:val="20"/>
              </w:rPr>
              <w:t xml:space="preserve"> </w:t>
            </w:r>
            <w:r w:rsidRPr="0020182A">
              <w:rPr>
                <w:rFonts w:cs="Arial"/>
                <w:szCs w:val="20"/>
              </w:rPr>
              <w:t xml:space="preserve">or fewer permanent residents (excluding support staff); and have primarily been used as accommodation for people with disability with a significant functional impairment and/or very high support needs since 1 July 2016; and housed at least one resident that received disability related supported accommodation (or equivalent) payments from a </w:t>
            </w:r>
            <w:r w:rsidR="00F61B99">
              <w:rPr>
                <w:rFonts w:cs="Arial"/>
                <w:szCs w:val="20"/>
              </w:rPr>
              <w:t>s</w:t>
            </w:r>
            <w:r w:rsidRPr="0020182A">
              <w:rPr>
                <w:rFonts w:cs="Arial"/>
                <w:szCs w:val="20"/>
              </w:rPr>
              <w:t xml:space="preserve">tate, </w:t>
            </w:r>
            <w:r w:rsidR="00F61B99">
              <w:rPr>
                <w:rFonts w:cs="Arial"/>
                <w:szCs w:val="20"/>
              </w:rPr>
              <w:t>t</w:t>
            </w:r>
            <w:r w:rsidRPr="0020182A">
              <w:rPr>
                <w:rFonts w:cs="Arial"/>
                <w:szCs w:val="20"/>
              </w:rPr>
              <w:t xml:space="preserve">erritory or </w:t>
            </w:r>
            <w:r w:rsidR="00F61B99">
              <w:rPr>
                <w:rFonts w:cs="Arial"/>
                <w:szCs w:val="20"/>
              </w:rPr>
              <w:t>c</w:t>
            </w:r>
            <w:r w:rsidRPr="0020182A">
              <w:rPr>
                <w:rFonts w:cs="Arial"/>
                <w:szCs w:val="20"/>
              </w:rPr>
              <w:t>ommonwealth government in the 12 months to 1 July 2016.</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Fully Accessible</w:t>
            </w:r>
          </w:p>
        </w:tc>
        <w:tc>
          <w:tcPr>
            <w:tcW w:w="7044" w:type="dxa"/>
            <w:vAlign w:val="center"/>
          </w:tcPr>
          <w:p w:rsidR="00D60E7F" w:rsidRPr="0020182A" w:rsidRDefault="00D60E7F" w:rsidP="00D60E7F">
            <w:pPr>
              <w:pStyle w:val="Tabletext"/>
              <w:rPr>
                <w:rFonts w:cs="Arial"/>
                <w:szCs w:val="20"/>
              </w:rPr>
            </w:pPr>
            <w:r w:rsidRPr="0020182A">
              <w:rPr>
                <w:rFonts w:cs="Arial"/>
                <w:szCs w:val="20"/>
              </w:rPr>
              <w:t>Housing that has been designed to incorporate a high level of physical access provision for people with significant physical impairment.</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Group Home</w:t>
            </w:r>
          </w:p>
        </w:tc>
        <w:tc>
          <w:tcPr>
            <w:tcW w:w="7044" w:type="dxa"/>
            <w:vAlign w:val="center"/>
          </w:tcPr>
          <w:p w:rsidR="00D60E7F" w:rsidRPr="0020182A" w:rsidRDefault="00D60E7F" w:rsidP="00911902">
            <w:pPr>
              <w:pStyle w:val="Tabletext"/>
              <w:rPr>
                <w:rFonts w:cs="Arial"/>
                <w:szCs w:val="20"/>
              </w:rPr>
            </w:pPr>
            <w:r w:rsidRPr="0020182A">
              <w:rPr>
                <w:rFonts w:cs="Arial"/>
                <w:szCs w:val="20"/>
              </w:rPr>
              <w:t xml:space="preserve">Group homes can be any facility (though typically free standing house) where a number of people with disability live together in a home-like setting. Group homes generally have </w:t>
            </w:r>
            <w:r w:rsidR="00866788">
              <w:rPr>
                <w:rFonts w:cs="Arial"/>
                <w:szCs w:val="20"/>
              </w:rPr>
              <w:t>three to five</w:t>
            </w:r>
            <w:r w:rsidRPr="0020182A">
              <w:rPr>
                <w:rFonts w:cs="Arial"/>
                <w:szCs w:val="20"/>
              </w:rPr>
              <w:t xml:space="preserve"> residents, though this can vary across homes.</w:t>
            </w:r>
            <w:r w:rsidR="00911902" w:rsidRPr="0020182A">
              <w:rPr>
                <w:rFonts w:cs="Arial"/>
                <w:szCs w:val="20"/>
              </w:rPr>
              <w:t xml:space="preserve"> </w:t>
            </w:r>
            <w:r w:rsidRPr="0020182A">
              <w:rPr>
                <w:rFonts w:cs="Arial"/>
                <w:szCs w:val="20"/>
              </w:rPr>
              <w:t xml:space="preserve">There are a number of group homes that are considered ‘existing stock’ and ‘legacy stock’ under SDA Rules.   </w:t>
            </w:r>
            <w:r w:rsidR="00607C98" w:rsidRPr="0020182A">
              <w:rPr>
                <w:rFonts w:cs="Arial"/>
                <w:szCs w:val="20"/>
              </w:rPr>
              <w:t>Existing and n</w:t>
            </w:r>
            <w:r w:rsidRPr="0020182A">
              <w:rPr>
                <w:rFonts w:cs="Arial"/>
                <w:szCs w:val="20"/>
              </w:rPr>
              <w:t xml:space="preserve">ew group homes with </w:t>
            </w:r>
            <w:r w:rsidR="00866788">
              <w:rPr>
                <w:rFonts w:cs="Arial"/>
                <w:szCs w:val="20"/>
              </w:rPr>
              <w:t>five</w:t>
            </w:r>
            <w:r w:rsidR="00866788" w:rsidRPr="0020182A">
              <w:rPr>
                <w:rFonts w:cs="Arial"/>
                <w:szCs w:val="20"/>
              </w:rPr>
              <w:t xml:space="preserve"> </w:t>
            </w:r>
            <w:r w:rsidRPr="0020182A">
              <w:rPr>
                <w:rFonts w:cs="Arial"/>
                <w:szCs w:val="20"/>
              </w:rPr>
              <w:t xml:space="preserve">or fewer residents can also be funded under SDA Rules. </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High Physical Support</w:t>
            </w:r>
          </w:p>
        </w:tc>
        <w:tc>
          <w:tcPr>
            <w:tcW w:w="7044" w:type="dxa"/>
            <w:vAlign w:val="center"/>
          </w:tcPr>
          <w:p w:rsidR="00D60E7F" w:rsidRPr="0020182A" w:rsidRDefault="00D60E7F" w:rsidP="00D60E7F">
            <w:pPr>
              <w:pStyle w:val="Tabletext"/>
              <w:rPr>
                <w:rFonts w:cs="Arial"/>
                <w:szCs w:val="20"/>
              </w:rPr>
            </w:pPr>
            <w:r w:rsidRPr="0020182A">
              <w:rPr>
                <w:rFonts w:cs="Arial"/>
                <w:szCs w:val="20"/>
              </w:rPr>
              <w:t>Housing that has been designed to incorporate a high level of physical access provision for people with significant physical impairment and requiring very high levels of support.</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Improved Liveability</w:t>
            </w:r>
          </w:p>
        </w:tc>
        <w:tc>
          <w:tcPr>
            <w:tcW w:w="7044" w:type="dxa"/>
            <w:vAlign w:val="center"/>
          </w:tcPr>
          <w:p w:rsidR="00D60E7F" w:rsidRPr="0020182A" w:rsidRDefault="00D60E7F" w:rsidP="00D60E7F">
            <w:pPr>
              <w:pStyle w:val="Tabletext"/>
              <w:rPr>
                <w:rFonts w:cs="Arial"/>
                <w:szCs w:val="20"/>
              </w:rPr>
            </w:pPr>
            <w:r w:rsidRPr="0020182A">
              <w:rPr>
                <w:rFonts w:cs="Arial"/>
                <w:szCs w:val="20"/>
              </w:rPr>
              <w:t>Housing that has been designed to improve ‘Liveability’ by incorporating a reasonable level of physical access and enhanced provision for people with sensory, intellectual or cognitive impairment.</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KPI</w:t>
            </w:r>
          </w:p>
        </w:tc>
        <w:tc>
          <w:tcPr>
            <w:tcW w:w="7044" w:type="dxa"/>
            <w:vAlign w:val="center"/>
          </w:tcPr>
          <w:p w:rsidR="00D60E7F" w:rsidRPr="0020182A" w:rsidRDefault="00D60E7F" w:rsidP="00D60E7F">
            <w:pPr>
              <w:pStyle w:val="Tabletext"/>
              <w:rPr>
                <w:rFonts w:cs="Arial"/>
                <w:szCs w:val="20"/>
              </w:rPr>
            </w:pPr>
            <w:r w:rsidRPr="0020182A">
              <w:rPr>
                <w:rFonts w:cs="Arial"/>
                <w:szCs w:val="20"/>
              </w:rPr>
              <w:t>Key Performance Indicator</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Legacy stock</w:t>
            </w:r>
          </w:p>
        </w:tc>
        <w:tc>
          <w:tcPr>
            <w:tcW w:w="7044" w:type="dxa"/>
            <w:vAlign w:val="center"/>
          </w:tcPr>
          <w:p w:rsidR="00D60E7F" w:rsidRPr="0020182A" w:rsidRDefault="00D60E7F">
            <w:pPr>
              <w:pStyle w:val="Tabletext"/>
              <w:rPr>
                <w:rFonts w:cs="Arial"/>
                <w:szCs w:val="20"/>
              </w:rPr>
            </w:pPr>
            <w:r w:rsidRPr="0020182A">
              <w:rPr>
                <w:rFonts w:cs="Arial"/>
                <w:szCs w:val="20"/>
              </w:rPr>
              <w:t xml:space="preserve">Legacy Stock are existing properties that accommodate </w:t>
            </w:r>
            <w:r w:rsidR="00866788">
              <w:rPr>
                <w:rFonts w:cs="Arial"/>
                <w:szCs w:val="20"/>
              </w:rPr>
              <w:t>six</w:t>
            </w:r>
            <w:r w:rsidR="00866788" w:rsidRPr="0020182A">
              <w:rPr>
                <w:rFonts w:cs="Arial"/>
                <w:szCs w:val="20"/>
              </w:rPr>
              <w:t xml:space="preserve"> </w:t>
            </w:r>
            <w:r w:rsidRPr="0020182A">
              <w:rPr>
                <w:rFonts w:cs="Arial"/>
                <w:szCs w:val="20"/>
              </w:rPr>
              <w:t>or more residents.</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LACs</w:t>
            </w:r>
          </w:p>
        </w:tc>
        <w:tc>
          <w:tcPr>
            <w:tcW w:w="7044" w:type="dxa"/>
            <w:vAlign w:val="center"/>
          </w:tcPr>
          <w:p w:rsidR="00D60E7F" w:rsidRPr="0020182A" w:rsidRDefault="00D60E7F" w:rsidP="00D60E7F">
            <w:pPr>
              <w:pStyle w:val="Tabletext"/>
              <w:rPr>
                <w:rFonts w:cs="Arial"/>
                <w:szCs w:val="20"/>
              </w:rPr>
            </w:pPr>
            <w:r w:rsidRPr="0020182A">
              <w:rPr>
                <w:rFonts w:cs="Arial"/>
                <w:szCs w:val="20"/>
              </w:rPr>
              <w:t>Local Area Coordinators</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LHA</w:t>
            </w:r>
          </w:p>
        </w:tc>
        <w:tc>
          <w:tcPr>
            <w:tcW w:w="7044" w:type="dxa"/>
            <w:vAlign w:val="center"/>
          </w:tcPr>
          <w:p w:rsidR="00D60E7F" w:rsidRPr="0020182A" w:rsidRDefault="00D60E7F" w:rsidP="00D60E7F">
            <w:pPr>
              <w:pStyle w:val="Tabletext"/>
              <w:rPr>
                <w:rFonts w:cs="Arial"/>
                <w:szCs w:val="20"/>
              </w:rPr>
            </w:pPr>
            <w:r w:rsidRPr="0020182A">
              <w:rPr>
                <w:rFonts w:cs="Arial"/>
                <w:szCs w:val="20"/>
              </w:rPr>
              <w:t>Liveable Housing Australia</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MOWG</w:t>
            </w:r>
          </w:p>
        </w:tc>
        <w:tc>
          <w:tcPr>
            <w:tcW w:w="7044" w:type="dxa"/>
            <w:vAlign w:val="center"/>
          </w:tcPr>
          <w:p w:rsidR="00D60E7F" w:rsidRPr="0020182A" w:rsidRDefault="00D60E7F" w:rsidP="00D60E7F">
            <w:pPr>
              <w:pStyle w:val="Tabletext"/>
              <w:rPr>
                <w:rFonts w:cs="Arial"/>
                <w:szCs w:val="20"/>
              </w:rPr>
            </w:pPr>
            <w:r w:rsidRPr="0020182A">
              <w:rPr>
                <w:rFonts w:cs="Arial"/>
                <w:szCs w:val="20"/>
              </w:rPr>
              <w:t>Market Oversight Working Group</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NDIA</w:t>
            </w:r>
          </w:p>
        </w:tc>
        <w:tc>
          <w:tcPr>
            <w:tcW w:w="7044" w:type="dxa"/>
            <w:vAlign w:val="center"/>
          </w:tcPr>
          <w:p w:rsidR="00D60E7F" w:rsidRPr="0020182A" w:rsidRDefault="00D60E7F" w:rsidP="00D60E7F">
            <w:pPr>
              <w:pStyle w:val="Tabletext"/>
              <w:rPr>
                <w:rFonts w:cs="Arial"/>
                <w:szCs w:val="20"/>
              </w:rPr>
            </w:pPr>
            <w:r w:rsidRPr="0020182A">
              <w:rPr>
                <w:rFonts w:cs="Arial"/>
                <w:szCs w:val="20"/>
              </w:rPr>
              <w:t xml:space="preserve">National Disability Insurance Agency </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NDIS (the Scheme)</w:t>
            </w:r>
          </w:p>
        </w:tc>
        <w:tc>
          <w:tcPr>
            <w:tcW w:w="7044" w:type="dxa"/>
            <w:vAlign w:val="center"/>
          </w:tcPr>
          <w:p w:rsidR="00D60E7F" w:rsidRPr="0020182A" w:rsidRDefault="00D60E7F" w:rsidP="00D60E7F">
            <w:pPr>
              <w:pStyle w:val="Tabletext"/>
              <w:rPr>
                <w:rFonts w:cs="Arial"/>
                <w:szCs w:val="20"/>
              </w:rPr>
            </w:pPr>
            <w:r w:rsidRPr="0020182A">
              <w:rPr>
                <w:rFonts w:cs="Arial"/>
                <w:szCs w:val="20"/>
              </w:rPr>
              <w:t>National Disability Insurance Scheme</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Nest</w:t>
            </w:r>
          </w:p>
        </w:tc>
        <w:tc>
          <w:tcPr>
            <w:tcW w:w="7044" w:type="dxa"/>
            <w:vAlign w:val="center"/>
          </w:tcPr>
          <w:p w:rsidR="00D60E7F" w:rsidRPr="0020182A" w:rsidRDefault="00D60E7F" w:rsidP="00D60E7F">
            <w:pPr>
              <w:pStyle w:val="Tabletext"/>
              <w:rPr>
                <w:rFonts w:cs="Arial"/>
                <w:szCs w:val="20"/>
              </w:rPr>
            </w:pPr>
            <w:r w:rsidRPr="0020182A">
              <w:rPr>
                <w:rFonts w:cs="Arial"/>
                <w:szCs w:val="20"/>
              </w:rPr>
              <w:t>Website providing people with disability access to finding suitable housing that meets their support and funding requirements</w:t>
            </w:r>
            <w:r w:rsidR="005A0F7F">
              <w:rPr>
                <w:rFonts w:cs="Arial"/>
                <w:szCs w:val="20"/>
              </w:rPr>
              <w:t xml:space="preserve">. </w:t>
            </w:r>
            <w:hyperlink r:id="rId16" w:history="1">
              <w:r w:rsidR="005A0F7F" w:rsidRPr="005A0F7F">
                <w:rPr>
                  <w:rStyle w:val="Hyperlink"/>
                  <w:rFonts w:cs="Arial"/>
                  <w:sz w:val="20"/>
                  <w:szCs w:val="20"/>
                </w:rPr>
                <w:t>Click here for reference</w:t>
              </w:r>
            </w:hyperlink>
            <w:r w:rsidR="005A0F7F">
              <w:rPr>
                <w:rFonts w:cs="Arial"/>
                <w:szCs w:val="20"/>
              </w:rPr>
              <w:t xml:space="preserve"> </w:t>
            </w:r>
            <w:r w:rsidR="00511E93" w:rsidRPr="005A0F7F">
              <w:rPr>
                <w:rStyle w:val="Hyperlink"/>
                <w:rFonts w:cs="Arial"/>
                <w:sz w:val="20"/>
                <w:szCs w:val="20"/>
              </w:rPr>
              <w:t>https://gonest.com.au/content/sda</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Non-physical markets</w:t>
            </w:r>
          </w:p>
        </w:tc>
        <w:tc>
          <w:tcPr>
            <w:tcW w:w="7044" w:type="dxa"/>
            <w:vAlign w:val="center"/>
          </w:tcPr>
          <w:p w:rsidR="00D60E7F" w:rsidRPr="0020182A" w:rsidRDefault="00D60E7F" w:rsidP="00D60E7F">
            <w:pPr>
              <w:pStyle w:val="Tabletext"/>
              <w:rPr>
                <w:rFonts w:cs="Arial"/>
                <w:szCs w:val="20"/>
              </w:rPr>
            </w:pPr>
            <w:r w:rsidRPr="0020182A">
              <w:rPr>
                <w:rFonts w:cs="Arial"/>
                <w:szCs w:val="20"/>
              </w:rPr>
              <w:t>A market where no physical interaction between consumers and suppliers occurs</w:t>
            </w:r>
            <w:r w:rsidR="00866788">
              <w:rPr>
                <w:rFonts w:cs="Arial"/>
                <w:szCs w:val="20"/>
              </w:rPr>
              <w:t>.</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lastRenderedPageBreak/>
              <w:t>NSW</w:t>
            </w:r>
          </w:p>
        </w:tc>
        <w:tc>
          <w:tcPr>
            <w:tcW w:w="7044" w:type="dxa"/>
            <w:vAlign w:val="center"/>
          </w:tcPr>
          <w:p w:rsidR="00D60E7F" w:rsidRPr="0020182A" w:rsidRDefault="00D60E7F" w:rsidP="00D60E7F">
            <w:pPr>
              <w:pStyle w:val="Tabletext"/>
              <w:rPr>
                <w:rFonts w:cs="Arial"/>
                <w:szCs w:val="20"/>
              </w:rPr>
            </w:pPr>
            <w:r w:rsidRPr="0020182A">
              <w:rPr>
                <w:rFonts w:cs="Arial"/>
                <w:szCs w:val="20"/>
              </w:rPr>
              <w:t>New South Wales</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NT</w:t>
            </w:r>
          </w:p>
        </w:tc>
        <w:tc>
          <w:tcPr>
            <w:tcW w:w="7044" w:type="dxa"/>
            <w:vAlign w:val="center"/>
          </w:tcPr>
          <w:p w:rsidR="00D60E7F" w:rsidRPr="0020182A" w:rsidRDefault="00D60E7F" w:rsidP="00D60E7F">
            <w:pPr>
              <w:pStyle w:val="Tabletext"/>
              <w:rPr>
                <w:rFonts w:cs="Arial"/>
                <w:szCs w:val="20"/>
              </w:rPr>
            </w:pPr>
            <w:r w:rsidRPr="0020182A">
              <w:rPr>
                <w:rFonts w:cs="Arial"/>
                <w:szCs w:val="20"/>
              </w:rPr>
              <w:t>Northern Territory</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Physical markets</w:t>
            </w:r>
          </w:p>
        </w:tc>
        <w:tc>
          <w:tcPr>
            <w:tcW w:w="7044" w:type="dxa"/>
            <w:vAlign w:val="center"/>
          </w:tcPr>
          <w:p w:rsidR="00D60E7F" w:rsidRPr="0020182A" w:rsidRDefault="00D60E7F" w:rsidP="00D60E7F">
            <w:pPr>
              <w:pStyle w:val="Tabletext"/>
              <w:rPr>
                <w:rFonts w:cs="Arial"/>
                <w:szCs w:val="20"/>
              </w:rPr>
            </w:pPr>
            <w:r w:rsidRPr="0020182A">
              <w:rPr>
                <w:rFonts w:cs="Arial"/>
                <w:szCs w:val="20"/>
              </w:rPr>
              <w:t>A market where there is physical interaction between consumers and suppliers during the transaction.</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QLD</w:t>
            </w:r>
          </w:p>
        </w:tc>
        <w:tc>
          <w:tcPr>
            <w:tcW w:w="7044" w:type="dxa"/>
            <w:vAlign w:val="center"/>
          </w:tcPr>
          <w:p w:rsidR="00D60E7F" w:rsidRPr="0020182A" w:rsidRDefault="00D60E7F" w:rsidP="00D60E7F">
            <w:pPr>
              <w:pStyle w:val="Tabletext"/>
              <w:rPr>
                <w:rFonts w:cs="Arial"/>
                <w:szCs w:val="20"/>
              </w:rPr>
            </w:pPr>
            <w:r w:rsidRPr="0020182A">
              <w:rPr>
                <w:rFonts w:cs="Arial"/>
                <w:szCs w:val="20"/>
              </w:rPr>
              <w:t>Queensland</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 xml:space="preserve">Quality and Safeguards Commission </w:t>
            </w:r>
          </w:p>
        </w:tc>
        <w:tc>
          <w:tcPr>
            <w:tcW w:w="7044" w:type="dxa"/>
            <w:vAlign w:val="center"/>
          </w:tcPr>
          <w:p w:rsidR="00D60E7F" w:rsidRPr="0020182A" w:rsidRDefault="00D60E7F" w:rsidP="00D60E7F">
            <w:pPr>
              <w:pStyle w:val="Tabletext"/>
              <w:rPr>
                <w:rFonts w:cs="Arial"/>
                <w:szCs w:val="20"/>
              </w:rPr>
            </w:pPr>
            <w:r w:rsidRPr="0020182A">
              <w:rPr>
                <w:rFonts w:cs="Arial"/>
                <w:szCs w:val="20"/>
              </w:rPr>
              <w:t>The independent agency established to improve the quality and safety of NDIS supports and services</w:t>
            </w:r>
            <w:r w:rsidR="00866788">
              <w:rPr>
                <w:rFonts w:cs="Arial"/>
                <w:szCs w:val="20"/>
              </w:rPr>
              <w:t>.</w:t>
            </w:r>
            <w:r w:rsidRPr="0020182A">
              <w:rPr>
                <w:rFonts w:cs="Arial"/>
                <w:szCs w:val="20"/>
              </w:rPr>
              <w:t xml:space="preserve"> </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Quality and Safeguarding Framework</w:t>
            </w:r>
          </w:p>
        </w:tc>
        <w:tc>
          <w:tcPr>
            <w:tcW w:w="7044" w:type="dxa"/>
            <w:vAlign w:val="center"/>
          </w:tcPr>
          <w:p w:rsidR="00D60E7F" w:rsidRPr="0020182A" w:rsidRDefault="00D60E7F" w:rsidP="00D60E7F">
            <w:pPr>
              <w:pStyle w:val="Tabletext"/>
              <w:rPr>
                <w:rFonts w:cs="Arial"/>
                <w:szCs w:val="20"/>
              </w:rPr>
            </w:pPr>
            <w:r w:rsidRPr="0020182A">
              <w:rPr>
                <w:rFonts w:cs="Arial"/>
                <w:szCs w:val="20"/>
              </w:rPr>
              <w:t>The Framework that sets out the national system to support NDIS participants, carers and providers access high quality supports and safe environments.</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Participant</w:t>
            </w:r>
          </w:p>
        </w:tc>
        <w:tc>
          <w:tcPr>
            <w:tcW w:w="7044" w:type="dxa"/>
            <w:vAlign w:val="center"/>
          </w:tcPr>
          <w:p w:rsidR="00D60E7F" w:rsidRPr="0020182A" w:rsidRDefault="00D60E7F" w:rsidP="00D60E7F">
            <w:pPr>
              <w:pStyle w:val="Tabletext"/>
              <w:rPr>
                <w:rFonts w:cs="Arial"/>
                <w:szCs w:val="20"/>
              </w:rPr>
            </w:pPr>
            <w:r w:rsidRPr="0020182A">
              <w:rPr>
                <w:rFonts w:cs="Arial"/>
                <w:szCs w:val="20"/>
              </w:rPr>
              <w:t>Person with disability eligible for SDA support</w:t>
            </w:r>
            <w:r w:rsidR="00866788">
              <w:rPr>
                <w:rFonts w:cs="Arial"/>
                <w:szCs w:val="20"/>
              </w:rPr>
              <w:t>.</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Productivity Commission</w:t>
            </w:r>
          </w:p>
        </w:tc>
        <w:tc>
          <w:tcPr>
            <w:tcW w:w="7044" w:type="dxa"/>
            <w:vAlign w:val="center"/>
          </w:tcPr>
          <w:p w:rsidR="00D60E7F" w:rsidRPr="0020182A" w:rsidRDefault="00D60E7F" w:rsidP="00D60E7F">
            <w:pPr>
              <w:pStyle w:val="Tabletext"/>
              <w:rPr>
                <w:rFonts w:cs="Arial"/>
                <w:szCs w:val="20"/>
              </w:rPr>
            </w:pPr>
            <w:r w:rsidRPr="0020182A">
              <w:rPr>
                <w:rFonts w:cs="Arial"/>
                <w:szCs w:val="20"/>
              </w:rPr>
              <w:t>The Australian Government’s principal review and advisory body on microeconomic policy, regulation and a range of other social and environmental issues.</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Robust</w:t>
            </w:r>
          </w:p>
        </w:tc>
        <w:tc>
          <w:tcPr>
            <w:tcW w:w="7044" w:type="dxa"/>
            <w:vAlign w:val="center"/>
          </w:tcPr>
          <w:p w:rsidR="00D60E7F" w:rsidRPr="0020182A" w:rsidRDefault="00D60E7F" w:rsidP="00D60E7F">
            <w:pPr>
              <w:pStyle w:val="Tabletext"/>
              <w:rPr>
                <w:rFonts w:cs="Arial"/>
                <w:szCs w:val="20"/>
              </w:rPr>
            </w:pPr>
            <w:r w:rsidRPr="0020182A">
              <w:rPr>
                <w:rFonts w:cs="Arial"/>
                <w:szCs w:val="20"/>
              </w:rPr>
              <w:t>Housing that has been designed to incorporate a high level of physical access provision and be very resilient, reducing the likelihood of reactive maintenance and reducing the risk to the participant and the community.</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SA</w:t>
            </w:r>
          </w:p>
        </w:tc>
        <w:tc>
          <w:tcPr>
            <w:tcW w:w="7044" w:type="dxa"/>
            <w:vAlign w:val="center"/>
          </w:tcPr>
          <w:p w:rsidR="00D60E7F" w:rsidRPr="0020182A" w:rsidRDefault="00D60E7F" w:rsidP="00D60E7F">
            <w:pPr>
              <w:pStyle w:val="Tabletext"/>
              <w:rPr>
                <w:rFonts w:cs="Arial"/>
                <w:szCs w:val="20"/>
              </w:rPr>
            </w:pPr>
            <w:r w:rsidRPr="0020182A">
              <w:rPr>
                <w:rFonts w:cs="Arial"/>
                <w:szCs w:val="20"/>
              </w:rPr>
              <w:t>South Australia</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SA1 – SA4</w:t>
            </w:r>
          </w:p>
        </w:tc>
        <w:tc>
          <w:tcPr>
            <w:tcW w:w="7044" w:type="dxa"/>
            <w:vAlign w:val="center"/>
          </w:tcPr>
          <w:p w:rsidR="00D60E7F" w:rsidRPr="0020182A" w:rsidRDefault="00D60E7F" w:rsidP="00F61B99">
            <w:pPr>
              <w:pStyle w:val="Tabletext"/>
              <w:rPr>
                <w:rFonts w:cs="Arial"/>
                <w:szCs w:val="20"/>
              </w:rPr>
            </w:pPr>
            <w:r w:rsidRPr="0020182A">
              <w:rPr>
                <w:rFonts w:cs="Arial"/>
                <w:szCs w:val="20"/>
              </w:rPr>
              <w:t>Statistical Area, ranging from Statistical Area Level 1 (smallest unit for the release of census data) to Statistical Area Level 4 (the largest sub-</w:t>
            </w:r>
            <w:r w:rsidR="00F61B99">
              <w:rPr>
                <w:rFonts w:cs="Arial"/>
                <w:szCs w:val="20"/>
              </w:rPr>
              <w:t>s</w:t>
            </w:r>
            <w:r w:rsidRPr="0020182A">
              <w:rPr>
                <w:rFonts w:cs="Arial"/>
                <w:szCs w:val="20"/>
              </w:rPr>
              <w:t>tate regions in the Main Structure of the Australian Statistical Geography Standard).</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SDA</w:t>
            </w:r>
          </w:p>
        </w:tc>
        <w:tc>
          <w:tcPr>
            <w:tcW w:w="7044" w:type="dxa"/>
            <w:vAlign w:val="center"/>
          </w:tcPr>
          <w:p w:rsidR="00D60E7F" w:rsidRPr="0020182A" w:rsidRDefault="00D60E7F" w:rsidP="00D60E7F">
            <w:pPr>
              <w:pStyle w:val="Tabletext"/>
              <w:rPr>
                <w:rFonts w:cs="Arial"/>
                <w:szCs w:val="20"/>
              </w:rPr>
            </w:pPr>
            <w:r w:rsidRPr="0020182A">
              <w:rPr>
                <w:rFonts w:cs="Arial"/>
                <w:szCs w:val="20"/>
              </w:rPr>
              <w:t>Specialist Disability Accommodation</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SDA Decision Paper</w:t>
            </w:r>
          </w:p>
        </w:tc>
        <w:tc>
          <w:tcPr>
            <w:tcW w:w="7044" w:type="dxa"/>
            <w:vAlign w:val="center"/>
          </w:tcPr>
          <w:p w:rsidR="00D60E7F" w:rsidRPr="0020182A" w:rsidRDefault="00D60E7F" w:rsidP="00D60E7F">
            <w:pPr>
              <w:pStyle w:val="Tabletext"/>
              <w:rPr>
                <w:rFonts w:cs="Arial"/>
                <w:szCs w:val="20"/>
              </w:rPr>
            </w:pPr>
            <w:r w:rsidRPr="0020182A">
              <w:rPr>
                <w:rFonts w:cs="Arial"/>
                <w:szCs w:val="20"/>
              </w:rPr>
              <w:t>Paper clarifying when and how accommodation will be included in a person’s reasonable and necessary supports under the NDIS, released by the NDIA.</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SDA dwelling</w:t>
            </w:r>
          </w:p>
        </w:tc>
        <w:tc>
          <w:tcPr>
            <w:tcW w:w="7044" w:type="dxa"/>
            <w:vAlign w:val="center"/>
          </w:tcPr>
          <w:p w:rsidR="00D60E7F" w:rsidRPr="0020182A" w:rsidRDefault="00D60E7F" w:rsidP="00D60E7F">
            <w:pPr>
              <w:pStyle w:val="Tabletext"/>
              <w:rPr>
                <w:rFonts w:cs="Arial"/>
                <w:szCs w:val="20"/>
              </w:rPr>
            </w:pPr>
            <w:r w:rsidRPr="0020182A">
              <w:rPr>
                <w:rFonts w:cs="Arial"/>
                <w:szCs w:val="20"/>
              </w:rPr>
              <w:t>Residence that is classified as Specialist Disability Accommodation</w:t>
            </w:r>
            <w:r w:rsidR="00866788">
              <w:rPr>
                <w:rFonts w:cs="Arial"/>
                <w:szCs w:val="20"/>
              </w:rPr>
              <w:t>.</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SDA eligibility</w:t>
            </w:r>
          </w:p>
        </w:tc>
        <w:tc>
          <w:tcPr>
            <w:tcW w:w="7044" w:type="dxa"/>
            <w:vAlign w:val="center"/>
          </w:tcPr>
          <w:p w:rsidR="00D60E7F" w:rsidRPr="0020182A" w:rsidRDefault="00D60E7F" w:rsidP="00D60E7F">
            <w:pPr>
              <w:pStyle w:val="Tabletext"/>
              <w:rPr>
                <w:rFonts w:cs="Arial"/>
                <w:szCs w:val="20"/>
              </w:rPr>
            </w:pPr>
            <w:r w:rsidRPr="0020182A">
              <w:rPr>
                <w:rFonts w:cs="Arial"/>
                <w:szCs w:val="20"/>
              </w:rPr>
              <w:t>Qualification for SDA supports</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SDA Price Guide</w:t>
            </w:r>
          </w:p>
        </w:tc>
        <w:tc>
          <w:tcPr>
            <w:tcW w:w="7044" w:type="dxa"/>
            <w:vAlign w:val="center"/>
          </w:tcPr>
          <w:p w:rsidR="00D60E7F" w:rsidRPr="0020182A" w:rsidRDefault="00D60E7F" w:rsidP="0070209D">
            <w:pPr>
              <w:pStyle w:val="Tabletext"/>
              <w:rPr>
                <w:rFonts w:cs="Arial"/>
                <w:szCs w:val="20"/>
              </w:rPr>
            </w:pPr>
            <w:r w:rsidRPr="0020182A">
              <w:rPr>
                <w:rFonts w:cs="Arial"/>
                <w:szCs w:val="20"/>
              </w:rPr>
              <w:t>Document setting out the prices and payments that apply for SDA under the NDIS from 1 July 2016</w:t>
            </w:r>
            <w:r w:rsidR="00866788">
              <w:rPr>
                <w:rFonts w:cs="Arial"/>
                <w:szCs w:val="20"/>
              </w:rPr>
              <w:t>.</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 xml:space="preserve">SDA Pricing and Payments Framework (SDA Framework) </w:t>
            </w:r>
          </w:p>
        </w:tc>
        <w:tc>
          <w:tcPr>
            <w:tcW w:w="7044" w:type="dxa"/>
            <w:vAlign w:val="center"/>
          </w:tcPr>
          <w:p w:rsidR="00D60E7F" w:rsidRPr="0020182A" w:rsidRDefault="00D60E7F" w:rsidP="0070209D">
            <w:pPr>
              <w:pStyle w:val="Tabletext"/>
              <w:rPr>
                <w:rFonts w:cs="Arial"/>
                <w:szCs w:val="20"/>
              </w:rPr>
            </w:pPr>
            <w:r w:rsidRPr="0020182A">
              <w:rPr>
                <w:rFonts w:cs="Arial"/>
                <w:szCs w:val="20"/>
              </w:rPr>
              <w:t xml:space="preserve">2015 Framework providing guidance and instruction on how SDA pricing was to be developed, and for whom, and in what circumstances, SDA funding </w:t>
            </w:r>
            <w:r w:rsidR="0070209D" w:rsidRPr="0020182A">
              <w:rPr>
                <w:rFonts w:cs="Arial"/>
                <w:szCs w:val="20"/>
              </w:rPr>
              <w:t>will</w:t>
            </w:r>
            <w:r w:rsidRPr="0020182A">
              <w:rPr>
                <w:rFonts w:cs="Arial"/>
                <w:szCs w:val="20"/>
              </w:rPr>
              <w:t xml:space="preserve"> be provided.</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SDA Rules</w:t>
            </w:r>
          </w:p>
        </w:tc>
        <w:tc>
          <w:tcPr>
            <w:tcW w:w="7044" w:type="dxa"/>
            <w:vAlign w:val="center"/>
          </w:tcPr>
          <w:p w:rsidR="00D60E7F" w:rsidRPr="0020182A" w:rsidRDefault="00D60E7F" w:rsidP="0070209D">
            <w:pPr>
              <w:pStyle w:val="Tabletext"/>
              <w:rPr>
                <w:rFonts w:cs="Arial"/>
                <w:szCs w:val="20"/>
              </w:rPr>
            </w:pPr>
            <w:r w:rsidRPr="0020182A">
              <w:rPr>
                <w:rFonts w:cs="Arial"/>
                <w:szCs w:val="20"/>
              </w:rPr>
              <w:t xml:space="preserve">Formal, legislative standing for SDA eligibility, planning decision making, </w:t>
            </w:r>
            <w:r w:rsidR="0070209D" w:rsidRPr="0020182A">
              <w:rPr>
                <w:rFonts w:cs="Arial"/>
                <w:szCs w:val="20"/>
              </w:rPr>
              <w:t xml:space="preserve">and </w:t>
            </w:r>
            <w:r w:rsidRPr="0020182A">
              <w:rPr>
                <w:rFonts w:cs="Arial"/>
                <w:szCs w:val="20"/>
              </w:rPr>
              <w:t>registration of SDA providers and dwelling</w:t>
            </w:r>
            <w:r w:rsidR="0070209D" w:rsidRPr="0020182A">
              <w:rPr>
                <w:rFonts w:cs="Arial"/>
                <w:szCs w:val="20"/>
              </w:rPr>
              <w:t>s</w:t>
            </w:r>
            <w:r w:rsidRPr="0020182A">
              <w:rPr>
                <w:rFonts w:cs="Arial"/>
                <w:szCs w:val="20"/>
              </w:rPr>
              <w:t>.</w:t>
            </w:r>
          </w:p>
        </w:tc>
      </w:tr>
      <w:tr w:rsidR="00D60E7F" w:rsidRPr="0020182A" w:rsidTr="004655BE">
        <w:tc>
          <w:tcPr>
            <w:tcW w:w="1985" w:type="dxa"/>
          </w:tcPr>
          <w:p w:rsidR="00D60E7F" w:rsidRPr="0020182A" w:rsidRDefault="00D60E7F" w:rsidP="004655BE">
            <w:pPr>
              <w:pStyle w:val="Tabletext"/>
              <w:rPr>
                <w:rFonts w:cs="Arial"/>
                <w:szCs w:val="20"/>
              </w:rPr>
            </w:pPr>
            <w:r w:rsidRPr="0020182A">
              <w:rPr>
                <w:rFonts w:cs="Arial"/>
                <w:szCs w:val="20"/>
              </w:rPr>
              <w:t>SIL</w:t>
            </w:r>
          </w:p>
        </w:tc>
        <w:tc>
          <w:tcPr>
            <w:tcW w:w="7044" w:type="dxa"/>
            <w:vAlign w:val="center"/>
          </w:tcPr>
          <w:p w:rsidR="00D60E7F" w:rsidRDefault="00D60E7F" w:rsidP="00D60E7F">
            <w:pPr>
              <w:pStyle w:val="Tabletext"/>
              <w:rPr>
                <w:rFonts w:cs="Arial"/>
                <w:szCs w:val="20"/>
              </w:rPr>
            </w:pPr>
            <w:r w:rsidRPr="0020182A">
              <w:rPr>
                <w:rFonts w:cs="Arial"/>
                <w:szCs w:val="20"/>
              </w:rPr>
              <w:t>Supported Independent Living</w:t>
            </w:r>
          </w:p>
          <w:p w:rsidR="004655BE" w:rsidRPr="0020182A" w:rsidRDefault="004655BE" w:rsidP="00D60E7F">
            <w:pPr>
              <w:pStyle w:val="Tabletext"/>
              <w:rPr>
                <w:rFonts w:cs="Arial"/>
                <w:szCs w:val="20"/>
              </w:rPr>
            </w:pP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Supply</w:t>
            </w:r>
          </w:p>
        </w:tc>
        <w:tc>
          <w:tcPr>
            <w:tcW w:w="7044" w:type="dxa"/>
            <w:vAlign w:val="center"/>
          </w:tcPr>
          <w:p w:rsidR="00D60E7F" w:rsidRPr="0020182A" w:rsidRDefault="00D60E7F" w:rsidP="00D60E7F">
            <w:pPr>
              <w:pStyle w:val="Tabletext"/>
              <w:rPr>
                <w:rFonts w:cs="Arial"/>
                <w:szCs w:val="20"/>
              </w:rPr>
            </w:pPr>
            <w:r w:rsidRPr="0020182A">
              <w:rPr>
                <w:rFonts w:cs="Arial"/>
                <w:szCs w:val="20"/>
              </w:rPr>
              <w:t>Market supply of specialist disability accommodation</w:t>
            </w:r>
            <w:r w:rsidR="00866788">
              <w:rPr>
                <w:rFonts w:cs="Arial"/>
                <w:szCs w:val="20"/>
              </w:rPr>
              <w:t>.</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TAS</w:t>
            </w:r>
          </w:p>
        </w:tc>
        <w:tc>
          <w:tcPr>
            <w:tcW w:w="7044" w:type="dxa"/>
            <w:vAlign w:val="center"/>
          </w:tcPr>
          <w:p w:rsidR="00D60E7F" w:rsidRPr="0020182A" w:rsidRDefault="00D60E7F" w:rsidP="00D60E7F">
            <w:pPr>
              <w:pStyle w:val="Tabletext"/>
              <w:rPr>
                <w:rFonts w:cs="Arial"/>
                <w:szCs w:val="20"/>
              </w:rPr>
            </w:pPr>
            <w:r w:rsidRPr="0020182A">
              <w:rPr>
                <w:rFonts w:cs="Arial"/>
                <w:szCs w:val="20"/>
              </w:rPr>
              <w:t>Tasmania</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TOR</w:t>
            </w:r>
          </w:p>
        </w:tc>
        <w:tc>
          <w:tcPr>
            <w:tcW w:w="7044" w:type="dxa"/>
            <w:vAlign w:val="center"/>
          </w:tcPr>
          <w:p w:rsidR="00D60E7F" w:rsidRPr="0020182A" w:rsidRDefault="00D60E7F" w:rsidP="00D60E7F">
            <w:pPr>
              <w:pStyle w:val="Tabletext"/>
              <w:rPr>
                <w:rFonts w:cs="Arial"/>
                <w:szCs w:val="20"/>
              </w:rPr>
            </w:pPr>
            <w:r w:rsidRPr="0020182A">
              <w:rPr>
                <w:rFonts w:cs="Arial"/>
                <w:szCs w:val="20"/>
              </w:rPr>
              <w:t>Terms of Reference</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The Review</w:t>
            </w:r>
          </w:p>
        </w:tc>
        <w:tc>
          <w:tcPr>
            <w:tcW w:w="7044" w:type="dxa"/>
            <w:vAlign w:val="center"/>
          </w:tcPr>
          <w:p w:rsidR="00D60E7F" w:rsidRPr="0020182A" w:rsidRDefault="00D60E7F" w:rsidP="00D60E7F">
            <w:pPr>
              <w:pStyle w:val="Tabletext"/>
              <w:rPr>
                <w:rFonts w:cs="Arial"/>
                <w:szCs w:val="20"/>
              </w:rPr>
            </w:pPr>
            <w:r w:rsidRPr="0020182A">
              <w:rPr>
                <w:rFonts w:cs="Arial"/>
                <w:szCs w:val="20"/>
              </w:rPr>
              <w:t>The review of the SDA Pricing and Payments Framework</w:t>
            </w:r>
            <w:r w:rsidR="00866788">
              <w:rPr>
                <w:rFonts w:cs="Arial"/>
                <w:szCs w:val="20"/>
              </w:rPr>
              <w:t>.</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The Review Framework</w:t>
            </w:r>
          </w:p>
        </w:tc>
        <w:tc>
          <w:tcPr>
            <w:tcW w:w="7044" w:type="dxa"/>
            <w:vAlign w:val="center"/>
          </w:tcPr>
          <w:p w:rsidR="00D60E7F" w:rsidRPr="0020182A" w:rsidRDefault="00D60E7F" w:rsidP="00D60E7F">
            <w:pPr>
              <w:pStyle w:val="Tabletext"/>
              <w:rPr>
                <w:rFonts w:cs="Arial"/>
                <w:szCs w:val="20"/>
              </w:rPr>
            </w:pPr>
            <w:r w:rsidRPr="0020182A">
              <w:rPr>
                <w:rFonts w:cs="Arial"/>
                <w:szCs w:val="20"/>
              </w:rPr>
              <w:t>A framework developed with DSS to support consultation and investigation of the Terms of Reference for the SDA Framework Review</w:t>
            </w:r>
            <w:r w:rsidR="00866788">
              <w:rPr>
                <w:rFonts w:cs="Arial"/>
                <w:szCs w:val="20"/>
              </w:rPr>
              <w:t>.</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lastRenderedPageBreak/>
              <w:t>The SDA Framework</w:t>
            </w:r>
          </w:p>
        </w:tc>
        <w:tc>
          <w:tcPr>
            <w:tcW w:w="7044" w:type="dxa"/>
            <w:vAlign w:val="center"/>
          </w:tcPr>
          <w:p w:rsidR="00D60E7F" w:rsidRPr="0020182A" w:rsidRDefault="00D60E7F" w:rsidP="00D60E7F">
            <w:pPr>
              <w:pStyle w:val="Tabletext"/>
              <w:rPr>
                <w:rFonts w:cs="Arial"/>
                <w:szCs w:val="20"/>
              </w:rPr>
            </w:pPr>
            <w:r w:rsidRPr="0020182A">
              <w:rPr>
                <w:rFonts w:cs="Arial"/>
                <w:szCs w:val="20"/>
              </w:rPr>
              <w:t>Specialist Disability Accommodation Pricing and Payments Framework</w:t>
            </w:r>
            <w:r w:rsidR="00866788">
              <w:rPr>
                <w:rFonts w:cs="Arial"/>
                <w:szCs w:val="20"/>
              </w:rPr>
              <w:t>.</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VIC</w:t>
            </w:r>
          </w:p>
        </w:tc>
        <w:tc>
          <w:tcPr>
            <w:tcW w:w="7044" w:type="dxa"/>
            <w:vAlign w:val="center"/>
          </w:tcPr>
          <w:p w:rsidR="00D60E7F" w:rsidRPr="0020182A" w:rsidRDefault="00D60E7F" w:rsidP="00D60E7F">
            <w:pPr>
              <w:pStyle w:val="Tabletext"/>
              <w:rPr>
                <w:rFonts w:cs="Arial"/>
                <w:szCs w:val="20"/>
              </w:rPr>
            </w:pPr>
            <w:r w:rsidRPr="0020182A">
              <w:rPr>
                <w:rFonts w:cs="Arial"/>
                <w:szCs w:val="20"/>
              </w:rPr>
              <w:t>Victoria</w:t>
            </w:r>
          </w:p>
        </w:tc>
      </w:tr>
      <w:tr w:rsidR="00D60E7F" w:rsidRPr="0020182A" w:rsidTr="00D60E7F">
        <w:tc>
          <w:tcPr>
            <w:tcW w:w="1985" w:type="dxa"/>
            <w:vAlign w:val="center"/>
          </w:tcPr>
          <w:p w:rsidR="00D60E7F" w:rsidRPr="0020182A" w:rsidRDefault="00D60E7F" w:rsidP="00D60E7F">
            <w:pPr>
              <w:pStyle w:val="Tabletext"/>
              <w:rPr>
                <w:rFonts w:cs="Arial"/>
                <w:szCs w:val="20"/>
              </w:rPr>
            </w:pPr>
            <w:r w:rsidRPr="0020182A">
              <w:rPr>
                <w:rFonts w:cs="Arial"/>
                <w:szCs w:val="20"/>
              </w:rPr>
              <w:t>WA</w:t>
            </w:r>
          </w:p>
        </w:tc>
        <w:tc>
          <w:tcPr>
            <w:tcW w:w="7044" w:type="dxa"/>
            <w:vAlign w:val="center"/>
          </w:tcPr>
          <w:p w:rsidR="00D60E7F" w:rsidRPr="0020182A" w:rsidRDefault="00D60E7F" w:rsidP="00D60E7F">
            <w:pPr>
              <w:pStyle w:val="Tabletext"/>
              <w:rPr>
                <w:rFonts w:cs="Arial"/>
                <w:szCs w:val="20"/>
              </w:rPr>
            </w:pPr>
            <w:r w:rsidRPr="0020182A">
              <w:rPr>
                <w:rFonts w:cs="Arial"/>
                <w:szCs w:val="20"/>
              </w:rPr>
              <w:t>Western Australia</w:t>
            </w:r>
          </w:p>
        </w:tc>
      </w:tr>
    </w:tbl>
    <w:p w:rsidR="00A2051C" w:rsidRPr="0020182A" w:rsidRDefault="00A2051C" w:rsidP="008955E5">
      <w:pPr>
        <w:pStyle w:val="HeadingLevel1NoNumber"/>
        <w:sectPr w:rsidR="00A2051C" w:rsidRPr="0020182A" w:rsidSect="00EA3591">
          <w:headerReference w:type="default" r:id="rId17"/>
          <w:footerReference w:type="default" r:id="rId18"/>
          <w:pgSz w:w="11906" w:h="16838"/>
          <w:pgMar w:top="1418" w:right="1418" w:bottom="1418" w:left="1418" w:header="340" w:footer="453" w:gutter="0"/>
          <w:pgNumType w:start="1"/>
          <w:cols w:space="708"/>
          <w:docGrid w:linePitch="360"/>
        </w:sectPr>
      </w:pPr>
    </w:p>
    <w:p w:rsidR="008955E5" w:rsidRPr="0020182A" w:rsidRDefault="007B1A57" w:rsidP="008955E5">
      <w:pPr>
        <w:pStyle w:val="HeadingLevel1NoNumber"/>
      </w:pPr>
      <w:bookmarkStart w:id="4" w:name="_Toc523122958"/>
      <w:bookmarkStart w:id="5" w:name="_Toc530648940"/>
      <w:r w:rsidRPr="0020182A">
        <w:lastRenderedPageBreak/>
        <w:t>Executive Summary</w:t>
      </w:r>
      <w:bookmarkEnd w:id="4"/>
      <w:bookmarkEnd w:id="5"/>
    </w:p>
    <w:p w:rsidR="00C67677" w:rsidRPr="0020182A" w:rsidRDefault="00C67677" w:rsidP="00C67677">
      <w:pPr>
        <w:pStyle w:val="Heading2option2"/>
        <w:numPr>
          <w:ilvl w:val="0"/>
          <w:numId w:val="0"/>
        </w:numPr>
        <w:spacing w:after="0"/>
        <w:ind w:left="964" w:hanging="964"/>
      </w:pPr>
      <w:r w:rsidRPr="0020182A">
        <w:t xml:space="preserve">Specialist Disability Accommodation and the NDIS </w:t>
      </w:r>
    </w:p>
    <w:p w:rsidR="00D60E7F" w:rsidRPr="0020182A" w:rsidRDefault="00D60E7F" w:rsidP="00D60E7F">
      <w:pPr>
        <w:pStyle w:val="BodyText1"/>
      </w:pPr>
      <w:r w:rsidRPr="0020182A">
        <w:t xml:space="preserve">Specialist Disability Accommodation (SDA) refers to specialist housing solutions for people with a disability with significant functional impairment and/or very high support needs and who require integrated housing and supports to meet their needs. SDA is funded by the National Disability Insurance Scheme (NDIS) for eligible participants, with funding covering the capital and management costs of providing specialist housing solutions. SDA funding is provided directly to eligible participants, who can make their own decisions about which SDA dwelling they want to live in. SDA funding is only for land and built forms, and does not cover the cost of providing supports for a person in their home – this is funded separately by the NDIS. </w:t>
      </w:r>
    </w:p>
    <w:p w:rsidR="00D60E7F" w:rsidRPr="0020182A" w:rsidRDefault="00D60E7F" w:rsidP="00D60E7F">
      <w:pPr>
        <w:pStyle w:val="BodyText1"/>
      </w:pPr>
      <w:r w:rsidRPr="0020182A">
        <w:t>Based on the Productivity Commission Report released in 2011, SDA is intended to support only a small number of participants, and it is estimated that approximately 28,000 NDIS participants (six per cent) nationally are expected to require SDA. In 2019-20 terms, it is expected that $700 million will be spent on SDA annually</w:t>
      </w:r>
      <w:r w:rsidRPr="0020182A">
        <w:rPr>
          <w:rStyle w:val="FootnoteReference"/>
        </w:rPr>
        <w:footnoteReference w:id="2"/>
      </w:r>
      <w:r w:rsidRPr="0020182A">
        <w:t xml:space="preserve">. A large number of SDA dwellings are existing dwellings and legacy stock which were funded or provided under </w:t>
      </w:r>
      <w:r w:rsidR="00F61B99">
        <w:t>s</w:t>
      </w:r>
      <w:r w:rsidRPr="0020182A">
        <w:t>tate/</w:t>
      </w:r>
      <w:r w:rsidR="00F61B99">
        <w:t>t</w:t>
      </w:r>
      <w:r w:rsidRPr="0020182A">
        <w:t xml:space="preserve">erritory based arrangements.  However, in order to meet the SDA requirements of eligible participants, it is expected that specialist housing solutions will be required for an additional 12,300 participants. For this reason, there is a need to stimulate investment in the development of new, high quality, fit-for-purpose and innovative housing for eligible participants. </w:t>
      </w:r>
    </w:p>
    <w:p w:rsidR="00D60E7F" w:rsidRPr="0020182A" w:rsidRDefault="00D60E7F" w:rsidP="00D60E7F">
      <w:pPr>
        <w:pStyle w:val="BodyText1"/>
      </w:pPr>
      <w:r w:rsidRPr="0020182A">
        <w:t>SDA is part of a broad suite of supports funded by the NDIS, and represents one of a number of housing options available to people with disability. All participants accessing SDA will also utilise a number of other supports including Supported Independent Living (SIL) (which is the day-to-day support provided in their home)</w:t>
      </w:r>
      <w:r w:rsidR="00662AD9" w:rsidRPr="0020182A">
        <w:t xml:space="preserve">.  The provision of SDA must contribute to the efficient and effective delivery of other NDIS supports, as well as contribute to achieving participant goals and outcomes. </w:t>
      </w:r>
      <w:r w:rsidRPr="0020182A">
        <w:t>Importantly, the provision of other supports</w:t>
      </w:r>
      <w:r w:rsidR="00CA03B1">
        <w:t xml:space="preserve"> and </w:t>
      </w:r>
      <w:r w:rsidRPr="00CA03B1">
        <w:t xml:space="preserve">assistive technology </w:t>
      </w:r>
      <w:r w:rsidR="007C6208" w:rsidRPr="00CA03B1">
        <w:t xml:space="preserve">can </w:t>
      </w:r>
      <w:r w:rsidR="00877267">
        <w:t xml:space="preserve">reduce </w:t>
      </w:r>
      <w:r w:rsidRPr="00CA03B1">
        <w:t>the need for SDA for some participants. Equally, innovative and high quality SDA design can reduce the need for other NDIS supports – for example</w:t>
      </w:r>
      <w:r w:rsidRPr="0020182A">
        <w:t>, by integrating a range of technology into an SDA dwelling.</w:t>
      </w:r>
    </w:p>
    <w:p w:rsidR="00C67677" w:rsidRPr="0020182A" w:rsidRDefault="00D60E7F" w:rsidP="00D60E7F">
      <w:pPr>
        <w:pStyle w:val="BodyText1"/>
      </w:pPr>
      <w:r w:rsidRPr="0020182A">
        <w:t>The majority of NDIS participants will not require a specialist housing solution, and are able to access other housing options in the same way as people without disability. This includes living in a home they own, in a private rental, or in social or affordable housing – independently or with others. Again, the provision of NDIS supports</w:t>
      </w:r>
      <w:r w:rsidR="00877267">
        <w:t xml:space="preserve">, </w:t>
      </w:r>
      <w:r w:rsidRPr="0020182A">
        <w:t xml:space="preserve">assistive technology and home modification can allow a participant to live in one of these </w:t>
      </w:r>
      <w:r w:rsidR="00CA03B1">
        <w:t xml:space="preserve">(non-SDA) </w:t>
      </w:r>
      <w:r w:rsidRPr="0020182A">
        <w:t xml:space="preserve">housing options. Some NDIS participants may not be in a position to afford their own home or even private rental accommodation, and as such will require support from </w:t>
      </w:r>
      <w:r w:rsidR="00F61B99">
        <w:t>s</w:t>
      </w:r>
      <w:r w:rsidRPr="0020182A">
        <w:t>tate/</w:t>
      </w:r>
      <w:r w:rsidR="00F61B99">
        <w:t>t</w:t>
      </w:r>
      <w:r w:rsidRPr="0020182A">
        <w:t>erritory and Federal Governments with respect to rental assistance and access to social housing.</w:t>
      </w:r>
    </w:p>
    <w:p w:rsidR="00C67677" w:rsidRPr="0020182A" w:rsidRDefault="00C67677" w:rsidP="0049615D">
      <w:pPr>
        <w:pStyle w:val="Heading2"/>
        <w:numPr>
          <w:ilvl w:val="0"/>
          <w:numId w:val="0"/>
        </w:numPr>
        <w:ind w:left="964" w:hanging="964"/>
      </w:pPr>
      <w:r w:rsidRPr="0020182A">
        <w:lastRenderedPageBreak/>
        <w:t>SDA Pricing and Payments Framework</w:t>
      </w:r>
    </w:p>
    <w:p w:rsidR="00D60E7F" w:rsidRPr="0020182A" w:rsidRDefault="00D60E7F" w:rsidP="00D60E7F">
      <w:pPr>
        <w:pStyle w:val="BodyText1"/>
      </w:pPr>
      <w:r w:rsidRPr="0020182A">
        <w:t xml:space="preserve">The SDA Pricing and Payments Framework (the SDA Framework) was unanimously agreed to by the Commonwealth and </w:t>
      </w:r>
      <w:r w:rsidR="00F61B99">
        <w:t>s</w:t>
      </w:r>
      <w:r w:rsidRPr="0020182A">
        <w:t xml:space="preserve">tate and </w:t>
      </w:r>
      <w:r w:rsidR="00F61B99">
        <w:t>t</w:t>
      </w:r>
      <w:r w:rsidRPr="0020182A">
        <w:t xml:space="preserve">erritory Ministers (the Disability Reform Council (DRC)) in November 2015 and sets out the framework for funding </w:t>
      </w:r>
      <w:r w:rsidR="00B65E27" w:rsidRPr="0020182A">
        <w:t>SDA</w:t>
      </w:r>
      <w:r w:rsidRPr="0020182A">
        <w:t xml:space="preserve"> in the NDIS.</w:t>
      </w:r>
    </w:p>
    <w:p w:rsidR="00D60E7F" w:rsidRPr="0020182A" w:rsidRDefault="00D60E7F" w:rsidP="00D60E7F">
      <w:pPr>
        <w:pStyle w:val="BodyText1"/>
      </w:pPr>
      <w:r w:rsidRPr="0020182A">
        <w:t xml:space="preserve">The original intention of the SDA Framework was to set out the policy position and objectives for the pricing and payments arrangements for SDA and provide initial guidance to drive market investment – and in particular achieve the growth in SDA supply required to meet expected demand. In particular, the SDA Framework sought to facilitate growth, change and innovation in the supply of SDA over time, while supporting choice and control, innovation and quality. </w:t>
      </w:r>
    </w:p>
    <w:p w:rsidR="00D60E7F" w:rsidRPr="0020182A" w:rsidRDefault="00D60E7F" w:rsidP="00D60E7F">
      <w:pPr>
        <w:pStyle w:val="BodyText1"/>
      </w:pPr>
      <w:r w:rsidRPr="0020182A">
        <w:t xml:space="preserve">The current SDA Framework was developed at a time when the SDA Rules had not been determined, and as such, the current Framework goes beyond “pricing and payments” and provides guidance on a range of aspects relating to SDA, including eligibility, dwelling registration, quality and safeguards and transitional arrangements for people in legacy stock and other circumstances. </w:t>
      </w:r>
    </w:p>
    <w:p w:rsidR="00D60E7F" w:rsidRPr="0020182A" w:rsidRDefault="00D60E7F" w:rsidP="00D60E7F">
      <w:pPr>
        <w:pStyle w:val="BodyText1"/>
      </w:pPr>
      <w:r w:rsidRPr="0020182A">
        <w:t>The SDA Framework now sits within a broader structure of documents and mechanisms that together support the implementation of SDA</w:t>
      </w:r>
      <w:r w:rsidR="00866788">
        <w:t>.</w:t>
      </w:r>
      <w:r w:rsidR="0070209D" w:rsidRPr="0020182A">
        <w:t xml:space="preserve"> </w:t>
      </w:r>
      <w:r w:rsidR="00866788" w:rsidRPr="00A71E60">
        <w:t>Since the SDA Framework was developed, the SDA Rules were passed in March 2017 and provide formal, legislative standing</w:t>
      </w:r>
      <w:r w:rsidR="00866788">
        <w:t xml:space="preserve"> </w:t>
      </w:r>
      <w:r w:rsidRPr="0020182A">
        <w:t xml:space="preserve">for SDA eligibility, planning decision making, registration of SDA providers, and dwelling registration. The Rules are made by unanimous agreement of the DRC, and legally bind the NDIA.  The NDIA implements the SDA Rules as agreed to by DRC. It develops the SDA Price Guide within the bounds of the Framework and the Rules which specifies the range of prices to be paid to NDIS participants living in various SDA design and dwelling types across Australia. The NDIA also issues policy statements, like the Investor Brief, that set out its interpretation and application of the Framework and Rules agreed to by DRC. </w:t>
      </w:r>
      <w:r w:rsidR="00866788">
        <w:t xml:space="preserve">These governing documents and mechanisms are outlined in </w:t>
      </w:r>
      <w:r w:rsidR="00866788">
        <w:fldChar w:fldCharType="begin"/>
      </w:r>
      <w:r w:rsidR="00866788">
        <w:instrText xml:space="preserve"> REF _Ref522871304 \h </w:instrText>
      </w:r>
      <w:r w:rsidR="00866788">
        <w:fldChar w:fldCharType="separate"/>
      </w:r>
      <w:r w:rsidR="00502D19" w:rsidRPr="0020182A">
        <w:rPr>
          <w:rFonts w:cs="Arial"/>
        </w:rPr>
        <w:t xml:space="preserve">Figure </w:t>
      </w:r>
      <w:r w:rsidR="00502D19">
        <w:rPr>
          <w:rFonts w:cs="Arial"/>
          <w:noProof/>
        </w:rPr>
        <w:t>1</w:t>
      </w:r>
      <w:r w:rsidR="00866788">
        <w:fldChar w:fldCharType="end"/>
      </w:r>
      <w:r w:rsidR="00866788">
        <w:t xml:space="preserve"> overleaf.</w:t>
      </w:r>
    </w:p>
    <w:p w:rsidR="00D60E7F" w:rsidRPr="0020182A" w:rsidRDefault="00D60E7F" w:rsidP="00D60E7F">
      <w:pPr>
        <w:pStyle w:val="Caption"/>
        <w:keepNext/>
        <w:rPr>
          <w:rFonts w:cs="Arial"/>
        </w:rPr>
      </w:pPr>
      <w:bookmarkStart w:id="6" w:name="_Ref522871304"/>
      <w:r w:rsidRPr="0020182A">
        <w:rPr>
          <w:rFonts w:cs="Arial"/>
        </w:rPr>
        <w:lastRenderedPageBreak/>
        <w:t xml:space="preserve">Figure </w:t>
      </w:r>
      <w:r w:rsidRPr="0020182A">
        <w:rPr>
          <w:rFonts w:cs="Arial"/>
          <w:noProof/>
        </w:rPr>
        <w:fldChar w:fldCharType="begin"/>
      </w:r>
      <w:r w:rsidRPr="0020182A">
        <w:rPr>
          <w:rFonts w:cs="Arial"/>
          <w:noProof/>
        </w:rPr>
        <w:instrText xml:space="preserve"> SEQ Figure \* ARABIC </w:instrText>
      </w:r>
      <w:r w:rsidRPr="0020182A">
        <w:rPr>
          <w:rFonts w:cs="Arial"/>
          <w:noProof/>
        </w:rPr>
        <w:fldChar w:fldCharType="separate"/>
      </w:r>
      <w:r w:rsidR="00502D19">
        <w:rPr>
          <w:rFonts w:cs="Arial"/>
          <w:noProof/>
        </w:rPr>
        <w:t>1</w:t>
      </w:r>
      <w:r w:rsidRPr="0020182A">
        <w:rPr>
          <w:rFonts w:cs="Arial"/>
          <w:noProof/>
        </w:rPr>
        <w:fldChar w:fldCharType="end"/>
      </w:r>
      <w:bookmarkEnd w:id="6"/>
      <w:r w:rsidRPr="0020182A">
        <w:rPr>
          <w:rFonts w:cs="Arial"/>
          <w:noProof/>
        </w:rPr>
        <w:t>:</w:t>
      </w:r>
      <w:r w:rsidRPr="0020182A">
        <w:rPr>
          <w:rFonts w:cs="Arial"/>
        </w:rPr>
        <w:t xml:space="preserve"> SDA governing documents and mechanisms</w:t>
      </w:r>
      <w:r w:rsidR="00DF1D7D" w:rsidRPr="0020182A">
        <w:rPr>
          <w:rFonts w:cs="Arial"/>
        </w:rPr>
        <w:t xml:space="preserve"> </w:t>
      </w:r>
    </w:p>
    <w:p w:rsidR="00664578" w:rsidRDefault="004655BE" w:rsidP="00664578">
      <w:r w:rsidRPr="004655BE">
        <w:rPr>
          <w:noProof/>
          <w:lang w:eastAsia="en-AU"/>
        </w:rPr>
        <w:drawing>
          <wp:inline distT="0" distB="0" distL="0" distR="0" wp14:anchorId="5404E81D" wp14:editId="034ED8B1">
            <wp:extent cx="5654040" cy="4639213"/>
            <wp:effectExtent l="0" t="0" r="3810" b="0"/>
            <wp:docPr id="7" name="Picture 7" descr="Range of governing documents and mechanisms. There are five categories. First category is 'legally binding requirements applicable to the determination and implementation of SDA.' Second category is 'overarching policy mechanism governed by the Disability Reform Council and providing guidance on the underlying intention, objectives and implementation of SDA.' Third category is 'NDIA mechanisms for settting the requirements for providers to participate in the provision of SDA services.' Fourth category is 'NDIA Mechanism for guiding SDA decision-making for planners and other staff.' Fifth category is NDIA produced materials that provide further guidance to the market on the interpreation of the Rules and standards that govern SDA, and the broader policy setting.'" title="Figure 1: SDA governing documents and mechanis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56289" cy="4641058"/>
                    </a:xfrm>
                    <a:prstGeom prst="rect">
                      <a:avLst/>
                    </a:prstGeom>
                    <a:noFill/>
                    <a:ln>
                      <a:noFill/>
                    </a:ln>
                  </pic:spPr>
                </pic:pic>
              </a:graphicData>
            </a:graphic>
          </wp:inline>
        </w:drawing>
      </w:r>
    </w:p>
    <w:p w:rsidR="00C929DC" w:rsidRDefault="00D60E7F" w:rsidP="004655BE">
      <w:pPr>
        <w:rPr>
          <w:rFonts w:ascii="KPMG Extralight" w:eastAsiaTheme="majorEastAsia" w:hAnsi="KPMG Extralight" w:cstheme="majorBidi"/>
          <w:color w:val="0091DA" w:themeColor="accent2"/>
          <w:sz w:val="72"/>
          <w:szCs w:val="26"/>
        </w:rPr>
      </w:pPr>
      <w:r w:rsidRPr="0020182A">
        <w:rPr>
          <w:rFonts w:cs="Arial"/>
          <w:i/>
          <w:sz w:val="18"/>
          <w:szCs w:val="18"/>
        </w:rPr>
        <w:t>S</w:t>
      </w:r>
      <w:r w:rsidR="0070209D" w:rsidRPr="0020182A">
        <w:rPr>
          <w:rFonts w:cs="Arial"/>
          <w:i/>
          <w:sz w:val="18"/>
          <w:szCs w:val="18"/>
        </w:rPr>
        <w:t>ource: KPMG</w:t>
      </w:r>
      <w:r w:rsidR="00575134" w:rsidRPr="0020182A">
        <w:rPr>
          <w:rFonts w:cs="Arial"/>
          <w:i/>
          <w:sz w:val="18"/>
          <w:szCs w:val="18"/>
        </w:rPr>
        <w:t xml:space="preserve"> review of SDA documentation and mechanisms</w:t>
      </w:r>
      <w:r w:rsidR="00C929DC">
        <w:br w:type="page"/>
      </w:r>
    </w:p>
    <w:p w:rsidR="00C67677" w:rsidRPr="0020182A" w:rsidRDefault="00C67677" w:rsidP="00C67677">
      <w:pPr>
        <w:pStyle w:val="Heading2option2"/>
        <w:numPr>
          <w:ilvl w:val="0"/>
          <w:numId w:val="0"/>
        </w:numPr>
        <w:spacing w:before="240" w:after="0"/>
        <w:ind w:left="964" w:hanging="964"/>
      </w:pPr>
      <w:r w:rsidRPr="0020182A">
        <w:lastRenderedPageBreak/>
        <w:t xml:space="preserve">SDA implementation and the market </w:t>
      </w:r>
    </w:p>
    <w:p w:rsidR="00D60E7F" w:rsidRPr="0020182A" w:rsidRDefault="00D60E7F" w:rsidP="002E6567">
      <w:pPr>
        <w:pStyle w:val="Caption"/>
        <w:keepNext/>
        <w:rPr>
          <w:i w:val="0"/>
          <w:iCs w:val="0"/>
          <w:color w:val="auto"/>
          <w:sz w:val="20"/>
          <w:szCs w:val="22"/>
        </w:rPr>
      </w:pPr>
      <w:r w:rsidRPr="0020182A">
        <w:rPr>
          <w:i w:val="0"/>
          <w:iCs w:val="0"/>
          <w:color w:val="auto"/>
          <w:sz w:val="20"/>
          <w:szCs w:val="22"/>
        </w:rPr>
        <w:t>It was always recognised that it would take some time for the SDA market to develop and mature, for participants to be able to exercise full choice and control and for the required supply growth to be</w:t>
      </w:r>
      <w:r w:rsidR="0070209D" w:rsidRPr="0020182A">
        <w:rPr>
          <w:i w:val="0"/>
          <w:iCs w:val="0"/>
          <w:color w:val="auto"/>
          <w:sz w:val="20"/>
          <w:szCs w:val="22"/>
        </w:rPr>
        <w:t xml:space="preserve"> </w:t>
      </w:r>
      <w:r w:rsidRPr="0020182A">
        <w:rPr>
          <w:i w:val="0"/>
          <w:iCs w:val="0"/>
          <w:color w:val="auto"/>
          <w:sz w:val="20"/>
          <w:szCs w:val="22"/>
        </w:rPr>
        <w:t>achieved – and that achieving full market maturity is likely to only occur over the long-term. Figure 2</w:t>
      </w:r>
      <w:r w:rsidR="00866788">
        <w:rPr>
          <w:i w:val="0"/>
          <w:iCs w:val="0"/>
          <w:color w:val="auto"/>
          <w:sz w:val="20"/>
          <w:szCs w:val="22"/>
        </w:rPr>
        <w:t xml:space="preserve"> on page </w:t>
      </w:r>
      <w:r w:rsidR="00866788">
        <w:rPr>
          <w:i w:val="0"/>
          <w:iCs w:val="0"/>
          <w:color w:val="auto"/>
          <w:sz w:val="20"/>
          <w:szCs w:val="22"/>
        </w:rPr>
        <w:fldChar w:fldCharType="begin"/>
      </w:r>
      <w:r w:rsidR="00866788">
        <w:rPr>
          <w:i w:val="0"/>
          <w:iCs w:val="0"/>
          <w:color w:val="auto"/>
          <w:sz w:val="20"/>
          <w:szCs w:val="22"/>
        </w:rPr>
        <w:instrText xml:space="preserve"> PAGEREF _Ref531349920 \h </w:instrText>
      </w:r>
      <w:r w:rsidR="00866788">
        <w:rPr>
          <w:i w:val="0"/>
          <w:iCs w:val="0"/>
          <w:color w:val="auto"/>
          <w:sz w:val="20"/>
          <w:szCs w:val="22"/>
        </w:rPr>
      </w:r>
      <w:r w:rsidR="00866788">
        <w:rPr>
          <w:i w:val="0"/>
          <w:iCs w:val="0"/>
          <w:color w:val="auto"/>
          <w:sz w:val="20"/>
          <w:szCs w:val="22"/>
        </w:rPr>
        <w:fldChar w:fldCharType="separate"/>
      </w:r>
      <w:r w:rsidR="00502D19">
        <w:rPr>
          <w:i w:val="0"/>
          <w:iCs w:val="0"/>
          <w:noProof/>
          <w:color w:val="auto"/>
          <w:sz w:val="20"/>
          <w:szCs w:val="22"/>
        </w:rPr>
        <w:t>8</w:t>
      </w:r>
      <w:r w:rsidR="00866788">
        <w:rPr>
          <w:i w:val="0"/>
          <w:iCs w:val="0"/>
          <w:color w:val="auto"/>
          <w:sz w:val="20"/>
          <w:szCs w:val="22"/>
        </w:rPr>
        <w:fldChar w:fldCharType="end"/>
      </w:r>
      <w:r w:rsidR="00866788">
        <w:rPr>
          <w:i w:val="0"/>
          <w:iCs w:val="0"/>
          <w:color w:val="auto"/>
          <w:sz w:val="20"/>
          <w:szCs w:val="22"/>
        </w:rPr>
        <w:t xml:space="preserve"> </w:t>
      </w:r>
      <w:r w:rsidRPr="0020182A">
        <w:rPr>
          <w:i w:val="0"/>
          <w:iCs w:val="0"/>
          <w:color w:val="auto"/>
          <w:sz w:val="20"/>
          <w:szCs w:val="22"/>
        </w:rPr>
        <w:t>outlines</w:t>
      </w:r>
      <w:r w:rsidR="00866788">
        <w:rPr>
          <w:i w:val="0"/>
          <w:iCs w:val="0"/>
          <w:color w:val="auto"/>
          <w:sz w:val="20"/>
          <w:szCs w:val="22"/>
        </w:rPr>
        <w:t xml:space="preserve"> the</w:t>
      </w:r>
      <w:r w:rsidRPr="0020182A">
        <w:rPr>
          <w:i w:val="0"/>
          <w:iCs w:val="0"/>
          <w:color w:val="auto"/>
          <w:sz w:val="20"/>
          <w:szCs w:val="22"/>
        </w:rPr>
        <w:t xml:space="preserve"> expected SDA market characteristics at different stages of SDA market development. </w:t>
      </w:r>
    </w:p>
    <w:p w:rsidR="004C1E30" w:rsidRPr="0020182A" w:rsidRDefault="004C1E30" w:rsidP="004C1E30">
      <w:pPr>
        <w:pStyle w:val="BodyText1"/>
      </w:pPr>
      <w:r w:rsidRPr="0020182A">
        <w:t>Evidence indicates that the SDA market is a new market and still developing (in the “short-term” stage of market development in Figure 2). Participants and providers are still gaining familiarity with the SDA settings. Supply is still in the process of developing, and there are long lead times for construction of SDA properties. Finally, the NDIS is still rolling out across Australia, and full Scheme will not be reached in most jurisdictions until 2019-20</w:t>
      </w:r>
      <w:r w:rsidR="00A61A39" w:rsidRPr="0020182A">
        <w:t>.</w:t>
      </w:r>
      <w:r w:rsidRPr="0020182A">
        <w:rPr>
          <w:rStyle w:val="FootnoteReference"/>
        </w:rPr>
        <w:footnoteReference w:id="3"/>
      </w:r>
    </w:p>
    <w:p w:rsidR="001A16F4" w:rsidRDefault="004C1E30" w:rsidP="004C1E30">
      <w:pPr>
        <w:pStyle w:val="BodyText1"/>
      </w:pPr>
      <w:r w:rsidRPr="0020182A">
        <w:t xml:space="preserve">Awareness and understanding of SDA is increasing, though supply and participants’ choice remains limited. Implementation of SDA is also increasing as the NDIS rolls out and </w:t>
      </w:r>
      <w:r w:rsidR="002E328D" w:rsidRPr="0020182A">
        <w:t xml:space="preserve">as </w:t>
      </w:r>
      <w:r w:rsidRPr="0020182A">
        <w:t>more participants</w:t>
      </w:r>
      <w:r w:rsidR="00264835" w:rsidRPr="0020182A">
        <w:t xml:space="preserve"> </w:t>
      </w:r>
      <w:r w:rsidRPr="0020182A">
        <w:t xml:space="preserve">transition into the Scheme. </w:t>
      </w:r>
    </w:p>
    <w:p w:rsidR="003C40B6" w:rsidRPr="004E18B5" w:rsidRDefault="001A16F4" w:rsidP="003C40B6">
      <w:pPr>
        <w:pStyle w:val="BodyText1"/>
      </w:pPr>
      <w:r w:rsidRPr="00204436">
        <w:t xml:space="preserve">As at </w:t>
      </w:r>
      <w:r>
        <w:t xml:space="preserve">September </w:t>
      </w:r>
      <w:r w:rsidRPr="00204436">
        <w:t xml:space="preserve">2018 there were </w:t>
      </w:r>
      <w:r w:rsidR="003C40B6">
        <w:t xml:space="preserve">almost </w:t>
      </w:r>
      <w:r>
        <w:t>9,</w:t>
      </w:r>
      <w:r w:rsidR="003C40B6">
        <w:t>600</w:t>
      </w:r>
      <w:r w:rsidRPr="00204436">
        <w:t xml:space="preserve"> participants with SDA approved in their NDIS plans</w:t>
      </w:r>
      <w:r>
        <w:t xml:space="preserve"> (or 4.8% of active participants)</w:t>
      </w:r>
      <w:r w:rsidRPr="00204436">
        <w:t xml:space="preserve">. </w:t>
      </w:r>
      <w:r w:rsidR="003C40B6">
        <w:t>This is less than the Productivity Commission’s estimate. However, a</w:t>
      </w:r>
      <w:r w:rsidR="003C40B6" w:rsidRPr="00F06A5B">
        <w:t xml:space="preserve">s at end September 2018, 14,000 </w:t>
      </w:r>
      <w:r w:rsidR="003C40B6">
        <w:t xml:space="preserve">active </w:t>
      </w:r>
      <w:r w:rsidR="003C40B6" w:rsidRPr="00F06A5B">
        <w:t xml:space="preserve">participants had SIL funding included in their plans (including the </w:t>
      </w:r>
      <w:r w:rsidR="003C40B6">
        <w:t xml:space="preserve">almost </w:t>
      </w:r>
      <w:r w:rsidR="003C40B6" w:rsidRPr="00F06A5B">
        <w:t>9,</w:t>
      </w:r>
      <w:r w:rsidR="003C40B6">
        <w:t xml:space="preserve">600 </w:t>
      </w:r>
      <w:r w:rsidR="003C40B6" w:rsidRPr="00F06A5B">
        <w:t xml:space="preserve">participants with </w:t>
      </w:r>
      <w:r w:rsidR="003C40B6">
        <w:t xml:space="preserve">SIL and </w:t>
      </w:r>
      <w:r w:rsidR="003C40B6" w:rsidRPr="00F06A5B">
        <w:t xml:space="preserve">SDA in their plans, and more than 4,400 participants with SIL but not SDA funding in their plans).  This represents 7.1 per cent of </w:t>
      </w:r>
      <w:r w:rsidR="003C40B6">
        <w:t xml:space="preserve">active </w:t>
      </w:r>
      <w:r w:rsidR="003C40B6" w:rsidRPr="00F06A5B">
        <w:t>participants</w:t>
      </w:r>
      <w:r w:rsidR="003C40B6" w:rsidRPr="00F06A5B">
        <w:rPr>
          <w:rStyle w:val="FootnoteReference"/>
        </w:rPr>
        <w:footnoteReference w:id="4"/>
      </w:r>
      <w:r w:rsidR="003C40B6" w:rsidRPr="00F06A5B">
        <w:t xml:space="preserve"> – higher than the 6.1 per cent of participants that the Productivity Commission estimated as requiring SDA supports.</w:t>
      </w:r>
      <w:r w:rsidR="003C40B6">
        <w:t xml:space="preserve">  </w:t>
      </w:r>
      <w:r w:rsidR="003C40B6">
        <w:rPr>
          <w:bCs/>
        </w:rPr>
        <w:t xml:space="preserve">Participants with </w:t>
      </w:r>
      <w:r w:rsidR="003C40B6" w:rsidRPr="004E18B5">
        <w:rPr>
          <w:bCs/>
        </w:rPr>
        <w:t>SIL</w:t>
      </w:r>
      <w:r w:rsidR="003C40B6">
        <w:rPr>
          <w:bCs/>
        </w:rPr>
        <w:t>/SDA funding in their plans has been increasing over time as participants have transitioned into the Scheme</w:t>
      </w:r>
      <w:r w:rsidR="003C40B6">
        <w:t>.</w:t>
      </w:r>
    </w:p>
    <w:p w:rsidR="004C1E30" w:rsidRPr="0020182A" w:rsidRDefault="004C1E30" w:rsidP="004C1E30">
      <w:pPr>
        <w:pStyle w:val="BodyText1"/>
      </w:pPr>
    </w:p>
    <w:p w:rsidR="0070209D" w:rsidRPr="0020182A" w:rsidRDefault="00C67677" w:rsidP="002E6567">
      <w:pPr>
        <w:pStyle w:val="Caption"/>
        <w:keepNext/>
      </w:pPr>
      <w:bookmarkStart w:id="7" w:name="_Ref531349920"/>
      <w:r w:rsidRPr="0020182A">
        <w:lastRenderedPageBreak/>
        <w:t xml:space="preserve">Figure </w:t>
      </w:r>
      <w:r w:rsidR="0061016A" w:rsidRPr="0020182A">
        <w:rPr>
          <w:noProof/>
        </w:rPr>
        <w:fldChar w:fldCharType="begin"/>
      </w:r>
      <w:r w:rsidR="0061016A" w:rsidRPr="0020182A">
        <w:rPr>
          <w:noProof/>
        </w:rPr>
        <w:instrText xml:space="preserve"> SEQ Figure \* ARABIC </w:instrText>
      </w:r>
      <w:r w:rsidR="0061016A" w:rsidRPr="0020182A">
        <w:rPr>
          <w:noProof/>
        </w:rPr>
        <w:fldChar w:fldCharType="separate"/>
      </w:r>
      <w:r w:rsidR="00502D19">
        <w:rPr>
          <w:noProof/>
        </w:rPr>
        <w:t>2</w:t>
      </w:r>
      <w:r w:rsidR="0061016A" w:rsidRPr="0020182A">
        <w:rPr>
          <w:noProof/>
        </w:rPr>
        <w:fldChar w:fldCharType="end"/>
      </w:r>
      <w:r w:rsidRPr="0020182A">
        <w:t>: SDA market characteristics over time</w:t>
      </w:r>
      <w:bookmarkEnd w:id="7"/>
    </w:p>
    <w:p w:rsidR="00C67677" w:rsidRPr="0020182A" w:rsidRDefault="00233AC1" w:rsidP="002E6567">
      <w:pPr>
        <w:pStyle w:val="Caption"/>
        <w:keepNext/>
      </w:pPr>
      <w:r>
        <w:rPr>
          <w:noProof/>
          <w:lang w:eastAsia="en-AU"/>
        </w:rPr>
        <w:drawing>
          <wp:inline distT="0" distB="0" distL="0" distR="0" wp14:anchorId="008B7A7E">
            <wp:extent cx="5951738" cy="7818755"/>
            <wp:effectExtent l="0" t="0" r="0" b="0"/>
            <wp:docPr id="501" name="Picture 501" descr="SDA market characteristics over the short-term, medium-term and long-term. More details found in the text above. &#10;Short term:&#10;- a small market populated by early adopters and first movers&#10;- choice, supply and competition are limited due to scale of early investment&#10;- providers, investors and participants are building an awarness of the market rules, in order to understand potential opportunities and level of risk associated with market entry&#10;- regulatory provisions being finalised&#10;- inconsistent/ unsophisticated arrangements for allocating supports (SIL) to SDA properties&#10;In the medium term:&#10;- a growing market with a larger number of mainstream providers and investors actively engaged in SDA provision&#10;- greater supply of SDA dwellings, due to new providers as well as existing providers expanding their numbers of SDA dwellings&#10;- new types of market entrants aside from early movers and traditional accommodation providers&#10;- clearer rules of engagement for all stakeholders, with greater market information symmetry for both demand for SDA dwellings and current/planned supply&#10;- greater choice and emergence of different or innovative housing models for Scheme participants&#10;- emergence of new support mechanisms for the market such as provider and participant matching services, participant supports etc&#10;- clearer and improved interactions between SDA and SIL&#10;In the long-term:&#10;- market is categorised by innovative models driven by consumer choice adn control for participants&#10;- information symmetry suppors for development of supply&#10;- participants are able to successfully navigate the market&#10;- desired level of supply for participants is achieved&#10;- provers have lower barriers to entry through reduced costs for raising capital&#10;- tested ad known parameters for the market including greater understanding of how funding is provider&#10;- greater market consolidation around providers/ investors with successful models&#10;" title="Figure 2: SDA market characteristics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53485" cy="7821050"/>
                    </a:xfrm>
                    <a:prstGeom prst="rect">
                      <a:avLst/>
                    </a:prstGeom>
                    <a:noFill/>
                  </pic:spPr>
                </pic:pic>
              </a:graphicData>
            </a:graphic>
          </wp:inline>
        </w:drawing>
      </w:r>
    </w:p>
    <w:p w:rsidR="00C67677" w:rsidRPr="0020182A" w:rsidRDefault="00C67677" w:rsidP="00C67677">
      <w:pPr>
        <w:pStyle w:val="Caption"/>
      </w:pPr>
      <w:r w:rsidRPr="0020182A">
        <w:t>Source: KPMG</w:t>
      </w:r>
    </w:p>
    <w:p w:rsidR="00C67677" w:rsidRPr="0020182A" w:rsidRDefault="00C67677" w:rsidP="00C67677">
      <w:pPr>
        <w:pStyle w:val="Heading2option2"/>
        <w:numPr>
          <w:ilvl w:val="0"/>
          <w:numId w:val="0"/>
        </w:numPr>
        <w:spacing w:before="240" w:after="0"/>
      </w:pPr>
      <w:r w:rsidRPr="0020182A">
        <w:lastRenderedPageBreak/>
        <w:t>Review of the SDA Framework</w:t>
      </w:r>
    </w:p>
    <w:p w:rsidR="001C6392" w:rsidRPr="0020182A" w:rsidRDefault="00C67677" w:rsidP="00C67677">
      <w:pPr>
        <w:pStyle w:val="BodyText1"/>
      </w:pPr>
      <w:r w:rsidRPr="0020182A">
        <w:t xml:space="preserve">In endorsing the SDA Framework, DRC required that the </w:t>
      </w:r>
      <w:r w:rsidR="007D310C" w:rsidRPr="0020182A">
        <w:t xml:space="preserve">SDA </w:t>
      </w:r>
      <w:r w:rsidRPr="0020182A">
        <w:t xml:space="preserve">Framework be reviewed in its third year of operation (or earlier if deemed necessary), to consider the early impact of the SDA Framework on the level of investment in SDA and to address emerging concerns of investors, providers, and NDIS participants seeking SDA as part of their NDIS plan.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erms of reference for the review"/>
        <w:tblDescription w:val="Outlines the scope for the current review"/>
      </w:tblPr>
      <w:tblGrid>
        <w:gridCol w:w="284"/>
        <w:gridCol w:w="8776"/>
      </w:tblGrid>
      <w:tr w:rsidR="00EE0AB7" w:rsidRPr="0020182A" w:rsidTr="00D43B07">
        <w:trPr>
          <w:trHeight w:val="7453"/>
          <w:tblHeader/>
        </w:trPr>
        <w:tc>
          <w:tcPr>
            <w:tcW w:w="284" w:type="dxa"/>
          </w:tcPr>
          <w:p w:rsidR="001C6392" w:rsidRPr="0020182A" w:rsidRDefault="001C6392" w:rsidP="00C0576E"/>
        </w:tc>
        <w:tc>
          <w:tcPr>
            <w:tcW w:w="8776" w:type="dxa"/>
            <w:shd w:val="clear" w:color="auto" w:fill="0091DA" w:themeFill="accent2"/>
          </w:tcPr>
          <w:p w:rsidR="001C6392" w:rsidRPr="0020182A" w:rsidRDefault="001C6392" w:rsidP="001C6392">
            <w:pPr>
              <w:pStyle w:val="BodyText1"/>
              <w:rPr>
                <w:rFonts w:eastAsiaTheme="majorEastAsia" w:cstheme="majorBidi"/>
                <w:color w:val="FFFFFF" w:themeColor="background1"/>
                <w:sz w:val="32"/>
                <w:szCs w:val="24"/>
              </w:rPr>
            </w:pPr>
            <w:r w:rsidRPr="0020182A">
              <w:rPr>
                <w:rFonts w:eastAsiaTheme="majorEastAsia" w:cstheme="majorBidi"/>
                <w:color w:val="FFFFFF" w:themeColor="background1"/>
                <w:sz w:val="32"/>
                <w:szCs w:val="24"/>
              </w:rPr>
              <w:t>Terms of Reference for the Review</w:t>
            </w:r>
          </w:p>
          <w:p w:rsidR="001C6392" w:rsidRPr="0020182A" w:rsidRDefault="001C6392" w:rsidP="001C6392">
            <w:pPr>
              <w:pStyle w:val="BodyText1"/>
              <w:rPr>
                <w:b/>
                <w:bCs/>
                <w:color w:val="FFFFFF" w:themeColor="background1"/>
              </w:rPr>
            </w:pPr>
            <w:r w:rsidRPr="0020182A">
              <w:rPr>
                <w:b/>
                <w:bCs/>
                <w:color w:val="FFFFFF" w:themeColor="background1"/>
              </w:rPr>
              <w:t>The Terms of Reference (TORs) set by DRC for the Review were:</w:t>
            </w:r>
          </w:p>
          <w:p w:rsidR="001C6392" w:rsidRPr="0020182A" w:rsidRDefault="001C6392" w:rsidP="009B671C">
            <w:pPr>
              <w:pStyle w:val="BodyText1"/>
              <w:numPr>
                <w:ilvl w:val="0"/>
                <w:numId w:val="33"/>
              </w:numPr>
              <w:ind w:left="170" w:hanging="170"/>
              <w:rPr>
                <w:color w:val="FFFFFF" w:themeColor="background1"/>
              </w:rPr>
            </w:pPr>
            <w:r w:rsidRPr="0020182A">
              <w:rPr>
                <w:color w:val="FFFFFF" w:themeColor="background1"/>
              </w:rPr>
              <w:t>The Review w</w:t>
            </w:r>
            <w:r w:rsidR="00B449A1" w:rsidRPr="0020182A">
              <w:rPr>
                <w:color w:val="FFFFFF" w:themeColor="background1"/>
              </w:rPr>
              <w:t xml:space="preserve">ill examine whether the current </w:t>
            </w:r>
            <w:r w:rsidRPr="0020182A">
              <w:rPr>
                <w:color w:val="FFFFFF" w:themeColor="background1"/>
              </w:rPr>
              <w:t>Framework:</w:t>
            </w:r>
          </w:p>
          <w:p w:rsidR="001C6392" w:rsidRPr="0020182A" w:rsidRDefault="001C6392" w:rsidP="009B671C">
            <w:pPr>
              <w:pStyle w:val="BodyText1"/>
              <w:numPr>
                <w:ilvl w:val="1"/>
                <w:numId w:val="33"/>
              </w:numPr>
              <w:ind w:right="447"/>
              <w:rPr>
                <w:color w:val="FFFFFF" w:themeColor="background1"/>
              </w:rPr>
            </w:pPr>
            <w:r w:rsidRPr="0020182A">
              <w:rPr>
                <w:color w:val="FFFFFF" w:themeColor="background1"/>
              </w:rPr>
              <w:t>allows the National Disability Insurance Agency to set appropriate levels of fund</w:t>
            </w:r>
            <w:r w:rsidR="00656DCB" w:rsidRPr="0020182A">
              <w:rPr>
                <w:color w:val="FFFFFF" w:themeColor="background1"/>
              </w:rPr>
              <w:t>ing for individual participants</w:t>
            </w:r>
          </w:p>
          <w:p w:rsidR="001C6392" w:rsidRPr="0020182A" w:rsidRDefault="001C6392" w:rsidP="009B671C">
            <w:pPr>
              <w:pStyle w:val="BodyText1"/>
              <w:numPr>
                <w:ilvl w:val="1"/>
                <w:numId w:val="33"/>
              </w:numPr>
              <w:ind w:right="447"/>
              <w:rPr>
                <w:color w:val="FFFFFF" w:themeColor="background1"/>
              </w:rPr>
            </w:pPr>
            <w:r w:rsidRPr="0020182A">
              <w:rPr>
                <w:color w:val="FFFFFF" w:themeColor="background1"/>
              </w:rPr>
              <w:t>supports the delivery of SDA in sufficient volume and form to meet demand from NDIS participants, noting that efficient investment is dependent on develo</w:t>
            </w:r>
            <w:r w:rsidR="00656DCB" w:rsidRPr="0020182A">
              <w:rPr>
                <w:color w:val="FFFFFF" w:themeColor="background1"/>
              </w:rPr>
              <w:t>pers’ access to capital markets</w:t>
            </w:r>
          </w:p>
          <w:p w:rsidR="001C6392" w:rsidRPr="0020182A" w:rsidRDefault="001C6392" w:rsidP="009B671C">
            <w:pPr>
              <w:pStyle w:val="BodyText1"/>
              <w:numPr>
                <w:ilvl w:val="1"/>
                <w:numId w:val="33"/>
              </w:numPr>
              <w:ind w:right="447"/>
              <w:rPr>
                <w:color w:val="FFFFFF" w:themeColor="background1"/>
              </w:rPr>
            </w:pPr>
            <w:r w:rsidRPr="0020182A">
              <w:rPr>
                <w:color w:val="FFFFFF" w:themeColor="background1"/>
              </w:rPr>
              <w:t>enables innovation by SDA providers and the devel</w:t>
            </w:r>
            <w:r w:rsidR="00656DCB" w:rsidRPr="0020182A">
              <w:rPr>
                <w:color w:val="FFFFFF" w:themeColor="background1"/>
              </w:rPr>
              <w:t>opment of quality accommodation</w:t>
            </w:r>
          </w:p>
          <w:p w:rsidR="001C6392" w:rsidRPr="0020182A" w:rsidRDefault="001C6392" w:rsidP="009B671C">
            <w:pPr>
              <w:pStyle w:val="BodyText1"/>
              <w:numPr>
                <w:ilvl w:val="1"/>
                <w:numId w:val="33"/>
              </w:numPr>
              <w:ind w:right="447"/>
              <w:rPr>
                <w:color w:val="FFFFFF" w:themeColor="background1"/>
              </w:rPr>
            </w:pPr>
            <w:r w:rsidRPr="0020182A">
              <w:rPr>
                <w:color w:val="FFFFFF" w:themeColor="background1"/>
              </w:rPr>
              <w:t>enables participants to exercise choice and control, and maximise independent lifestyles</w:t>
            </w:r>
            <w:r w:rsidR="00656DCB" w:rsidRPr="0020182A">
              <w:rPr>
                <w:color w:val="FFFFFF" w:themeColor="background1"/>
              </w:rPr>
              <w:t xml:space="preserve"> and inclusion in the community</w:t>
            </w:r>
          </w:p>
          <w:p w:rsidR="001C6392" w:rsidRPr="0020182A" w:rsidRDefault="001C6392" w:rsidP="009B671C">
            <w:pPr>
              <w:pStyle w:val="BodyText1"/>
              <w:numPr>
                <w:ilvl w:val="1"/>
                <w:numId w:val="33"/>
              </w:numPr>
              <w:ind w:right="447"/>
              <w:rPr>
                <w:color w:val="FFFFFF" w:themeColor="background1"/>
              </w:rPr>
            </w:pPr>
            <w:r w:rsidRPr="0020182A">
              <w:rPr>
                <w:color w:val="FFFFFF" w:themeColor="background1"/>
              </w:rPr>
              <w:t>provides opportunities and incentives for participants to consider value</w:t>
            </w:r>
            <w:r w:rsidRPr="0020182A">
              <w:rPr>
                <w:rFonts w:ascii="Times New Roman" w:hAnsi="Times New Roman" w:cs="Times New Roman"/>
                <w:color w:val="FFFFFF" w:themeColor="background1"/>
              </w:rPr>
              <w:t>‑</w:t>
            </w:r>
            <w:r w:rsidRPr="0020182A">
              <w:rPr>
                <w:color w:val="FFFFFF" w:themeColor="background1"/>
              </w:rPr>
              <w:t>for</w:t>
            </w:r>
            <w:r w:rsidRPr="0020182A">
              <w:rPr>
                <w:rFonts w:ascii="Times New Roman" w:hAnsi="Times New Roman" w:cs="Times New Roman"/>
                <w:color w:val="FFFFFF" w:themeColor="background1"/>
              </w:rPr>
              <w:t>‑</w:t>
            </w:r>
            <w:r w:rsidRPr="0020182A">
              <w:rPr>
                <w:color w:val="FFFFFF" w:themeColor="background1"/>
              </w:rPr>
              <w:t>money in the use of their NDIS funds, including SDA as a</w:t>
            </w:r>
            <w:r w:rsidR="00656DCB" w:rsidRPr="0020182A">
              <w:rPr>
                <w:color w:val="FFFFFF" w:themeColor="background1"/>
              </w:rPr>
              <w:t xml:space="preserve"> substitute for other supports</w:t>
            </w:r>
          </w:p>
          <w:p w:rsidR="001C6392" w:rsidRPr="0020182A" w:rsidRDefault="001C6392" w:rsidP="009B671C">
            <w:pPr>
              <w:pStyle w:val="BodyText1"/>
              <w:numPr>
                <w:ilvl w:val="1"/>
                <w:numId w:val="33"/>
              </w:numPr>
              <w:ind w:right="447"/>
              <w:rPr>
                <w:color w:val="FFFFFF" w:themeColor="background1"/>
              </w:rPr>
            </w:pPr>
            <w:r w:rsidRPr="0020182A">
              <w:rPr>
                <w:color w:val="FFFFFF" w:themeColor="background1"/>
              </w:rPr>
              <w:t>provides flexibility to meet changes in quality and safeguards requirements.</w:t>
            </w:r>
          </w:p>
          <w:p w:rsidR="001C6392" w:rsidRPr="0020182A" w:rsidRDefault="001C6392" w:rsidP="009B671C">
            <w:pPr>
              <w:pStyle w:val="BodyText1"/>
              <w:numPr>
                <w:ilvl w:val="0"/>
                <w:numId w:val="33"/>
              </w:numPr>
              <w:ind w:right="447"/>
              <w:rPr>
                <w:color w:val="FFFFFF" w:themeColor="background1"/>
              </w:rPr>
            </w:pPr>
            <w:r w:rsidRPr="0020182A">
              <w:rPr>
                <w:color w:val="FFFFFF" w:themeColor="background1"/>
              </w:rPr>
              <w:t xml:space="preserve">The Review will examine factors that influence investor decisions to participate in SDA, including ensuring that there is sufficient information for providers to invest and by considering the operation of the </w:t>
            </w:r>
            <w:r w:rsidR="007D310C" w:rsidRPr="0020182A">
              <w:rPr>
                <w:color w:val="FFFFFF" w:themeColor="background1"/>
              </w:rPr>
              <w:t xml:space="preserve">SDA </w:t>
            </w:r>
            <w:r w:rsidRPr="0020182A">
              <w:rPr>
                <w:color w:val="FFFFFF" w:themeColor="background1"/>
              </w:rPr>
              <w:t>Framework and lessons learned to date.</w:t>
            </w:r>
          </w:p>
          <w:p w:rsidR="001C6392" w:rsidRPr="0020182A" w:rsidRDefault="001C6392" w:rsidP="009B671C">
            <w:pPr>
              <w:pStyle w:val="BodyText1"/>
              <w:numPr>
                <w:ilvl w:val="0"/>
                <w:numId w:val="33"/>
              </w:numPr>
              <w:ind w:right="447"/>
              <w:rPr>
                <w:color w:val="FFFFFF" w:themeColor="background1"/>
              </w:rPr>
            </w:pPr>
            <w:r w:rsidRPr="0020182A">
              <w:rPr>
                <w:color w:val="FFFFFF" w:themeColor="background1"/>
              </w:rPr>
              <w:t>The Review will also consider the impact of price controls and scheduled framework and pricing reviews on achieving efficient outcomes.</w:t>
            </w:r>
          </w:p>
          <w:p w:rsidR="001C6392" w:rsidRPr="0020182A" w:rsidRDefault="001C6392" w:rsidP="009B671C">
            <w:pPr>
              <w:pStyle w:val="BodyText1"/>
              <w:numPr>
                <w:ilvl w:val="0"/>
                <w:numId w:val="33"/>
              </w:numPr>
              <w:ind w:right="447"/>
              <w:rPr>
                <w:color w:val="FFFFFF" w:themeColor="background1"/>
              </w:rPr>
            </w:pPr>
            <w:r w:rsidRPr="0020182A">
              <w:rPr>
                <w:color w:val="FFFFFF" w:themeColor="background1"/>
              </w:rPr>
              <w:t xml:space="preserve">The Review will identify options for the development of participant funding arrangements, and ongoing funding certainty, and other market settings to improve or replace the current </w:t>
            </w:r>
            <w:r w:rsidR="007D310C" w:rsidRPr="0020182A">
              <w:rPr>
                <w:color w:val="FFFFFF" w:themeColor="background1"/>
              </w:rPr>
              <w:t>SDA</w:t>
            </w:r>
            <w:r w:rsidR="006C4413" w:rsidRPr="0020182A">
              <w:rPr>
                <w:color w:val="FFFFFF" w:themeColor="background1"/>
              </w:rPr>
              <w:t xml:space="preserve"> </w:t>
            </w:r>
            <w:r w:rsidRPr="0020182A">
              <w:rPr>
                <w:color w:val="FFFFFF" w:themeColor="background1"/>
              </w:rPr>
              <w:t>Framework. Consideration should be given to the impact of any changes on participant welfare, SDA industry development, including existing provider stock, and the financial sustainability of the NDIS.</w:t>
            </w:r>
          </w:p>
        </w:tc>
      </w:tr>
    </w:tbl>
    <w:p w:rsidR="00C15F78" w:rsidRPr="0020182A" w:rsidRDefault="00C15F78" w:rsidP="001C6392">
      <w:pPr>
        <w:pStyle w:val="BodyText1"/>
        <w:rPr>
          <w:rFonts w:eastAsiaTheme="majorEastAsia" w:cstheme="majorBidi"/>
          <w:color w:val="0091DA" w:themeColor="accent2"/>
          <w:sz w:val="32"/>
          <w:szCs w:val="24"/>
        </w:rPr>
        <w:sectPr w:rsidR="00C15F78" w:rsidRPr="0020182A" w:rsidSect="004B3F2E">
          <w:headerReference w:type="default" r:id="rId21"/>
          <w:pgSz w:w="11906" w:h="16838"/>
          <w:pgMar w:top="1418" w:right="1418" w:bottom="1701" w:left="1418" w:header="340" w:footer="454" w:gutter="0"/>
          <w:cols w:space="708"/>
          <w:docGrid w:linePitch="360"/>
        </w:sectPr>
      </w:pPr>
    </w:p>
    <w:p w:rsidR="00C67677" w:rsidRPr="0020182A" w:rsidRDefault="00C67677" w:rsidP="00D50204">
      <w:pPr>
        <w:pStyle w:val="Heading3"/>
      </w:pPr>
      <w:r w:rsidRPr="0020182A">
        <w:lastRenderedPageBreak/>
        <w:t>Focus and approach to the Review</w:t>
      </w:r>
    </w:p>
    <w:p w:rsidR="00D60E7F" w:rsidRPr="0020182A" w:rsidRDefault="00D60E7F" w:rsidP="00D60E7F">
      <w:pPr>
        <w:pStyle w:val="BodyText1"/>
      </w:pPr>
      <w:r w:rsidRPr="0020182A">
        <w:t>The Review was commissioned in early 2018 at an early stage of SDA market development</w:t>
      </w:r>
      <w:r w:rsidR="006C2E48" w:rsidRPr="0020182A">
        <w:t xml:space="preserve">.  </w:t>
      </w:r>
      <w:r w:rsidRPr="0020182A">
        <w:t>SDA pricing arrangements and allocation of SD</w:t>
      </w:r>
      <w:r w:rsidR="007A5597" w:rsidRPr="0020182A">
        <w:t xml:space="preserve">A funding in participant plans </w:t>
      </w:r>
      <w:r w:rsidR="006C2E48" w:rsidRPr="0020182A">
        <w:t xml:space="preserve">are </w:t>
      </w:r>
      <w:r w:rsidRPr="0020182A">
        <w:t xml:space="preserve">still </w:t>
      </w:r>
      <w:r w:rsidR="006C2E48" w:rsidRPr="0020182A">
        <w:t>developing</w:t>
      </w:r>
      <w:r w:rsidR="007A5597" w:rsidRPr="0020182A">
        <w:t xml:space="preserve">, </w:t>
      </w:r>
      <w:r w:rsidR="006C2E48" w:rsidRPr="0020182A">
        <w:t xml:space="preserve">along with </w:t>
      </w:r>
      <w:r w:rsidR="007A5597" w:rsidRPr="0020182A">
        <w:t xml:space="preserve">the NDIS itself </w:t>
      </w:r>
      <w:r w:rsidRPr="0020182A">
        <w:t>still transition</w:t>
      </w:r>
      <w:r w:rsidR="006C2E48" w:rsidRPr="0020182A">
        <w:t>ing</w:t>
      </w:r>
      <w:r w:rsidRPr="0020182A">
        <w:t xml:space="preserve"> in a number of jurisdic</w:t>
      </w:r>
      <w:r w:rsidR="007A5597" w:rsidRPr="0020182A">
        <w:t>tions</w:t>
      </w:r>
      <w:r w:rsidR="006C2E48" w:rsidRPr="0020182A">
        <w:t>.</w:t>
      </w:r>
      <w:r w:rsidRPr="0020182A">
        <w:t xml:space="preserve"> </w:t>
      </w:r>
    </w:p>
    <w:p w:rsidR="00D60E7F" w:rsidRPr="0020182A" w:rsidRDefault="00D60E7F" w:rsidP="00D60E7F">
      <w:pPr>
        <w:pStyle w:val="BodyText1"/>
      </w:pPr>
      <w:r w:rsidRPr="0020182A">
        <w:t xml:space="preserve">As such, the focus of this Review has been on </w:t>
      </w:r>
      <w:r w:rsidR="006C2E48" w:rsidRPr="0020182A">
        <w:t xml:space="preserve">considering </w:t>
      </w:r>
      <w:r w:rsidRPr="0020182A">
        <w:t xml:space="preserve">the adequacy of the SDA Framework in establishing the “building blocks” necessary to achieve desired SDA outcomes (for example, in terms of market growth, access, choice and control), and whether there is evidence of progress towards achieving SDA outcomes. The Review examined whether the parameters included in the SDA Framework are the most effective mechanism for supporting a strong market response to specialist housing for eligible NDIS participants over time. </w:t>
      </w:r>
    </w:p>
    <w:p w:rsidR="00C67677" w:rsidRPr="0020182A" w:rsidRDefault="00D60E7F" w:rsidP="00D60E7F">
      <w:pPr>
        <w:pStyle w:val="BodyText1"/>
      </w:pPr>
      <w:r w:rsidRPr="0020182A">
        <w:t>The Review has been guided by a Review framework developed in consultation with</w:t>
      </w:r>
      <w:r w:rsidR="002E328D" w:rsidRPr="0020182A">
        <w:t xml:space="preserve"> the Department of Social Services (</w:t>
      </w:r>
      <w:r w:rsidRPr="0020182A">
        <w:t>DSS</w:t>
      </w:r>
      <w:r w:rsidR="002E328D" w:rsidRPr="0020182A">
        <w:t>)</w:t>
      </w:r>
      <w:r w:rsidRPr="0020182A">
        <w:t xml:space="preserve">. Further, evidence and findings considered the unique features of the SDA market (and how it differs from other markets, and other </w:t>
      </w:r>
      <w:r w:rsidR="00CD5AA9">
        <w:t xml:space="preserve">infrastructure </w:t>
      </w:r>
      <w:r w:rsidRPr="0020182A">
        <w:t>markets) and in terms of how a well-functioning SDA market should ideally operate. The elements of a well-functioning SDA market are outlined in the following Figure 3</w:t>
      </w:r>
      <w:r w:rsidR="00866788">
        <w:t xml:space="preserve">. It is these elements that </w:t>
      </w:r>
      <w:r w:rsidR="006A28D2">
        <w:t>have formed the basis for the</w:t>
      </w:r>
      <w:r w:rsidRPr="0020182A">
        <w:t xml:space="preserve"> </w:t>
      </w:r>
      <w:r w:rsidR="007A5597" w:rsidRPr="0020182A">
        <w:t xml:space="preserve">Review </w:t>
      </w:r>
      <w:r w:rsidRPr="0020182A">
        <w:t>Framework that has been employed to undertake the review in response to the TOR issued by DRC.</w:t>
      </w:r>
      <w:r w:rsidR="00C67677" w:rsidRPr="0020182A">
        <w:br w:type="page"/>
      </w:r>
    </w:p>
    <w:p w:rsidR="00C67677" w:rsidRPr="0020182A" w:rsidRDefault="00C67677" w:rsidP="00C67677">
      <w:pPr>
        <w:pStyle w:val="Caption"/>
      </w:pPr>
      <w:bookmarkStart w:id="8" w:name="_Ref522192317"/>
      <w:r w:rsidRPr="0020182A">
        <w:lastRenderedPageBreak/>
        <w:t xml:space="preserve">Figure </w:t>
      </w:r>
      <w:r w:rsidR="00A33310" w:rsidRPr="0020182A">
        <w:rPr>
          <w:noProof/>
        </w:rPr>
        <w:fldChar w:fldCharType="begin"/>
      </w:r>
      <w:r w:rsidR="00A33310" w:rsidRPr="0020182A">
        <w:rPr>
          <w:noProof/>
        </w:rPr>
        <w:instrText xml:space="preserve"> SEQ Figure \* ARABIC </w:instrText>
      </w:r>
      <w:r w:rsidR="00A33310" w:rsidRPr="0020182A">
        <w:rPr>
          <w:noProof/>
        </w:rPr>
        <w:fldChar w:fldCharType="separate"/>
      </w:r>
      <w:r w:rsidR="00502D19">
        <w:rPr>
          <w:noProof/>
        </w:rPr>
        <w:t>3</w:t>
      </w:r>
      <w:r w:rsidR="00A33310" w:rsidRPr="0020182A">
        <w:rPr>
          <w:noProof/>
        </w:rPr>
        <w:fldChar w:fldCharType="end"/>
      </w:r>
      <w:bookmarkEnd w:id="8"/>
      <w:r w:rsidRPr="0020182A">
        <w:t>: Elements of</w:t>
      </w:r>
      <w:r w:rsidR="00D60E7F" w:rsidRPr="0020182A">
        <w:t xml:space="preserve"> a</w:t>
      </w:r>
      <w:r w:rsidRPr="0020182A">
        <w:t xml:space="preserve"> functioning SDA market</w:t>
      </w:r>
    </w:p>
    <w:p w:rsidR="006B3F67" w:rsidRPr="0020182A" w:rsidRDefault="00D60E7F" w:rsidP="00C0576E">
      <w:r w:rsidRPr="0020182A">
        <w:rPr>
          <w:rFonts w:ascii="Arial" w:hAnsi="Arial" w:cs="Arial"/>
          <w:noProof/>
          <w:sz w:val="16"/>
          <w:lang w:eastAsia="en-AU"/>
        </w:rPr>
        <w:drawing>
          <wp:inline distT="0" distB="0" distL="0" distR="0" wp14:anchorId="545A32BE" wp14:editId="1E17D212">
            <wp:extent cx="5759450" cy="7800975"/>
            <wp:effectExtent l="0" t="0" r="0" b="9525"/>
            <wp:docPr id="15" name="Picture 15" descr="Elements of a functioning SDA market in regards to demand, supply as well as efficiency and value for money" title="Figure 3: Elements of a functioning SDA 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g diagram 2 for SDA.png"/>
                    <pic:cNvPicPr/>
                  </pic:nvPicPr>
                  <pic:blipFill>
                    <a:blip r:embed="rId22">
                      <a:extLst>
                        <a:ext uri="{28A0092B-C50C-407E-A947-70E740481C1C}">
                          <a14:useLocalDpi xmlns:a14="http://schemas.microsoft.com/office/drawing/2010/main" val="0"/>
                        </a:ext>
                      </a:extLst>
                    </a:blip>
                    <a:stretch>
                      <a:fillRect/>
                    </a:stretch>
                  </pic:blipFill>
                  <pic:spPr>
                    <a:xfrm>
                      <a:off x="0" y="0"/>
                      <a:ext cx="5759450" cy="7800975"/>
                    </a:xfrm>
                    <a:prstGeom prst="rect">
                      <a:avLst/>
                    </a:prstGeom>
                  </pic:spPr>
                </pic:pic>
              </a:graphicData>
            </a:graphic>
          </wp:inline>
        </w:drawing>
      </w:r>
    </w:p>
    <w:p w:rsidR="00C67677" w:rsidRPr="0020182A" w:rsidRDefault="00C67677" w:rsidP="00C67677">
      <w:pPr>
        <w:pStyle w:val="Caption"/>
      </w:pPr>
      <w:r w:rsidRPr="0020182A">
        <w:t>Source: KPMG</w:t>
      </w:r>
    </w:p>
    <w:p w:rsidR="00C67677" w:rsidRPr="0020182A" w:rsidRDefault="00C67677">
      <w:pPr>
        <w:pStyle w:val="Heading3"/>
      </w:pPr>
      <w:r w:rsidRPr="0020182A">
        <w:lastRenderedPageBreak/>
        <w:t xml:space="preserve">Evidence informing the Review </w:t>
      </w:r>
    </w:p>
    <w:p w:rsidR="00C67677" w:rsidRPr="0020182A" w:rsidRDefault="00C67677" w:rsidP="00C67677">
      <w:pPr>
        <w:pStyle w:val="BodyText1"/>
      </w:pPr>
      <w:r w:rsidRPr="0020182A">
        <w:t xml:space="preserve">A range of </w:t>
      </w:r>
      <w:r w:rsidR="006A28D2">
        <w:t>activities were undertaken to collect and analyse information and data</w:t>
      </w:r>
      <w:r w:rsidR="006A28D2" w:rsidRPr="00204436">
        <w:t xml:space="preserve"> </w:t>
      </w:r>
      <w:r w:rsidRPr="0020182A">
        <w:t>to inform the Review findings, including:</w:t>
      </w:r>
    </w:p>
    <w:p w:rsidR="00D60E7F" w:rsidRPr="008B3E84" w:rsidRDefault="00D60E7F" w:rsidP="008B3E84">
      <w:pPr>
        <w:pStyle w:val="BodyText2"/>
        <w:rPr>
          <w:sz w:val="20"/>
        </w:rPr>
      </w:pPr>
      <w:r w:rsidRPr="008B3E84">
        <w:rPr>
          <w:sz w:val="20"/>
        </w:rPr>
        <w:t xml:space="preserve">Extensive consultation across multiple stakeholder groups  </w:t>
      </w:r>
    </w:p>
    <w:p w:rsidR="00D60E7F" w:rsidRPr="0020182A" w:rsidRDefault="00D60E7F" w:rsidP="00D60E7F">
      <w:pPr>
        <w:pStyle w:val="BodyText1"/>
      </w:pPr>
      <w:r w:rsidRPr="0020182A">
        <w:t>Extensive consultation across multiple stakeholder groups was conducted throughout the course of the Review to ensure a diversity of perspectives were captured. Consultation activities included:</w:t>
      </w:r>
    </w:p>
    <w:p w:rsidR="00D60E7F" w:rsidRPr="0020182A" w:rsidRDefault="007A5597" w:rsidP="009B671C">
      <w:pPr>
        <w:pStyle w:val="BodyText1"/>
        <w:numPr>
          <w:ilvl w:val="0"/>
          <w:numId w:val="39"/>
        </w:numPr>
      </w:pPr>
      <w:r w:rsidRPr="0020182A">
        <w:t>d</w:t>
      </w:r>
      <w:r w:rsidR="00D60E7F" w:rsidRPr="0020182A">
        <w:t>evelopment of a Discussion Paper to provide background and context for the Review and guide th</w:t>
      </w:r>
      <w:r w:rsidRPr="0020182A">
        <w:t>e consultations being conducted</w:t>
      </w:r>
    </w:p>
    <w:p w:rsidR="00D60E7F" w:rsidRPr="0020182A" w:rsidRDefault="00D60E7F" w:rsidP="009B671C">
      <w:pPr>
        <w:pStyle w:val="BodyText1"/>
        <w:numPr>
          <w:ilvl w:val="0"/>
          <w:numId w:val="39"/>
        </w:numPr>
      </w:pPr>
      <w:r w:rsidRPr="0020182A">
        <w:t>18 Roundtable discussions with people with disability, their families and carers, SDA providers, investors, and investor-focussed organis</w:t>
      </w:r>
      <w:r w:rsidR="007A5597" w:rsidRPr="0020182A">
        <w:t>ations (attended by 196 people)</w:t>
      </w:r>
    </w:p>
    <w:p w:rsidR="00D60E7F" w:rsidRPr="0020182A" w:rsidRDefault="00D60E7F" w:rsidP="009B671C">
      <w:pPr>
        <w:pStyle w:val="BodyText1"/>
        <w:numPr>
          <w:ilvl w:val="0"/>
          <w:numId w:val="39"/>
        </w:numPr>
      </w:pPr>
      <w:r w:rsidRPr="0020182A">
        <w:t>25 confidential discussions with thought leaders, key providers and investors who may have been unable to attend one of the roundtables or unwilling to share commercial information and perspectives in an open forum, other interest groups, a</w:t>
      </w:r>
      <w:r w:rsidR="007A5597" w:rsidRPr="0020182A">
        <w:t>s well as with DSS and the NDIA</w:t>
      </w:r>
    </w:p>
    <w:p w:rsidR="00D60E7F" w:rsidRPr="0020182A" w:rsidRDefault="007A5597" w:rsidP="009B671C">
      <w:pPr>
        <w:pStyle w:val="BodyText1"/>
        <w:numPr>
          <w:ilvl w:val="0"/>
          <w:numId w:val="39"/>
        </w:numPr>
      </w:pPr>
      <w:r w:rsidRPr="0020182A">
        <w:t>r</w:t>
      </w:r>
      <w:r w:rsidR="00D60E7F" w:rsidRPr="0020182A">
        <w:t xml:space="preserve">eview of 51 written submissions. </w:t>
      </w:r>
    </w:p>
    <w:p w:rsidR="00D60E7F" w:rsidRPr="008B3E84" w:rsidRDefault="00D60E7F" w:rsidP="008B3E84">
      <w:pPr>
        <w:pStyle w:val="BodyText2"/>
        <w:rPr>
          <w:sz w:val="20"/>
        </w:rPr>
      </w:pPr>
      <w:r w:rsidRPr="008B3E84">
        <w:rPr>
          <w:sz w:val="20"/>
        </w:rPr>
        <w:t xml:space="preserve">Analysis of available data </w:t>
      </w:r>
    </w:p>
    <w:p w:rsidR="00D60E7F" w:rsidRPr="0020182A" w:rsidRDefault="00D60E7F" w:rsidP="00D60E7F">
      <w:pPr>
        <w:pStyle w:val="BodyText1"/>
      </w:pPr>
      <w:r w:rsidRPr="0020182A">
        <w:t>Analysis of available SDA supply and participant data provided by the NDIA was also undertaken to understand how the SDA market has developed since the SDA Framework was endorsed, and characteristics of participants accessing SDA. Specifically, this included analysis of:</w:t>
      </w:r>
    </w:p>
    <w:p w:rsidR="00D60E7F" w:rsidRPr="0020182A" w:rsidRDefault="00D60E7F" w:rsidP="009B671C">
      <w:pPr>
        <w:pStyle w:val="BodyText1"/>
        <w:numPr>
          <w:ilvl w:val="0"/>
          <w:numId w:val="38"/>
        </w:numPr>
      </w:pPr>
      <w:r w:rsidRPr="0020182A">
        <w:t>SDA dwelling registrations over time, by dwelling typ</w:t>
      </w:r>
      <w:r w:rsidR="007A5597" w:rsidRPr="0020182A">
        <w:t>e, design category and location</w:t>
      </w:r>
      <w:r w:rsidRPr="0020182A">
        <w:t xml:space="preserve"> </w:t>
      </w:r>
    </w:p>
    <w:p w:rsidR="00D60E7F" w:rsidRPr="0020182A" w:rsidRDefault="006A28D2" w:rsidP="009B671C">
      <w:pPr>
        <w:pStyle w:val="BodyText1"/>
        <w:numPr>
          <w:ilvl w:val="0"/>
          <w:numId w:val="38"/>
        </w:numPr>
      </w:pPr>
      <w:r>
        <w:t>p</w:t>
      </w:r>
      <w:r w:rsidR="00D60E7F" w:rsidRPr="0020182A">
        <w:t>articipant SDA funding allocations and amounts expended to date.</w:t>
      </w:r>
    </w:p>
    <w:p w:rsidR="00D60E7F" w:rsidRPr="0020182A" w:rsidRDefault="00D60E7F" w:rsidP="00D60E7F">
      <w:pPr>
        <w:pStyle w:val="BodyText1"/>
      </w:pPr>
      <w:r w:rsidRPr="0020182A">
        <w:t xml:space="preserve">The data available for analysis was provided by the NDIA. Participant data was taken at a point in time in </w:t>
      </w:r>
      <w:r w:rsidR="00F61B99">
        <w:t>September</w:t>
      </w:r>
      <w:r w:rsidRPr="0020182A">
        <w:t xml:space="preserve"> 2018, and is only representative of participants who were already deemed eligible for SDA and allocated funding in their NDIS plans. Provider data represented data available to </w:t>
      </w:r>
      <w:r w:rsidR="003C4190">
        <w:t>S</w:t>
      </w:r>
      <w:r w:rsidR="00571DFC">
        <w:t>eptember</w:t>
      </w:r>
      <w:r w:rsidRPr="0020182A">
        <w:t xml:space="preserve"> 2018, and only represents </w:t>
      </w:r>
      <w:r w:rsidR="007A5597" w:rsidRPr="0020182A">
        <w:t xml:space="preserve">SDA </w:t>
      </w:r>
      <w:r w:rsidRPr="0020182A">
        <w:t xml:space="preserve">dwellings </w:t>
      </w:r>
      <w:r w:rsidR="007A5597" w:rsidRPr="0020182A">
        <w:t xml:space="preserve">enrolled </w:t>
      </w:r>
      <w:r w:rsidRPr="0020182A">
        <w:t xml:space="preserve">with the NDIA, </w:t>
      </w:r>
      <w:r w:rsidR="007A5597" w:rsidRPr="0020182A">
        <w:t xml:space="preserve">and does </w:t>
      </w:r>
      <w:r w:rsidRPr="0020182A">
        <w:t xml:space="preserve">not include dwellings that are still under development or in planning. </w:t>
      </w:r>
    </w:p>
    <w:p w:rsidR="00D60E7F" w:rsidRPr="008B3E84" w:rsidRDefault="00D60E7F" w:rsidP="008B3E84">
      <w:pPr>
        <w:pStyle w:val="BodyText2"/>
        <w:rPr>
          <w:sz w:val="20"/>
        </w:rPr>
      </w:pPr>
      <w:r w:rsidRPr="008B3E84">
        <w:rPr>
          <w:sz w:val="20"/>
        </w:rPr>
        <w:t xml:space="preserve">Technical analysis </w:t>
      </w:r>
    </w:p>
    <w:p w:rsidR="00D60E7F" w:rsidRPr="0020182A" w:rsidRDefault="00D60E7F" w:rsidP="00D60E7F">
      <w:pPr>
        <w:pStyle w:val="BodyText1"/>
      </w:pPr>
      <w:r w:rsidRPr="0020182A">
        <w:t>Additional technical analysis and research was also conducted to inform the Review, including:</w:t>
      </w:r>
    </w:p>
    <w:p w:rsidR="00D60E7F" w:rsidRPr="0020182A" w:rsidRDefault="007A5597" w:rsidP="009B671C">
      <w:pPr>
        <w:pStyle w:val="BodyText1"/>
        <w:numPr>
          <w:ilvl w:val="0"/>
          <w:numId w:val="37"/>
        </w:numPr>
      </w:pPr>
      <w:r w:rsidRPr="0020182A">
        <w:t>h</w:t>
      </w:r>
      <w:r w:rsidR="00D60E7F" w:rsidRPr="0020182A">
        <w:t>igh-level analysis of current SDA pricing and payment arrangements (it should be noted that the scope of this Review did not include a detailed review of prices set by the NDIA or assumptions used to determine those prices)</w:t>
      </w:r>
    </w:p>
    <w:p w:rsidR="00D60E7F" w:rsidRPr="0020182A" w:rsidRDefault="007A5597" w:rsidP="009B671C">
      <w:pPr>
        <w:pStyle w:val="BodyText1"/>
        <w:numPr>
          <w:ilvl w:val="0"/>
          <w:numId w:val="37"/>
        </w:numPr>
      </w:pPr>
      <w:r w:rsidRPr="0020182A">
        <w:t>s</w:t>
      </w:r>
      <w:r w:rsidR="00D60E7F" w:rsidRPr="0020182A">
        <w:t>pecific research regarding specialist accommodation and other disability support models, and other housing options and models available for people with disability and other vulnerable groups.</w:t>
      </w:r>
    </w:p>
    <w:p w:rsidR="00C67677" w:rsidRPr="0020182A" w:rsidRDefault="00C67677" w:rsidP="00C67677">
      <w:pPr>
        <w:pStyle w:val="BodyText"/>
        <w:rPr>
          <w:b/>
        </w:rPr>
      </w:pPr>
    </w:p>
    <w:p w:rsidR="00C67677" w:rsidRPr="0020182A" w:rsidRDefault="00C67677" w:rsidP="00C67677">
      <w:pPr>
        <w:pStyle w:val="BodyText"/>
        <w:sectPr w:rsidR="00C67677" w:rsidRPr="0020182A" w:rsidSect="004B3F2E">
          <w:pgSz w:w="11906" w:h="16838"/>
          <w:pgMar w:top="1418" w:right="1418" w:bottom="1701" w:left="1418" w:header="340" w:footer="454" w:gutter="0"/>
          <w:cols w:space="708"/>
          <w:docGrid w:linePitch="360"/>
        </w:sectPr>
      </w:pPr>
    </w:p>
    <w:p w:rsidR="006D6AC5" w:rsidRPr="0020182A" w:rsidRDefault="006D6AC5" w:rsidP="006D6AC5">
      <w:pPr>
        <w:pStyle w:val="HeadingLevel2NoNumber"/>
      </w:pPr>
      <w:r w:rsidRPr="0020182A">
        <w:lastRenderedPageBreak/>
        <w:t xml:space="preserve">Summary of findings </w:t>
      </w:r>
    </w:p>
    <w:p w:rsidR="00DC34BF" w:rsidRPr="0020182A" w:rsidRDefault="006D6AC5" w:rsidP="006D6AC5">
      <w:pPr>
        <w:pStyle w:val="BodyText1"/>
      </w:pPr>
      <w:r w:rsidRPr="0020182A">
        <w:t xml:space="preserve">The Review provided a number of key findings in relation to how the SDA Framework is supporting the development of the SDA market. Broadly, the SDA Framework is well placed to support SDA market development. </w:t>
      </w:r>
      <w:r w:rsidR="00DC34BF" w:rsidRPr="0020182A">
        <w:t xml:space="preserve"> </w:t>
      </w:r>
      <w:r w:rsidRPr="0020182A">
        <w:t xml:space="preserve">However, this Review also identified implementation and operational matters which are impacting adversely on SDA market development. </w:t>
      </w:r>
      <w:r w:rsidR="00DC34BF" w:rsidRPr="0020182A">
        <w:t xml:space="preserve"> </w:t>
      </w:r>
    </w:p>
    <w:p w:rsidR="006D6AC5" w:rsidRPr="0020182A" w:rsidRDefault="00DC34BF" w:rsidP="006D6AC5">
      <w:pPr>
        <w:pStyle w:val="BodyText1"/>
      </w:pPr>
      <w:r w:rsidRPr="0020182A">
        <w:t xml:space="preserve">Outlined </w:t>
      </w:r>
      <w:r w:rsidR="006D6AC5" w:rsidRPr="0020182A">
        <w:t xml:space="preserve">below </w:t>
      </w:r>
      <w:r w:rsidRPr="0020182A">
        <w:t xml:space="preserve">is a summary of the </w:t>
      </w:r>
      <w:r w:rsidR="006D6AC5" w:rsidRPr="0020182A">
        <w:t xml:space="preserve">key findings of the </w:t>
      </w:r>
      <w:r w:rsidRPr="0020182A">
        <w:t>R</w:t>
      </w:r>
      <w:r w:rsidR="006D6AC5" w:rsidRPr="0020182A">
        <w:t>eview</w:t>
      </w:r>
      <w:r w:rsidRPr="0020182A">
        <w:t>.</w:t>
      </w:r>
      <w:r w:rsidR="006D6AC5" w:rsidRPr="0020182A">
        <w:t xml:space="preserve"> </w:t>
      </w:r>
      <w:r w:rsidRPr="0020182A">
        <w:t xml:space="preserve"> </w:t>
      </w:r>
      <w:r w:rsidR="006D6AC5" w:rsidRPr="0020182A">
        <w:t>Findings have been presented in terms of the elements of a well-functioning SDA market, that is, elements relating to:</w:t>
      </w:r>
    </w:p>
    <w:p w:rsidR="006D6AC5" w:rsidRPr="0020182A" w:rsidRDefault="006D6AC5" w:rsidP="009B671C">
      <w:pPr>
        <w:pStyle w:val="Caption"/>
        <w:numPr>
          <w:ilvl w:val="0"/>
          <w:numId w:val="76"/>
        </w:numPr>
        <w:rPr>
          <w:i w:val="0"/>
          <w:iCs w:val="0"/>
          <w:color w:val="auto"/>
          <w:sz w:val="20"/>
          <w:szCs w:val="22"/>
        </w:rPr>
      </w:pPr>
      <w:r w:rsidRPr="0020182A">
        <w:rPr>
          <w:iCs w:val="0"/>
          <w:color w:val="auto"/>
          <w:sz w:val="20"/>
          <w:szCs w:val="22"/>
        </w:rPr>
        <w:t>Demand</w:t>
      </w:r>
      <w:r w:rsidRPr="0020182A">
        <w:rPr>
          <w:i w:val="0"/>
          <w:iCs w:val="0"/>
          <w:color w:val="auto"/>
          <w:sz w:val="20"/>
          <w:szCs w:val="22"/>
        </w:rPr>
        <w:t>, where eligible participants are able to express their preferences and have choice</w:t>
      </w:r>
    </w:p>
    <w:p w:rsidR="006D6AC5" w:rsidRPr="0020182A" w:rsidRDefault="006D6AC5" w:rsidP="009B671C">
      <w:pPr>
        <w:pStyle w:val="Caption"/>
        <w:numPr>
          <w:ilvl w:val="0"/>
          <w:numId w:val="76"/>
        </w:numPr>
        <w:rPr>
          <w:i w:val="0"/>
          <w:iCs w:val="0"/>
          <w:color w:val="auto"/>
          <w:sz w:val="20"/>
          <w:szCs w:val="22"/>
        </w:rPr>
      </w:pPr>
      <w:r w:rsidRPr="0020182A">
        <w:rPr>
          <w:iCs w:val="0"/>
          <w:color w:val="auto"/>
          <w:sz w:val="20"/>
          <w:szCs w:val="22"/>
        </w:rPr>
        <w:t>Supply</w:t>
      </w:r>
      <w:r w:rsidRPr="0020182A">
        <w:rPr>
          <w:i w:val="0"/>
          <w:iCs w:val="0"/>
          <w:color w:val="auto"/>
          <w:sz w:val="20"/>
          <w:szCs w:val="22"/>
        </w:rPr>
        <w:t>, in particular achieving optimal SDA supply and supply mix</w:t>
      </w:r>
    </w:p>
    <w:p w:rsidR="007C09E2" w:rsidRPr="0020182A" w:rsidRDefault="006D6AC5" w:rsidP="009B671C">
      <w:pPr>
        <w:pStyle w:val="Caption"/>
        <w:numPr>
          <w:ilvl w:val="0"/>
          <w:numId w:val="76"/>
        </w:numPr>
        <w:spacing w:before="0"/>
        <w:ind w:left="357" w:hanging="357"/>
      </w:pPr>
      <w:r w:rsidRPr="0020182A">
        <w:rPr>
          <w:iCs w:val="0"/>
          <w:color w:val="auto"/>
          <w:sz w:val="20"/>
          <w:szCs w:val="22"/>
        </w:rPr>
        <w:t>Efficiency and value for money</w:t>
      </w:r>
      <w:r w:rsidRPr="0020182A">
        <w:rPr>
          <w:i w:val="0"/>
          <w:iCs w:val="0"/>
          <w:color w:val="auto"/>
          <w:sz w:val="20"/>
          <w:szCs w:val="22"/>
        </w:rPr>
        <w:t>, where the market balances optimal participant outcomes with Scheme sustainability and value for money.</w:t>
      </w:r>
      <w:r w:rsidR="007C09E2" w:rsidRPr="0020182A">
        <w:t xml:space="preserve"> </w:t>
      </w:r>
    </w:p>
    <w:p w:rsidR="00290960" w:rsidRPr="0020182A" w:rsidRDefault="00290960" w:rsidP="007C09E2">
      <w:pPr>
        <w:pStyle w:val="Heading3"/>
      </w:pPr>
      <w:r w:rsidRPr="0020182A">
        <w:t>Demand</w:t>
      </w:r>
    </w:p>
    <w:p w:rsidR="00932795" w:rsidRPr="005A0F7F" w:rsidRDefault="00932795" w:rsidP="005A0F7F">
      <w:pPr>
        <w:pStyle w:val="BodyText2"/>
        <w:rPr>
          <w:sz w:val="20"/>
        </w:rPr>
      </w:pPr>
      <w:r w:rsidRPr="005A0F7F">
        <w:rPr>
          <w:sz w:val="20"/>
        </w:rPr>
        <w:t>Consumer choice</w:t>
      </w:r>
      <w:r w:rsidR="001E12C2" w:rsidRPr="005A0F7F">
        <w:rPr>
          <w:sz w:val="20"/>
        </w:rPr>
        <w:t xml:space="preserve">: </w:t>
      </w:r>
      <w:r w:rsidR="00575134" w:rsidRPr="005A0F7F">
        <w:rPr>
          <w:sz w:val="20"/>
        </w:rPr>
        <w:t>In a well-functioning SDA market, p</w:t>
      </w:r>
      <w:r w:rsidR="001E12C2" w:rsidRPr="005A0F7F">
        <w:rPr>
          <w:sz w:val="20"/>
        </w:rPr>
        <w:t xml:space="preserve">articipants </w:t>
      </w:r>
      <w:r w:rsidR="00575134" w:rsidRPr="005A0F7F">
        <w:rPr>
          <w:sz w:val="20"/>
        </w:rPr>
        <w:t>should be</w:t>
      </w:r>
      <w:r w:rsidR="001E12C2" w:rsidRPr="005A0F7F">
        <w:rPr>
          <w:sz w:val="20"/>
        </w:rPr>
        <w:t xml:space="preserve"> able to express their preferences to the market and influence the development and provision of SDA which meets their preferences, consistent with the notion</w:t>
      </w:r>
      <w:r w:rsidR="006A28D2" w:rsidRPr="005A0F7F">
        <w:rPr>
          <w:sz w:val="20"/>
        </w:rPr>
        <w:t>s</w:t>
      </w:r>
      <w:r w:rsidR="001E12C2" w:rsidRPr="005A0F7F">
        <w:rPr>
          <w:sz w:val="20"/>
        </w:rPr>
        <w:t xml:space="preserve"> of choice and control</w:t>
      </w:r>
      <w:r w:rsidR="006A28D2" w:rsidRPr="005A0F7F">
        <w:rPr>
          <w:sz w:val="20"/>
        </w:rPr>
        <w:t xml:space="preserve"> and reasonable and necessary supports.</w:t>
      </w:r>
    </w:p>
    <w:p w:rsidR="0049047D" w:rsidRPr="0020182A" w:rsidRDefault="0049047D" w:rsidP="003F2D39">
      <w:pPr>
        <w:pStyle w:val="TableBullet1"/>
        <w:numPr>
          <w:ilvl w:val="0"/>
          <w:numId w:val="0"/>
        </w:numPr>
        <w:spacing w:before="80" w:after="80"/>
        <w:contextualSpacing w:val="0"/>
        <w:rPr>
          <w:rFonts w:cs="Arial"/>
          <w:szCs w:val="20"/>
        </w:rPr>
      </w:pPr>
      <w:r w:rsidRPr="0020182A">
        <w:rPr>
          <w:rFonts w:cs="Arial"/>
          <w:szCs w:val="20"/>
        </w:rPr>
        <w:t>Review findings in relation to consumer choice are:</w:t>
      </w:r>
    </w:p>
    <w:p w:rsidR="00932795" w:rsidRPr="0020182A" w:rsidRDefault="00932795" w:rsidP="003F2D39">
      <w:pPr>
        <w:pStyle w:val="TableBullet1"/>
        <w:numPr>
          <w:ilvl w:val="0"/>
          <w:numId w:val="0"/>
        </w:numPr>
        <w:spacing w:before="80" w:after="80"/>
        <w:contextualSpacing w:val="0"/>
        <w:rPr>
          <w:rFonts w:cs="Arial"/>
          <w:i/>
          <w:szCs w:val="20"/>
        </w:rPr>
      </w:pPr>
      <w:r w:rsidRPr="0020182A">
        <w:rPr>
          <w:rFonts w:cs="Arial"/>
          <w:i/>
          <w:szCs w:val="20"/>
        </w:rPr>
        <w:t xml:space="preserve">Finding 1: The concept of choice is articulated at a theoretical level in the SDA Framework, and the SDA Framework provides guidance to balance choice with reasonable and necessary requirements and cost effectiveness. </w:t>
      </w:r>
    </w:p>
    <w:p w:rsidR="00932795" w:rsidRPr="0020182A" w:rsidRDefault="00932795" w:rsidP="00575134">
      <w:pPr>
        <w:pStyle w:val="TableBullet1"/>
        <w:numPr>
          <w:ilvl w:val="0"/>
          <w:numId w:val="0"/>
        </w:numPr>
        <w:spacing w:before="80" w:after="80"/>
        <w:contextualSpacing w:val="0"/>
        <w:rPr>
          <w:rFonts w:cs="Arial"/>
          <w:szCs w:val="20"/>
        </w:rPr>
      </w:pPr>
      <w:r w:rsidRPr="0020182A">
        <w:rPr>
          <w:rFonts w:cs="Arial"/>
          <w:szCs w:val="20"/>
        </w:rPr>
        <w:t xml:space="preserve">However, </w:t>
      </w:r>
      <w:r w:rsidR="00FD6762" w:rsidRPr="0020182A">
        <w:rPr>
          <w:rFonts w:cs="Arial"/>
          <w:szCs w:val="20"/>
        </w:rPr>
        <w:t xml:space="preserve">in practice participants eligible for SDA, and in particular those who are not already living in an existing SDA property, have limited choice due to a lack of SDA dwellings and vacancies.  Further, </w:t>
      </w:r>
      <w:r w:rsidRPr="0020182A">
        <w:rPr>
          <w:rFonts w:cs="Arial"/>
          <w:szCs w:val="20"/>
        </w:rPr>
        <w:t xml:space="preserve">the </w:t>
      </w:r>
      <w:r w:rsidR="00FD6762" w:rsidRPr="0020182A">
        <w:rPr>
          <w:rFonts w:cs="Arial"/>
          <w:szCs w:val="20"/>
        </w:rPr>
        <w:t xml:space="preserve">Rules mean that the SDA participant planning process is relatively complex, and </w:t>
      </w:r>
      <w:r w:rsidRPr="0020182A">
        <w:rPr>
          <w:rFonts w:cs="Arial"/>
          <w:szCs w:val="20"/>
        </w:rPr>
        <w:t>does not facilitate a discussion about options and possible funding trade-offs in decisions around SDA and other supports</w:t>
      </w:r>
      <w:r w:rsidR="00FD6762" w:rsidRPr="0020182A">
        <w:rPr>
          <w:rFonts w:cs="Arial"/>
          <w:szCs w:val="20"/>
        </w:rPr>
        <w:t>.</w:t>
      </w:r>
    </w:p>
    <w:p w:rsidR="00932795" w:rsidRPr="0020182A" w:rsidRDefault="00932795" w:rsidP="00932795">
      <w:pPr>
        <w:pStyle w:val="TableBullet1"/>
        <w:numPr>
          <w:ilvl w:val="0"/>
          <w:numId w:val="0"/>
        </w:numPr>
        <w:spacing w:before="120" w:after="80"/>
        <w:contextualSpacing w:val="0"/>
        <w:rPr>
          <w:rFonts w:cs="Arial"/>
          <w:i/>
          <w:szCs w:val="20"/>
        </w:rPr>
      </w:pPr>
      <w:r w:rsidRPr="0020182A">
        <w:rPr>
          <w:rFonts w:cs="Arial"/>
          <w:i/>
          <w:szCs w:val="20"/>
        </w:rPr>
        <w:t>Finding 2: The SDA Framework</w:t>
      </w:r>
      <w:r w:rsidR="00570FBF">
        <w:rPr>
          <w:rFonts w:cs="Arial"/>
          <w:i/>
          <w:szCs w:val="20"/>
        </w:rPr>
        <w:t xml:space="preserve"> and</w:t>
      </w:r>
      <w:r w:rsidRPr="0020182A">
        <w:rPr>
          <w:rFonts w:cs="Arial"/>
          <w:i/>
          <w:szCs w:val="20"/>
        </w:rPr>
        <w:t xml:space="preserve"> Rules do not fully consider the range of preferences being expressed by participants in relation to their living arrangements, and the market has not yet responded to the range of participant preferences. </w:t>
      </w:r>
    </w:p>
    <w:p w:rsidR="00FD1A5D" w:rsidRDefault="00932795" w:rsidP="00575134">
      <w:pPr>
        <w:pStyle w:val="TableBullet1"/>
        <w:numPr>
          <w:ilvl w:val="0"/>
          <w:numId w:val="0"/>
        </w:numPr>
        <w:spacing w:before="80" w:after="80"/>
        <w:contextualSpacing w:val="0"/>
        <w:rPr>
          <w:rFonts w:cs="Arial"/>
          <w:szCs w:val="20"/>
        </w:rPr>
      </w:pPr>
      <w:r w:rsidRPr="0020182A">
        <w:rPr>
          <w:rFonts w:cs="Arial"/>
          <w:szCs w:val="20"/>
        </w:rPr>
        <w:t>At this stage of market development, there is still a predominance of the group home model</w:t>
      </w:r>
      <w:r w:rsidR="00777582" w:rsidRPr="0020182A">
        <w:rPr>
          <w:rFonts w:cs="Arial"/>
          <w:szCs w:val="20"/>
        </w:rPr>
        <w:t xml:space="preserve">, reflecting the fact that most existing and legacy stock are group homes.  </w:t>
      </w:r>
      <w:r w:rsidR="00FD1A5D">
        <w:rPr>
          <w:rFonts w:cs="Arial"/>
          <w:szCs w:val="20"/>
        </w:rPr>
        <w:t>I</w:t>
      </w:r>
      <w:r w:rsidR="00777582" w:rsidRPr="0020182A">
        <w:rPr>
          <w:rFonts w:cs="Arial"/>
          <w:szCs w:val="20"/>
        </w:rPr>
        <w:t>t is expected that the market will respond over time to meet a broader range of participant preferences</w:t>
      </w:r>
      <w:r w:rsidRPr="0020182A">
        <w:rPr>
          <w:rFonts w:cs="Arial"/>
          <w:szCs w:val="20"/>
        </w:rPr>
        <w:t xml:space="preserve">, </w:t>
      </w:r>
      <w:r w:rsidR="00FD1A5D">
        <w:rPr>
          <w:rFonts w:cs="Arial"/>
          <w:szCs w:val="20"/>
        </w:rPr>
        <w:t xml:space="preserve">and </w:t>
      </w:r>
      <w:r w:rsidRPr="0020182A">
        <w:rPr>
          <w:rFonts w:cs="Arial"/>
          <w:szCs w:val="20"/>
        </w:rPr>
        <w:t xml:space="preserve">there is </w:t>
      </w:r>
      <w:r w:rsidR="00777582" w:rsidRPr="0020182A">
        <w:rPr>
          <w:rFonts w:cs="Arial"/>
          <w:szCs w:val="20"/>
        </w:rPr>
        <w:t xml:space="preserve">some </w:t>
      </w:r>
      <w:r w:rsidR="009E423A" w:rsidRPr="0020182A">
        <w:rPr>
          <w:rFonts w:cs="Arial"/>
          <w:szCs w:val="20"/>
        </w:rPr>
        <w:t xml:space="preserve">early </w:t>
      </w:r>
      <w:r w:rsidRPr="0020182A">
        <w:rPr>
          <w:rFonts w:cs="Arial"/>
          <w:szCs w:val="20"/>
        </w:rPr>
        <w:t>evidence</w:t>
      </w:r>
      <w:r w:rsidR="00777582" w:rsidRPr="0020182A">
        <w:rPr>
          <w:rFonts w:cs="Arial"/>
          <w:szCs w:val="20"/>
        </w:rPr>
        <w:t xml:space="preserve"> </w:t>
      </w:r>
      <w:r w:rsidRPr="0020182A">
        <w:rPr>
          <w:rFonts w:cs="Arial"/>
          <w:szCs w:val="20"/>
        </w:rPr>
        <w:t>that the</w:t>
      </w:r>
      <w:r w:rsidR="00FD1A5D">
        <w:rPr>
          <w:rFonts w:cs="Arial"/>
          <w:szCs w:val="20"/>
        </w:rPr>
        <w:t>re</w:t>
      </w:r>
      <w:r w:rsidRPr="0020182A">
        <w:rPr>
          <w:rFonts w:cs="Arial"/>
          <w:szCs w:val="20"/>
        </w:rPr>
        <w:t xml:space="preserve"> </w:t>
      </w:r>
      <w:r w:rsidR="00FD1A5D">
        <w:rPr>
          <w:rFonts w:cs="Arial"/>
          <w:szCs w:val="20"/>
        </w:rPr>
        <w:t xml:space="preserve">have been a number of new, smaller SDA dwellings (1-3 residents) enrolled.  </w:t>
      </w:r>
    </w:p>
    <w:p w:rsidR="00804ECF" w:rsidRPr="0020182A" w:rsidRDefault="00804ECF" w:rsidP="00804ECF">
      <w:pPr>
        <w:pStyle w:val="TableBullet1"/>
        <w:numPr>
          <w:ilvl w:val="0"/>
          <w:numId w:val="0"/>
        </w:numPr>
        <w:spacing w:before="80" w:after="80"/>
        <w:contextualSpacing w:val="0"/>
        <w:rPr>
          <w:rFonts w:cs="Arial"/>
          <w:szCs w:val="20"/>
        </w:rPr>
      </w:pPr>
      <w:r w:rsidRPr="0020182A">
        <w:rPr>
          <w:rFonts w:cs="Arial"/>
          <w:szCs w:val="20"/>
        </w:rPr>
        <w:t xml:space="preserve">Further, some participants would like to live alone or with people without disability (such as partners, family, friends), though at this point in time these options are not widely available.  Despite early market interest and activity in developing single-person SDA dwellings the NDIA </w:t>
      </w:r>
      <w:r>
        <w:rPr>
          <w:rFonts w:cs="Arial"/>
          <w:szCs w:val="20"/>
        </w:rPr>
        <w:t xml:space="preserve">has signalled through the Investor Brief </w:t>
      </w:r>
      <w:r w:rsidRPr="0020182A">
        <w:rPr>
          <w:rFonts w:cs="Arial"/>
          <w:szCs w:val="20"/>
        </w:rPr>
        <w:t>that only a limited number of SDA-eligible participants will be able to live alone</w:t>
      </w:r>
      <w:r>
        <w:rPr>
          <w:rFonts w:cs="Arial"/>
          <w:szCs w:val="20"/>
        </w:rPr>
        <w:t xml:space="preserve">.  In addition, </w:t>
      </w:r>
      <w:r w:rsidRPr="0020182A">
        <w:rPr>
          <w:rFonts w:cs="Arial"/>
          <w:szCs w:val="20"/>
        </w:rPr>
        <w:t xml:space="preserve">pricing arrangements mean that the market has shown little interest to date in developing SDA dwellings </w:t>
      </w:r>
      <w:r>
        <w:rPr>
          <w:rFonts w:cs="Arial"/>
          <w:szCs w:val="20"/>
        </w:rPr>
        <w:t>that</w:t>
      </w:r>
      <w:r w:rsidRPr="0020182A">
        <w:rPr>
          <w:rFonts w:cs="Arial"/>
          <w:szCs w:val="20"/>
        </w:rPr>
        <w:t xml:space="preserve"> can accommodate both SDA-eligible participants and others without disability given the lower returns this will generate.</w:t>
      </w:r>
    </w:p>
    <w:p w:rsidR="00932795" w:rsidRPr="005A0F7F" w:rsidRDefault="00932795" w:rsidP="005A0F7F">
      <w:pPr>
        <w:pStyle w:val="BodyText2"/>
        <w:rPr>
          <w:sz w:val="20"/>
        </w:rPr>
      </w:pPr>
      <w:r w:rsidRPr="005A0F7F">
        <w:rPr>
          <w:sz w:val="20"/>
        </w:rPr>
        <w:t>Access</w:t>
      </w:r>
      <w:r w:rsidR="001E12C2" w:rsidRPr="005A0F7F">
        <w:rPr>
          <w:sz w:val="20"/>
        </w:rPr>
        <w:t xml:space="preserve">:  </w:t>
      </w:r>
      <w:r w:rsidR="0049047D" w:rsidRPr="005A0F7F">
        <w:rPr>
          <w:sz w:val="20"/>
        </w:rPr>
        <w:t xml:space="preserve">In a well-functioning, </w:t>
      </w:r>
      <w:r w:rsidR="001E12C2" w:rsidRPr="005A0F7F">
        <w:rPr>
          <w:sz w:val="20"/>
        </w:rPr>
        <w:t xml:space="preserve">demand-regulated </w:t>
      </w:r>
      <w:r w:rsidR="0049047D" w:rsidRPr="005A0F7F">
        <w:rPr>
          <w:sz w:val="20"/>
        </w:rPr>
        <w:t xml:space="preserve">SDA </w:t>
      </w:r>
      <w:r w:rsidR="001E12C2" w:rsidRPr="005A0F7F">
        <w:rPr>
          <w:sz w:val="20"/>
        </w:rPr>
        <w:t xml:space="preserve">market, rules and processes for determining eligibility for SDA </w:t>
      </w:r>
      <w:r w:rsidR="0049047D" w:rsidRPr="005A0F7F">
        <w:rPr>
          <w:sz w:val="20"/>
        </w:rPr>
        <w:t xml:space="preserve">should be </w:t>
      </w:r>
      <w:r w:rsidR="001E12C2" w:rsidRPr="005A0F7F">
        <w:rPr>
          <w:sz w:val="20"/>
        </w:rPr>
        <w:t xml:space="preserve">clear and transparent and consistently applied, and result in participants most in need and most likely to benefit gaining access to SDA </w:t>
      </w:r>
    </w:p>
    <w:p w:rsidR="0049047D" w:rsidRPr="0020182A" w:rsidRDefault="0049047D" w:rsidP="0049047D">
      <w:pPr>
        <w:pStyle w:val="TableBullet1"/>
        <w:numPr>
          <w:ilvl w:val="0"/>
          <w:numId w:val="0"/>
        </w:numPr>
        <w:spacing w:before="80" w:after="80"/>
        <w:contextualSpacing w:val="0"/>
        <w:rPr>
          <w:rFonts w:cs="Arial"/>
          <w:szCs w:val="20"/>
        </w:rPr>
      </w:pPr>
      <w:r w:rsidRPr="0020182A">
        <w:rPr>
          <w:rFonts w:cs="Arial"/>
          <w:szCs w:val="20"/>
        </w:rPr>
        <w:t>Review findings in relation to access are:</w:t>
      </w:r>
    </w:p>
    <w:p w:rsidR="00932795" w:rsidRPr="0020182A" w:rsidRDefault="00932795" w:rsidP="003F2D39">
      <w:pPr>
        <w:pStyle w:val="TableBullet1"/>
        <w:numPr>
          <w:ilvl w:val="0"/>
          <w:numId w:val="0"/>
        </w:numPr>
        <w:spacing w:before="80" w:after="80"/>
        <w:contextualSpacing w:val="0"/>
        <w:rPr>
          <w:rFonts w:cs="Arial"/>
          <w:i/>
          <w:szCs w:val="20"/>
        </w:rPr>
      </w:pPr>
      <w:r w:rsidRPr="0020182A">
        <w:rPr>
          <w:rFonts w:cs="Arial"/>
          <w:i/>
          <w:szCs w:val="20"/>
        </w:rPr>
        <w:t xml:space="preserve">Finding 3: The </w:t>
      </w:r>
      <w:r w:rsidR="00C47443">
        <w:rPr>
          <w:rFonts w:cs="Arial"/>
          <w:i/>
          <w:szCs w:val="20"/>
        </w:rPr>
        <w:t xml:space="preserve">Rules and </w:t>
      </w:r>
      <w:r w:rsidRPr="0020182A">
        <w:rPr>
          <w:rFonts w:cs="Arial"/>
          <w:i/>
          <w:szCs w:val="20"/>
        </w:rPr>
        <w:t>process</w:t>
      </w:r>
      <w:r w:rsidR="00C47443">
        <w:rPr>
          <w:rFonts w:cs="Arial"/>
          <w:i/>
          <w:szCs w:val="20"/>
        </w:rPr>
        <w:t>es</w:t>
      </w:r>
      <w:r w:rsidRPr="0020182A">
        <w:rPr>
          <w:rFonts w:cs="Arial"/>
          <w:i/>
          <w:szCs w:val="20"/>
        </w:rPr>
        <w:t xml:space="preserve"> for confirming eligibility for SDA and having SDA funding </w:t>
      </w:r>
      <w:r w:rsidR="006A28D2" w:rsidRPr="0020182A">
        <w:rPr>
          <w:rFonts w:cs="Arial"/>
          <w:i/>
          <w:szCs w:val="20"/>
        </w:rPr>
        <w:t>includ</w:t>
      </w:r>
      <w:r w:rsidR="006A28D2">
        <w:rPr>
          <w:rFonts w:cs="Arial"/>
          <w:i/>
          <w:szCs w:val="20"/>
        </w:rPr>
        <w:t>ed</w:t>
      </w:r>
      <w:r w:rsidR="006A28D2" w:rsidRPr="0020182A">
        <w:rPr>
          <w:rFonts w:cs="Arial"/>
          <w:i/>
          <w:szCs w:val="20"/>
        </w:rPr>
        <w:t xml:space="preserve"> </w:t>
      </w:r>
      <w:r w:rsidRPr="0020182A">
        <w:rPr>
          <w:rFonts w:cs="Arial"/>
          <w:i/>
          <w:szCs w:val="20"/>
        </w:rPr>
        <w:t xml:space="preserve">in a participant’s plan is complex and delaying access to SDA. </w:t>
      </w:r>
    </w:p>
    <w:p w:rsidR="00C15914" w:rsidRPr="0020182A" w:rsidRDefault="00C15914" w:rsidP="00575134">
      <w:pPr>
        <w:pStyle w:val="BodyText1"/>
        <w:rPr>
          <w:rFonts w:cs="Arial"/>
          <w:szCs w:val="20"/>
        </w:rPr>
      </w:pPr>
      <w:r w:rsidRPr="0020182A">
        <w:t xml:space="preserve">Eligibility criteria are clearly established within the SDA Framework, with additional clarity provided in the SDA Rules. However, the Review found that the </w:t>
      </w:r>
      <w:r w:rsidR="00C47443">
        <w:t xml:space="preserve">Rules and subsequent </w:t>
      </w:r>
      <w:r w:rsidRPr="0020182A">
        <w:t>process</w:t>
      </w:r>
      <w:r w:rsidR="00C47443">
        <w:t>es</w:t>
      </w:r>
      <w:r w:rsidRPr="0020182A">
        <w:t xml:space="preserve"> for confirming </w:t>
      </w:r>
      <w:r w:rsidRPr="0020182A">
        <w:lastRenderedPageBreak/>
        <w:t xml:space="preserve">eligibility for SDA and having SDA funding </w:t>
      </w:r>
      <w:r w:rsidR="006A28D2" w:rsidRPr="0020182A">
        <w:t>includ</w:t>
      </w:r>
      <w:r w:rsidR="006A28D2">
        <w:t>ed</w:t>
      </w:r>
      <w:r w:rsidR="006A28D2" w:rsidRPr="0020182A">
        <w:t xml:space="preserve"> </w:t>
      </w:r>
      <w:r w:rsidRPr="0020182A">
        <w:t xml:space="preserve">in a participant’s plan is complex, and this was creating delays in accessing SDA. </w:t>
      </w:r>
      <w:r w:rsidRPr="0020182A">
        <w:rPr>
          <w:rFonts w:cs="Arial"/>
          <w:szCs w:val="20"/>
        </w:rPr>
        <w:t xml:space="preserve"> </w:t>
      </w:r>
    </w:p>
    <w:p w:rsidR="0049047D" w:rsidRPr="005A0F7F" w:rsidRDefault="00C15914" w:rsidP="005A0F7F">
      <w:pPr>
        <w:pStyle w:val="BodyText2"/>
        <w:rPr>
          <w:sz w:val="20"/>
        </w:rPr>
      </w:pPr>
      <w:r w:rsidRPr="005A0F7F">
        <w:rPr>
          <w:sz w:val="20"/>
        </w:rPr>
        <w:t>In particular, there is requirement in the Rules which state</w:t>
      </w:r>
      <w:r w:rsidR="006A28D2" w:rsidRPr="005A0F7F">
        <w:rPr>
          <w:sz w:val="20"/>
        </w:rPr>
        <w:t>s</w:t>
      </w:r>
      <w:r w:rsidRPr="005A0F7F">
        <w:rPr>
          <w:sz w:val="20"/>
        </w:rPr>
        <w:t xml:space="preserve"> that, even if a participant is eligible for SDA, funding will not be allocated to that participant unless an SDA dwelling is, or will very soon be, available.  In reality this means that participants are unable to secure SDA funding without finding an SDA place, but an SDA provider is unwilling to make an offer without a guarantee of SDA funding.</w:t>
      </w:r>
    </w:p>
    <w:p w:rsidR="00932795" w:rsidRPr="005A0F7F" w:rsidRDefault="00932795" w:rsidP="005A0F7F">
      <w:pPr>
        <w:pStyle w:val="BodyText2"/>
        <w:rPr>
          <w:sz w:val="20"/>
        </w:rPr>
      </w:pPr>
      <w:r w:rsidRPr="005A0F7F">
        <w:rPr>
          <w:sz w:val="20"/>
        </w:rPr>
        <w:t>Information</w:t>
      </w:r>
      <w:r w:rsidR="001E12C2" w:rsidRPr="005A0F7F">
        <w:rPr>
          <w:sz w:val="20"/>
        </w:rPr>
        <w:t xml:space="preserve">:  </w:t>
      </w:r>
      <w:r w:rsidR="0049047D" w:rsidRPr="005A0F7F">
        <w:rPr>
          <w:sz w:val="20"/>
        </w:rPr>
        <w:t>In a well-functioning SDA market, p</w:t>
      </w:r>
      <w:r w:rsidR="001E12C2" w:rsidRPr="005A0F7F">
        <w:rPr>
          <w:sz w:val="20"/>
        </w:rPr>
        <w:t xml:space="preserve">articipants </w:t>
      </w:r>
      <w:r w:rsidR="0049047D" w:rsidRPr="005A0F7F">
        <w:rPr>
          <w:sz w:val="20"/>
        </w:rPr>
        <w:t xml:space="preserve">should </w:t>
      </w:r>
      <w:r w:rsidR="001E12C2" w:rsidRPr="005A0F7F">
        <w:rPr>
          <w:sz w:val="20"/>
        </w:rPr>
        <w:t>have access to sufficient information on SDA supply and availability to enable them to exercise choice and control</w:t>
      </w:r>
    </w:p>
    <w:p w:rsidR="0049047D" w:rsidRPr="0020182A" w:rsidRDefault="0049047D" w:rsidP="0049047D">
      <w:pPr>
        <w:pStyle w:val="TableBullet1"/>
        <w:numPr>
          <w:ilvl w:val="0"/>
          <w:numId w:val="0"/>
        </w:numPr>
        <w:spacing w:before="80" w:after="80"/>
        <w:contextualSpacing w:val="0"/>
        <w:rPr>
          <w:rFonts w:cs="Arial"/>
          <w:szCs w:val="20"/>
        </w:rPr>
      </w:pPr>
      <w:r w:rsidRPr="0020182A">
        <w:rPr>
          <w:rFonts w:cs="Arial"/>
          <w:szCs w:val="20"/>
        </w:rPr>
        <w:t>Review findings in relation to participant information are:</w:t>
      </w:r>
    </w:p>
    <w:p w:rsidR="00932795" w:rsidRPr="0020182A" w:rsidRDefault="00932795" w:rsidP="003F2D39">
      <w:pPr>
        <w:spacing w:before="80" w:after="80"/>
        <w:rPr>
          <w:rFonts w:cs="Arial"/>
          <w:i/>
          <w:noProof/>
          <w:szCs w:val="20"/>
          <w:lang w:eastAsia="en-AU"/>
        </w:rPr>
      </w:pPr>
      <w:r w:rsidRPr="0020182A">
        <w:rPr>
          <w:rFonts w:cs="Arial"/>
          <w:i/>
          <w:noProof/>
          <w:szCs w:val="20"/>
          <w:lang w:eastAsia="en-AU"/>
        </w:rPr>
        <w:t xml:space="preserve">Finding 4: Information about SDA properties and vacancies is starting to emerge, but currently participants and families are finding it difficult to find and connect with SDA providers </w:t>
      </w:r>
      <w:r w:rsidR="006A28D2">
        <w:rPr>
          <w:rFonts w:cs="Arial"/>
          <w:i/>
          <w:noProof/>
          <w:szCs w:val="20"/>
          <w:lang w:eastAsia="en-AU"/>
        </w:rPr>
        <w:t>that have</w:t>
      </w:r>
      <w:r w:rsidR="006A28D2" w:rsidRPr="0020182A">
        <w:rPr>
          <w:rFonts w:cs="Arial"/>
          <w:i/>
          <w:noProof/>
          <w:szCs w:val="20"/>
          <w:lang w:eastAsia="en-AU"/>
        </w:rPr>
        <w:t xml:space="preserve"> </w:t>
      </w:r>
      <w:r w:rsidRPr="0020182A">
        <w:rPr>
          <w:rFonts w:cs="Arial"/>
          <w:i/>
          <w:noProof/>
          <w:szCs w:val="20"/>
          <w:lang w:eastAsia="en-AU"/>
        </w:rPr>
        <w:t>vacancies</w:t>
      </w:r>
    </w:p>
    <w:p w:rsidR="00932795" w:rsidRPr="0020182A" w:rsidRDefault="00932795" w:rsidP="003F2D39">
      <w:pPr>
        <w:spacing w:before="80" w:after="80"/>
        <w:rPr>
          <w:rFonts w:cs="Arial"/>
          <w:noProof/>
          <w:szCs w:val="20"/>
          <w:lang w:eastAsia="en-AU"/>
        </w:rPr>
      </w:pPr>
      <w:r w:rsidRPr="0020182A">
        <w:rPr>
          <w:rFonts w:cs="Arial"/>
          <w:noProof/>
          <w:szCs w:val="20"/>
          <w:lang w:eastAsia="en-AU"/>
        </w:rPr>
        <w:t>The Review found that there is a lack of information available</w:t>
      </w:r>
      <w:r w:rsidR="003D1443" w:rsidRPr="0020182A">
        <w:rPr>
          <w:rFonts w:cs="Arial"/>
          <w:noProof/>
          <w:szCs w:val="20"/>
          <w:lang w:eastAsia="en-AU"/>
        </w:rPr>
        <w:t xml:space="preserve"> on existing and planned SDA dwellings and SDA vancancies, though </w:t>
      </w:r>
      <w:r w:rsidR="006A28D2">
        <w:rPr>
          <w:rFonts w:cs="Arial"/>
          <w:noProof/>
          <w:szCs w:val="20"/>
          <w:lang w:eastAsia="en-AU"/>
        </w:rPr>
        <w:t xml:space="preserve">it is </w:t>
      </w:r>
      <w:r w:rsidR="003D1443" w:rsidRPr="0020182A">
        <w:rPr>
          <w:rFonts w:cs="Arial"/>
          <w:noProof/>
          <w:szCs w:val="20"/>
          <w:lang w:eastAsia="en-AU"/>
        </w:rPr>
        <w:t>noted that t</w:t>
      </w:r>
      <w:r w:rsidRPr="0020182A">
        <w:rPr>
          <w:rFonts w:cs="Arial"/>
          <w:noProof/>
          <w:szCs w:val="20"/>
          <w:lang w:eastAsia="en-AU"/>
        </w:rPr>
        <w:t xml:space="preserve">here are a number of web-based platforms that </w:t>
      </w:r>
      <w:r w:rsidR="003D1443" w:rsidRPr="0020182A">
        <w:rPr>
          <w:rFonts w:cs="Arial"/>
          <w:noProof/>
          <w:szCs w:val="20"/>
          <w:lang w:eastAsia="en-AU"/>
        </w:rPr>
        <w:t xml:space="preserve">are  </w:t>
      </w:r>
      <w:r w:rsidRPr="0020182A">
        <w:rPr>
          <w:rFonts w:cs="Arial"/>
          <w:noProof/>
          <w:szCs w:val="20"/>
          <w:lang w:eastAsia="en-AU"/>
        </w:rPr>
        <w:t>emerg</w:t>
      </w:r>
      <w:r w:rsidR="003D1443" w:rsidRPr="0020182A">
        <w:rPr>
          <w:rFonts w:cs="Arial"/>
          <w:noProof/>
          <w:szCs w:val="20"/>
          <w:lang w:eastAsia="en-AU"/>
        </w:rPr>
        <w:t>ing</w:t>
      </w:r>
      <w:r w:rsidRPr="0020182A">
        <w:rPr>
          <w:rFonts w:cs="Arial"/>
          <w:noProof/>
          <w:szCs w:val="20"/>
          <w:lang w:eastAsia="en-AU"/>
        </w:rPr>
        <w:t xml:space="preserve"> that </w:t>
      </w:r>
      <w:r w:rsidR="003D1443" w:rsidRPr="0020182A">
        <w:rPr>
          <w:rFonts w:cs="Arial"/>
          <w:noProof/>
          <w:szCs w:val="20"/>
          <w:lang w:eastAsia="en-AU"/>
        </w:rPr>
        <w:t xml:space="preserve">will </w:t>
      </w:r>
      <w:r w:rsidRPr="0020182A">
        <w:rPr>
          <w:rFonts w:cs="Arial"/>
          <w:noProof/>
          <w:szCs w:val="20"/>
          <w:lang w:eastAsia="en-AU"/>
        </w:rPr>
        <w:t xml:space="preserve">provide this information </w:t>
      </w:r>
      <w:r w:rsidR="003D1443" w:rsidRPr="0020182A">
        <w:rPr>
          <w:rFonts w:cs="Arial"/>
          <w:noProof/>
          <w:szCs w:val="20"/>
          <w:lang w:eastAsia="en-AU"/>
        </w:rPr>
        <w:t>(</w:t>
      </w:r>
      <w:r w:rsidRPr="0020182A">
        <w:rPr>
          <w:rFonts w:cs="Arial"/>
          <w:noProof/>
          <w:szCs w:val="20"/>
          <w:lang w:eastAsia="en-AU"/>
        </w:rPr>
        <w:t>for example the ‘Nest’ and ’Housing Hub’ platforms</w:t>
      </w:r>
      <w:r w:rsidR="003D1443" w:rsidRPr="0020182A">
        <w:rPr>
          <w:rFonts w:cs="Arial"/>
          <w:noProof/>
          <w:szCs w:val="20"/>
          <w:lang w:eastAsia="en-AU"/>
        </w:rPr>
        <w:t>)</w:t>
      </w:r>
      <w:r w:rsidRPr="0020182A">
        <w:rPr>
          <w:rFonts w:cs="Arial"/>
          <w:noProof/>
          <w:szCs w:val="20"/>
          <w:lang w:eastAsia="en-AU"/>
        </w:rPr>
        <w:t>. These platforms would benefit from the inclusion of information held by Government and providers in relation to SDA provider registrations, and enrolled and planned dwellings.</w:t>
      </w:r>
      <w:r w:rsidR="00CA03B1">
        <w:rPr>
          <w:rStyle w:val="FootnoteReference"/>
          <w:noProof/>
        </w:rPr>
        <w:footnoteReference w:id="5"/>
      </w:r>
      <w:r w:rsidRPr="0020182A">
        <w:rPr>
          <w:rFonts w:cs="Arial"/>
          <w:noProof/>
          <w:szCs w:val="20"/>
          <w:lang w:eastAsia="en-AU"/>
        </w:rPr>
        <w:t xml:space="preserve"> </w:t>
      </w:r>
    </w:p>
    <w:p w:rsidR="00932795" w:rsidRPr="0020182A" w:rsidRDefault="00932795" w:rsidP="0049047D">
      <w:pPr>
        <w:spacing w:before="80" w:after="80"/>
        <w:rPr>
          <w:rFonts w:cs="Arial"/>
          <w:noProof/>
          <w:szCs w:val="20"/>
          <w:lang w:eastAsia="en-AU"/>
        </w:rPr>
      </w:pPr>
      <w:r w:rsidRPr="0020182A">
        <w:rPr>
          <w:rFonts w:cs="Arial"/>
          <w:noProof/>
          <w:szCs w:val="20"/>
          <w:lang w:eastAsia="en-AU"/>
        </w:rPr>
        <w:t>The Review also found that, to date, only a small number of participants have had the opportunity to engage with providers and investors to express their preferences with respect to SDA design</w:t>
      </w:r>
      <w:r w:rsidR="003D1443" w:rsidRPr="0020182A">
        <w:rPr>
          <w:rFonts w:cs="Arial"/>
          <w:noProof/>
          <w:szCs w:val="20"/>
          <w:lang w:eastAsia="en-AU"/>
        </w:rPr>
        <w:t>.</w:t>
      </w:r>
    </w:p>
    <w:p w:rsidR="00290960" w:rsidRPr="007942B3" w:rsidRDefault="00290960" w:rsidP="007942B3">
      <w:pPr>
        <w:pStyle w:val="HeadingLevel3NoNumber"/>
      </w:pPr>
      <w:r w:rsidRPr="007942B3">
        <w:t>Supply</w:t>
      </w:r>
    </w:p>
    <w:p w:rsidR="00932795" w:rsidRPr="007942B3" w:rsidRDefault="00932795" w:rsidP="007942B3">
      <w:pPr>
        <w:pStyle w:val="BodyText2"/>
      </w:pPr>
      <w:r w:rsidRPr="007942B3">
        <w:t>Confidence</w:t>
      </w:r>
      <w:r w:rsidR="001E12C2" w:rsidRPr="007942B3">
        <w:t xml:space="preserve">:  </w:t>
      </w:r>
      <w:r w:rsidR="0049047D" w:rsidRPr="007942B3">
        <w:t>In a well-functioning SDA market, c</w:t>
      </w:r>
      <w:r w:rsidR="001E12C2" w:rsidRPr="007942B3">
        <w:t xml:space="preserve">urrent and potential </w:t>
      </w:r>
      <w:r w:rsidR="0049047D" w:rsidRPr="007942B3">
        <w:t xml:space="preserve">SDA </w:t>
      </w:r>
      <w:r w:rsidR="001E12C2" w:rsidRPr="007942B3">
        <w:t>market players have confidence in the market and policy settings to generate sufficient interest and investment to ensure optimal supply</w:t>
      </w:r>
    </w:p>
    <w:p w:rsidR="0049047D" w:rsidRPr="0020182A" w:rsidRDefault="0049047D" w:rsidP="0049047D">
      <w:pPr>
        <w:pStyle w:val="TableBullet1"/>
        <w:numPr>
          <w:ilvl w:val="0"/>
          <w:numId w:val="0"/>
        </w:numPr>
        <w:spacing w:before="80" w:after="80"/>
        <w:contextualSpacing w:val="0"/>
        <w:rPr>
          <w:rFonts w:cs="Arial"/>
          <w:szCs w:val="20"/>
        </w:rPr>
      </w:pPr>
      <w:r w:rsidRPr="0020182A">
        <w:rPr>
          <w:rFonts w:cs="Arial"/>
          <w:szCs w:val="20"/>
        </w:rPr>
        <w:t>Review findings in relation to market confidence are:</w:t>
      </w:r>
    </w:p>
    <w:p w:rsidR="00932795" w:rsidRPr="0020182A" w:rsidRDefault="00932795" w:rsidP="003F2D39">
      <w:pPr>
        <w:pStyle w:val="Numberbullet1stlevel"/>
        <w:numPr>
          <w:ilvl w:val="0"/>
          <w:numId w:val="0"/>
        </w:numPr>
        <w:spacing w:before="80" w:after="80"/>
        <w:rPr>
          <w:rStyle w:val="White"/>
          <w:rFonts w:cs="Arial"/>
          <w:i/>
          <w:color w:val="auto"/>
          <w:szCs w:val="20"/>
        </w:rPr>
      </w:pPr>
      <w:r w:rsidRPr="0020182A">
        <w:rPr>
          <w:rFonts w:cs="Arial"/>
          <w:i/>
          <w:szCs w:val="20"/>
        </w:rPr>
        <w:t xml:space="preserve">Finding 5: </w:t>
      </w:r>
      <w:r w:rsidRPr="0020182A">
        <w:rPr>
          <w:rStyle w:val="White"/>
          <w:rFonts w:cs="Arial"/>
          <w:i/>
          <w:color w:val="auto"/>
          <w:szCs w:val="20"/>
        </w:rPr>
        <w:t xml:space="preserve">There is substantial amount of interest in SDA from providers and investors, though this has not yet translated into significant levels of new investment or supply. </w:t>
      </w:r>
    </w:p>
    <w:p w:rsidR="00932795" w:rsidRPr="0020182A" w:rsidRDefault="00932795" w:rsidP="003F2D39">
      <w:pPr>
        <w:pStyle w:val="TableBullet1"/>
        <w:numPr>
          <w:ilvl w:val="0"/>
          <w:numId w:val="0"/>
        </w:numPr>
        <w:spacing w:before="80" w:after="80"/>
        <w:contextualSpacing w:val="0"/>
        <w:rPr>
          <w:rFonts w:cs="Arial"/>
          <w:szCs w:val="20"/>
        </w:rPr>
      </w:pPr>
      <w:r w:rsidRPr="0020182A">
        <w:rPr>
          <w:rFonts w:cs="Arial"/>
          <w:szCs w:val="20"/>
        </w:rPr>
        <w:t xml:space="preserve">The Review found there is substantial amount of interest in SDA from providers and investors (including both existing disability service providers as well as community housing providers, newly formed service providers and private and institutional investors), though this has not yet translated into significant levels of new investment or supply. </w:t>
      </w:r>
      <w:r w:rsidR="003D1443" w:rsidRPr="0020182A">
        <w:rPr>
          <w:rFonts w:cs="Arial"/>
          <w:szCs w:val="20"/>
        </w:rPr>
        <w:t xml:space="preserve">  Further, d</w:t>
      </w:r>
      <w:r w:rsidRPr="0020182A">
        <w:rPr>
          <w:rFonts w:cs="Arial"/>
          <w:szCs w:val="20"/>
        </w:rPr>
        <w:t>espite considerable interest in SDA overall, there is limited evidence of substantial investments being made in SDA or of significant increase in SDA supply</w:t>
      </w:r>
      <w:r w:rsidR="00B0112B">
        <w:rPr>
          <w:rFonts w:cs="Arial"/>
          <w:szCs w:val="20"/>
        </w:rPr>
        <w:t xml:space="preserve"> to date</w:t>
      </w:r>
      <w:r w:rsidRPr="0020182A">
        <w:rPr>
          <w:rFonts w:cs="Arial"/>
          <w:szCs w:val="20"/>
        </w:rPr>
        <w:t xml:space="preserve">. </w:t>
      </w:r>
    </w:p>
    <w:p w:rsidR="00932795" w:rsidRPr="0020182A" w:rsidRDefault="00575134" w:rsidP="003F2D39">
      <w:pPr>
        <w:pStyle w:val="TableBullet1"/>
        <w:numPr>
          <w:ilvl w:val="0"/>
          <w:numId w:val="0"/>
        </w:numPr>
        <w:spacing w:before="80" w:after="80"/>
        <w:contextualSpacing w:val="0"/>
        <w:rPr>
          <w:rFonts w:cs="Arial"/>
          <w:noProof/>
          <w:szCs w:val="20"/>
          <w:lang w:eastAsia="en-AU"/>
        </w:rPr>
      </w:pPr>
      <w:r w:rsidRPr="0020182A">
        <w:rPr>
          <w:rFonts w:cs="Arial"/>
          <w:szCs w:val="20"/>
        </w:rPr>
        <w:t>While</w:t>
      </w:r>
      <w:r w:rsidR="00932795" w:rsidRPr="0020182A">
        <w:rPr>
          <w:rFonts w:cs="Arial"/>
          <w:szCs w:val="20"/>
        </w:rPr>
        <w:t xml:space="preserve"> limited growth at this point in time is not unsurprising, the Review found that there is some hesitancy in making large scale investments in SDA – particularly among private and institutional investors – due to perceived risks and uncertainties with respect to SDA policy settings and pricing, and a lack of information available to the market to inform investment decisions. </w:t>
      </w:r>
    </w:p>
    <w:p w:rsidR="00932795" w:rsidRPr="005A0F7F" w:rsidRDefault="00932795" w:rsidP="0072276D">
      <w:pPr>
        <w:pStyle w:val="BodyText2"/>
      </w:pPr>
      <w:r w:rsidRPr="005A0F7F">
        <w:t>Information</w:t>
      </w:r>
      <w:r w:rsidR="001E12C2" w:rsidRPr="005A0F7F">
        <w:t xml:space="preserve">:  </w:t>
      </w:r>
      <w:r w:rsidR="0049047D" w:rsidRPr="005A0F7F">
        <w:t>In a well-functioning SDA market, s</w:t>
      </w:r>
      <w:r w:rsidR="001E12C2" w:rsidRPr="005A0F7F">
        <w:t xml:space="preserve">uppliers (providers and investors) </w:t>
      </w:r>
      <w:r w:rsidR="0049047D" w:rsidRPr="005A0F7F">
        <w:t xml:space="preserve">should </w:t>
      </w:r>
      <w:r w:rsidR="001E12C2" w:rsidRPr="005A0F7F">
        <w:t xml:space="preserve">have access to sufficient market information on current and potential future demand and supply to make informed investment and supply decisions </w:t>
      </w:r>
      <w:r w:rsidR="00E7742C" w:rsidRPr="005A0F7F">
        <w:t>–</w:t>
      </w:r>
      <w:r w:rsidR="001E12C2" w:rsidRPr="005A0F7F">
        <w:t xml:space="preserve"> through market mechanisms and through non-market mechanisms where there is a lack of information or information asymmetry</w:t>
      </w:r>
    </w:p>
    <w:p w:rsidR="0049047D" w:rsidRPr="0020182A" w:rsidRDefault="0049047D" w:rsidP="0049047D">
      <w:pPr>
        <w:pStyle w:val="TableBullet1"/>
        <w:numPr>
          <w:ilvl w:val="0"/>
          <w:numId w:val="0"/>
        </w:numPr>
        <w:spacing w:before="80" w:after="80"/>
        <w:contextualSpacing w:val="0"/>
        <w:rPr>
          <w:rFonts w:cs="Arial"/>
          <w:szCs w:val="20"/>
        </w:rPr>
      </w:pPr>
      <w:r w:rsidRPr="0020182A">
        <w:rPr>
          <w:rFonts w:cs="Arial"/>
          <w:szCs w:val="20"/>
        </w:rPr>
        <w:t>Review findings in relation to market information are:</w:t>
      </w:r>
    </w:p>
    <w:p w:rsidR="00932795" w:rsidRPr="0020182A" w:rsidRDefault="00932795" w:rsidP="003F2D39">
      <w:pPr>
        <w:pStyle w:val="Numberbullet1stlevel"/>
        <w:numPr>
          <w:ilvl w:val="0"/>
          <w:numId w:val="0"/>
        </w:numPr>
        <w:spacing w:before="80" w:after="80"/>
        <w:rPr>
          <w:rStyle w:val="White"/>
          <w:rFonts w:cs="Arial"/>
          <w:i/>
          <w:color w:val="auto"/>
          <w:szCs w:val="20"/>
        </w:rPr>
      </w:pPr>
      <w:r w:rsidRPr="0020182A">
        <w:rPr>
          <w:rFonts w:cs="Arial"/>
          <w:i/>
          <w:szCs w:val="20"/>
        </w:rPr>
        <w:t xml:space="preserve">Finding 6: </w:t>
      </w:r>
      <w:r w:rsidRPr="0020182A">
        <w:rPr>
          <w:rStyle w:val="White"/>
          <w:rFonts w:cs="Arial"/>
          <w:i/>
          <w:color w:val="auto"/>
          <w:szCs w:val="20"/>
        </w:rPr>
        <w:t>Lack of market information is having a detrimental impact on providers and investors’ willingness to invest in SDA.</w:t>
      </w:r>
    </w:p>
    <w:p w:rsidR="00932795" w:rsidRPr="0020182A" w:rsidRDefault="00932795" w:rsidP="003F2D39">
      <w:pPr>
        <w:pStyle w:val="BodyText1"/>
        <w:spacing w:before="80" w:after="80"/>
        <w:rPr>
          <w:rFonts w:cs="Arial"/>
          <w:szCs w:val="20"/>
        </w:rPr>
      </w:pPr>
      <w:r w:rsidRPr="0020182A">
        <w:rPr>
          <w:rFonts w:cs="Arial"/>
          <w:szCs w:val="20"/>
        </w:rPr>
        <w:t>The Review found that there is a lack of robust, quantitative information for the market on SDA demand, as well as a lack of data on supply or market gaps. In the absence of this data, providers and investors are basing decisions on local knowledge and needs of specific cohort</w:t>
      </w:r>
      <w:r w:rsidR="006A28D2">
        <w:rPr>
          <w:rFonts w:cs="Arial"/>
          <w:szCs w:val="20"/>
        </w:rPr>
        <w:t>s</w:t>
      </w:r>
      <w:r w:rsidRPr="0020182A">
        <w:rPr>
          <w:rFonts w:cs="Arial"/>
          <w:szCs w:val="20"/>
        </w:rPr>
        <w:t xml:space="preserve">, pricing factors and potential returns for different SDA property types in specific locations, and belief in the “potential” of </w:t>
      </w:r>
      <w:r w:rsidRPr="0020182A">
        <w:rPr>
          <w:rFonts w:cs="Arial"/>
          <w:szCs w:val="20"/>
        </w:rPr>
        <w:lastRenderedPageBreak/>
        <w:t xml:space="preserve">the SDA market. Lack of market information, especially in an immature, price-regulated market, further contributes to provider/investor risk and </w:t>
      </w:r>
      <w:r w:rsidR="006A28D2" w:rsidRPr="0020182A">
        <w:rPr>
          <w:rFonts w:cs="Arial"/>
          <w:szCs w:val="20"/>
        </w:rPr>
        <w:t>hesitanc</w:t>
      </w:r>
      <w:r w:rsidR="006A28D2">
        <w:rPr>
          <w:rFonts w:cs="Arial"/>
          <w:szCs w:val="20"/>
        </w:rPr>
        <w:t>e</w:t>
      </w:r>
      <w:r w:rsidR="006A28D2" w:rsidRPr="0020182A">
        <w:rPr>
          <w:rFonts w:cs="Arial"/>
          <w:szCs w:val="20"/>
        </w:rPr>
        <w:t xml:space="preserve"> </w:t>
      </w:r>
      <w:r w:rsidRPr="0020182A">
        <w:rPr>
          <w:rFonts w:cs="Arial"/>
          <w:szCs w:val="20"/>
        </w:rPr>
        <w:t>in investing in SDA and is a barrier to greater investment in SDA.</w:t>
      </w:r>
      <w:r w:rsidR="00CA03B1">
        <w:rPr>
          <w:rStyle w:val="FootnoteReference"/>
          <w:noProof/>
        </w:rPr>
        <w:footnoteReference w:id="6"/>
      </w:r>
      <w:r w:rsidRPr="0020182A">
        <w:rPr>
          <w:rFonts w:cs="Arial"/>
          <w:szCs w:val="20"/>
        </w:rPr>
        <w:t xml:space="preserve">  </w:t>
      </w:r>
    </w:p>
    <w:p w:rsidR="00932795" w:rsidRPr="0020182A" w:rsidRDefault="00932795" w:rsidP="003F2D39">
      <w:pPr>
        <w:pStyle w:val="BodyText1"/>
        <w:spacing w:before="80" w:after="80"/>
        <w:rPr>
          <w:rFonts w:cs="Arial"/>
          <w:szCs w:val="20"/>
        </w:rPr>
      </w:pPr>
      <w:r w:rsidRPr="0020182A">
        <w:rPr>
          <w:rFonts w:cs="Arial"/>
          <w:szCs w:val="20"/>
        </w:rPr>
        <w:t xml:space="preserve">It is also recognised that, as with any market, investors and providers need to undertake their own market research and engagement with potential consumers to complement more quantitative information from government, and to date this type of consumer engagement and market research appears to have been limited. </w:t>
      </w:r>
    </w:p>
    <w:p w:rsidR="00932795" w:rsidRPr="005A0F7F" w:rsidRDefault="00932795" w:rsidP="0072276D">
      <w:pPr>
        <w:pStyle w:val="BodyText2"/>
      </w:pPr>
      <w:r w:rsidRPr="005A0F7F">
        <w:t>Pricing</w:t>
      </w:r>
      <w:r w:rsidR="001E12C2" w:rsidRPr="005A0F7F">
        <w:t xml:space="preserve">:  In a price-regulated </w:t>
      </w:r>
      <w:r w:rsidR="0049047D" w:rsidRPr="005A0F7F">
        <w:t xml:space="preserve">SDA </w:t>
      </w:r>
      <w:r w:rsidR="001E12C2" w:rsidRPr="005A0F7F">
        <w:t xml:space="preserve">market, pricing and funding arrangements </w:t>
      </w:r>
      <w:r w:rsidR="0049047D" w:rsidRPr="005A0F7F">
        <w:t xml:space="preserve">should </w:t>
      </w:r>
      <w:r w:rsidR="001E12C2" w:rsidRPr="005A0F7F">
        <w:t xml:space="preserve">provide appropriate signals to the market to guide supply and investment decisions, and are sufficient to cover costs and provide a reasonable rate of return over the long-term, and result in an optimal level of supply and supply mix  </w:t>
      </w:r>
    </w:p>
    <w:p w:rsidR="0049047D" w:rsidRPr="0020182A" w:rsidRDefault="0049047D" w:rsidP="0049047D">
      <w:pPr>
        <w:pStyle w:val="TableBullet1"/>
        <w:numPr>
          <w:ilvl w:val="0"/>
          <w:numId w:val="0"/>
        </w:numPr>
        <w:spacing w:before="80" w:after="80"/>
        <w:contextualSpacing w:val="0"/>
        <w:rPr>
          <w:rFonts w:cs="Arial"/>
          <w:szCs w:val="20"/>
        </w:rPr>
      </w:pPr>
      <w:r w:rsidRPr="0020182A">
        <w:rPr>
          <w:rFonts w:cs="Arial"/>
          <w:szCs w:val="20"/>
        </w:rPr>
        <w:t>Review findings in relation to SDA pricing are:</w:t>
      </w:r>
    </w:p>
    <w:p w:rsidR="00932795" w:rsidRPr="0020182A" w:rsidRDefault="00932795" w:rsidP="003F2D39">
      <w:pPr>
        <w:pStyle w:val="Numberbullet1stlevel"/>
        <w:numPr>
          <w:ilvl w:val="0"/>
          <w:numId w:val="0"/>
        </w:numPr>
        <w:spacing w:before="80" w:after="80"/>
        <w:rPr>
          <w:rStyle w:val="White"/>
          <w:rFonts w:cs="Arial"/>
          <w:i/>
          <w:szCs w:val="20"/>
        </w:rPr>
      </w:pPr>
      <w:r w:rsidRPr="0020182A">
        <w:rPr>
          <w:rStyle w:val="White"/>
          <w:rFonts w:cs="Arial"/>
          <w:i/>
          <w:color w:val="auto"/>
          <w:szCs w:val="20"/>
        </w:rPr>
        <w:t xml:space="preserve">Finding 7: The form of benchmark prices, and </w:t>
      </w:r>
      <w:r w:rsidRPr="0020182A">
        <w:rPr>
          <w:rFonts w:cs="Arial"/>
          <w:i/>
          <w:szCs w:val="20"/>
        </w:rPr>
        <w:t xml:space="preserve">components considered in </w:t>
      </w:r>
      <w:r w:rsidR="006A28D2">
        <w:rPr>
          <w:rFonts w:cs="Arial"/>
          <w:i/>
          <w:szCs w:val="20"/>
        </w:rPr>
        <w:t xml:space="preserve">the price </w:t>
      </w:r>
      <w:r w:rsidRPr="0020182A">
        <w:rPr>
          <w:rFonts w:cs="Arial"/>
          <w:i/>
          <w:szCs w:val="20"/>
        </w:rPr>
        <w:t>setting process, are appropriate, though some of the underpinning assumptions relating to some components may not reflect actual values or costs</w:t>
      </w:r>
      <w:r w:rsidRPr="0020182A">
        <w:rPr>
          <w:rStyle w:val="White"/>
          <w:rFonts w:cs="Arial"/>
          <w:i/>
          <w:szCs w:val="20"/>
        </w:rPr>
        <w:t xml:space="preserve">. </w:t>
      </w:r>
    </w:p>
    <w:p w:rsidR="00932795" w:rsidRPr="0020182A" w:rsidRDefault="00932795" w:rsidP="003F2D39">
      <w:pPr>
        <w:spacing w:before="80" w:after="80"/>
        <w:rPr>
          <w:rFonts w:cs="Arial"/>
          <w:szCs w:val="20"/>
        </w:rPr>
      </w:pPr>
      <w:r w:rsidRPr="0020182A">
        <w:rPr>
          <w:rFonts w:cs="Arial"/>
          <w:szCs w:val="20"/>
        </w:rPr>
        <w:t>The SDA Framework sets out the form for benchmark prices, including the components that will be considered in setting an efficient price. These factors include consumption costs, opportunity costs of capital, costs of ownership, land price inflation and resident rent contributions.  Providers and investors consulted as part of the Review largely indicated that these components were appropriate for setting prices, though stated that some of the underpinning assumptions for each of these components do not reflect actual values or costs.</w:t>
      </w:r>
    </w:p>
    <w:p w:rsidR="00932795" w:rsidRPr="0020182A" w:rsidRDefault="00932795" w:rsidP="003F2D39">
      <w:pPr>
        <w:pStyle w:val="Numberbullet1stlevel"/>
        <w:numPr>
          <w:ilvl w:val="0"/>
          <w:numId w:val="0"/>
        </w:numPr>
        <w:spacing w:before="80" w:after="80"/>
        <w:rPr>
          <w:rStyle w:val="White"/>
          <w:rFonts w:cs="Arial"/>
          <w:i/>
          <w:color w:val="auto"/>
          <w:szCs w:val="20"/>
        </w:rPr>
      </w:pPr>
      <w:r w:rsidRPr="0020182A">
        <w:rPr>
          <w:rStyle w:val="White"/>
          <w:rFonts w:cs="Arial"/>
          <w:i/>
          <w:color w:val="auto"/>
          <w:szCs w:val="20"/>
        </w:rPr>
        <w:t xml:space="preserve">Finding 8: Current </w:t>
      </w:r>
      <w:r w:rsidR="00570FBF">
        <w:rPr>
          <w:rStyle w:val="White"/>
          <w:rFonts w:cs="Arial"/>
          <w:i/>
          <w:color w:val="auto"/>
          <w:szCs w:val="20"/>
        </w:rPr>
        <w:t>prices</w:t>
      </w:r>
      <w:r w:rsidRPr="0020182A">
        <w:rPr>
          <w:rStyle w:val="White"/>
          <w:rFonts w:cs="Arial"/>
          <w:i/>
          <w:color w:val="auto"/>
          <w:szCs w:val="20"/>
        </w:rPr>
        <w:t xml:space="preserve"> are contributing to a risk that future growth in supply may not result in an optimal supply mix.</w:t>
      </w:r>
    </w:p>
    <w:p w:rsidR="00070C05" w:rsidRPr="0020182A" w:rsidRDefault="00575134" w:rsidP="00575134">
      <w:pPr>
        <w:pStyle w:val="TableBullet1"/>
        <w:numPr>
          <w:ilvl w:val="0"/>
          <w:numId w:val="0"/>
        </w:numPr>
        <w:spacing w:before="80" w:after="80"/>
        <w:contextualSpacing w:val="0"/>
        <w:rPr>
          <w:rFonts w:cs="Arial"/>
          <w:szCs w:val="20"/>
        </w:rPr>
      </w:pPr>
      <w:r w:rsidRPr="0020182A">
        <w:rPr>
          <w:rFonts w:cs="Arial"/>
          <w:szCs w:val="20"/>
        </w:rPr>
        <w:t>During the R</w:t>
      </w:r>
      <w:r w:rsidR="00070C05" w:rsidRPr="0020182A">
        <w:rPr>
          <w:rFonts w:cs="Arial"/>
          <w:szCs w:val="20"/>
        </w:rPr>
        <w:t>eview, p</w:t>
      </w:r>
      <w:r w:rsidR="00932795" w:rsidRPr="0020182A">
        <w:rPr>
          <w:rFonts w:cs="Arial"/>
          <w:szCs w:val="20"/>
        </w:rPr>
        <w:t xml:space="preserve">roviders and investors indicated that some SDA prices are sufficient to make a return on investment in SDA (and in some cases a relatively generous return), while others are not. </w:t>
      </w:r>
      <w:r w:rsidR="00070C05" w:rsidRPr="0020182A">
        <w:rPr>
          <w:rFonts w:cs="Arial"/>
          <w:szCs w:val="20"/>
        </w:rPr>
        <w:t>In particular, t</w:t>
      </w:r>
      <w:r w:rsidR="00932795" w:rsidRPr="0020182A">
        <w:rPr>
          <w:rFonts w:cs="Arial"/>
          <w:szCs w:val="20"/>
        </w:rPr>
        <w:t>hey indicated that there were issues with some prices skewing investment interest towards particular design categories and dwelling types and away from other types</w:t>
      </w:r>
      <w:r w:rsidR="00070C05" w:rsidRPr="0020182A">
        <w:rPr>
          <w:rFonts w:cs="Arial"/>
          <w:szCs w:val="20"/>
        </w:rPr>
        <w:t xml:space="preserve">.  For example, providers and investors indicated that one- or two-bedroom </w:t>
      </w:r>
      <w:r w:rsidR="006A28D2">
        <w:rPr>
          <w:rFonts w:cs="Arial"/>
          <w:szCs w:val="20"/>
        </w:rPr>
        <w:t>“</w:t>
      </w:r>
      <w:r w:rsidR="00070C05" w:rsidRPr="0020182A">
        <w:rPr>
          <w:rFonts w:cs="Arial"/>
          <w:szCs w:val="20"/>
        </w:rPr>
        <w:t>hi</w:t>
      </w:r>
      <w:r w:rsidR="00932795" w:rsidRPr="0020182A">
        <w:rPr>
          <w:rFonts w:cs="Arial"/>
          <w:szCs w:val="20"/>
        </w:rPr>
        <w:t>gh physical support</w:t>
      </w:r>
      <w:r w:rsidR="006A28D2">
        <w:rPr>
          <w:rFonts w:cs="Arial"/>
          <w:szCs w:val="20"/>
        </w:rPr>
        <w:t>”</w:t>
      </w:r>
      <w:r w:rsidR="00932795" w:rsidRPr="0020182A">
        <w:rPr>
          <w:rFonts w:cs="Arial"/>
          <w:szCs w:val="20"/>
        </w:rPr>
        <w:t xml:space="preserve"> dwellings provide a reasonable return</w:t>
      </w:r>
      <w:r w:rsidR="00070C05" w:rsidRPr="0020182A">
        <w:rPr>
          <w:rFonts w:cs="Arial"/>
          <w:szCs w:val="20"/>
        </w:rPr>
        <w:t xml:space="preserve"> (</w:t>
      </w:r>
      <w:r w:rsidR="00932795" w:rsidRPr="0020182A">
        <w:rPr>
          <w:rFonts w:cs="Arial"/>
          <w:szCs w:val="20"/>
        </w:rPr>
        <w:t xml:space="preserve">though potential returns are less for </w:t>
      </w:r>
      <w:r w:rsidR="006A28D2">
        <w:rPr>
          <w:rFonts w:cs="Arial"/>
          <w:szCs w:val="20"/>
        </w:rPr>
        <w:t>“</w:t>
      </w:r>
      <w:r w:rsidR="00932795" w:rsidRPr="0020182A">
        <w:rPr>
          <w:rFonts w:cs="Arial"/>
          <w:szCs w:val="20"/>
        </w:rPr>
        <w:t>Robust</w:t>
      </w:r>
      <w:r w:rsidR="006A28D2">
        <w:rPr>
          <w:rFonts w:cs="Arial"/>
          <w:szCs w:val="20"/>
        </w:rPr>
        <w:t>”</w:t>
      </w:r>
      <w:r w:rsidR="00932795" w:rsidRPr="0020182A">
        <w:rPr>
          <w:rFonts w:cs="Arial"/>
          <w:szCs w:val="20"/>
        </w:rPr>
        <w:t xml:space="preserve"> dwellings and </w:t>
      </w:r>
      <w:r w:rsidR="006A28D2">
        <w:rPr>
          <w:rFonts w:cs="Arial"/>
          <w:szCs w:val="20"/>
        </w:rPr>
        <w:t>“</w:t>
      </w:r>
      <w:r w:rsidR="00932795" w:rsidRPr="0020182A">
        <w:rPr>
          <w:rFonts w:cs="Arial"/>
          <w:szCs w:val="20"/>
        </w:rPr>
        <w:t>Fully accessible</w:t>
      </w:r>
      <w:r w:rsidR="006A28D2">
        <w:rPr>
          <w:rFonts w:cs="Arial"/>
          <w:szCs w:val="20"/>
        </w:rPr>
        <w:t>”</w:t>
      </w:r>
      <w:r w:rsidR="00932795" w:rsidRPr="0020182A">
        <w:rPr>
          <w:rFonts w:cs="Arial"/>
          <w:szCs w:val="20"/>
        </w:rPr>
        <w:t xml:space="preserve"> dwellings</w:t>
      </w:r>
      <w:r w:rsidR="00070C05" w:rsidRPr="0020182A">
        <w:rPr>
          <w:rFonts w:cs="Arial"/>
          <w:szCs w:val="20"/>
        </w:rPr>
        <w:t xml:space="preserve">), and </w:t>
      </w:r>
      <w:r w:rsidR="00932795" w:rsidRPr="0020182A">
        <w:rPr>
          <w:rFonts w:cs="Arial"/>
          <w:szCs w:val="20"/>
        </w:rPr>
        <w:t xml:space="preserve">that </w:t>
      </w:r>
      <w:r w:rsidR="00070C05" w:rsidRPr="0020182A">
        <w:rPr>
          <w:rFonts w:cs="Arial"/>
          <w:szCs w:val="20"/>
        </w:rPr>
        <w:t>dwellings in some locations delivered a greater return than others.</w:t>
      </w:r>
    </w:p>
    <w:p w:rsidR="00932795" w:rsidRPr="0020182A" w:rsidRDefault="00932795" w:rsidP="003F2D39">
      <w:pPr>
        <w:pStyle w:val="Numberbullet1stlevel"/>
        <w:numPr>
          <w:ilvl w:val="0"/>
          <w:numId w:val="0"/>
        </w:numPr>
        <w:spacing w:before="80" w:after="80"/>
        <w:rPr>
          <w:rStyle w:val="White"/>
          <w:rFonts w:cs="Arial"/>
          <w:i/>
          <w:color w:val="auto"/>
          <w:szCs w:val="20"/>
        </w:rPr>
      </w:pPr>
      <w:r w:rsidRPr="0020182A">
        <w:rPr>
          <w:rStyle w:val="White"/>
          <w:rFonts w:cs="Arial"/>
          <w:i/>
          <w:color w:val="auto"/>
          <w:szCs w:val="20"/>
        </w:rPr>
        <w:t>Finding 9: Investors have a strong preference for certainty regarding return on investment over the life of their investment</w:t>
      </w:r>
    </w:p>
    <w:p w:rsidR="00932795" w:rsidRPr="0020182A" w:rsidRDefault="00070C05" w:rsidP="003F2D39">
      <w:pPr>
        <w:pStyle w:val="BodyText1"/>
        <w:spacing w:before="80" w:after="80"/>
        <w:rPr>
          <w:rFonts w:cs="Arial"/>
          <w:szCs w:val="20"/>
        </w:rPr>
      </w:pPr>
      <w:r w:rsidRPr="0020182A">
        <w:rPr>
          <w:rFonts w:cs="Arial"/>
          <w:szCs w:val="20"/>
        </w:rPr>
        <w:t>T</w:t>
      </w:r>
      <w:r w:rsidR="00932795" w:rsidRPr="0020182A">
        <w:rPr>
          <w:rFonts w:cs="Arial"/>
          <w:szCs w:val="20"/>
        </w:rPr>
        <w:t>he SDA Framework currently states that the Agency will review benchmark pricing every five years, and that prices will have effect for five years from their publication. Providers and investors noted that the five yearly review cycle does not match the 20+ year time horizon for SDA investment, and that providers and investors must bear the risk of any price reductions.</w:t>
      </w:r>
    </w:p>
    <w:p w:rsidR="00932795" w:rsidRPr="0020182A" w:rsidRDefault="00932795" w:rsidP="003F2D39">
      <w:pPr>
        <w:pStyle w:val="BodyText1"/>
        <w:spacing w:before="80" w:after="80"/>
        <w:rPr>
          <w:rFonts w:cs="Arial"/>
          <w:strike/>
          <w:szCs w:val="20"/>
        </w:rPr>
      </w:pPr>
      <w:r w:rsidRPr="0020182A">
        <w:rPr>
          <w:rFonts w:cs="Arial"/>
          <w:szCs w:val="20"/>
        </w:rPr>
        <w:t xml:space="preserve">It </w:t>
      </w:r>
      <w:r w:rsidR="00070C05" w:rsidRPr="0020182A">
        <w:rPr>
          <w:rFonts w:cs="Arial"/>
          <w:szCs w:val="20"/>
        </w:rPr>
        <w:t>is</w:t>
      </w:r>
      <w:r w:rsidRPr="0020182A">
        <w:rPr>
          <w:rFonts w:cs="Arial"/>
          <w:szCs w:val="20"/>
        </w:rPr>
        <w:t xml:space="preserve"> noted</w:t>
      </w:r>
      <w:r w:rsidR="00070C05" w:rsidRPr="0020182A">
        <w:rPr>
          <w:rFonts w:cs="Arial"/>
          <w:szCs w:val="20"/>
        </w:rPr>
        <w:t>, however,</w:t>
      </w:r>
      <w:r w:rsidRPr="0020182A">
        <w:rPr>
          <w:rFonts w:cs="Arial"/>
          <w:szCs w:val="20"/>
        </w:rPr>
        <w:t xml:space="preserve"> that </w:t>
      </w:r>
      <w:r w:rsidR="00CD5AA9">
        <w:rPr>
          <w:rFonts w:cs="Arial"/>
          <w:szCs w:val="20"/>
        </w:rPr>
        <w:t>infrastructure</w:t>
      </w:r>
      <w:r w:rsidRPr="0020182A">
        <w:rPr>
          <w:rFonts w:cs="Arial"/>
          <w:szCs w:val="20"/>
        </w:rPr>
        <w:t xml:space="preserve"> investment of any kind has risks, including those associated with market downturn and reductions in rental income, and SDA investment is no different. Five year price certainty is a longer guarantee than other investments may provide. </w:t>
      </w:r>
    </w:p>
    <w:p w:rsidR="00932795" w:rsidRPr="005A0F7F" w:rsidRDefault="00932795" w:rsidP="0072276D">
      <w:pPr>
        <w:pStyle w:val="BodyText2"/>
      </w:pPr>
      <w:r w:rsidRPr="005A0F7F">
        <w:t>Risk</w:t>
      </w:r>
      <w:r w:rsidR="001E12C2" w:rsidRPr="005A0F7F">
        <w:t xml:space="preserve">: </w:t>
      </w:r>
      <w:r w:rsidR="0049047D" w:rsidRPr="005A0F7F">
        <w:t xml:space="preserve"> In a well-functioning SDA market, provider and investor r</w:t>
      </w:r>
      <w:r w:rsidR="001E12C2" w:rsidRPr="005A0F7F">
        <w:t xml:space="preserve">isks associated with participating in the market are well-understood, managed where possible, and taken into consideration when making supply and investment decisions  </w:t>
      </w:r>
    </w:p>
    <w:p w:rsidR="0049047D" w:rsidRPr="0020182A" w:rsidRDefault="0049047D" w:rsidP="0049047D">
      <w:pPr>
        <w:pStyle w:val="TableBullet1"/>
        <w:numPr>
          <w:ilvl w:val="0"/>
          <w:numId w:val="0"/>
        </w:numPr>
        <w:spacing w:before="80" w:after="80"/>
        <w:contextualSpacing w:val="0"/>
        <w:rPr>
          <w:rFonts w:cs="Arial"/>
          <w:szCs w:val="20"/>
        </w:rPr>
      </w:pPr>
      <w:r w:rsidRPr="0020182A">
        <w:rPr>
          <w:rFonts w:cs="Arial"/>
          <w:szCs w:val="20"/>
        </w:rPr>
        <w:t>Review findings in relation to provider and investor risk are:</w:t>
      </w:r>
    </w:p>
    <w:p w:rsidR="00932795" w:rsidRPr="0020182A" w:rsidRDefault="00932795" w:rsidP="003F2D39">
      <w:pPr>
        <w:pStyle w:val="Numberbullet1stlevel"/>
        <w:numPr>
          <w:ilvl w:val="0"/>
          <w:numId w:val="0"/>
        </w:numPr>
        <w:spacing w:before="80" w:after="80"/>
        <w:rPr>
          <w:rStyle w:val="White"/>
          <w:rFonts w:cs="Arial"/>
          <w:i/>
          <w:color w:val="auto"/>
          <w:szCs w:val="20"/>
        </w:rPr>
      </w:pPr>
      <w:r w:rsidRPr="0020182A">
        <w:rPr>
          <w:rStyle w:val="White"/>
          <w:rFonts w:cs="Arial"/>
          <w:i/>
          <w:color w:val="auto"/>
          <w:szCs w:val="20"/>
        </w:rPr>
        <w:t>Finding 10: There are a range of risks and uncertainties that contribute to providers and investors’ reluctance to invest in SDA, and achieve short-term SDA supply growth.</w:t>
      </w:r>
    </w:p>
    <w:p w:rsidR="00932795" w:rsidRPr="0020182A" w:rsidRDefault="00932795" w:rsidP="003F2D39">
      <w:pPr>
        <w:pStyle w:val="BodyText1"/>
        <w:spacing w:before="80" w:after="80"/>
        <w:rPr>
          <w:rFonts w:cs="Arial"/>
          <w:szCs w:val="20"/>
        </w:rPr>
      </w:pPr>
      <w:r w:rsidRPr="0020182A">
        <w:rPr>
          <w:rFonts w:cs="Arial"/>
          <w:szCs w:val="20"/>
        </w:rPr>
        <w:t>The Review found that there appears to be some hesitanc</w:t>
      </w:r>
      <w:r w:rsidR="006A28D2">
        <w:rPr>
          <w:rFonts w:cs="Arial"/>
          <w:szCs w:val="20"/>
        </w:rPr>
        <w:t>e</w:t>
      </w:r>
      <w:r w:rsidRPr="0020182A">
        <w:rPr>
          <w:rFonts w:cs="Arial"/>
          <w:szCs w:val="20"/>
        </w:rPr>
        <w:t xml:space="preserve"> among providers and investors in making large scale investment in SDA at this point in time due to real or perceived risks and uncertainties that are present in the market, over and above risks which are inherent in </w:t>
      </w:r>
      <w:r w:rsidR="00CD5AA9">
        <w:rPr>
          <w:rFonts w:cs="Arial"/>
          <w:szCs w:val="20"/>
        </w:rPr>
        <w:t>infrastructure</w:t>
      </w:r>
      <w:r w:rsidRPr="0020182A">
        <w:rPr>
          <w:rFonts w:cs="Arial"/>
          <w:szCs w:val="20"/>
        </w:rPr>
        <w:t xml:space="preserve"> investment generally.</w:t>
      </w:r>
    </w:p>
    <w:p w:rsidR="00932795" w:rsidRPr="0020182A" w:rsidRDefault="00932795" w:rsidP="0049047D">
      <w:pPr>
        <w:pStyle w:val="BodyText1"/>
        <w:spacing w:before="80" w:after="80"/>
        <w:rPr>
          <w:rFonts w:cs="Arial"/>
          <w:szCs w:val="20"/>
        </w:rPr>
      </w:pPr>
      <w:r w:rsidRPr="0020182A">
        <w:rPr>
          <w:rFonts w:cs="Arial"/>
          <w:szCs w:val="20"/>
        </w:rPr>
        <w:t xml:space="preserve">To some extent these risks and uncertainties are associated with the “newness” of the NDIS and SDA </w:t>
      </w:r>
      <w:r w:rsidR="00E220E7" w:rsidRPr="0020182A">
        <w:rPr>
          <w:rFonts w:cs="Arial"/>
          <w:szCs w:val="20"/>
        </w:rPr>
        <w:t>a</w:t>
      </w:r>
      <w:r w:rsidRPr="0020182A">
        <w:rPr>
          <w:rFonts w:cs="Arial"/>
          <w:szCs w:val="20"/>
        </w:rPr>
        <w:t xml:space="preserve">s a </w:t>
      </w:r>
      <w:r w:rsidR="00E220E7" w:rsidRPr="0020182A">
        <w:rPr>
          <w:rFonts w:cs="Arial"/>
          <w:szCs w:val="20"/>
        </w:rPr>
        <w:t>“</w:t>
      </w:r>
      <w:r w:rsidRPr="0020182A">
        <w:rPr>
          <w:rFonts w:cs="Arial"/>
          <w:szCs w:val="20"/>
        </w:rPr>
        <w:t>product</w:t>
      </w:r>
      <w:r w:rsidR="00E220E7" w:rsidRPr="0020182A">
        <w:rPr>
          <w:rFonts w:cs="Arial"/>
          <w:szCs w:val="20"/>
        </w:rPr>
        <w:t xml:space="preserve">’, </w:t>
      </w:r>
      <w:r w:rsidRPr="0020182A">
        <w:rPr>
          <w:rFonts w:cs="Arial"/>
          <w:szCs w:val="20"/>
        </w:rPr>
        <w:t xml:space="preserve">and </w:t>
      </w:r>
      <w:r w:rsidR="006A28D2">
        <w:rPr>
          <w:rFonts w:cs="Arial"/>
          <w:szCs w:val="20"/>
        </w:rPr>
        <w:t>a</w:t>
      </w:r>
      <w:r w:rsidRPr="0020182A">
        <w:rPr>
          <w:rFonts w:cs="Arial"/>
          <w:szCs w:val="20"/>
        </w:rPr>
        <w:t xml:space="preserve"> largely untested </w:t>
      </w:r>
      <w:r w:rsidR="006A28D2">
        <w:rPr>
          <w:rFonts w:cs="Arial"/>
          <w:szCs w:val="20"/>
        </w:rPr>
        <w:t xml:space="preserve">market </w:t>
      </w:r>
      <w:r w:rsidRPr="0020182A">
        <w:rPr>
          <w:rFonts w:cs="Arial"/>
          <w:szCs w:val="20"/>
        </w:rPr>
        <w:t xml:space="preserve">– </w:t>
      </w:r>
      <w:r w:rsidR="006A28D2">
        <w:rPr>
          <w:rFonts w:cs="Arial"/>
          <w:szCs w:val="20"/>
        </w:rPr>
        <w:t>factors that are</w:t>
      </w:r>
      <w:r w:rsidRPr="0020182A">
        <w:rPr>
          <w:rFonts w:cs="Arial"/>
          <w:szCs w:val="20"/>
        </w:rPr>
        <w:t xml:space="preserve"> likely to reduce as the NDIS and SDA </w:t>
      </w:r>
      <w:r w:rsidRPr="0020182A">
        <w:rPr>
          <w:rFonts w:cs="Arial"/>
          <w:szCs w:val="20"/>
        </w:rPr>
        <w:lastRenderedPageBreak/>
        <w:t xml:space="preserve">market matures. </w:t>
      </w:r>
      <w:r w:rsidR="00E220E7" w:rsidRPr="0020182A">
        <w:rPr>
          <w:rFonts w:cs="Arial"/>
          <w:szCs w:val="20"/>
        </w:rPr>
        <w:t xml:space="preserve">  However, there were a number of factors identified by providers and investors which were </w:t>
      </w:r>
      <w:r w:rsidRPr="0020182A">
        <w:rPr>
          <w:rFonts w:cs="Arial"/>
          <w:szCs w:val="20"/>
        </w:rPr>
        <w:t>impacting negatively on provider and investor willingness to invest in SDA:</w:t>
      </w:r>
    </w:p>
    <w:p w:rsidR="00932795" w:rsidRPr="0020182A" w:rsidRDefault="00932795" w:rsidP="003F2D39">
      <w:pPr>
        <w:pStyle w:val="BodyText1"/>
        <w:numPr>
          <w:ilvl w:val="0"/>
          <w:numId w:val="10"/>
        </w:numPr>
        <w:spacing w:before="80" w:after="80"/>
        <w:rPr>
          <w:rFonts w:cs="Arial"/>
          <w:szCs w:val="20"/>
        </w:rPr>
      </w:pPr>
      <w:r w:rsidRPr="0020182A">
        <w:rPr>
          <w:rFonts w:cs="Arial"/>
          <w:i/>
          <w:szCs w:val="20"/>
        </w:rPr>
        <w:t>Uncertainty around pricing:</w:t>
      </w:r>
      <w:r w:rsidRPr="0020182A">
        <w:rPr>
          <w:rFonts w:cs="Arial"/>
          <w:szCs w:val="20"/>
        </w:rPr>
        <w:t xml:space="preserve"> Uncertainty of longer term pricing relative to investment time horizon, and risks associated with changing (reducing) prices at each fiv</w:t>
      </w:r>
      <w:r w:rsidR="009B43EC">
        <w:rPr>
          <w:rFonts w:cs="Arial"/>
          <w:szCs w:val="20"/>
        </w:rPr>
        <w:t>e-year price review cycle</w:t>
      </w:r>
      <w:r w:rsidRPr="0020182A">
        <w:rPr>
          <w:rFonts w:cs="Arial"/>
          <w:szCs w:val="20"/>
        </w:rPr>
        <w:t>.</w:t>
      </w:r>
    </w:p>
    <w:p w:rsidR="00932795" w:rsidRPr="0020182A" w:rsidRDefault="00932795" w:rsidP="003F2D39">
      <w:pPr>
        <w:pStyle w:val="BodyText1"/>
        <w:numPr>
          <w:ilvl w:val="0"/>
          <w:numId w:val="10"/>
        </w:numPr>
        <w:spacing w:before="80" w:after="80"/>
        <w:rPr>
          <w:rFonts w:cs="Arial"/>
          <w:szCs w:val="20"/>
        </w:rPr>
      </w:pPr>
      <w:r w:rsidRPr="0020182A">
        <w:rPr>
          <w:rFonts w:cs="Arial"/>
          <w:i/>
          <w:szCs w:val="20"/>
        </w:rPr>
        <w:t>Policy uncertainty:</w:t>
      </w:r>
      <w:r w:rsidRPr="0020182A">
        <w:rPr>
          <w:rFonts w:cs="Arial"/>
          <w:szCs w:val="20"/>
        </w:rPr>
        <w:t xml:space="preserve"> Perceptions that SDA policy is still developing, and risks and uncertainties associated with stability of SDA policy settings and future directions</w:t>
      </w:r>
      <w:r w:rsidR="00E220E7" w:rsidRPr="0020182A">
        <w:rPr>
          <w:rFonts w:cs="Arial"/>
          <w:szCs w:val="20"/>
        </w:rPr>
        <w:t xml:space="preserve"> (and expectations that SDA policy will continue to change – particularly at an operational level)</w:t>
      </w:r>
      <w:r w:rsidRPr="0020182A">
        <w:rPr>
          <w:rFonts w:cs="Arial"/>
          <w:szCs w:val="20"/>
        </w:rPr>
        <w:t>.</w:t>
      </w:r>
    </w:p>
    <w:p w:rsidR="00932795" w:rsidRPr="0020182A" w:rsidRDefault="00932795" w:rsidP="003F2D39">
      <w:pPr>
        <w:pStyle w:val="BodyText1"/>
        <w:numPr>
          <w:ilvl w:val="0"/>
          <w:numId w:val="10"/>
        </w:numPr>
        <w:spacing w:before="80" w:after="80"/>
        <w:rPr>
          <w:rFonts w:cs="Arial"/>
          <w:szCs w:val="20"/>
        </w:rPr>
      </w:pPr>
      <w:r w:rsidRPr="0020182A">
        <w:rPr>
          <w:rFonts w:cs="Arial"/>
          <w:i/>
          <w:szCs w:val="20"/>
        </w:rPr>
        <w:t>Implementation issues and associated risks:</w:t>
      </w:r>
      <w:r w:rsidRPr="0020182A">
        <w:rPr>
          <w:rFonts w:cs="Arial"/>
          <w:szCs w:val="20"/>
        </w:rPr>
        <w:t xml:space="preserve"> Issues and risks associated with processes, timing and consistency of NDIA decisions relating to SDA eligibility and funding and interplay with SIL funding decisions.</w:t>
      </w:r>
    </w:p>
    <w:p w:rsidR="00932795" w:rsidRPr="00B8759A" w:rsidRDefault="00932795" w:rsidP="0072276D">
      <w:pPr>
        <w:pStyle w:val="BodyText2"/>
      </w:pPr>
      <w:r w:rsidRPr="00B8759A">
        <w:t>Quality</w:t>
      </w:r>
      <w:r w:rsidR="001E12C2" w:rsidRPr="00B8759A">
        <w:t xml:space="preserve">:  </w:t>
      </w:r>
      <w:r w:rsidR="0049047D" w:rsidRPr="00B8759A">
        <w:t>In a well-functioning SDA market, ap</w:t>
      </w:r>
      <w:r w:rsidR="001E12C2" w:rsidRPr="00B8759A">
        <w:t>propriate standards, processes and consumer protections are in place to ensure a minimum level of quality of supply</w:t>
      </w:r>
    </w:p>
    <w:p w:rsidR="0049047D" w:rsidRPr="0020182A" w:rsidRDefault="0049047D" w:rsidP="0049047D">
      <w:pPr>
        <w:pStyle w:val="TableBullet1"/>
        <w:numPr>
          <w:ilvl w:val="0"/>
          <w:numId w:val="0"/>
        </w:numPr>
        <w:spacing w:before="80" w:after="80"/>
        <w:contextualSpacing w:val="0"/>
        <w:rPr>
          <w:rFonts w:cs="Arial"/>
          <w:szCs w:val="20"/>
        </w:rPr>
      </w:pPr>
      <w:r w:rsidRPr="0020182A">
        <w:rPr>
          <w:rFonts w:cs="Arial"/>
          <w:szCs w:val="20"/>
        </w:rPr>
        <w:t>Review findings in relation to quality are:</w:t>
      </w:r>
    </w:p>
    <w:p w:rsidR="00932795" w:rsidRPr="0020182A" w:rsidRDefault="00932795" w:rsidP="003F2D39">
      <w:pPr>
        <w:pStyle w:val="Numberbullet1stlevel"/>
        <w:numPr>
          <w:ilvl w:val="0"/>
          <w:numId w:val="0"/>
        </w:numPr>
        <w:spacing w:before="80" w:after="80"/>
        <w:rPr>
          <w:rStyle w:val="White"/>
          <w:rFonts w:cs="Arial"/>
          <w:i/>
          <w:color w:val="auto"/>
          <w:szCs w:val="20"/>
        </w:rPr>
      </w:pPr>
      <w:r w:rsidRPr="0020182A">
        <w:rPr>
          <w:rStyle w:val="White"/>
          <w:rFonts w:cs="Arial"/>
          <w:i/>
          <w:color w:val="auto"/>
          <w:szCs w:val="20"/>
        </w:rPr>
        <w:t>Finding 11: While the design guidelines used for SDA promote quality building and design, it is too early to determine whether this is being achieved.</w:t>
      </w:r>
    </w:p>
    <w:p w:rsidR="00932795" w:rsidRPr="0020182A" w:rsidRDefault="00932795" w:rsidP="003F2D39">
      <w:pPr>
        <w:pStyle w:val="TableBullet1"/>
        <w:numPr>
          <w:ilvl w:val="0"/>
          <w:numId w:val="0"/>
        </w:numPr>
        <w:spacing w:before="80" w:after="80"/>
        <w:contextualSpacing w:val="0"/>
        <w:rPr>
          <w:rFonts w:cs="Arial"/>
          <w:szCs w:val="20"/>
        </w:rPr>
      </w:pPr>
      <w:r w:rsidRPr="0020182A">
        <w:rPr>
          <w:rFonts w:cs="Arial"/>
          <w:szCs w:val="20"/>
        </w:rPr>
        <w:t>The new quality arrangements provide an opportunity to establish a transparent and effective provisional enrolment process which enables dwellings to be approved earlier in the build process, while also providing a final approval of the implementation of required standards.</w:t>
      </w:r>
    </w:p>
    <w:p w:rsidR="00932795" w:rsidRPr="0020182A" w:rsidRDefault="00932795" w:rsidP="003F2D39">
      <w:pPr>
        <w:pStyle w:val="TableBullet1"/>
        <w:numPr>
          <w:ilvl w:val="0"/>
          <w:numId w:val="0"/>
        </w:numPr>
        <w:spacing w:before="80" w:after="80"/>
        <w:contextualSpacing w:val="0"/>
        <w:rPr>
          <w:rFonts w:cs="Arial"/>
          <w:szCs w:val="20"/>
        </w:rPr>
      </w:pPr>
      <w:r w:rsidRPr="0020182A">
        <w:rPr>
          <w:rFonts w:cs="Arial"/>
          <w:szCs w:val="20"/>
        </w:rPr>
        <w:t>While the design standards used for SDA aim to promote quality building and design, it is too early to determine whether this is being achieved. It was noted that the majority of current stock is existing or legacy stock, which in most cases only meets the Basic design category.</w:t>
      </w:r>
    </w:p>
    <w:p w:rsidR="00932795" w:rsidRPr="0020182A" w:rsidRDefault="00932795" w:rsidP="003F2D39">
      <w:pPr>
        <w:pStyle w:val="Numberbullet1stlevel"/>
        <w:numPr>
          <w:ilvl w:val="0"/>
          <w:numId w:val="0"/>
        </w:numPr>
        <w:spacing w:before="80" w:after="80"/>
        <w:rPr>
          <w:rStyle w:val="White"/>
          <w:rFonts w:cs="Arial"/>
          <w:i/>
          <w:color w:val="auto"/>
          <w:szCs w:val="20"/>
        </w:rPr>
      </w:pPr>
      <w:r w:rsidRPr="0020182A">
        <w:rPr>
          <w:rStyle w:val="White"/>
          <w:rFonts w:cs="Arial"/>
          <w:i/>
          <w:color w:val="auto"/>
          <w:szCs w:val="20"/>
        </w:rPr>
        <w:t xml:space="preserve">Finding 12: Some providers, particularly in jurisdictions where the NDIS Commission is yet to come online, remain uncertain about the new quality and safeguarding requirements for SDA under the </w:t>
      </w:r>
      <w:r w:rsidR="006A28D2">
        <w:rPr>
          <w:rStyle w:val="White"/>
          <w:rFonts w:cs="Arial"/>
          <w:i/>
          <w:color w:val="auto"/>
          <w:szCs w:val="20"/>
        </w:rPr>
        <w:t xml:space="preserve">NDIS </w:t>
      </w:r>
      <w:r w:rsidRPr="0020182A">
        <w:rPr>
          <w:rStyle w:val="White"/>
          <w:rFonts w:cs="Arial"/>
          <w:i/>
          <w:color w:val="auto"/>
          <w:szCs w:val="20"/>
        </w:rPr>
        <w:t>Commission, and there are concerns about the cost implications of new quality requirements.</w:t>
      </w:r>
    </w:p>
    <w:p w:rsidR="00932795" w:rsidRPr="0020182A" w:rsidRDefault="00932795" w:rsidP="00756C3D">
      <w:pPr>
        <w:pStyle w:val="CommentText"/>
      </w:pPr>
      <w:r w:rsidRPr="0020182A">
        <w:t xml:space="preserve">The Rules and SDA Guidelines set out the role and requirement of the NDIS Commission </w:t>
      </w:r>
      <w:r w:rsidR="00E220E7" w:rsidRPr="0020182A">
        <w:t xml:space="preserve">with respect to </w:t>
      </w:r>
      <w:r w:rsidRPr="0020182A">
        <w:t>SDA, however providers remain uncertain about t</w:t>
      </w:r>
      <w:r w:rsidRPr="0020182A">
        <w:rPr>
          <w:rFonts w:cs="Arial"/>
        </w:rPr>
        <w:t>he quality assurance processes for SDA dwellings</w:t>
      </w:r>
      <w:r w:rsidR="00E220E7" w:rsidRPr="0020182A">
        <w:rPr>
          <w:rFonts w:cs="Arial"/>
        </w:rPr>
        <w:t xml:space="preserve">, and the </w:t>
      </w:r>
      <w:r w:rsidRPr="0020182A">
        <w:rPr>
          <w:rFonts w:cs="Arial"/>
        </w:rPr>
        <w:t xml:space="preserve">cost implications </w:t>
      </w:r>
      <w:r w:rsidR="00E220E7" w:rsidRPr="0020182A">
        <w:rPr>
          <w:rFonts w:cs="Arial"/>
        </w:rPr>
        <w:t xml:space="preserve">relating to </w:t>
      </w:r>
      <w:r w:rsidRPr="0020182A">
        <w:rPr>
          <w:rFonts w:cs="Arial"/>
        </w:rPr>
        <w:t xml:space="preserve">the implementation of new requirements. </w:t>
      </w:r>
      <w:r w:rsidRPr="0020182A">
        <w:t>Although there may be costs associated with quality and safety uplift (</w:t>
      </w:r>
      <w:r w:rsidR="006A28D2" w:rsidRPr="0020182A">
        <w:t>i.e.</w:t>
      </w:r>
      <w:r w:rsidRPr="0020182A">
        <w:t xml:space="preserve"> audit costs), the </w:t>
      </w:r>
      <w:r w:rsidR="00E220E7" w:rsidRPr="0020182A">
        <w:t xml:space="preserve">benefits in terms of </w:t>
      </w:r>
      <w:r w:rsidRPr="0020182A">
        <w:t xml:space="preserve">reducing harm to participants and improving service quality through better practice is expected to offset many of these costs. </w:t>
      </w:r>
    </w:p>
    <w:p w:rsidR="00932795" w:rsidRPr="00B8759A" w:rsidRDefault="00932795" w:rsidP="0072276D">
      <w:pPr>
        <w:pStyle w:val="BodyText2"/>
      </w:pPr>
      <w:r w:rsidRPr="00B8759A">
        <w:t>Innovation</w:t>
      </w:r>
      <w:r w:rsidR="001E12C2" w:rsidRPr="00B8759A">
        <w:t xml:space="preserve">: </w:t>
      </w:r>
      <w:r w:rsidR="0049047D" w:rsidRPr="00B8759A">
        <w:t xml:space="preserve"> In a well-functioning SDA market, t</w:t>
      </w:r>
      <w:r w:rsidR="001E12C2" w:rsidRPr="00B8759A">
        <w:t xml:space="preserve">here </w:t>
      </w:r>
      <w:r w:rsidR="0049047D" w:rsidRPr="00B8759A">
        <w:t xml:space="preserve">should be </w:t>
      </w:r>
      <w:r w:rsidR="001E12C2" w:rsidRPr="00B8759A">
        <w:t xml:space="preserve">sufficient information and incentives </w:t>
      </w:r>
      <w:r w:rsidR="006A28D2" w:rsidRPr="00B8759A">
        <w:t xml:space="preserve">(and no disincentives) </w:t>
      </w:r>
      <w:r w:rsidR="001E12C2" w:rsidRPr="00B8759A">
        <w:t>for promote and achieve innovation in SDA supply</w:t>
      </w:r>
    </w:p>
    <w:p w:rsidR="0049047D" w:rsidRPr="0020182A" w:rsidRDefault="0049047D" w:rsidP="0049047D">
      <w:pPr>
        <w:pStyle w:val="TableBullet1"/>
        <w:numPr>
          <w:ilvl w:val="0"/>
          <w:numId w:val="0"/>
        </w:numPr>
        <w:spacing w:before="80" w:after="80"/>
        <w:contextualSpacing w:val="0"/>
        <w:rPr>
          <w:rFonts w:cs="Arial"/>
          <w:szCs w:val="20"/>
        </w:rPr>
      </w:pPr>
      <w:r w:rsidRPr="0020182A">
        <w:rPr>
          <w:rFonts w:cs="Arial"/>
          <w:szCs w:val="20"/>
        </w:rPr>
        <w:t>Review findings in relation to innovation are:</w:t>
      </w:r>
    </w:p>
    <w:p w:rsidR="00932795" w:rsidRPr="0020182A" w:rsidRDefault="00932795" w:rsidP="003F2D39">
      <w:pPr>
        <w:pStyle w:val="Numberbullet1stlevel"/>
        <w:numPr>
          <w:ilvl w:val="0"/>
          <w:numId w:val="0"/>
        </w:numPr>
        <w:spacing w:before="80" w:after="80"/>
        <w:rPr>
          <w:rStyle w:val="White"/>
          <w:rFonts w:cs="Arial"/>
          <w:i/>
          <w:color w:val="auto"/>
          <w:szCs w:val="20"/>
        </w:rPr>
      </w:pPr>
      <w:r w:rsidRPr="0020182A">
        <w:rPr>
          <w:rStyle w:val="White"/>
          <w:rFonts w:cs="Arial"/>
          <w:i/>
          <w:color w:val="auto"/>
          <w:szCs w:val="20"/>
        </w:rPr>
        <w:t>Finding 13: The immaturity of the SDA market means that the notions of innovation are still being determined.</w:t>
      </w:r>
    </w:p>
    <w:p w:rsidR="00932795" w:rsidRPr="0020182A" w:rsidRDefault="00932795" w:rsidP="003F2D39">
      <w:pPr>
        <w:pStyle w:val="TableBullet1"/>
        <w:numPr>
          <w:ilvl w:val="0"/>
          <w:numId w:val="0"/>
        </w:numPr>
        <w:spacing w:before="80" w:after="80"/>
        <w:contextualSpacing w:val="0"/>
        <w:rPr>
          <w:rFonts w:cs="Arial"/>
          <w:szCs w:val="20"/>
        </w:rPr>
      </w:pPr>
      <w:r w:rsidRPr="0020182A">
        <w:rPr>
          <w:rFonts w:cs="Arial"/>
          <w:szCs w:val="20"/>
        </w:rPr>
        <w:t xml:space="preserve">The existing commentary in the SDA Framework supports innovation in SDA design and delivery, and this is critical to the development of a market which provides contemporary housing options </w:t>
      </w:r>
      <w:r w:rsidR="006A28D2">
        <w:rPr>
          <w:rFonts w:cs="Arial"/>
          <w:szCs w:val="20"/>
        </w:rPr>
        <w:t>that</w:t>
      </w:r>
      <w:r w:rsidR="006A28D2" w:rsidRPr="0020182A">
        <w:rPr>
          <w:rFonts w:cs="Arial"/>
          <w:szCs w:val="20"/>
        </w:rPr>
        <w:t xml:space="preserve"> </w:t>
      </w:r>
      <w:r w:rsidRPr="0020182A">
        <w:rPr>
          <w:rFonts w:cs="Arial"/>
          <w:szCs w:val="20"/>
        </w:rPr>
        <w:t xml:space="preserve">contribute to positive outcomes for participants. </w:t>
      </w:r>
      <w:r w:rsidR="00756C3D" w:rsidRPr="0020182A">
        <w:rPr>
          <w:rFonts w:cs="Arial"/>
          <w:szCs w:val="20"/>
        </w:rPr>
        <w:t xml:space="preserve"> </w:t>
      </w:r>
      <w:r w:rsidRPr="0020182A">
        <w:rPr>
          <w:rFonts w:cs="Arial"/>
          <w:szCs w:val="20"/>
        </w:rPr>
        <w:t>However, what is meant by ‘innovation’ in this new market context is still being determined</w:t>
      </w:r>
      <w:r w:rsidR="00756C3D" w:rsidRPr="0020182A">
        <w:rPr>
          <w:rFonts w:cs="Arial"/>
          <w:szCs w:val="20"/>
        </w:rPr>
        <w:t>, and a</w:t>
      </w:r>
      <w:r w:rsidRPr="0020182A">
        <w:rPr>
          <w:rFonts w:cs="Arial"/>
          <w:szCs w:val="20"/>
        </w:rPr>
        <w:t>t this early stage, innovation and quality is largely being defined by providers in terms of new or alternative housing design and built forms</w:t>
      </w:r>
      <w:r w:rsidR="00756C3D" w:rsidRPr="0020182A">
        <w:rPr>
          <w:rFonts w:cs="Arial"/>
          <w:szCs w:val="20"/>
        </w:rPr>
        <w:t xml:space="preserve">, </w:t>
      </w:r>
      <w:r w:rsidRPr="0020182A">
        <w:rPr>
          <w:rFonts w:cs="Arial"/>
          <w:szCs w:val="20"/>
        </w:rPr>
        <w:t xml:space="preserve">innovative use of technology, and co-location with other housing options (such as SDA dwellings located in larger apartment buildings). </w:t>
      </w:r>
    </w:p>
    <w:p w:rsidR="00932795" w:rsidRPr="0020182A" w:rsidRDefault="00932795" w:rsidP="003F2D39">
      <w:pPr>
        <w:pStyle w:val="Numberbullet1stlevel"/>
        <w:numPr>
          <w:ilvl w:val="0"/>
          <w:numId w:val="0"/>
        </w:numPr>
        <w:spacing w:before="80" w:after="80"/>
        <w:rPr>
          <w:rStyle w:val="White"/>
          <w:rFonts w:cs="Arial"/>
          <w:i/>
          <w:color w:val="auto"/>
          <w:szCs w:val="20"/>
        </w:rPr>
      </w:pPr>
      <w:r w:rsidRPr="0020182A">
        <w:rPr>
          <w:rStyle w:val="White"/>
          <w:rFonts w:cs="Arial"/>
          <w:i/>
          <w:color w:val="auto"/>
          <w:szCs w:val="20"/>
        </w:rPr>
        <w:t xml:space="preserve">Finding 14: Participants are limited in their ability to drive or influence innovative SDA designs. </w:t>
      </w:r>
    </w:p>
    <w:p w:rsidR="00932795" w:rsidRPr="0020182A" w:rsidRDefault="00932795" w:rsidP="003F2D39">
      <w:pPr>
        <w:pStyle w:val="Numberbullet1stlevel"/>
        <w:numPr>
          <w:ilvl w:val="0"/>
          <w:numId w:val="0"/>
        </w:numPr>
        <w:spacing w:before="80" w:after="80"/>
        <w:rPr>
          <w:rStyle w:val="White"/>
          <w:b/>
          <w:color w:val="auto"/>
          <w:szCs w:val="20"/>
        </w:rPr>
      </w:pPr>
      <w:r w:rsidRPr="0020182A">
        <w:rPr>
          <w:rFonts w:cs="Arial"/>
          <w:szCs w:val="20"/>
        </w:rPr>
        <w:t>Participants and their families have a much broader view of innovation, encompassing considerations such as ownership models and shared equity models, innovative arrangements which allow for people with disability to live with family, and innovative support delivery and implications for housing, such as home-share arrangements. The Framework does not allow for many of these potential innovations, and instead assumes a “rental model” for SDA (much like social housing or defence housing), whereby providers and investors develop and own properties which are made available for ‘rent’ to eligible SDA participants (who utilise their SDA funding as well as pay a co-contribution).</w:t>
      </w:r>
    </w:p>
    <w:p w:rsidR="00ED5E52" w:rsidRPr="00ED5E52" w:rsidRDefault="00932795" w:rsidP="00B8759A">
      <w:pPr>
        <w:pStyle w:val="BodyText2"/>
        <w:rPr>
          <w:rStyle w:val="White"/>
          <w:rFonts w:eastAsiaTheme="minorHAnsi" w:cs="Arial"/>
          <w:b/>
          <w:i/>
          <w:iCs/>
          <w:color w:val="auto"/>
          <w:sz w:val="20"/>
          <w:szCs w:val="20"/>
        </w:rPr>
      </w:pPr>
      <w:r w:rsidRPr="00ED5E52">
        <w:rPr>
          <w:rStyle w:val="White"/>
          <w:rFonts w:eastAsiaTheme="minorHAnsi" w:cs="Arial"/>
          <w:i/>
          <w:color w:val="auto"/>
          <w:sz w:val="20"/>
          <w:szCs w:val="20"/>
        </w:rPr>
        <w:t xml:space="preserve">Finding 15: </w:t>
      </w:r>
      <w:r w:rsidR="00ED5E52" w:rsidRPr="00ED5E52">
        <w:rPr>
          <w:rStyle w:val="White"/>
          <w:rFonts w:eastAsiaTheme="minorHAnsi" w:cs="Arial"/>
          <w:i/>
          <w:color w:val="auto"/>
          <w:sz w:val="20"/>
          <w:szCs w:val="20"/>
        </w:rPr>
        <w:t>There are some aspects of the SDA Framework</w:t>
      </w:r>
      <w:r w:rsidR="00A97A7B">
        <w:rPr>
          <w:rStyle w:val="White"/>
          <w:rFonts w:eastAsiaTheme="minorHAnsi" w:cs="Arial"/>
          <w:i/>
          <w:color w:val="auto"/>
          <w:sz w:val="20"/>
          <w:szCs w:val="20"/>
        </w:rPr>
        <w:t xml:space="preserve"> and </w:t>
      </w:r>
      <w:r w:rsidR="00ED5E52" w:rsidRPr="00ED5E52">
        <w:rPr>
          <w:rStyle w:val="White"/>
          <w:rFonts w:eastAsiaTheme="minorHAnsi" w:cs="Arial"/>
          <w:i/>
          <w:color w:val="auto"/>
          <w:sz w:val="20"/>
          <w:szCs w:val="20"/>
        </w:rPr>
        <w:t xml:space="preserve">Rules that are creating some barriers to achieving innovation </w:t>
      </w:r>
    </w:p>
    <w:p w:rsidR="00932795" w:rsidRPr="0020182A" w:rsidRDefault="00932795" w:rsidP="0049047D">
      <w:pPr>
        <w:pStyle w:val="TableBullet1"/>
        <w:numPr>
          <w:ilvl w:val="0"/>
          <w:numId w:val="0"/>
        </w:numPr>
        <w:tabs>
          <w:tab w:val="left" w:pos="357"/>
        </w:tabs>
        <w:spacing w:before="80" w:after="80"/>
        <w:contextualSpacing w:val="0"/>
        <w:rPr>
          <w:rFonts w:cs="Arial"/>
          <w:b/>
          <w:i/>
          <w:szCs w:val="20"/>
        </w:rPr>
      </w:pPr>
      <w:r w:rsidRPr="0020182A">
        <w:rPr>
          <w:rFonts w:cs="Arial"/>
          <w:szCs w:val="20"/>
        </w:rPr>
        <w:lastRenderedPageBreak/>
        <w:t>Achieving innovative and high quality SDA designs, and potentially other innovations relating to pathways to home ownership, are only likely to emerge over time. However, at this stage, uncertainty relating to SDA policy settings and pricing, and the lack of market information relating to demand and supply, means that many providers and investors are unwilling to invest in more complex, innovative SDA solutions.</w:t>
      </w:r>
      <w:r w:rsidR="00756C3D" w:rsidRPr="0020182A">
        <w:rPr>
          <w:rFonts w:cs="Arial"/>
          <w:szCs w:val="20"/>
        </w:rPr>
        <w:t xml:space="preserve">  Further, the </w:t>
      </w:r>
      <w:r w:rsidRPr="0020182A">
        <w:rPr>
          <w:rFonts w:cs="Arial"/>
          <w:szCs w:val="20"/>
        </w:rPr>
        <w:t>Rules and Framework in some instances are quite specific, for example in in relation to dwelling configurations and building categories, which can have the unintended consequence of limiting innovative market responses.</w:t>
      </w:r>
    </w:p>
    <w:p w:rsidR="00290960" w:rsidRPr="0020182A" w:rsidRDefault="00290960" w:rsidP="00575134">
      <w:pPr>
        <w:pStyle w:val="Heading3"/>
      </w:pPr>
      <w:r w:rsidRPr="0020182A">
        <w:t>Efficiency and value for money</w:t>
      </w:r>
    </w:p>
    <w:p w:rsidR="001E12C2" w:rsidRPr="00B8759A" w:rsidRDefault="001E12C2" w:rsidP="00B8759A">
      <w:pPr>
        <w:pStyle w:val="BodyText2"/>
        <w:rPr>
          <w:sz w:val="20"/>
        </w:rPr>
      </w:pPr>
      <w:r w:rsidRPr="00B8759A">
        <w:rPr>
          <w:sz w:val="20"/>
        </w:rPr>
        <w:t xml:space="preserve">Optimal outcomes and value for money:  </w:t>
      </w:r>
      <w:r w:rsidR="0049047D" w:rsidRPr="00B8759A">
        <w:rPr>
          <w:sz w:val="20"/>
        </w:rPr>
        <w:t>A well-functioning, regulated SDA market</w:t>
      </w:r>
      <w:r w:rsidRPr="00B8759A">
        <w:rPr>
          <w:sz w:val="20"/>
        </w:rPr>
        <w:t xml:space="preserve"> balances efficient use of participant funding and achievement of optimal outcomes, while providing value for money for Government</w:t>
      </w:r>
    </w:p>
    <w:p w:rsidR="0049047D" w:rsidRPr="0020182A" w:rsidRDefault="0049047D" w:rsidP="0049047D">
      <w:pPr>
        <w:pStyle w:val="TableBullet1"/>
        <w:numPr>
          <w:ilvl w:val="0"/>
          <w:numId w:val="0"/>
        </w:numPr>
        <w:spacing w:before="80" w:after="80"/>
        <w:contextualSpacing w:val="0"/>
        <w:rPr>
          <w:rFonts w:cs="Arial"/>
          <w:szCs w:val="20"/>
        </w:rPr>
      </w:pPr>
      <w:r w:rsidRPr="0020182A">
        <w:rPr>
          <w:rFonts w:cs="Arial"/>
          <w:szCs w:val="20"/>
        </w:rPr>
        <w:t>Review findings in relation to efficiency and value for money are:</w:t>
      </w:r>
    </w:p>
    <w:p w:rsidR="00932795" w:rsidRPr="0020182A" w:rsidRDefault="00932795" w:rsidP="003F2D39">
      <w:pPr>
        <w:pStyle w:val="Numberbullet1stlevel"/>
        <w:numPr>
          <w:ilvl w:val="0"/>
          <w:numId w:val="0"/>
        </w:numPr>
        <w:spacing w:before="80" w:after="80"/>
        <w:rPr>
          <w:rStyle w:val="White"/>
          <w:rFonts w:cs="Arial"/>
          <w:i/>
          <w:color w:val="auto"/>
          <w:szCs w:val="20"/>
        </w:rPr>
      </w:pPr>
      <w:r w:rsidRPr="0020182A">
        <w:rPr>
          <w:rStyle w:val="White"/>
          <w:rFonts w:cs="Arial"/>
          <w:i/>
          <w:color w:val="auto"/>
          <w:szCs w:val="20"/>
        </w:rPr>
        <w:t xml:space="preserve">Finding 16: Broadly, the SDA Framework supports ongoing sustainability of the Scheme, though is not clear on how choice for participants and Scheme sustainability and value for money can be balanced. </w:t>
      </w:r>
    </w:p>
    <w:p w:rsidR="00932795" w:rsidRPr="0020182A" w:rsidRDefault="00932795" w:rsidP="002E20FA">
      <w:pPr>
        <w:pStyle w:val="TableBullet1"/>
        <w:numPr>
          <w:ilvl w:val="0"/>
          <w:numId w:val="0"/>
        </w:numPr>
        <w:tabs>
          <w:tab w:val="left" w:pos="357"/>
        </w:tabs>
        <w:spacing w:before="80" w:after="80"/>
        <w:contextualSpacing w:val="0"/>
        <w:rPr>
          <w:rFonts w:cs="Arial"/>
          <w:szCs w:val="20"/>
        </w:rPr>
      </w:pPr>
      <w:r w:rsidRPr="0020182A">
        <w:rPr>
          <w:rFonts w:cs="Arial"/>
          <w:szCs w:val="20"/>
        </w:rPr>
        <w:t xml:space="preserve">Scheme sustainability is a central focus of the SDA Framework, with particular emphasis placed on efficient price setting, eligibility determination, dwelling requirements. The SDA Framework also includes operational guidance to ensure immediate costs are managed and emphasises economies of scale. </w:t>
      </w:r>
    </w:p>
    <w:p w:rsidR="00756C3D" w:rsidRPr="0020182A" w:rsidRDefault="00756C3D" w:rsidP="00756C3D">
      <w:pPr>
        <w:pStyle w:val="TableBullet1"/>
        <w:numPr>
          <w:ilvl w:val="0"/>
          <w:numId w:val="0"/>
        </w:numPr>
        <w:tabs>
          <w:tab w:val="left" w:pos="357"/>
        </w:tabs>
        <w:spacing w:before="80" w:after="80"/>
        <w:contextualSpacing w:val="0"/>
        <w:rPr>
          <w:rFonts w:cs="Arial"/>
          <w:szCs w:val="20"/>
        </w:rPr>
      </w:pPr>
      <w:r w:rsidRPr="0020182A">
        <w:rPr>
          <w:rFonts w:cs="Arial"/>
          <w:szCs w:val="20"/>
        </w:rPr>
        <w:t>T</w:t>
      </w:r>
      <w:r w:rsidR="00932795" w:rsidRPr="0020182A">
        <w:rPr>
          <w:rFonts w:cs="Arial"/>
          <w:szCs w:val="20"/>
        </w:rPr>
        <w:t xml:space="preserve">he SDA Framework is </w:t>
      </w:r>
      <w:r w:rsidRPr="0020182A">
        <w:rPr>
          <w:rFonts w:cs="Arial"/>
          <w:szCs w:val="20"/>
        </w:rPr>
        <w:t xml:space="preserve">not clear on </w:t>
      </w:r>
      <w:r w:rsidR="00932795" w:rsidRPr="0020182A">
        <w:rPr>
          <w:rFonts w:cs="Arial"/>
          <w:szCs w:val="20"/>
        </w:rPr>
        <w:t>how choice for participants and Scheme sustainability and value for money can be balanced, and whether choice needs to be limited to achieve Scheme sustainability or whether these two objectives can be achieved together.</w:t>
      </w:r>
      <w:r w:rsidRPr="0020182A">
        <w:rPr>
          <w:rFonts w:cs="Arial"/>
          <w:szCs w:val="20"/>
        </w:rPr>
        <w:t xml:space="preserve"> </w:t>
      </w:r>
    </w:p>
    <w:p w:rsidR="006D6AC5" w:rsidRPr="0020182A" w:rsidRDefault="00756C3D" w:rsidP="0049047D">
      <w:pPr>
        <w:pStyle w:val="TableBullet1"/>
        <w:numPr>
          <w:ilvl w:val="0"/>
          <w:numId w:val="0"/>
        </w:numPr>
        <w:tabs>
          <w:tab w:val="left" w:pos="357"/>
        </w:tabs>
        <w:spacing w:before="80" w:after="80"/>
        <w:contextualSpacing w:val="0"/>
        <w:rPr>
          <w:i/>
          <w:iCs/>
          <w:szCs w:val="20"/>
        </w:rPr>
        <w:sectPr w:rsidR="006D6AC5" w:rsidRPr="0020182A" w:rsidSect="00DC34BF">
          <w:headerReference w:type="default" r:id="rId23"/>
          <w:footerReference w:type="default" r:id="rId24"/>
          <w:pgSz w:w="11906" w:h="16838"/>
          <w:pgMar w:top="1418" w:right="1418" w:bottom="1418" w:left="1418" w:header="340" w:footer="453" w:gutter="0"/>
          <w:cols w:space="708"/>
          <w:docGrid w:linePitch="360"/>
        </w:sectPr>
      </w:pPr>
      <w:r w:rsidRPr="0020182A">
        <w:rPr>
          <w:rFonts w:cs="Arial"/>
          <w:szCs w:val="20"/>
        </w:rPr>
        <w:t>T</w:t>
      </w:r>
      <w:r w:rsidR="00932795" w:rsidRPr="0020182A">
        <w:rPr>
          <w:rFonts w:cs="Arial"/>
          <w:szCs w:val="20"/>
        </w:rPr>
        <w:t xml:space="preserve">he SDA Framework does not currently consider how SDA and other support funding can be used flexibly to better achieve participant goals, or how participants can be engaged in making decisions about using their entire package of supports achieve their long term goals. </w:t>
      </w:r>
      <w:r w:rsidRPr="0020182A">
        <w:rPr>
          <w:rFonts w:cs="Arial"/>
          <w:szCs w:val="20"/>
        </w:rPr>
        <w:t xml:space="preserve">  </w:t>
      </w:r>
    </w:p>
    <w:p w:rsidR="00C67677" w:rsidRPr="0020182A" w:rsidRDefault="006D6AC5" w:rsidP="0040571F">
      <w:pPr>
        <w:pStyle w:val="HeadingLevel2NoNumber"/>
      </w:pPr>
      <w:r w:rsidRPr="0020182A">
        <w:lastRenderedPageBreak/>
        <w:t>R</w:t>
      </w:r>
      <w:r w:rsidR="00C67677" w:rsidRPr="0020182A">
        <w:t>ecommendations</w:t>
      </w:r>
    </w:p>
    <w:p w:rsidR="007C09E2" w:rsidRPr="0020182A" w:rsidRDefault="007C09E2" w:rsidP="007C09E2">
      <w:pPr>
        <w:pStyle w:val="Heading3"/>
      </w:pPr>
      <w:r w:rsidRPr="0020182A">
        <w:t>Enhancing participant choice and control</w:t>
      </w:r>
    </w:p>
    <w:p w:rsidR="003245E8" w:rsidRPr="00106279" w:rsidRDefault="003245E8" w:rsidP="00106279">
      <w:pPr>
        <w:pStyle w:val="BodyText2"/>
        <w:rPr>
          <w:sz w:val="20"/>
        </w:rPr>
      </w:pPr>
      <w:r w:rsidRPr="00106279">
        <w:rPr>
          <w:sz w:val="20"/>
        </w:rPr>
        <w:t xml:space="preserve">Recommendation 1: Clearly articulate how participant preferences will be taken into account in determining their SIL and SDA arrangements. </w:t>
      </w:r>
    </w:p>
    <w:p w:rsidR="003245E8" w:rsidRPr="0020182A" w:rsidRDefault="003245E8" w:rsidP="003245E8">
      <w:pPr>
        <w:spacing w:before="80" w:after="80"/>
        <w:rPr>
          <w:rFonts w:cs="Arial"/>
          <w:szCs w:val="20"/>
        </w:rPr>
      </w:pPr>
      <w:r w:rsidRPr="0020182A">
        <w:rPr>
          <w:rFonts w:cs="Arial"/>
          <w:szCs w:val="20"/>
        </w:rPr>
        <w:t>This includes clarity on:</w:t>
      </w:r>
    </w:p>
    <w:p w:rsidR="003245E8" w:rsidRDefault="003245E8" w:rsidP="003245E8">
      <w:pPr>
        <w:pStyle w:val="BodyText1"/>
        <w:numPr>
          <w:ilvl w:val="0"/>
          <w:numId w:val="52"/>
        </w:numPr>
        <w:tabs>
          <w:tab w:val="clear" w:pos="340"/>
          <w:tab w:val="num" w:pos="374"/>
        </w:tabs>
        <w:spacing w:before="80" w:after="80"/>
        <w:ind w:left="374"/>
        <w:rPr>
          <w:rFonts w:cs="Arial"/>
          <w:b/>
          <w:szCs w:val="20"/>
        </w:rPr>
      </w:pPr>
      <w:r>
        <w:rPr>
          <w:rFonts w:cs="Arial"/>
          <w:szCs w:val="20"/>
        </w:rPr>
        <w:t xml:space="preserve">How participant preferences relating to </w:t>
      </w:r>
      <w:r w:rsidRPr="0020182A">
        <w:rPr>
          <w:rFonts w:cs="Arial"/>
          <w:i/>
          <w:szCs w:val="20"/>
        </w:rPr>
        <w:t>where</w:t>
      </w:r>
      <w:r w:rsidRPr="0020182A">
        <w:rPr>
          <w:rFonts w:cs="Arial"/>
          <w:szCs w:val="20"/>
        </w:rPr>
        <w:t xml:space="preserve"> they want to live, </w:t>
      </w:r>
      <w:r w:rsidRPr="0020182A">
        <w:rPr>
          <w:rFonts w:cs="Arial"/>
          <w:i/>
          <w:szCs w:val="20"/>
        </w:rPr>
        <w:t>who</w:t>
      </w:r>
      <w:r w:rsidRPr="0020182A">
        <w:rPr>
          <w:rFonts w:cs="Arial"/>
          <w:szCs w:val="20"/>
        </w:rPr>
        <w:t xml:space="preserve"> they want to live with, and the </w:t>
      </w:r>
      <w:r w:rsidRPr="0020182A">
        <w:rPr>
          <w:rFonts w:cs="Arial"/>
          <w:i/>
          <w:szCs w:val="20"/>
        </w:rPr>
        <w:t>type of dwelling</w:t>
      </w:r>
      <w:r w:rsidRPr="0020182A">
        <w:rPr>
          <w:rFonts w:cs="Arial"/>
          <w:szCs w:val="20"/>
        </w:rPr>
        <w:t xml:space="preserve"> they want to live in</w:t>
      </w:r>
      <w:r>
        <w:rPr>
          <w:rFonts w:cs="Arial"/>
          <w:szCs w:val="20"/>
        </w:rPr>
        <w:t>, will be taken into consideration in the determination of ‘reasonable and necessary’</w:t>
      </w:r>
      <w:r>
        <w:rPr>
          <w:rFonts w:cs="Arial"/>
          <w:b/>
          <w:szCs w:val="20"/>
        </w:rPr>
        <w:t>.</w:t>
      </w:r>
    </w:p>
    <w:p w:rsidR="003245E8" w:rsidRPr="00C93446" w:rsidRDefault="003245E8" w:rsidP="003245E8">
      <w:pPr>
        <w:pStyle w:val="BodyText1"/>
        <w:numPr>
          <w:ilvl w:val="0"/>
          <w:numId w:val="52"/>
        </w:numPr>
        <w:tabs>
          <w:tab w:val="clear" w:pos="340"/>
          <w:tab w:val="num" w:pos="374"/>
        </w:tabs>
        <w:spacing w:before="80" w:after="80"/>
        <w:ind w:left="374"/>
        <w:rPr>
          <w:rFonts w:cs="Arial"/>
          <w:b/>
          <w:szCs w:val="20"/>
        </w:rPr>
      </w:pPr>
      <w:r>
        <w:rPr>
          <w:rFonts w:cs="Arial"/>
          <w:szCs w:val="20"/>
        </w:rPr>
        <w:t xml:space="preserve">Communicating more clearly to participants and families, and the market more broadly, </w:t>
      </w:r>
      <w:r w:rsidRPr="00C93446">
        <w:rPr>
          <w:rFonts w:cs="Arial"/>
          <w:szCs w:val="20"/>
        </w:rPr>
        <w:t xml:space="preserve">the circumstances </w:t>
      </w:r>
      <w:r>
        <w:rPr>
          <w:rFonts w:cs="Arial"/>
          <w:szCs w:val="20"/>
        </w:rPr>
        <w:t xml:space="preserve">in which </w:t>
      </w:r>
      <w:r w:rsidRPr="00C93446">
        <w:rPr>
          <w:rFonts w:cs="Arial"/>
          <w:szCs w:val="20"/>
        </w:rPr>
        <w:t>a participant may be able to live alone</w:t>
      </w:r>
      <w:r>
        <w:rPr>
          <w:rFonts w:cs="Arial"/>
          <w:szCs w:val="20"/>
        </w:rPr>
        <w:t xml:space="preserve"> (as per the Rules).</w:t>
      </w:r>
    </w:p>
    <w:p w:rsidR="003245E8" w:rsidRDefault="003245E8" w:rsidP="003245E8">
      <w:pPr>
        <w:pStyle w:val="BodyText1"/>
        <w:numPr>
          <w:ilvl w:val="0"/>
          <w:numId w:val="53"/>
        </w:numPr>
        <w:spacing w:before="80" w:after="80"/>
        <w:rPr>
          <w:rFonts w:cs="Arial"/>
          <w:szCs w:val="20"/>
        </w:rPr>
      </w:pPr>
      <w:r w:rsidRPr="009B43EC">
        <w:rPr>
          <w:rFonts w:cs="Arial"/>
          <w:szCs w:val="20"/>
        </w:rPr>
        <w:t xml:space="preserve">How participants can use their SDA funding more flexibly than present, including </w:t>
      </w:r>
      <w:r>
        <w:rPr>
          <w:rFonts w:cs="Arial"/>
          <w:szCs w:val="20"/>
        </w:rPr>
        <w:t xml:space="preserve">how </w:t>
      </w:r>
      <w:r w:rsidRPr="009B43EC">
        <w:rPr>
          <w:rFonts w:cs="Arial"/>
          <w:szCs w:val="20"/>
        </w:rPr>
        <w:t xml:space="preserve">participants </w:t>
      </w:r>
      <w:r>
        <w:rPr>
          <w:rFonts w:cs="Arial"/>
          <w:szCs w:val="20"/>
        </w:rPr>
        <w:t xml:space="preserve">can be engaged </w:t>
      </w:r>
      <w:r w:rsidRPr="009B43EC">
        <w:rPr>
          <w:rFonts w:cs="Arial"/>
          <w:szCs w:val="20"/>
        </w:rPr>
        <w:t>in decision making about different combinations of SDA and other support funding t</w:t>
      </w:r>
      <w:r>
        <w:rPr>
          <w:rFonts w:cs="Arial"/>
          <w:szCs w:val="20"/>
        </w:rPr>
        <w:t>o</w:t>
      </w:r>
      <w:r w:rsidRPr="009B43EC">
        <w:rPr>
          <w:rFonts w:cs="Arial"/>
          <w:szCs w:val="20"/>
        </w:rPr>
        <w:t xml:space="preserve"> them meet their long-term goals</w:t>
      </w:r>
      <w:r>
        <w:rPr>
          <w:rFonts w:cs="Arial"/>
          <w:szCs w:val="20"/>
        </w:rPr>
        <w:t>.</w:t>
      </w:r>
    </w:p>
    <w:p w:rsidR="003245E8" w:rsidRPr="0020182A" w:rsidRDefault="003245E8" w:rsidP="003245E8">
      <w:pPr>
        <w:pStyle w:val="BodyText1"/>
        <w:spacing w:before="80" w:after="80"/>
        <w:rPr>
          <w:rFonts w:cs="Arial"/>
          <w:szCs w:val="20"/>
        </w:rPr>
      </w:pPr>
      <w:r w:rsidRPr="0020182A">
        <w:rPr>
          <w:rFonts w:cs="Arial"/>
          <w:szCs w:val="20"/>
        </w:rPr>
        <w:t>The publication of precedents or case studies could be used to improve clarity, and these can be used to provide guidance and training to those responsible for determining eligibility and the provision of SDA funding.</w:t>
      </w:r>
    </w:p>
    <w:p w:rsidR="007C09E2" w:rsidRPr="00106279" w:rsidRDefault="007C09E2" w:rsidP="00106279">
      <w:pPr>
        <w:pStyle w:val="BodyText2"/>
        <w:rPr>
          <w:sz w:val="20"/>
        </w:rPr>
      </w:pPr>
      <w:r w:rsidRPr="00106279">
        <w:rPr>
          <w:sz w:val="20"/>
        </w:rPr>
        <w:t>Recommendation 2: Make changes to the Framework, Rules and Price Guide to remove restrictions for participants to live in SDA dwellings with people who are not eligible for SDA (such as their partner, children, other family and friends)</w:t>
      </w:r>
      <w:r w:rsidR="00BF113B" w:rsidRPr="00106279">
        <w:rPr>
          <w:sz w:val="20"/>
        </w:rPr>
        <w:t>.</w:t>
      </w:r>
    </w:p>
    <w:p w:rsidR="006250A7" w:rsidRPr="0020182A" w:rsidRDefault="007C09E2" w:rsidP="00575134">
      <w:pPr>
        <w:spacing w:before="80" w:after="80"/>
        <w:rPr>
          <w:rFonts w:cs="Arial"/>
          <w:szCs w:val="20"/>
        </w:rPr>
      </w:pPr>
      <w:r w:rsidRPr="0020182A">
        <w:rPr>
          <w:rFonts w:cs="Arial"/>
          <w:szCs w:val="20"/>
        </w:rPr>
        <w:t>This should include</w:t>
      </w:r>
      <w:r w:rsidR="006250A7" w:rsidRPr="0020182A">
        <w:rPr>
          <w:rFonts w:cs="Arial"/>
          <w:szCs w:val="20"/>
        </w:rPr>
        <w:t>:</w:t>
      </w:r>
    </w:p>
    <w:p w:rsidR="007C09E2" w:rsidRPr="0020182A" w:rsidRDefault="00575134" w:rsidP="009B671C">
      <w:pPr>
        <w:pStyle w:val="ListParagraph"/>
        <w:numPr>
          <w:ilvl w:val="0"/>
          <w:numId w:val="83"/>
        </w:numPr>
        <w:spacing w:before="80" w:after="80"/>
        <w:rPr>
          <w:rFonts w:cs="Arial"/>
          <w:szCs w:val="20"/>
        </w:rPr>
      </w:pPr>
      <w:r w:rsidRPr="0020182A">
        <w:rPr>
          <w:rFonts w:cs="Arial"/>
          <w:szCs w:val="20"/>
        </w:rPr>
        <w:t>C</w:t>
      </w:r>
      <w:r w:rsidR="007C09E2" w:rsidRPr="0020182A">
        <w:rPr>
          <w:rFonts w:cs="Arial"/>
          <w:szCs w:val="20"/>
        </w:rPr>
        <w:t>hanging the Rules (and subsequently the Framework and other supporting documentation) to:</w:t>
      </w:r>
    </w:p>
    <w:p w:rsidR="007C09E2" w:rsidRPr="0020182A" w:rsidRDefault="007C09E2" w:rsidP="009B671C">
      <w:pPr>
        <w:pStyle w:val="BodyText1"/>
        <w:numPr>
          <w:ilvl w:val="0"/>
          <w:numId w:val="84"/>
        </w:numPr>
        <w:spacing w:before="80" w:after="80"/>
        <w:rPr>
          <w:rFonts w:cs="Arial"/>
          <w:szCs w:val="20"/>
        </w:rPr>
      </w:pPr>
      <w:r w:rsidRPr="0020182A">
        <w:rPr>
          <w:rFonts w:cs="Arial"/>
          <w:szCs w:val="20"/>
        </w:rPr>
        <w:t xml:space="preserve">remove the rule for dwelling enrolment that requires the majority of bedrooms in a house to be SDA-compliant </w:t>
      </w:r>
    </w:p>
    <w:p w:rsidR="00381E25" w:rsidRPr="0020182A" w:rsidRDefault="007C09E2" w:rsidP="009B671C">
      <w:pPr>
        <w:pStyle w:val="BodyText1"/>
        <w:numPr>
          <w:ilvl w:val="0"/>
          <w:numId w:val="84"/>
        </w:numPr>
        <w:spacing w:before="80" w:after="80"/>
        <w:rPr>
          <w:rFonts w:cs="Arial"/>
          <w:szCs w:val="20"/>
        </w:rPr>
      </w:pPr>
      <w:r w:rsidRPr="0020182A">
        <w:rPr>
          <w:rFonts w:cs="Arial"/>
          <w:szCs w:val="20"/>
        </w:rPr>
        <w:t>revise the rule that requires a bedroom for every resident in the house to remove this requirement for couples, participants with children and participants in other limited circumstances where a separate bedroom-like room is not required, while also ensuring sufficient safeguards are in place.</w:t>
      </w:r>
    </w:p>
    <w:p w:rsidR="006250A7" w:rsidRPr="0020182A" w:rsidRDefault="00575134" w:rsidP="009B671C">
      <w:pPr>
        <w:pStyle w:val="BodyText1"/>
        <w:numPr>
          <w:ilvl w:val="0"/>
          <w:numId w:val="79"/>
        </w:numPr>
        <w:spacing w:before="80" w:after="80"/>
        <w:rPr>
          <w:rFonts w:cs="Arial"/>
          <w:szCs w:val="20"/>
        </w:rPr>
      </w:pPr>
      <w:r w:rsidRPr="0020182A">
        <w:rPr>
          <w:rFonts w:cs="Arial"/>
          <w:szCs w:val="20"/>
        </w:rPr>
        <w:t>E</w:t>
      </w:r>
      <w:r w:rsidR="00381E25" w:rsidRPr="0020182A">
        <w:rPr>
          <w:rFonts w:cs="Arial"/>
          <w:szCs w:val="20"/>
        </w:rPr>
        <w:t>xamining</w:t>
      </w:r>
      <w:r w:rsidR="006250A7" w:rsidRPr="0020182A">
        <w:rPr>
          <w:rFonts w:cs="Arial"/>
          <w:szCs w:val="20"/>
        </w:rPr>
        <w:t xml:space="preserve"> disincentives for providers </w:t>
      </w:r>
      <w:r w:rsidR="00BF113B">
        <w:rPr>
          <w:rFonts w:cs="Arial"/>
          <w:szCs w:val="20"/>
        </w:rPr>
        <w:t>that</w:t>
      </w:r>
      <w:r w:rsidR="00BF113B" w:rsidRPr="0020182A">
        <w:rPr>
          <w:rFonts w:cs="Arial"/>
          <w:szCs w:val="20"/>
        </w:rPr>
        <w:t xml:space="preserve"> </w:t>
      </w:r>
      <w:r w:rsidR="006250A7" w:rsidRPr="0020182A">
        <w:rPr>
          <w:rFonts w:cs="Arial"/>
          <w:szCs w:val="20"/>
        </w:rPr>
        <w:t>limit a participant’s ability to live with others without disability (noting that the NDIS does not fund or subsidise living arrangements for people without disability).</w:t>
      </w:r>
    </w:p>
    <w:p w:rsidR="007C09E2" w:rsidRPr="0020182A" w:rsidRDefault="007C09E2" w:rsidP="007C09E2">
      <w:pPr>
        <w:pStyle w:val="Heading3"/>
      </w:pPr>
      <w:r w:rsidRPr="0020182A">
        <w:t xml:space="preserve">Simplifying the process for participants to access SDA </w:t>
      </w:r>
    </w:p>
    <w:p w:rsidR="007C09E2" w:rsidRPr="00106279" w:rsidRDefault="007C09E2" w:rsidP="00106279">
      <w:pPr>
        <w:pStyle w:val="BodyText2"/>
        <w:rPr>
          <w:sz w:val="20"/>
        </w:rPr>
      </w:pPr>
      <w:r w:rsidRPr="00106279">
        <w:rPr>
          <w:sz w:val="20"/>
        </w:rPr>
        <w:t xml:space="preserve">Recommendation 3: </w:t>
      </w:r>
      <w:r w:rsidR="001D722E" w:rsidRPr="00106279">
        <w:rPr>
          <w:sz w:val="20"/>
        </w:rPr>
        <w:t>Improve and streamline</w:t>
      </w:r>
      <w:r w:rsidRPr="00106279">
        <w:rPr>
          <w:sz w:val="20"/>
        </w:rPr>
        <w:t xml:space="preserve"> the SDA </w:t>
      </w:r>
      <w:r w:rsidR="001D722E" w:rsidRPr="00106279">
        <w:rPr>
          <w:sz w:val="20"/>
        </w:rPr>
        <w:t xml:space="preserve">planning process and </w:t>
      </w:r>
      <w:r w:rsidRPr="00106279">
        <w:rPr>
          <w:sz w:val="20"/>
        </w:rPr>
        <w:t>participant journey to ensure that the process is efficient, easy to navigate, and does not unduly burden participants and their families or SDA providers.</w:t>
      </w:r>
    </w:p>
    <w:p w:rsidR="001D722E" w:rsidRPr="0020182A" w:rsidRDefault="007C09E2" w:rsidP="001D722E">
      <w:pPr>
        <w:pStyle w:val="BodyText1"/>
        <w:spacing w:before="80" w:after="80"/>
        <w:rPr>
          <w:rFonts w:cs="Arial"/>
          <w:szCs w:val="20"/>
        </w:rPr>
      </w:pPr>
      <w:r w:rsidRPr="0020182A">
        <w:rPr>
          <w:rFonts w:cs="Arial"/>
          <w:szCs w:val="20"/>
        </w:rPr>
        <w:t>This should include</w:t>
      </w:r>
      <w:r w:rsidR="001D722E" w:rsidRPr="0020182A">
        <w:rPr>
          <w:rFonts w:cs="Arial"/>
          <w:szCs w:val="20"/>
        </w:rPr>
        <w:t>:</w:t>
      </w:r>
    </w:p>
    <w:p w:rsidR="001D722E" w:rsidRPr="0020182A" w:rsidRDefault="001D722E" w:rsidP="009B671C">
      <w:pPr>
        <w:pStyle w:val="BodyText1"/>
        <w:numPr>
          <w:ilvl w:val="0"/>
          <w:numId w:val="81"/>
        </w:numPr>
        <w:spacing w:before="80" w:after="80"/>
        <w:rPr>
          <w:rFonts w:cs="Arial"/>
          <w:szCs w:val="20"/>
        </w:rPr>
      </w:pPr>
      <w:r w:rsidRPr="0020182A">
        <w:rPr>
          <w:rFonts w:cs="Arial"/>
          <w:szCs w:val="20"/>
        </w:rPr>
        <w:t xml:space="preserve">Examining the Rules and NDIS processes to identify barriers or constraints </w:t>
      </w:r>
      <w:r w:rsidR="00BF113B">
        <w:rPr>
          <w:rFonts w:cs="Arial"/>
          <w:szCs w:val="20"/>
        </w:rPr>
        <w:t>that</w:t>
      </w:r>
      <w:r w:rsidR="00BF113B" w:rsidRPr="0020182A">
        <w:rPr>
          <w:rFonts w:cs="Arial"/>
          <w:szCs w:val="20"/>
        </w:rPr>
        <w:t xml:space="preserve"> </w:t>
      </w:r>
      <w:r w:rsidRPr="0020182A">
        <w:rPr>
          <w:rFonts w:cs="Arial"/>
          <w:szCs w:val="20"/>
        </w:rPr>
        <w:t>make the participant planning process overly complex – such as:</w:t>
      </w:r>
    </w:p>
    <w:p w:rsidR="001D722E" w:rsidRPr="0020182A" w:rsidRDefault="00BF113B" w:rsidP="009B671C">
      <w:pPr>
        <w:pStyle w:val="BodyText1"/>
        <w:numPr>
          <w:ilvl w:val="0"/>
          <w:numId w:val="80"/>
        </w:numPr>
        <w:spacing w:before="80" w:after="80"/>
        <w:rPr>
          <w:rFonts w:cs="Arial"/>
          <w:szCs w:val="20"/>
        </w:rPr>
      </w:pPr>
      <w:r>
        <w:rPr>
          <w:rFonts w:cs="Arial"/>
          <w:szCs w:val="20"/>
        </w:rPr>
        <w:t>T</w:t>
      </w:r>
      <w:r w:rsidR="001D722E" w:rsidRPr="0020182A">
        <w:rPr>
          <w:rFonts w:cs="Arial"/>
          <w:szCs w:val="20"/>
        </w:rPr>
        <w:t xml:space="preserve">he steps in the SDA process to allow clear decisions on SDA eligibility and funding to be made </w:t>
      </w:r>
      <w:r w:rsidR="001D722E" w:rsidRPr="0020182A">
        <w:rPr>
          <w:rFonts w:cs="Arial"/>
          <w:i/>
          <w:szCs w:val="20"/>
        </w:rPr>
        <w:t>prior to</w:t>
      </w:r>
      <w:r w:rsidR="001D722E" w:rsidRPr="0020182A">
        <w:rPr>
          <w:rFonts w:cs="Arial"/>
          <w:szCs w:val="20"/>
        </w:rPr>
        <w:t xml:space="preserve"> the participant being required to identify a potential SDA dwelling. This will require amendment to the SDA Rule that requires a property to be available or very soon available before an SDA eligibility decision can be made.</w:t>
      </w:r>
    </w:p>
    <w:p w:rsidR="000D2032" w:rsidRPr="000D2032" w:rsidRDefault="00BF113B" w:rsidP="000D2032">
      <w:pPr>
        <w:pStyle w:val="BodyText1"/>
        <w:numPr>
          <w:ilvl w:val="0"/>
          <w:numId w:val="80"/>
        </w:numPr>
        <w:spacing w:before="80" w:after="80"/>
        <w:rPr>
          <w:rFonts w:cs="Arial"/>
          <w:szCs w:val="20"/>
        </w:rPr>
      </w:pPr>
      <w:r>
        <w:rPr>
          <w:rFonts w:cs="Arial"/>
          <w:szCs w:val="20"/>
        </w:rPr>
        <w:t>R</w:t>
      </w:r>
      <w:r w:rsidR="001D722E" w:rsidRPr="0020182A">
        <w:rPr>
          <w:rFonts w:cs="Arial"/>
          <w:szCs w:val="20"/>
        </w:rPr>
        <w:t>emoving requirements to demonstrate other housing options are not suitable before a decision is made on eligibility, particularly where participants are already residing in unsuitable accommodation, as by definition, a person who is eligible for SDA has their needs best met by SDA</w:t>
      </w:r>
      <w:r>
        <w:rPr>
          <w:rFonts w:cs="Arial"/>
          <w:szCs w:val="20"/>
        </w:rPr>
        <w:t>.</w:t>
      </w:r>
    </w:p>
    <w:p w:rsidR="007C09E2" w:rsidRPr="0020182A" w:rsidRDefault="007C09E2" w:rsidP="009B671C">
      <w:pPr>
        <w:pStyle w:val="TableBullet1"/>
        <w:numPr>
          <w:ilvl w:val="0"/>
          <w:numId w:val="55"/>
        </w:numPr>
        <w:spacing w:before="80" w:after="80"/>
        <w:contextualSpacing w:val="0"/>
        <w:rPr>
          <w:rFonts w:cs="Arial"/>
          <w:szCs w:val="20"/>
        </w:rPr>
      </w:pPr>
      <w:r w:rsidRPr="0020182A">
        <w:rPr>
          <w:rFonts w:cs="Arial"/>
          <w:szCs w:val="20"/>
        </w:rPr>
        <w:lastRenderedPageBreak/>
        <w:t xml:space="preserve">Developing a SDA planning framework or guidelines that articulates how interdependent factors should be considered in determining SDA eligibility and the participant planning process (such as building design, ownership status, decision-making authority on any co-tenants, other disability supports and the day-to-day management of supports that are required to be in place for a person to live in SDA). </w:t>
      </w:r>
    </w:p>
    <w:p w:rsidR="007C09E2" w:rsidRPr="0020182A" w:rsidRDefault="00A16CB9" w:rsidP="009B671C">
      <w:pPr>
        <w:pStyle w:val="BodyText1"/>
        <w:numPr>
          <w:ilvl w:val="0"/>
          <w:numId w:val="55"/>
        </w:numPr>
        <w:spacing w:before="80" w:after="80"/>
        <w:rPr>
          <w:rFonts w:cs="Arial"/>
          <w:szCs w:val="20"/>
        </w:rPr>
      </w:pPr>
      <w:r w:rsidRPr="0020182A">
        <w:rPr>
          <w:rFonts w:cs="Arial"/>
          <w:szCs w:val="20"/>
        </w:rPr>
        <w:t>C</w:t>
      </w:r>
      <w:r w:rsidR="007C09E2" w:rsidRPr="0020182A">
        <w:rPr>
          <w:rFonts w:cs="Arial"/>
          <w:szCs w:val="20"/>
        </w:rPr>
        <w:t>onsider</w:t>
      </w:r>
      <w:r w:rsidR="00BF113B">
        <w:rPr>
          <w:rFonts w:cs="Arial"/>
          <w:szCs w:val="20"/>
        </w:rPr>
        <w:t>ing</w:t>
      </w:r>
      <w:r w:rsidR="007C09E2" w:rsidRPr="0020182A">
        <w:rPr>
          <w:rFonts w:cs="Arial"/>
          <w:szCs w:val="20"/>
        </w:rPr>
        <w:t xml:space="preserve"> ways to escalate or prioritise plan review meetings where a vacancy is available or where existing accommodation is unsuitable (in accordance with the commitment in the Framework to prioritising Young People in Nursing Homes and other participants in unsuitable accommodation)</w:t>
      </w:r>
      <w:r w:rsidR="00BF113B">
        <w:rPr>
          <w:rFonts w:cs="Arial"/>
          <w:szCs w:val="20"/>
        </w:rPr>
        <w:t>.</w:t>
      </w:r>
    </w:p>
    <w:p w:rsidR="007C09E2" w:rsidRPr="0020182A" w:rsidRDefault="00A16CB9" w:rsidP="009B671C">
      <w:pPr>
        <w:pStyle w:val="BodyText1"/>
        <w:numPr>
          <w:ilvl w:val="0"/>
          <w:numId w:val="55"/>
        </w:numPr>
        <w:spacing w:before="80" w:after="80"/>
        <w:rPr>
          <w:rFonts w:cs="Arial"/>
          <w:szCs w:val="20"/>
        </w:rPr>
      </w:pPr>
      <w:r w:rsidRPr="0020182A">
        <w:rPr>
          <w:rFonts w:cs="Arial"/>
          <w:szCs w:val="20"/>
        </w:rPr>
        <w:t>Communicating the reasons</w:t>
      </w:r>
      <w:r w:rsidR="007C09E2" w:rsidRPr="0020182A">
        <w:rPr>
          <w:rFonts w:cs="Arial"/>
          <w:szCs w:val="20"/>
        </w:rPr>
        <w:t xml:space="preserve"> for eligibility determinations to participants in a way they can easily understand, especially where participants have been deemed ineligible, to assist participants to understand the reasons and considerations underpinning the eligibility decision</w:t>
      </w:r>
      <w:r w:rsidR="00BF113B">
        <w:rPr>
          <w:rFonts w:cs="Arial"/>
          <w:szCs w:val="20"/>
        </w:rPr>
        <w:t>.</w:t>
      </w:r>
    </w:p>
    <w:p w:rsidR="007C09E2" w:rsidRPr="0020182A" w:rsidRDefault="00A16CB9" w:rsidP="009B671C">
      <w:pPr>
        <w:pStyle w:val="BodyText1"/>
        <w:numPr>
          <w:ilvl w:val="0"/>
          <w:numId w:val="55"/>
        </w:numPr>
        <w:spacing w:before="80" w:after="80"/>
        <w:rPr>
          <w:rFonts w:cs="Arial"/>
          <w:szCs w:val="20"/>
        </w:rPr>
      </w:pPr>
      <w:r w:rsidRPr="0020182A">
        <w:rPr>
          <w:rFonts w:cs="Arial"/>
          <w:szCs w:val="20"/>
        </w:rPr>
        <w:t>P</w:t>
      </w:r>
      <w:r w:rsidR="007C09E2" w:rsidRPr="0020182A">
        <w:rPr>
          <w:rFonts w:cs="Arial"/>
          <w:szCs w:val="20"/>
        </w:rPr>
        <w:t>ublishing indicative timeframes for eligibility decision-making, based on the type of application and participant characteristics, and examples of circumstances that would impact on the length of time take to make an eligibility determination (including guidance to participants around supporting documentation and evidence that could be improve timeliness of decision making in these circumstances)</w:t>
      </w:r>
      <w:r w:rsidR="00BF113B">
        <w:rPr>
          <w:rFonts w:cs="Arial"/>
          <w:szCs w:val="20"/>
        </w:rPr>
        <w:t>.</w:t>
      </w:r>
    </w:p>
    <w:p w:rsidR="007C09E2" w:rsidRPr="0020182A" w:rsidRDefault="00A16CB9" w:rsidP="009B671C">
      <w:pPr>
        <w:pStyle w:val="BodyText1"/>
        <w:numPr>
          <w:ilvl w:val="0"/>
          <w:numId w:val="55"/>
        </w:numPr>
        <w:spacing w:before="80" w:after="80"/>
        <w:rPr>
          <w:rFonts w:cs="Arial"/>
          <w:szCs w:val="20"/>
        </w:rPr>
      </w:pPr>
      <w:r w:rsidRPr="0020182A">
        <w:rPr>
          <w:rFonts w:cs="Arial"/>
          <w:szCs w:val="20"/>
        </w:rPr>
        <w:t>T</w:t>
      </w:r>
      <w:r w:rsidR="007C09E2" w:rsidRPr="0020182A">
        <w:rPr>
          <w:rFonts w:cs="Arial"/>
          <w:szCs w:val="20"/>
        </w:rPr>
        <w:t xml:space="preserve">racking timeliness of SDA eligibility decisions by capturing when participants first apply for SDA compared to when eligibility is determined and reporting on the </w:t>
      </w:r>
      <w:r w:rsidR="00BF113B">
        <w:rPr>
          <w:rFonts w:cs="Arial"/>
          <w:szCs w:val="20"/>
        </w:rPr>
        <w:t xml:space="preserve">average </w:t>
      </w:r>
      <w:r w:rsidR="007C09E2" w:rsidRPr="0020182A">
        <w:rPr>
          <w:rFonts w:cs="Arial"/>
          <w:szCs w:val="20"/>
        </w:rPr>
        <w:t>time taken to progress through each stage</w:t>
      </w:r>
      <w:r w:rsidR="00BF113B">
        <w:rPr>
          <w:rFonts w:cs="Arial"/>
          <w:szCs w:val="20"/>
        </w:rPr>
        <w:t>.</w:t>
      </w:r>
    </w:p>
    <w:p w:rsidR="007C09E2" w:rsidRPr="0020182A" w:rsidRDefault="00A16CB9" w:rsidP="009B671C">
      <w:pPr>
        <w:pStyle w:val="BodyText1"/>
        <w:numPr>
          <w:ilvl w:val="0"/>
          <w:numId w:val="55"/>
        </w:numPr>
        <w:spacing w:before="80" w:after="80"/>
        <w:rPr>
          <w:rFonts w:cs="Arial"/>
          <w:szCs w:val="20"/>
        </w:rPr>
      </w:pPr>
      <w:r w:rsidRPr="0020182A">
        <w:rPr>
          <w:rFonts w:cs="Arial"/>
          <w:szCs w:val="20"/>
        </w:rPr>
        <w:t>R</w:t>
      </w:r>
      <w:r w:rsidR="007C09E2" w:rsidRPr="0020182A">
        <w:rPr>
          <w:rFonts w:cs="Arial"/>
          <w:szCs w:val="20"/>
        </w:rPr>
        <w:t>eporting regularly on the number of SDA decisions, the number of people with SDA in plans, and the number of days SDA places remain vacant, to indicate progress in SDA access</w:t>
      </w:r>
      <w:r w:rsidRPr="0020182A">
        <w:rPr>
          <w:rFonts w:cs="Arial"/>
          <w:szCs w:val="20"/>
        </w:rPr>
        <w:t>.</w:t>
      </w:r>
    </w:p>
    <w:p w:rsidR="007C09E2" w:rsidRPr="0020182A" w:rsidRDefault="007C09E2" w:rsidP="00535524">
      <w:pPr>
        <w:pStyle w:val="BodyText1"/>
        <w:spacing w:before="80" w:after="80"/>
        <w:rPr>
          <w:rFonts w:cs="Arial"/>
          <w:szCs w:val="20"/>
        </w:rPr>
      </w:pPr>
      <w:r w:rsidRPr="0020182A">
        <w:rPr>
          <w:rFonts w:cs="Arial"/>
          <w:szCs w:val="20"/>
        </w:rPr>
        <w:t xml:space="preserve">Once the above mechanisms are in place, specific timeframes should be established within the Agency for decision-making, including Key Performance Indicators (KPIs). For example, a percentage of eligibility decisions made within committed timeframes or the number of participants with SDA in their plans at particular timing intervals. </w:t>
      </w:r>
    </w:p>
    <w:p w:rsidR="007C09E2" w:rsidRPr="0020182A" w:rsidRDefault="007C09E2" w:rsidP="00535524">
      <w:pPr>
        <w:pStyle w:val="BodyText1"/>
        <w:spacing w:before="80" w:after="80"/>
        <w:rPr>
          <w:rFonts w:cs="Arial"/>
          <w:szCs w:val="20"/>
        </w:rPr>
      </w:pPr>
      <w:r w:rsidRPr="0020182A">
        <w:rPr>
          <w:rFonts w:cs="Arial"/>
          <w:szCs w:val="20"/>
        </w:rPr>
        <w:t xml:space="preserve">The ultimate objective of refining the process is to achieve an outcome where a participant can confidently participate in the market, and the vendor can have confidence of the certainty around the participants funding stream and options to seriously negotiate with the participant. </w:t>
      </w:r>
    </w:p>
    <w:p w:rsidR="007C09E2" w:rsidRPr="00106279" w:rsidRDefault="007C09E2" w:rsidP="00106279">
      <w:pPr>
        <w:pStyle w:val="BodyText2"/>
        <w:rPr>
          <w:sz w:val="20"/>
        </w:rPr>
      </w:pPr>
      <w:r w:rsidRPr="00106279">
        <w:rPr>
          <w:sz w:val="20"/>
        </w:rPr>
        <w:t xml:space="preserve">Recommendation 4: Based on the clarification of the process in Recommendation 3, provide greater clarity to participants on the SDA process through guidance for participants and families. </w:t>
      </w:r>
    </w:p>
    <w:p w:rsidR="007C09E2" w:rsidRPr="0020182A" w:rsidRDefault="007C09E2" w:rsidP="00535524">
      <w:pPr>
        <w:pStyle w:val="BodyText1"/>
        <w:spacing w:before="80" w:after="80"/>
        <w:rPr>
          <w:rFonts w:cs="Arial"/>
          <w:szCs w:val="20"/>
        </w:rPr>
      </w:pPr>
      <w:r w:rsidRPr="0020182A">
        <w:rPr>
          <w:rFonts w:cs="Arial"/>
          <w:szCs w:val="20"/>
        </w:rPr>
        <w:t xml:space="preserve">This </w:t>
      </w:r>
      <w:r w:rsidR="00A16CB9" w:rsidRPr="0020182A">
        <w:rPr>
          <w:rFonts w:cs="Arial"/>
          <w:szCs w:val="20"/>
        </w:rPr>
        <w:t xml:space="preserve">guidance </w:t>
      </w:r>
      <w:r w:rsidRPr="0020182A">
        <w:rPr>
          <w:rFonts w:cs="Arial"/>
          <w:szCs w:val="20"/>
        </w:rPr>
        <w:t>should clearly set out</w:t>
      </w:r>
      <w:r w:rsidR="00BF113B">
        <w:rPr>
          <w:rFonts w:cs="Arial"/>
          <w:szCs w:val="20"/>
        </w:rPr>
        <w:t xml:space="preserve"> the</w:t>
      </w:r>
      <w:r w:rsidRPr="0020182A">
        <w:rPr>
          <w:rFonts w:cs="Arial"/>
          <w:szCs w:val="20"/>
        </w:rPr>
        <w:t>:</w:t>
      </w:r>
    </w:p>
    <w:p w:rsidR="007C09E2" w:rsidRPr="0020182A" w:rsidRDefault="007C09E2" w:rsidP="009B671C">
      <w:pPr>
        <w:pStyle w:val="BodyText1"/>
        <w:numPr>
          <w:ilvl w:val="0"/>
          <w:numId w:val="56"/>
        </w:numPr>
        <w:tabs>
          <w:tab w:val="clear" w:pos="340"/>
          <w:tab w:val="num" w:pos="723"/>
        </w:tabs>
        <w:spacing w:before="80" w:after="80"/>
        <w:rPr>
          <w:rFonts w:cs="Arial"/>
          <w:szCs w:val="20"/>
        </w:rPr>
      </w:pPr>
      <w:r w:rsidRPr="0020182A">
        <w:rPr>
          <w:rFonts w:cs="Arial"/>
          <w:szCs w:val="20"/>
        </w:rPr>
        <w:t>pathway to SDA, from decision-making through to identifying appropriate accommodation options</w:t>
      </w:r>
    </w:p>
    <w:p w:rsidR="007C09E2" w:rsidRPr="0020182A" w:rsidRDefault="007C09E2" w:rsidP="009B671C">
      <w:pPr>
        <w:pStyle w:val="BodyText1"/>
        <w:numPr>
          <w:ilvl w:val="0"/>
          <w:numId w:val="56"/>
        </w:numPr>
        <w:tabs>
          <w:tab w:val="clear" w:pos="340"/>
          <w:tab w:val="num" w:pos="723"/>
        </w:tabs>
        <w:spacing w:before="80" w:after="80"/>
        <w:rPr>
          <w:rFonts w:cs="Arial"/>
          <w:szCs w:val="20"/>
        </w:rPr>
      </w:pPr>
      <w:r w:rsidRPr="0020182A">
        <w:rPr>
          <w:rFonts w:cs="Arial"/>
          <w:szCs w:val="20"/>
        </w:rPr>
        <w:t xml:space="preserve">supporting documentation necessary to meet evidentiary requirements. </w:t>
      </w:r>
    </w:p>
    <w:p w:rsidR="007C09E2" w:rsidRPr="0020182A" w:rsidRDefault="007C09E2" w:rsidP="00535524">
      <w:pPr>
        <w:pStyle w:val="BodyText1"/>
        <w:spacing w:before="80" w:after="80"/>
        <w:rPr>
          <w:rFonts w:cs="Arial"/>
          <w:szCs w:val="20"/>
        </w:rPr>
      </w:pPr>
      <w:r w:rsidRPr="0020182A">
        <w:rPr>
          <w:rFonts w:cs="Arial"/>
          <w:szCs w:val="20"/>
        </w:rPr>
        <w:t>Ultimately, guidance should prepare the participant, family and/or carer to participate in SDA eligibility and planning discussions.</w:t>
      </w:r>
    </w:p>
    <w:p w:rsidR="007C09E2" w:rsidRPr="0020182A" w:rsidRDefault="007C09E2" w:rsidP="007C09E2">
      <w:pPr>
        <w:pStyle w:val="Heading3"/>
      </w:pPr>
      <w:r w:rsidRPr="0020182A">
        <w:t xml:space="preserve">Improving information for participants </w:t>
      </w:r>
    </w:p>
    <w:p w:rsidR="007C09E2" w:rsidRPr="00106279" w:rsidRDefault="007C09E2" w:rsidP="00106279">
      <w:pPr>
        <w:pStyle w:val="BodyText2"/>
        <w:rPr>
          <w:sz w:val="20"/>
        </w:rPr>
      </w:pPr>
      <w:r w:rsidRPr="00106279">
        <w:rPr>
          <w:sz w:val="20"/>
        </w:rPr>
        <w:t xml:space="preserve">Recommendation 5: Enable the provisional approval of SDA dwellings earlier in the build process to assist in enabling participants to link up with providers and potential new accommodation options earlier in the process and give greater visibility of upcoming SDA builds. </w:t>
      </w:r>
    </w:p>
    <w:p w:rsidR="007C09E2" w:rsidRPr="0020182A" w:rsidRDefault="007C09E2" w:rsidP="00535524">
      <w:pPr>
        <w:pStyle w:val="BodyText1"/>
        <w:spacing w:before="80" w:after="80"/>
        <w:rPr>
          <w:rFonts w:eastAsiaTheme="majorEastAsia" w:cs="Arial"/>
          <w:iCs/>
          <w:szCs w:val="20"/>
        </w:rPr>
      </w:pPr>
      <w:r w:rsidRPr="0020182A">
        <w:rPr>
          <w:rFonts w:eastAsiaTheme="majorEastAsia" w:cs="Arial"/>
          <w:iCs/>
          <w:szCs w:val="20"/>
        </w:rPr>
        <w:t>This could be achieved via one of two mechanisms:</w:t>
      </w:r>
    </w:p>
    <w:p w:rsidR="007C09E2" w:rsidRPr="0020182A" w:rsidRDefault="007C09E2" w:rsidP="00F06A5B">
      <w:pPr>
        <w:pStyle w:val="BodyText1"/>
        <w:numPr>
          <w:ilvl w:val="0"/>
          <w:numId w:val="91"/>
        </w:numPr>
        <w:spacing w:before="80" w:after="80"/>
        <w:rPr>
          <w:rFonts w:eastAsiaTheme="majorEastAsia" w:cs="Arial"/>
          <w:iCs/>
          <w:szCs w:val="20"/>
        </w:rPr>
      </w:pPr>
      <w:r w:rsidRPr="0020182A">
        <w:rPr>
          <w:rFonts w:eastAsiaTheme="majorEastAsia" w:cs="Arial"/>
          <w:iCs/>
          <w:szCs w:val="20"/>
        </w:rPr>
        <w:t xml:space="preserve">A change to the Rules to allow for a provisional </w:t>
      </w:r>
      <w:r w:rsidR="00A16CB9" w:rsidRPr="0020182A">
        <w:rPr>
          <w:rFonts w:eastAsiaTheme="majorEastAsia" w:cs="Arial"/>
          <w:iCs/>
          <w:szCs w:val="20"/>
        </w:rPr>
        <w:t>certification</w:t>
      </w:r>
      <w:r w:rsidRPr="0020182A">
        <w:rPr>
          <w:rFonts w:eastAsiaTheme="majorEastAsia" w:cs="Arial"/>
          <w:iCs/>
          <w:szCs w:val="20"/>
        </w:rPr>
        <w:t xml:space="preserve"> of a dwelling based on a number of key criteria to be demonstrated in building plans, with a final certificate of occupancy required prior to a participant moving into the dwelling. In the absence of changes to decouple SDA funding decisions from the availability of an SDA dwelling, a participant could be allocated SDA funding for a dwelling based on the provisional </w:t>
      </w:r>
      <w:r w:rsidR="00A16CB9" w:rsidRPr="0020182A">
        <w:rPr>
          <w:rFonts w:eastAsiaTheme="majorEastAsia" w:cs="Arial"/>
          <w:iCs/>
          <w:szCs w:val="20"/>
        </w:rPr>
        <w:t>certification</w:t>
      </w:r>
      <w:r w:rsidRPr="0020182A">
        <w:rPr>
          <w:rFonts w:eastAsiaTheme="majorEastAsia" w:cs="Arial"/>
          <w:iCs/>
          <w:szCs w:val="20"/>
        </w:rPr>
        <w:t xml:space="preserve">. </w:t>
      </w:r>
    </w:p>
    <w:p w:rsidR="007C09E2" w:rsidRPr="0020182A" w:rsidRDefault="007C09E2" w:rsidP="00F06A5B">
      <w:pPr>
        <w:pStyle w:val="BodyText1"/>
        <w:numPr>
          <w:ilvl w:val="0"/>
          <w:numId w:val="91"/>
        </w:numPr>
        <w:spacing w:before="80" w:after="80"/>
        <w:rPr>
          <w:rFonts w:eastAsiaTheme="majorEastAsia" w:cs="Arial"/>
          <w:iCs/>
          <w:szCs w:val="20"/>
        </w:rPr>
      </w:pPr>
      <w:r w:rsidRPr="0020182A">
        <w:rPr>
          <w:rFonts w:eastAsiaTheme="majorEastAsia" w:cs="Arial"/>
          <w:iCs/>
          <w:szCs w:val="20"/>
        </w:rPr>
        <w:t xml:space="preserve">An independent certification process undertaken by a certification or building assessment body according to criteria agreed with the body responsible for enrolment. This would include working with the independent body to develop the training curriculum for independent certifiers and empower the certification body to certify dwellings based on dwelling plans. The certification body </w:t>
      </w:r>
      <w:r w:rsidRPr="0020182A">
        <w:rPr>
          <w:rFonts w:eastAsiaTheme="majorEastAsia" w:cs="Arial"/>
          <w:iCs/>
          <w:szCs w:val="20"/>
        </w:rPr>
        <w:lastRenderedPageBreak/>
        <w:t>would be required to keep a register of certified dwellings.</w:t>
      </w:r>
      <w:r w:rsidR="003245E8">
        <w:rPr>
          <w:rFonts w:eastAsiaTheme="majorEastAsia" w:cs="Arial"/>
          <w:iCs/>
          <w:szCs w:val="20"/>
        </w:rPr>
        <w:t xml:space="preserve"> (It is understood that this process is being developed currently).</w:t>
      </w:r>
    </w:p>
    <w:p w:rsidR="007C09E2" w:rsidRPr="0020182A" w:rsidRDefault="007C09E2" w:rsidP="00535524">
      <w:pPr>
        <w:pStyle w:val="BodyText1"/>
        <w:spacing w:before="80" w:after="80"/>
        <w:ind w:left="360"/>
        <w:rPr>
          <w:rFonts w:eastAsiaTheme="majorEastAsia" w:cs="Arial"/>
          <w:iCs/>
          <w:szCs w:val="20"/>
        </w:rPr>
      </w:pPr>
      <w:r w:rsidRPr="0020182A">
        <w:rPr>
          <w:rFonts w:eastAsiaTheme="majorEastAsia" w:cs="Arial"/>
          <w:iCs/>
          <w:szCs w:val="20"/>
        </w:rPr>
        <w:t xml:space="preserve">It is important that any process in this regard is aligns with the quality and safeguarding arrangements implemented by the Commission. </w:t>
      </w:r>
    </w:p>
    <w:p w:rsidR="00A61A39" w:rsidRPr="00106279" w:rsidRDefault="007C09E2" w:rsidP="00106279">
      <w:pPr>
        <w:pStyle w:val="BodyText2"/>
        <w:rPr>
          <w:sz w:val="20"/>
        </w:rPr>
      </w:pPr>
      <w:r w:rsidRPr="00106279">
        <w:rPr>
          <w:sz w:val="20"/>
        </w:rPr>
        <w:t>Recommendation 6: Support the further development of an SDA e-market by publishing real time dwelling enrolment</w:t>
      </w:r>
      <w:r w:rsidR="00A61A39" w:rsidRPr="00106279">
        <w:rPr>
          <w:sz w:val="20"/>
        </w:rPr>
        <w:t xml:space="preserve"> information</w:t>
      </w:r>
      <w:r w:rsidRPr="00106279">
        <w:rPr>
          <w:sz w:val="20"/>
        </w:rPr>
        <w:t xml:space="preserve">, in addition to the existing requirements for the NDIS Commission to publish dwelling </w:t>
      </w:r>
      <w:r w:rsidR="00A61A39" w:rsidRPr="00106279">
        <w:rPr>
          <w:sz w:val="20"/>
        </w:rPr>
        <w:t>registration</w:t>
      </w:r>
      <w:r w:rsidRPr="00106279">
        <w:rPr>
          <w:sz w:val="20"/>
        </w:rPr>
        <w:t xml:space="preserve"> information</w:t>
      </w:r>
    </w:p>
    <w:p w:rsidR="007C09E2" w:rsidRPr="00106279" w:rsidRDefault="00A61A39" w:rsidP="00106279">
      <w:pPr>
        <w:pStyle w:val="BodyText2"/>
        <w:rPr>
          <w:rFonts w:eastAsiaTheme="majorEastAsia" w:cs="Arial"/>
          <w:iCs/>
          <w:sz w:val="20"/>
        </w:rPr>
      </w:pPr>
      <w:r w:rsidRPr="00106279">
        <w:rPr>
          <w:rFonts w:eastAsiaTheme="majorEastAsia" w:cs="Arial"/>
          <w:iCs/>
          <w:sz w:val="20"/>
        </w:rPr>
        <w:t>This includes information on</w:t>
      </w:r>
      <w:r w:rsidR="007C09E2" w:rsidRPr="00106279">
        <w:rPr>
          <w:rFonts w:eastAsiaTheme="majorEastAsia" w:cs="Arial"/>
          <w:iCs/>
          <w:sz w:val="20"/>
        </w:rPr>
        <w:t>:</w:t>
      </w:r>
    </w:p>
    <w:p w:rsidR="007C09E2" w:rsidRPr="0020182A" w:rsidRDefault="007C09E2" w:rsidP="009B671C">
      <w:pPr>
        <w:pStyle w:val="BodyText1"/>
        <w:numPr>
          <w:ilvl w:val="0"/>
          <w:numId w:val="58"/>
        </w:numPr>
        <w:tabs>
          <w:tab w:val="clear" w:pos="340"/>
          <w:tab w:val="num" w:pos="700"/>
        </w:tabs>
        <w:spacing w:before="80" w:after="80"/>
        <w:rPr>
          <w:rFonts w:eastAsiaTheme="majorEastAsia" w:cs="Arial"/>
          <w:iCs/>
          <w:szCs w:val="20"/>
        </w:rPr>
      </w:pPr>
      <w:r w:rsidRPr="0020182A">
        <w:rPr>
          <w:rFonts w:eastAsiaTheme="majorEastAsia" w:cs="Arial"/>
          <w:iCs/>
          <w:szCs w:val="20"/>
        </w:rPr>
        <w:t xml:space="preserve">existing SDA dwellings (this should be supplemented by information provided by accommodation providers/managers on vacancies) </w:t>
      </w:r>
    </w:p>
    <w:p w:rsidR="007C09E2" w:rsidRPr="0020182A" w:rsidRDefault="007C09E2" w:rsidP="009B671C">
      <w:pPr>
        <w:pStyle w:val="BodyText1"/>
        <w:numPr>
          <w:ilvl w:val="0"/>
          <w:numId w:val="58"/>
        </w:numPr>
        <w:tabs>
          <w:tab w:val="clear" w:pos="340"/>
          <w:tab w:val="num" w:pos="700"/>
        </w:tabs>
        <w:spacing w:before="80" w:after="80"/>
        <w:rPr>
          <w:rFonts w:eastAsiaTheme="majorEastAsia" w:cs="Arial"/>
          <w:iCs/>
          <w:szCs w:val="20"/>
        </w:rPr>
      </w:pPr>
      <w:r w:rsidRPr="0020182A">
        <w:rPr>
          <w:rFonts w:eastAsiaTheme="majorEastAsia" w:cs="Arial"/>
          <w:iCs/>
          <w:szCs w:val="20"/>
        </w:rPr>
        <w:t xml:space="preserve">registered SDA providers </w:t>
      </w:r>
    </w:p>
    <w:p w:rsidR="007C09E2" w:rsidRPr="0020182A" w:rsidRDefault="007C09E2" w:rsidP="009B671C">
      <w:pPr>
        <w:pStyle w:val="BodyText1"/>
        <w:numPr>
          <w:ilvl w:val="0"/>
          <w:numId w:val="58"/>
        </w:numPr>
        <w:tabs>
          <w:tab w:val="clear" w:pos="340"/>
          <w:tab w:val="num" w:pos="700"/>
        </w:tabs>
        <w:spacing w:before="80" w:after="80"/>
        <w:rPr>
          <w:rFonts w:eastAsiaTheme="majorEastAsia" w:cs="Arial"/>
          <w:b/>
          <w:iCs/>
          <w:szCs w:val="20"/>
        </w:rPr>
      </w:pPr>
      <w:r w:rsidRPr="0020182A">
        <w:rPr>
          <w:rFonts w:eastAsiaTheme="majorEastAsia" w:cs="Arial"/>
          <w:iCs/>
          <w:szCs w:val="20"/>
        </w:rPr>
        <w:t>planned and provisionally approved dwellings (made available through the recommended provisional enrolment process)</w:t>
      </w:r>
      <w:r w:rsidRPr="0020182A">
        <w:rPr>
          <w:rFonts w:eastAsiaTheme="majorEastAsia" w:cs="Arial"/>
          <w:b/>
          <w:iCs/>
          <w:szCs w:val="20"/>
        </w:rPr>
        <w:t>.</w:t>
      </w:r>
    </w:p>
    <w:p w:rsidR="007C09E2" w:rsidRPr="0020182A" w:rsidRDefault="007C09E2" w:rsidP="00535524">
      <w:pPr>
        <w:pStyle w:val="BodyText1"/>
        <w:spacing w:before="80" w:after="80"/>
        <w:rPr>
          <w:rFonts w:eastAsiaTheme="majorEastAsia" w:cs="Arial"/>
          <w:iCs/>
          <w:szCs w:val="20"/>
        </w:rPr>
      </w:pPr>
      <w:r w:rsidRPr="0020182A">
        <w:rPr>
          <w:rFonts w:eastAsiaTheme="majorEastAsia" w:cs="Arial"/>
          <w:iCs/>
          <w:szCs w:val="20"/>
        </w:rPr>
        <w:t>This information will inform existing e-market mechanisms</w:t>
      </w:r>
      <w:r w:rsidR="00BF113B">
        <w:rPr>
          <w:rFonts w:eastAsiaTheme="majorEastAsia" w:cs="Arial"/>
          <w:iCs/>
          <w:szCs w:val="20"/>
        </w:rPr>
        <w:t xml:space="preserve"> that are</w:t>
      </w:r>
      <w:r w:rsidRPr="0020182A">
        <w:rPr>
          <w:rFonts w:eastAsiaTheme="majorEastAsia" w:cs="Arial"/>
          <w:iCs/>
          <w:szCs w:val="20"/>
        </w:rPr>
        <w:t xml:space="preserve"> already available and developing in the market (such as Nest and The Housing Hub) which allow participants to access information on existing SDA dwellings and SDA vacancies </w:t>
      </w:r>
      <w:r w:rsidR="00BF113B">
        <w:rPr>
          <w:rFonts w:eastAsiaTheme="majorEastAsia" w:cs="Arial"/>
          <w:iCs/>
          <w:szCs w:val="20"/>
        </w:rPr>
        <w:t>that</w:t>
      </w:r>
      <w:r w:rsidRPr="0020182A">
        <w:rPr>
          <w:rFonts w:eastAsiaTheme="majorEastAsia" w:cs="Arial"/>
          <w:iCs/>
          <w:szCs w:val="20"/>
        </w:rPr>
        <w:t xml:space="preserve"> meet their needs and preferences, and </w:t>
      </w:r>
      <w:r w:rsidR="00BF113B">
        <w:rPr>
          <w:rFonts w:eastAsiaTheme="majorEastAsia" w:cs="Arial"/>
          <w:iCs/>
          <w:szCs w:val="20"/>
        </w:rPr>
        <w:t>that</w:t>
      </w:r>
      <w:r w:rsidR="00BF113B" w:rsidRPr="0020182A">
        <w:rPr>
          <w:rFonts w:eastAsiaTheme="majorEastAsia" w:cs="Arial"/>
          <w:iCs/>
          <w:szCs w:val="20"/>
        </w:rPr>
        <w:t xml:space="preserve"> </w:t>
      </w:r>
      <w:r w:rsidRPr="0020182A">
        <w:rPr>
          <w:rFonts w:eastAsiaTheme="majorEastAsia" w:cs="Arial"/>
          <w:iCs/>
          <w:szCs w:val="20"/>
        </w:rPr>
        <w:t>link participants to SDA providers. This will provide opportunities for participants and their representatives and providers/investors to meet to influence the design and development of new SDA dwellings.</w:t>
      </w:r>
    </w:p>
    <w:p w:rsidR="007C09E2" w:rsidRPr="00106279" w:rsidRDefault="007C09E2" w:rsidP="00106279">
      <w:pPr>
        <w:pStyle w:val="BodyText2"/>
        <w:rPr>
          <w:sz w:val="20"/>
        </w:rPr>
      </w:pPr>
      <w:r w:rsidRPr="00106279">
        <w:rPr>
          <w:sz w:val="20"/>
        </w:rPr>
        <w:t xml:space="preserve">Recommendation 7: Develop and publish clear, accessible information for participants and investors about the SDA Rules, Framework, </w:t>
      </w:r>
      <w:r w:rsidR="0049047D" w:rsidRPr="00106279">
        <w:rPr>
          <w:sz w:val="20"/>
        </w:rPr>
        <w:t xml:space="preserve">and </w:t>
      </w:r>
      <w:r w:rsidRPr="00106279">
        <w:rPr>
          <w:sz w:val="20"/>
        </w:rPr>
        <w:t>Price Guide.</w:t>
      </w:r>
    </w:p>
    <w:p w:rsidR="007C09E2" w:rsidRPr="0020182A" w:rsidRDefault="007C09E2" w:rsidP="00535524">
      <w:pPr>
        <w:pStyle w:val="BodyText1"/>
        <w:spacing w:before="80" w:after="80"/>
        <w:rPr>
          <w:rFonts w:eastAsiaTheme="majorEastAsia" w:cs="Arial"/>
          <w:iCs/>
          <w:szCs w:val="20"/>
        </w:rPr>
      </w:pPr>
      <w:r w:rsidRPr="0020182A">
        <w:rPr>
          <w:rFonts w:eastAsiaTheme="majorEastAsia" w:cs="Arial"/>
          <w:iCs/>
          <w:szCs w:val="20"/>
        </w:rPr>
        <w:t>It is recommended that multiple channels be considered, including the release of plain English documents for distribution by planners, L</w:t>
      </w:r>
      <w:r w:rsidR="00BF113B">
        <w:rPr>
          <w:rFonts w:eastAsiaTheme="majorEastAsia" w:cs="Arial"/>
          <w:iCs/>
          <w:szCs w:val="20"/>
        </w:rPr>
        <w:t>ocal Area Coordinators (L</w:t>
      </w:r>
      <w:r w:rsidRPr="0020182A">
        <w:rPr>
          <w:rFonts w:eastAsiaTheme="majorEastAsia" w:cs="Arial"/>
          <w:iCs/>
          <w:szCs w:val="20"/>
        </w:rPr>
        <w:t>ACs</w:t>
      </w:r>
      <w:r w:rsidR="00BF113B">
        <w:rPr>
          <w:rFonts w:eastAsiaTheme="majorEastAsia" w:cs="Arial"/>
          <w:iCs/>
          <w:szCs w:val="20"/>
        </w:rPr>
        <w:t>)</w:t>
      </w:r>
      <w:r w:rsidRPr="0020182A">
        <w:rPr>
          <w:rFonts w:eastAsiaTheme="majorEastAsia" w:cs="Arial"/>
          <w:iCs/>
          <w:szCs w:val="20"/>
        </w:rPr>
        <w:t xml:space="preserve"> and providers; participant and investor information sessions; and web-based information. This would promote understanding amongst all stakeholders about the operation of SDA, and the roles, responsibilities, options and requirements for all stakeholders.</w:t>
      </w:r>
    </w:p>
    <w:p w:rsidR="007C09E2" w:rsidRPr="0020182A" w:rsidRDefault="007C09E2" w:rsidP="00A16CB9">
      <w:pPr>
        <w:pStyle w:val="Heading3"/>
      </w:pPr>
      <w:r w:rsidRPr="0020182A">
        <w:t>Increasing market confidence in SDA</w:t>
      </w:r>
    </w:p>
    <w:p w:rsidR="007C09E2" w:rsidRPr="0020182A" w:rsidRDefault="007C09E2" w:rsidP="00535524">
      <w:pPr>
        <w:spacing w:before="80" w:after="80"/>
        <w:rPr>
          <w:rFonts w:cs="Arial"/>
          <w:szCs w:val="20"/>
        </w:rPr>
      </w:pPr>
      <w:r w:rsidRPr="0020182A">
        <w:rPr>
          <w:rFonts w:cs="Arial"/>
          <w:szCs w:val="20"/>
        </w:rPr>
        <w:t xml:space="preserve">Recommendations relating to increasing market confidence in SDA are addressed </w:t>
      </w:r>
      <w:r w:rsidR="00A16CB9" w:rsidRPr="0020182A">
        <w:rPr>
          <w:rFonts w:cs="Arial"/>
          <w:szCs w:val="20"/>
        </w:rPr>
        <w:t>elsewhere</w:t>
      </w:r>
      <w:r w:rsidRPr="0020182A">
        <w:rPr>
          <w:rFonts w:cs="Arial"/>
          <w:szCs w:val="20"/>
        </w:rPr>
        <w:t>, and include recommendations on:</w:t>
      </w:r>
    </w:p>
    <w:p w:rsidR="007C09E2" w:rsidRPr="0020182A" w:rsidRDefault="007C09E2" w:rsidP="009B671C">
      <w:pPr>
        <w:pStyle w:val="ListParagraph"/>
        <w:numPr>
          <w:ilvl w:val="0"/>
          <w:numId w:val="18"/>
        </w:numPr>
        <w:tabs>
          <w:tab w:val="clear" w:pos="340"/>
          <w:tab w:val="num" w:pos="696"/>
        </w:tabs>
        <w:spacing w:before="80" w:after="80"/>
        <w:contextualSpacing w:val="0"/>
        <w:rPr>
          <w:rFonts w:cs="Arial"/>
          <w:szCs w:val="20"/>
        </w:rPr>
      </w:pPr>
      <w:r w:rsidRPr="0020182A">
        <w:rPr>
          <w:rFonts w:cs="Arial"/>
          <w:szCs w:val="20"/>
        </w:rPr>
        <w:t>Providing detailed information to the market to inform investment and supply decisions (recommendation 8).</w:t>
      </w:r>
    </w:p>
    <w:p w:rsidR="007C09E2" w:rsidRPr="0020182A" w:rsidRDefault="007C09E2" w:rsidP="009B671C">
      <w:pPr>
        <w:pStyle w:val="ListParagraph"/>
        <w:numPr>
          <w:ilvl w:val="0"/>
          <w:numId w:val="18"/>
        </w:numPr>
        <w:tabs>
          <w:tab w:val="clear" w:pos="340"/>
          <w:tab w:val="num" w:pos="696"/>
        </w:tabs>
        <w:spacing w:before="80" w:after="80"/>
        <w:contextualSpacing w:val="0"/>
        <w:rPr>
          <w:rFonts w:cs="Arial"/>
          <w:szCs w:val="20"/>
        </w:rPr>
      </w:pPr>
      <w:r w:rsidRPr="0020182A">
        <w:rPr>
          <w:rFonts w:cs="Arial"/>
          <w:szCs w:val="20"/>
        </w:rPr>
        <w:t>Establishing greater policy certainty around SDA (recommendation 1</w:t>
      </w:r>
      <w:r w:rsidR="00C929DC">
        <w:rPr>
          <w:rFonts w:cs="Arial"/>
          <w:szCs w:val="20"/>
        </w:rPr>
        <w:t>3</w:t>
      </w:r>
      <w:r w:rsidRPr="0020182A">
        <w:rPr>
          <w:rFonts w:cs="Arial"/>
          <w:szCs w:val="20"/>
        </w:rPr>
        <w:t>).</w:t>
      </w:r>
    </w:p>
    <w:p w:rsidR="007C09E2" w:rsidRPr="0020182A" w:rsidRDefault="007C09E2" w:rsidP="009B671C">
      <w:pPr>
        <w:pStyle w:val="ListParagraph"/>
        <w:numPr>
          <w:ilvl w:val="0"/>
          <w:numId w:val="18"/>
        </w:numPr>
        <w:tabs>
          <w:tab w:val="clear" w:pos="340"/>
          <w:tab w:val="num" w:pos="696"/>
        </w:tabs>
        <w:spacing w:before="80" w:after="80"/>
        <w:contextualSpacing w:val="0"/>
        <w:rPr>
          <w:rFonts w:cs="Arial"/>
          <w:szCs w:val="20"/>
        </w:rPr>
      </w:pPr>
      <w:r w:rsidRPr="0020182A">
        <w:rPr>
          <w:rFonts w:cs="Arial"/>
          <w:szCs w:val="20"/>
        </w:rPr>
        <w:t xml:space="preserve">Increasing confidence in pricing and the price setting process (recommendation </w:t>
      </w:r>
      <w:r w:rsidR="00C929DC">
        <w:rPr>
          <w:rFonts w:cs="Arial"/>
          <w:szCs w:val="20"/>
        </w:rPr>
        <w:t>9</w:t>
      </w:r>
      <w:r w:rsidR="00C929DC" w:rsidRPr="0020182A">
        <w:rPr>
          <w:rFonts w:cs="Arial"/>
          <w:szCs w:val="20"/>
        </w:rPr>
        <w:t xml:space="preserve"> </w:t>
      </w:r>
      <w:r w:rsidRPr="0020182A">
        <w:rPr>
          <w:rFonts w:cs="Arial"/>
          <w:szCs w:val="20"/>
        </w:rPr>
        <w:t>and 1</w:t>
      </w:r>
      <w:r w:rsidR="00C929DC">
        <w:rPr>
          <w:rFonts w:cs="Arial"/>
          <w:szCs w:val="20"/>
        </w:rPr>
        <w:t>0</w:t>
      </w:r>
      <w:r w:rsidRPr="0020182A">
        <w:rPr>
          <w:rFonts w:cs="Arial"/>
          <w:szCs w:val="20"/>
        </w:rPr>
        <w:t>).</w:t>
      </w:r>
    </w:p>
    <w:p w:rsidR="007C09E2" w:rsidRPr="0020182A" w:rsidRDefault="007C09E2" w:rsidP="009B671C">
      <w:pPr>
        <w:pStyle w:val="ListParagraph"/>
        <w:numPr>
          <w:ilvl w:val="0"/>
          <w:numId w:val="18"/>
        </w:numPr>
        <w:tabs>
          <w:tab w:val="clear" w:pos="340"/>
          <w:tab w:val="num" w:pos="696"/>
        </w:tabs>
        <w:spacing w:before="80" w:after="80"/>
        <w:contextualSpacing w:val="0"/>
        <w:rPr>
          <w:rFonts w:cs="Arial"/>
          <w:szCs w:val="20"/>
        </w:rPr>
      </w:pPr>
      <w:r w:rsidRPr="0020182A">
        <w:rPr>
          <w:rFonts w:cs="Arial"/>
          <w:szCs w:val="20"/>
        </w:rPr>
        <w:t xml:space="preserve">Addressing implementation issues with respect to confirming eligibility and allocating SDA funding to participants (recommendation </w:t>
      </w:r>
      <w:r w:rsidR="00C929DC">
        <w:rPr>
          <w:rFonts w:cs="Arial"/>
          <w:szCs w:val="20"/>
        </w:rPr>
        <w:t>3</w:t>
      </w:r>
      <w:r w:rsidRPr="0020182A">
        <w:rPr>
          <w:rFonts w:cs="Arial"/>
          <w:szCs w:val="20"/>
        </w:rPr>
        <w:t>).</w:t>
      </w:r>
    </w:p>
    <w:p w:rsidR="007C09E2" w:rsidRPr="0020182A" w:rsidRDefault="007C09E2" w:rsidP="007C09E2">
      <w:pPr>
        <w:pStyle w:val="Heading3"/>
        <w:rPr>
          <w:color w:val="FF0000"/>
        </w:rPr>
      </w:pPr>
      <w:r w:rsidRPr="0020182A">
        <w:t xml:space="preserve">Improving and enhancing market information </w:t>
      </w:r>
    </w:p>
    <w:p w:rsidR="007C09E2" w:rsidRPr="00106279" w:rsidRDefault="007C09E2" w:rsidP="00106279">
      <w:pPr>
        <w:pStyle w:val="BodyText2"/>
        <w:rPr>
          <w:sz w:val="20"/>
        </w:rPr>
      </w:pPr>
      <w:r w:rsidRPr="00106279">
        <w:rPr>
          <w:sz w:val="20"/>
        </w:rPr>
        <w:t>Recommendation 8: Provide detailed, up-to-date demand and supply information to the market to inform investment decisions and contribute to achieving an optimal mix of SDA dwellings</w:t>
      </w:r>
    </w:p>
    <w:p w:rsidR="007C09E2" w:rsidRPr="0020182A" w:rsidRDefault="007C09E2" w:rsidP="00535524">
      <w:pPr>
        <w:pStyle w:val="BodyText1"/>
        <w:spacing w:before="80" w:after="80"/>
        <w:rPr>
          <w:rFonts w:cs="Arial"/>
          <w:szCs w:val="20"/>
        </w:rPr>
      </w:pPr>
      <w:r w:rsidRPr="0020182A">
        <w:rPr>
          <w:rFonts w:cs="Arial"/>
          <w:szCs w:val="20"/>
        </w:rPr>
        <w:t>Given the level and nature of information asymmetry in the market currently, releasing detailed demand and supply information (including expressed demand and supply, as well as projections) will assist the market to make more informed investment decisions.  This information should be released as soon as possible, and should be updated and released to the market in real time, or at least quarterly. This should include information relating to:</w:t>
      </w:r>
    </w:p>
    <w:p w:rsidR="007C09E2" w:rsidRPr="0020182A" w:rsidRDefault="007C09E2" w:rsidP="009B671C">
      <w:pPr>
        <w:pStyle w:val="Bullet1stlevel"/>
        <w:numPr>
          <w:ilvl w:val="0"/>
          <w:numId w:val="59"/>
        </w:numPr>
        <w:spacing w:before="80" w:after="80"/>
        <w:rPr>
          <w:rFonts w:cs="Arial"/>
          <w:szCs w:val="20"/>
        </w:rPr>
      </w:pPr>
      <w:r w:rsidRPr="0020182A">
        <w:rPr>
          <w:rFonts w:cs="Arial"/>
          <w:i/>
          <w:szCs w:val="20"/>
        </w:rPr>
        <w:t>Demand:</w:t>
      </w:r>
      <w:r w:rsidRPr="0020182A">
        <w:rPr>
          <w:rFonts w:cs="Arial"/>
          <w:szCs w:val="20"/>
        </w:rPr>
        <w:t xml:space="preserve"> Number of participants deemed eligible for SDA, and likely to be eligible for SDA over the next </w:t>
      </w:r>
      <w:r w:rsidR="00BF113B">
        <w:rPr>
          <w:rFonts w:cs="Arial"/>
          <w:szCs w:val="20"/>
        </w:rPr>
        <w:t>three to five</w:t>
      </w:r>
      <w:r w:rsidRPr="0020182A">
        <w:rPr>
          <w:rFonts w:cs="Arial"/>
          <w:szCs w:val="20"/>
        </w:rPr>
        <w:t xml:space="preserve"> </w:t>
      </w:r>
      <w:r w:rsidRPr="000B6202">
        <w:rPr>
          <w:rFonts w:cs="Arial"/>
          <w:szCs w:val="20"/>
        </w:rPr>
        <w:t>years</w:t>
      </w:r>
      <w:r w:rsidR="00E54683" w:rsidRPr="000B6202">
        <w:rPr>
          <w:rFonts w:cs="Arial"/>
          <w:szCs w:val="20"/>
        </w:rPr>
        <w:t xml:space="preserve"> (projections to be reviewed every five years)</w:t>
      </w:r>
      <w:r w:rsidRPr="000B6202">
        <w:rPr>
          <w:rFonts w:cs="Arial"/>
          <w:szCs w:val="20"/>
        </w:rPr>
        <w:t>, by</w:t>
      </w:r>
      <w:r w:rsidRPr="0020182A">
        <w:rPr>
          <w:rFonts w:cs="Arial"/>
          <w:szCs w:val="20"/>
        </w:rPr>
        <w:t>:</w:t>
      </w:r>
    </w:p>
    <w:p w:rsidR="007C09E2" w:rsidRPr="0020182A" w:rsidRDefault="00BF113B" w:rsidP="009B671C">
      <w:pPr>
        <w:pStyle w:val="BodyText"/>
        <w:numPr>
          <w:ilvl w:val="0"/>
          <w:numId w:val="86"/>
        </w:numPr>
        <w:spacing w:before="80" w:after="80"/>
        <w:rPr>
          <w:rFonts w:cs="Arial"/>
          <w:szCs w:val="20"/>
        </w:rPr>
      </w:pPr>
      <w:r>
        <w:rPr>
          <w:rFonts w:cs="Arial"/>
          <w:szCs w:val="20"/>
        </w:rPr>
        <w:t>d</w:t>
      </w:r>
      <w:r w:rsidR="007C09E2" w:rsidRPr="0020182A">
        <w:rPr>
          <w:rFonts w:cs="Arial"/>
          <w:szCs w:val="20"/>
        </w:rPr>
        <w:t>isability type and support need</w:t>
      </w:r>
    </w:p>
    <w:p w:rsidR="007C09E2" w:rsidRPr="0020182A" w:rsidRDefault="00BF113B" w:rsidP="009B671C">
      <w:pPr>
        <w:pStyle w:val="BodyText"/>
        <w:numPr>
          <w:ilvl w:val="0"/>
          <w:numId w:val="86"/>
        </w:numPr>
        <w:spacing w:before="80" w:after="80"/>
        <w:rPr>
          <w:rFonts w:cs="Arial"/>
          <w:szCs w:val="20"/>
        </w:rPr>
      </w:pPr>
      <w:r>
        <w:rPr>
          <w:rFonts w:cs="Arial"/>
          <w:szCs w:val="20"/>
        </w:rPr>
        <w:t>t</w:t>
      </w:r>
      <w:r w:rsidR="007C09E2" w:rsidRPr="0020182A">
        <w:rPr>
          <w:rFonts w:cs="Arial"/>
          <w:szCs w:val="20"/>
        </w:rPr>
        <w:t>ype of SDA or other accommodation required (including SDA design category, where available)</w:t>
      </w:r>
    </w:p>
    <w:p w:rsidR="007C09E2" w:rsidRPr="0020182A" w:rsidRDefault="00BF113B" w:rsidP="009B671C">
      <w:pPr>
        <w:pStyle w:val="BodyText1"/>
        <w:numPr>
          <w:ilvl w:val="0"/>
          <w:numId w:val="86"/>
        </w:numPr>
        <w:spacing w:before="80" w:after="80"/>
        <w:rPr>
          <w:rFonts w:cs="Arial"/>
          <w:szCs w:val="20"/>
        </w:rPr>
      </w:pPr>
      <w:r>
        <w:rPr>
          <w:rFonts w:cs="Arial"/>
          <w:szCs w:val="20"/>
        </w:rPr>
        <w:lastRenderedPageBreak/>
        <w:t>l</w:t>
      </w:r>
      <w:r w:rsidR="007C09E2" w:rsidRPr="0020182A">
        <w:rPr>
          <w:rFonts w:cs="Arial"/>
          <w:szCs w:val="20"/>
        </w:rPr>
        <w:t xml:space="preserve">ocation of participants (at SA4 or sub-regional level) </w:t>
      </w:r>
    </w:p>
    <w:p w:rsidR="007C09E2" w:rsidRPr="0020182A" w:rsidRDefault="00BF113B" w:rsidP="009B671C">
      <w:pPr>
        <w:pStyle w:val="BodyText1"/>
        <w:numPr>
          <w:ilvl w:val="0"/>
          <w:numId w:val="86"/>
        </w:numPr>
        <w:spacing w:before="80" w:after="80"/>
        <w:rPr>
          <w:rFonts w:cs="Arial"/>
          <w:szCs w:val="20"/>
        </w:rPr>
      </w:pPr>
      <w:r>
        <w:rPr>
          <w:rFonts w:cs="Arial"/>
          <w:szCs w:val="20"/>
        </w:rPr>
        <w:t>w</w:t>
      </w:r>
      <w:r w:rsidR="00575134" w:rsidRPr="0020182A">
        <w:rPr>
          <w:rFonts w:cs="Arial"/>
          <w:szCs w:val="20"/>
        </w:rPr>
        <w:t xml:space="preserve">here </w:t>
      </w:r>
      <w:r w:rsidR="007C09E2" w:rsidRPr="0020182A">
        <w:rPr>
          <w:rFonts w:cs="Arial"/>
          <w:szCs w:val="20"/>
        </w:rPr>
        <w:t>participants live currently (that is, in existing SDA dwellings, legacy stock, new SDA dwellings; residential aged care; with family; other settings)</w:t>
      </w:r>
    </w:p>
    <w:p w:rsidR="007C09E2" w:rsidRPr="0020182A" w:rsidRDefault="007C09E2" w:rsidP="009B671C">
      <w:pPr>
        <w:pStyle w:val="Bullet1stlevel"/>
        <w:numPr>
          <w:ilvl w:val="0"/>
          <w:numId w:val="60"/>
        </w:numPr>
        <w:spacing w:before="80" w:after="80"/>
        <w:rPr>
          <w:rFonts w:cs="Arial"/>
          <w:szCs w:val="20"/>
        </w:rPr>
      </w:pPr>
      <w:r w:rsidRPr="0020182A">
        <w:rPr>
          <w:rFonts w:cs="Arial"/>
          <w:i/>
          <w:szCs w:val="20"/>
        </w:rPr>
        <w:t>Supply:</w:t>
      </w:r>
      <w:r w:rsidRPr="0020182A">
        <w:rPr>
          <w:rFonts w:cs="Arial"/>
          <w:szCs w:val="20"/>
        </w:rPr>
        <w:t xml:space="preserve">  Number of SDA dwellings and places currently registered by:</w:t>
      </w:r>
    </w:p>
    <w:p w:rsidR="007C09E2" w:rsidRPr="0020182A" w:rsidRDefault="007C09E2" w:rsidP="009B671C">
      <w:pPr>
        <w:pStyle w:val="BodyText1"/>
        <w:numPr>
          <w:ilvl w:val="0"/>
          <w:numId w:val="87"/>
        </w:numPr>
        <w:spacing w:before="80" w:after="80"/>
        <w:rPr>
          <w:rFonts w:cs="Arial"/>
          <w:szCs w:val="20"/>
        </w:rPr>
      </w:pPr>
      <w:r w:rsidRPr="0020182A">
        <w:rPr>
          <w:rFonts w:cs="Arial"/>
          <w:szCs w:val="20"/>
        </w:rPr>
        <w:t>SDA design category</w:t>
      </w:r>
    </w:p>
    <w:p w:rsidR="007C09E2" w:rsidRPr="0020182A" w:rsidRDefault="007C09E2" w:rsidP="009B671C">
      <w:pPr>
        <w:pStyle w:val="BodyText1"/>
        <w:numPr>
          <w:ilvl w:val="0"/>
          <w:numId w:val="87"/>
        </w:numPr>
        <w:spacing w:before="80" w:after="80"/>
        <w:rPr>
          <w:rFonts w:cs="Arial"/>
          <w:szCs w:val="20"/>
        </w:rPr>
      </w:pPr>
      <w:r w:rsidRPr="0020182A">
        <w:rPr>
          <w:rFonts w:cs="Arial"/>
          <w:szCs w:val="20"/>
        </w:rPr>
        <w:t xml:space="preserve">SDA dwelling type </w:t>
      </w:r>
    </w:p>
    <w:p w:rsidR="007C09E2" w:rsidRPr="0020182A" w:rsidRDefault="007C09E2" w:rsidP="009B671C">
      <w:pPr>
        <w:pStyle w:val="BodyText1"/>
        <w:numPr>
          <w:ilvl w:val="0"/>
          <w:numId w:val="87"/>
        </w:numPr>
        <w:spacing w:before="80" w:after="80"/>
        <w:rPr>
          <w:rFonts w:cs="Arial"/>
          <w:szCs w:val="20"/>
        </w:rPr>
      </w:pPr>
      <w:r w:rsidRPr="0020182A">
        <w:rPr>
          <w:rFonts w:cs="Arial"/>
          <w:szCs w:val="20"/>
        </w:rPr>
        <w:t>SDA dwelling size</w:t>
      </w:r>
    </w:p>
    <w:p w:rsidR="007C09E2" w:rsidRPr="0020182A" w:rsidRDefault="00BF113B" w:rsidP="009B671C">
      <w:pPr>
        <w:pStyle w:val="BodyText1"/>
        <w:numPr>
          <w:ilvl w:val="0"/>
          <w:numId w:val="87"/>
        </w:numPr>
        <w:spacing w:before="80" w:after="80"/>
        <w:rPr>
          <w:rFonts w:cs="Arial"/>
          <w:szCs w:val="20"/>
        </w:rPr>
      </w:pPr>
      <w:r>
        <w:rPr>
          <w:rFonts w:cs="Arial"/>
          <w:szCs w:val="20"/>
        </w:rPr>
        <w:t>l</w:t>
      </w:r>
      <w:r w:rsidRPr="0020182A">
        <w:rPr>
          <w:rFonts w:cs="Arial"/>
          <w:szCs w:val="20"/>
        </w:rPr>
        <w:t xml:space="preserve">ocation </w:t>
      </w:r>
      <w:r w:rsidR="007C09E2" w:rsidRPr="0020182A">
        <w:rPr>
          <w:rFonts w:cs="Arial"/>
          <w:szCs w:val="20"/>
        </w:rPr>
        <w:t xml:space="preserve">(SA4 or sub-regional level). </w:t>
      </w:r>
    </w:p>
    <w:p w:rsidR="007C09E2" w:rsidRPr="0020182A" w:rsidRDefault="007C09E2" w:rsidP="009B671C">
      <w:pPr>
        <w:pStyle w:val="BodyText1"/>
        <w:numPr>
          <w:ilvl w:val="0"/>
          <w:numId w:val="61"/>
        </w:numPr>
        <w:spacing w:before="80" w:after="80"/>
        <w:rPr>
          <w:rFonts w:cs="Arial"/>
          <w:szCs w:val="20"/>
        </w:rPr>
      </w:pPr>
      <w:r w:rsidRPr="0020182A">
        <w:rPr>
          <w:rFonts w:cs="Arial"/>
          <w:szCs w:val="20"/>
        </w:rPr>
        <w:t>Qualitative information around the types of SDA dwellings that are emerging – either in the proposal or development stage, particularly case studies of innovative designs that have been approved as SDA, and accounts of outcomes for participants within these dwelling-types.</w:t>
      </w:r>
    </w:p>
    <w:p w:rsidR="007C09E2" w:rsidRPr="0020182A" w:rsidRDefault="007C09E2" w:rsidP="007C09E2">
      <w:pPr>
        <w:pStyle w:val="Heading3"/>
        <w:rPr>
          <w:color w:val="FF0000"/>
        </w:rPr>
      </w:pPr>
      <w:r w:rsidRPr="0020182A">
        <w:t>Greater price certain</w:t>
      </w:r>
      <w:r w:rsidR="00BF113B">
        <w:t>t</w:t>
      </w:r>
      <w:r w:rsidRPr="0020182A">
        <w:t xml:space="preserve">y and clarity </w:t>
      </w:r>
    </w:p>
    <w:p w:rsidR="007C09E2" w:rsidRPr="00106279" w:rsidRDefault="007C09E2" w:rsidP="00106279">
      <w:pPr>
        <w:pStyle w:val="BodyText2"/>
        <w:rPr>
          <w:sz w:val="20"/>
        </w:rPr>
      </w:pPr>
      <w:r w:rsidRPr="00106279">
        <w:rPr>
          <w:sz w:val="20"/>
        </w:rPr>
        <w:t xml:space="preserve">Recommendation 9: </w:t>
      </w:r>
      <w:r w:rsidR="00360AF1" w:rsidRPr="00106279">
        <w:rPr>
          <w:sz w:val="20"/>
        </w:rPr>
        <w:t>D</w:t>
      </w:r>
      <w:r w:rsidRPr="00106279">
        <w:rPr>
          <w:sz w:val="20"/>
        </w:rPr>
        <w:t xml:space="preserve">evelop, in consultation with the market (including providers/investors and participant representatives), a detailed </w:t>
      </w:r>
      <w:r w:rsidR="00360AF1" w:rsidRPr="00106279">
        <w:rPr>
          <w:sz w:val="20"/>
        </w:rPr>
        <w:t>approach</w:t>
      </w:r>
      <w:r w:rsidRPr="00106279">
        <w:rPr>
          <w:sz w:val="20"/>
        </w:rPr>
        <w:t xml:space="preserve"> for conducting price reviews</w:t>
      </w:r>
      <w:r w:rsidRPr="00106279">
        <w:rPr>
          <w:iCs/>
          <w:sz w:val="20"/>
        </w:rPr>
        <w:t xml:space="preserve"> t</w:t>
      </w:r>
      <w:r w:rsidRPr="00106279">
        <w:rPr>
          <w:sz w:val="20"/>
        </w:rPr>
        <w:t xml:space="preserve">o provide greater clarity around, and confidence in, SDA funding arrangements. </w:t>
      </w:r>
    </w:p>
    <w:p w:rsidR="007C09E2" w:rsidRPr="000B6202" w:rsidRDefault="007C09E2" w:rsidP="0016744A">
      <w:pPr>
        <w:pStyle w:val="Heading4"/>
        <w:spacing w:before="80" w:after="80"/>
        <w:rPr>
          <w:rFonts w:eastAsiaTheme="minorHAnsi" w:cs="Arial"/>
          <w:b w:val="0"/>
          <w:iCs w:val="0"/>
          <w:sz w:val="20"/>
          <w:szCs w:val="20"/>
        </w:rPr>
      </w:pPr>
      <w:r w:rsidRPr="000B6202">
        <w:rPr>
          <w:rFonts w:cs="Arial"/>
          <w:b w:val="0"/>
          <w:sz w:val="20"/>
          <w:szCs w:val="20"/>
        </w:rPr>
        <w:t>This should set out:</w:t>
      </w:r>
    </w:p>
    <w:p w:rsidR="007C09E2" w:rsidRPr="000B6202" w:rsidRDefault="00BF113B" w:rsidP="00E7742C">
      <w:pPr>
        <w:pStyle w:val="BodyText1"/>
        <w:numPr>
          <w:ilvl w:val="0"/>
          <w:numId w:val="14"/>
        </w:numPr>
        <w:tabs>
          <w:tab w:val="clear" w:pos="340"/>
          <w:tab w:val="num" w:pos="482"/>
        </w:tabs>
        <w:spacing w:before="80" w:after="80"/>
        <w:rPr>
          <w:rFonts w:cs="Arial"/>
          <w:szCs w:val="20"/>
        </w:rPr>
      </w:pPr>
      <w:r w:rsidRPr="000B6202">
        <w:rPr>
          <w:rFonts w:cs="Arial"/>
          <w:szCs w:val="20"/>
        </w:rPr>
        <w:t xml:space="preserve">How </w:t>
      </w:r>
      <w:r w:rsidR="007C09E2" w:rsidRPr="000B6202">
        <w:rPr>
          <w:rFonts w:cs="Arial"/>
          <w:szCs w:val="20"/>
        </w:rPr>
        <w:t>key cost inputs and pricing assumptions, which should be based on reliable public indicators, determine SDA funding</w:t>
      </w:r>
      <w:r w:rsidRPr="000B6202">
        <w:rPr>
          <w:rFonts w:cs="Arial"/>
          <w:szCs w:val="20"/>
        </w:rPr>
        <w:t>.</w:t>
      </w:r>
    </w:p>
    <w:p w:rsidR="007C09E2" w:rsidRPr="000B6202" w:rsidRDefault="00BF113B" w:rsidP="00E7742C">
      <w:pPr>
        <w:pStyle w:val="BodyText1"/>
        <w:numPr>
          <w:ilvl w:val="0"/>
          <w:numId w:val="14"/>
        </w:numPr>
        <w:tabs>
          <w:tab w:val="clear" w:pos="340"/>
          <w:tab w:val="num" w:pos="482"/>
        </w:tabs>
        <w:spacing w:before="80" w:after="80"/>
        <w:rPr>
          <w:rFonts w:cs="Arial"/>
          <w:szCs w:val="20"/>
        </w:rPr>
      </w:pPr>
      <w:r w:rsidRPr="000B6202">
        <w:rPr>
          <w:rFonts w:cs="Arial"/>
          <w:szCs w:val="20"/>
        </w:rPr>
        <w:t xml:space="preserve">How </w:t>
      </w:r>
      <w:r w:rsidR="007C09E2" w:rsidRPr="000B6202">
        <w:rPr>
          <w:rFonts w:cs="Arial"/>
          <w:szCs w:val="20"/>
        </w:rPr>
        <w:t>key cost inputs and pricing assumptions will be determined and set (where applicable)</w:t>
      </w:r>
      <w:r w:rsidRPr="000B6202">
        <w:rPr>
          <w:rFonts w:cs="Arial"/>
          <w:szCs w:val="20"/>
        </w:rPr>
        <w:t>.</w:t>
      </w:r>
    </w:p>
    <w:p w:rsidR="007C09E2" w:rsidRPr="000B6202" w:rsidRDefault="00BF113B" w:rsidP="00E7742C">
      <w:pPr>
        <w:pStyle w:val="BodyText1"/>
        <w:numPr>
          <w:ilvl w:val="0"/>
          <w:numId w:val="14"/>
        </w:numPr>
        <w:tabs>
          <w:tab w:val="clear" w:pos="340"/>
          <w:tab w:val="num" w:pos="482"/>
        </w:tabs>
        <w:spacing w:before="80" w:after="80"/>
        <w:rPr>
          <w:rFonts w:cs="Arial"/>
          <w:szCs w:val="20"/>
        </w:rPr>
      </w:pPr>
      <w:r w:rsidRPr="000B6202">
        <w:rPr>
          <w:rFonts w:cs="Arial"/>
          <w:szCs w:val="20"/>
        </w:rPr>
        <w:t xml:space="preserve">How </w:t>
      </w:r>
      <w:r w:rsidR="007C09E2" w:rsidRPr="000B6202">
        <w:rPr>
          <w:rFonts w:cs="Arial"/>
          <w:szCs w:val="20"/>
        </w:rPr>
        <w:t>the market and sector (including participants) will be engaged in each price review (this should be specified in the rules)</w:t>
      </w:r>
      <w:r w:rsidRPr="000B6202">
        <w:rPr>
          <w:rFonts w:cs="Arial"/>
          <w:szCs w:val="20"/>
        </w:rPr>
        <w:t>.</w:t>
      </w:r>
    </w:p>
    <w:p w:rsidR="007C09E2" w:rsidRPr="000B6202" w:rsidRDefault="00BF113B" w:rsidP="00E7742C">
      <w:pPr>
        <w:pStyle w:val="BodyText1"/>
        <w:numPr>
          <w:ilvl w:val="0"/>
          <w:numId w:val="14"/>
        </w:numPr>
        <w:tabs>
          <w:tab w:val="clear" w:pos="340"/>
          <w:tab w:val="num" w:pos="482"/>
        </w:tabs>
        <w:spacing w:before="80" w:after="80"/>
        <w:rPr>
          <w:rFonts w:cs="Arial"/>
          <w:szCs w:val="20"/>
        </w:rPr>
      </w:pPr>
      <w:r w:rsidRPr="000B6202">
        <w:rPr>
          <w:rFonts w:cs="Arial"/>
          <w:szCs w:val="20"/>
        </w:rPr>
        <w:t>H</w:t>
      </w:r>
      <w:r w:rsidR="007C09E2" w:rsidRPr="000B6202">
        <w:rPr>
          <w:rFonts w:cs="Arial"/>
          <w:szCs w:val="20"/>
        </w:rPr>
        <w:t>ow independence will be maintained and who will conduct each review. This requirement should be specif</w:t>
      </w:r>
      <w:r w:rsidR="00EE16FD" w:rsidRPr="000B6202">
        <w:rPr>
          <w:rFonts w:cs="Arial"/>
          <w:szCs w:val="20"/>
        </w:rPr>
        <w:t>ied in the R</w:t>
      </w:r>
      <w:r w:rsidR="007C09E2" w:rsidRPr="000B6202">
        <w:rPr>
          <w:rFonts w:cs="Arial"/>
          <w:szCs w:val="20"/>
        </w:rPr>
        <w:t>ules</w:t>
      </w:r>
      <w:r w:rsidR="00EE16FD" w:rsidRPr="000B6202">
        <w:rPr>
          <w:rFonts w:cs="Arial"/>
          <w:szCs w:val="20"/>
        </w:rPr>
        <w:t>, and the price review should involve independent experts.</w:t>
      </w:r>
    </w:p>
    <w:p w:rsidR="007C09E2" w:rsidRPr="000B6202" w:rsidRDefault="00BF113B" w:rsidP="00E7742C">
      <w:pPr>
        <w:pStyle w:val="BodyText1"/>
        <w:numPr>
          <w:ilvl w:val="0"/>
          <w:numId w:val="14"/>
        </w:numPr>
        <w:tabs>
          <w:tab w:val="clear" w:pos="340"/>
          <w:tab w:val="num" w:pos="482"/>
        </w:tabs>
        <w:spacing w:before="80" w:after="80"/>
        <w:rPr>
          <w:rFonts w:cs="Arial"/>
          <w:szCs w:val="20"/>
        </w:rPr>
      </w:pPr>
      <w:r w:rsidRPr="000B6202">
        <w:rPr>
          <w:rFonts w:cs="Arial"/>
          <w:szCs w:val="20"/>
        </w:rPr>
        <w:t xml:space="preserve">Any </w:t>
      </w:r>
      <w:r w:rsidR="007C09E2" w:rsidRPr="000B6202">
        <w:rPr>
          <w:rFonts w:cs="Arial"/>
          <w:szCs w:val="20"/>
        </w:rPr>
        <w:t xml:space="preserve">changes to the Framework and/or Rules that may be required to implement this revised </w:t>
      </w:r>
      <w:r w:rsidR="00360AF1" w:rsidRPr="000B6202">
        <w:rPr>
          <w:rFonts w:cs="Arial"/>
          <w:szCs w:val="20"/>
        </w:rPr>
        <w:t>price review approach</w:t>
      </w:r>
      <w:r w:rsidR="007C09E2" w:rsidRPr="000B6202">
        <w:rPr>
          <w:rFonts w:cs="Arial"/>
          <w:szCs w:val="20"/>
        </w:rPr>
        <w:t>.</w:t>
      </w:r>
    </w:p>
    <w:p w:rsidR="007C09E2" w:rsidRPr="000B6202" w:rsidRDefault="007C09E2" w:rsidP="00E7742C">
      <w:pPr>
        <w:pStyle w:val="BodyText1"/>
        <w:spacing w:before="80" w:after="80"/>
        <w:rPr>
          <w:rFonts w:cs="Arial"/>
          <w:szCs w:val="20"/>
        </w:rPr>
      </w:pPr>
      <w:r w:rsidRPr="000B6202">
        <w:rPr>
          <w:rFonts w:cs="Arial"/>
          <w:szCs w:val="20"/>
        </w:rPr>
        <w:t>A draft approach should be released in the first half of 2019 for stakeholder consultation.</w:t>
      </w:r>
    </w:p>
    <w:p w:rsidR="007C09E2" w:rsidRPr="000B6202" w:rsidRDefault="007C09E2" w:rsidP="00535524">
      <w:pPr>
        <w:pStyle w:val="BodyText1"/>
        <w:spacing w:before="80" w:after="80"/>
        <w:rPr>
          <w:rFonts w:cs="Arial"/>
          <w:szCs w:val="20"/>
        </w:rPr>
      </w:pPr>
      <w:r w:rsidRPr="000B6202">
        <w:rPr>
          <w:rFonts w:cs="Arial"/>
          <w:szCs w:val="20"/>
        </w:rPr>
        <w:t xml:space="preserve">The revised </w:t>
      </w:r>
      <w:r w:rsidR="00360AF1" w:rsidRPr="000B6202">
        <w:rPr>
          <w:rFonts w:cs="Arial"/>
          <w:szCs w:val="20"/>
        </w:rPr>
        <w:t>approach</w:t>
      </w:r>
      <w:r w:rsidRPr="000B6202">
        <w:rPr>
          <w:rFonts w:cs="Arial"/>
          <w:szCs w:val="20"/>
        </w:rPr>
        <w:t xml:space="preserve"> for the price review process should be articulated in the revised Framework and/or Rules to ensure the market has a consistent understanding, and there is transparency to assist the market to anticipate changes that may result from underlying market-based assumptions.</w:t>
      </w:r>
    </w:p>
    <w:p w:rsidR="007C09E2" w:rsidRPr="0020182A" w:rsidRDefault="007C09E2" w:rsidP="00535524">
      <w:pPr>
        <w:pStyle w:val="BodyText1"/>
        <w:spacing w:before="80" w:after="80"/>
        <w:rPr>
          <w:rFonts w:cs="Arial"/>
          <w:szCs w:val="20"/>
        </w:rPr>
      </w:pPr>
      <w:r w:rsidRPr="000B6202">
        <w:rPr>
          <w:rFonts w:cs="Arial"/>
          <w:szCs w:val="20"/>
        </w:rPr>
        <w:t>This process may be refined and improved over time</w:t>
      </w:r>
      <w:r w:rsidRPr="0020182A">
        <w:rPr>
          <w:rFonts w:cs="Arial"/>
          <w:szCs w:val="20"/>
        </w:rPr>
        <w:t xml:space="preserve"> based on recommendations from each review and feedback from each consultation process.</w:t>
      </w:r>
    </w:p>
    <w:p w:rsidR="007C09E2" w:rsidRPr="0020182A" w:rsidRDefault="007C09E2" w:rsidP="00535524">
      <w:pPr>
        <w:pStyle w:val="BodyText1"/>
        <w:spacing w:before="80" w:after="80"/>
        <w:rPr>
          <w:rFonts w:cs="Arial"/>
          <w:szCs w:val="20"/>
        </w:rPr>
      </w:pPr>
      <w:r w:rsidRPr="0020182A">
        <w:rPr>
          <w:rFonts w:cs="Arial"/>
          <w:szCs w:val="20"/>
        </w:rPr>
        <w:t>Price reviews would continue to occur at five-year intervals.</w:t>
      </w:r>
    </w:p>
    <w:p w:rsidR="007C09E2" w:rsidRPr="00106279" w:rsidRDefault="007C09E2" w:rsidP="00106279">
      <w:pPr>
        <w:pStyle w:val="BodyText2"/>
        <w:rPr>
          <w:sz w:val="20"/>
        </w:rPr>
      </w:pPr>
      <w:r w:rsidRPr="00106279">
        <w:rPr>
          <w:sz w:val="20"/>
        </w:rPr>
        <w:t xml:space="preserve">Recommendation 10: </w:t>
      </w:r>
      <w:r w:rsidR="00381E25" w:rsidRPr="00106279">
        <w:rPr>
          <w:sz w:val="20"/>
        </w:rPr>
        <w:t>Identify</w:t>
      </w:r>
      <w:r w:rsidRPr="00106279">
        <w:rPr>
          <w:sz w:val="20"/>
        </w:rPr>
        <w:t xml:space="preserve"> in the SDA Framework the specific events that would trigger benchmark price changes as provided in Paragraph 20 in the SDA Framework.</w:t>
      </w:r>
    </w:p>
    <w:p w:rsidR="007C09E2" w:rsidRPr="0020182A" w:rsidRDefault="007C09E2" w:rsidP="00535524">
      <w:pPr>
        <w:pStyle w:val="BodyText1"/>
        <w:spacing w:before="80" w:after="80"/>
        <w:rPr>
          <w:rFonts w:cs="Arial"/>
          <w:szCs w:val="20"/>
        </w:rPr>
      </w:pPr>
      <w:r w:rsidRPr="0020182A">
        <w:rPr>
          <w:rFonts w:cs="Arial"/>
          <w:szCs w:val="20"/>
        </w:rPr>
        <w:t>High level guidance on the events that would trigger benchmark price changes, or a review of specific pricing assumptions, should be detailed in the SDA Framework and/or articulated in the SDA Rules. Guidance should be issued to clarify when the provision should be applied, and how pricing parameters would monitored in order to identify trigger events.</w:t>
      </w:r>
    </w:p>
    <w:p w:rsidR="007C09E2" w:rsidRPr="0020182A" w:rsidRDefault="007C09E2" w:rsidP="00535524">
      <w:pPr>
        <w:pStyle w:val="Heading4"/>
        <w:spacing w:before="80" w:after="80"/>
        <w:rPr>
          <w:rFonts w:cs="Arial"/>
          <w:b w:val="0"/>
          <w:sz w:val="20"/>
          <w:szCs w:val="20"/>
        </w:rPr>
      </w:pPr>
      <w:r w:rsidRPr="0020182A">
        <w:rPr>
          <w:rFonts w:cs="Arial"/>
          <w:b w:val="0"/>
          <w:sz w:val="20"/>
          <w:szCs w:val="20"/>
        </w:rPr>
        <w:t xml:space="preserve">The identification of trigger events should be included as part of the next Price Review. </w:t>
      </w:r>
    </w:p>
    <w:p w:rsidR="007C09E2" w:rsidRPr="00106279" w:rsidRDefault="007C09E2" w:rsidP="00106279">
      <w:pPr>
        <w:pStyle w:val="BodyText2"/>
        <w:rPr>
          <w:sz w:val="20"/>
        </w:rPr>
      </w:pPr>
      <w:r w:rsidRPr="00106279">
        <w:rPr>
          <w:sz w:val="20"/>
        </w:rPr>
        <w:t>Recommendation 11: Bring forward the scheduled 2021 Price Review to early 2019 to make changes to the Price Guide to address immediate concerns as outlined below.</w:t>
      </w:r>
    </w:p>
    <w:p w:rsidR="007C09E2" w:rsidRPr="000B6202" w:rsidRDefault="007C09E2" w:rsidP="001C1B25">
      <w:pPr>
        <w:pStyle w:val="BodyText1"/>
        <w:spacing w:before="80" w:after="80"/>
        <w:rPr>
          <w:rFonts w:cs="Arial"/>
          <w:szCs w:val="20"/>
        </w:rPr>
      </w:pPr>
      <w:r w:rsidRPr="0020182A">
        <w:rPr>
          <w:rFonts w:cs="Arial"/>
          <w:szCs w:val="20"/>
        </w:rPr>
        <w:t xml:space="preserve">These </w:t>
      </w:r>
      <w:r w:rsidRPr="000B6202">
        <w:rPr>
          <w:rFonts w:cs="Arial"/>
          <w:szCs w:val="20"/>
        </w:rPr>
        <w:t xml:space="preserve">immediate changes are likely to include fixing assumptions about loadings for different regions. </w:t>
      </w:r>
    </w:p>
    <w:p w:rsidR="007C09E2" w:rsidRPr="000B6202" w:rsidRDefault="007C09E2" w:rsidP="00535524">
      <w:pPr>
        <w:pStyle w:val="BodyText1"/>
        <w:spacing w:before="80" w:after="80"/>
        <w:rPr>
          <w:rFonts w:cs="Arial"/>
          <w:szCs w:val="20"/>
        </w:rPr>
      </w:pPr>
      <w:r w:rsidRPr="000B6202">
        <w:rPr>
          <w:rFonts w:cs="Arial"/>
          <w:szCs w:val="20"/>
        </w:rPr>
        <w:t xml:space="preserve">In order to support the development and testing of </w:t>
      </w:r>
      <w:r w:rsidR="00851F7D" w:rsidRPr="000B6202">
        <w:rPr>
          <w:rFonts w:cs="Arial"/>
          <w:szCs w:val="20"/>
        </w:rPr>
        <w:t xml:space="preserve">the revised pricing </w:t>
      </w:r>
      <w:r w:rsidR="00EE16FD" w:rsidRPr="000B6202">
        <w:rPr>
          <w:rFonts w:cs="Arial"/>
          <w:szCs w:val="20"/>
        </w:rPr>
        <w:t>review approach</w:t>
      </w:r>
      <w:r w:rsidR="00851F7D" w:rsidRPr="000B6202">
        <w:rPr>
          <w:rFonts w:cs="Arial"/>
          <w:szCs w:val="20"/>
        </w:rPr>
        <w:t xml:space="preserve"> (see recommendation 9); </w:t>
      </w:r>
      <w:r w:rsidRPr="000B6202">
        <w:rPr>
          <w:rFonts w:cs="Arial"/>
          <w:szCs w:val="20"/>
        </w:rPr>
        <w:t>address areas of pricing that are creating disincentives to building some dwelling types or living arrangements</w:t>
      </w:r>
      <w:r w:rsidR="00851F7D" w:rsidRPr="000B6202">
        <w:rPr>
          <w:rFonts w:cs="Arial"/>
          <w:szCs w:val="20"/>
        </w:rPr>
        <w:t>;</w:t>
      </w:r>
      <w:r w:rsidRPr="000B6202">
        <w:rPr>
          <w:rFonts w:cs="Arial"/>
          <w:szCs w:val="20"/>
        </w:rPr>
        <w:t xml:space="preserve"> and create neutrality for investment decisions, the 2021 price review should be brought forward to 2019 (once a detailed </w:t>
      </w:r>
      <w:r w:rsidR="00360AF1" w:rsidRPr="000B6202">
        <w:rPr>
          <w:rFonts w:cs="Arial"/>
          <w:szCs w:val="20"/>
        </w:rPr>
        <w:t>approach</w:t>
      </w:r>
      <w:r w:rsidRPr="000B6202">
        <w:rPr>
          <w:rFonts w:cs="Arial"/>
          <w:szCs w:val="20"/>
        </w:rPr>
        <w:t xml:space="preserve"> has been developed with sector </w:t>
      </w:r>
      <w:r w:rsidRPr="000B6202">
        <w:rPr>
          <w:rFonts w:cs="Arial"/>
          <w:szCs w:val="20"/>
        </w:rPr>
        <w:lastRenderedPageBreak/>
        <w:t xml:space="preserve">involvement). This will assist in correcting the existing supply mix to better align with demand from participants. </w:t>
      </w:r>
    </w:p>
    <w:p w:rsidR="007C09E2" w:rsidRPr="000B6202" w:rsidRDefault="007C09E2" w:rsidP="00535524">
      <w:pPr>
        <w:pStyle w:val="BodyText1"/>
        <w:spacing w:before="80" w:after="80"/>
        <w:rPr>
          <w:rFonts w:cs="Arial"/>
          <w:szCs w:val="20"/>
        </w:rPr>
      </w:pPr>
      <w:r w:rsidRPr="000B6202">
        <w:rPr>
          <w:rFonts w:cs="Arial"/>
          <w:szCs w:val="20"/>
        </w:rPr>
        <w:t xml:space="preserve">The particular areas of pricing that should be specifically reviewed (in addition to the price review </w:t>
      </w:r>
      <w:r w:rsidR="00360AF1" w:rsidRPr="000B6202">
        <w:rPr>
          <w:rFonts w:cs="Arial"/>
          <w:szCs w:val="20"/>
        </w:rPr>
        <w:t>approach</w:t>
      </w:r>
      <w:r w:rsidRPr="000B6202">
        <w:rPr>
          <w:rFonts w:cs="Arial"/>
          <w:szCs w:val="20"/>
        </w:rPr>
        <w:t xml:space="preserve"> developed in </w:t>
      </w:r>
      <w:r w:rsidR="00851F7D" w:rsidRPr="000B6202">
        <w:rPr>
          <w:rFonts w:cs="Arial"/>
          <w:szCs w:val="20"/>
        </w:rPr>
        <w:t>r</w:t>
      </w:r>
      <w:r w:rsidRPr="000B6202">
        <w:rPr>
          <w:rFonts w:cs="Arial"/>
          <w:szCs w:val="20"/>
        </w:rPr>
        <w:t>ecommendation 9) should include:</w:t>
      </w:r>
    </w:p>
    <w:p w:rsidR="007C09E2" w:rsidRPr="000B6202" w:rsidRDefault="007C09E2" w:rsidP="009B671C">
      <w:pPr>
        <w:pStyle w:val="BodyText1"/>
        <w:numPr>
          <w:ilvl w:val="0"/>
          <w:numId w:val="20"/>
        </w:numPr>
        <w:tabs>
          <w:tab w:val="clear" w:pos="340"/>
          <w:tab w:val="num" w:pos="1026"/>
        </w:tabs>
        <w:spacing w:before="80" w:after="80"/>
        <w:rPr>
          <w:rFonts w:cs="Arial"/>
          <w:szCs w:val="20"/>
        </w:rPr>
      </w:pPr>
      <w:r w:rsidRPr="000B6202">
        <w:rPr>
          <w:rFonts w:cs="Arial"/>
          <w:szCs w:val="20"/>
        </w:rPr>
        <w:t>The relativity of cost inputs (including build and maintenance costs), and hence prices between design categories, especially between high physical support dwellings and robust and fully accessible dwellings, to ensure that prices do not create incentives that do not match demand from participants.</w:t>
      </w:r>
    </w:p>
    <w:p w:rsidR="007C09E2" w:rsidRPr="000B6202" w:rsidRDefault="007C09E2" w:rsidP="009B671C">
      <w:pPr>
        <w:pStyle w:val="BodyText1"/>
        <w:numPr>
          <w:ilvl w:val="0"/>
          <w:numId w:val="20"/>
        </w:numPr>
        <w:tabs>
          <w:tab w:val="clear" w:pos="340"/>
          <w:tab w:val="num" w:pos="1026"/>
        </w:tabs>
        <w:spacing w:before="80" w:after="80"/>
        <w:rPr>
          <w:rFonts w:cs="Arial"/>
          <w:szCs w:val="20"/>
        </w:rPr>
      </w:pPr>
      <w:r w:rsidRPr="000B6202">
        <w:rPr>
          <w:rFonts w:cs="Arial"/>
          <w:szCs w:val="20"/>
        </w:rPr>
        <w:t xml:space="preserve">The variability of location factor adequacy across SA4 geographies, to ensure they promote location preferences and do not create incentives that do not match the location of participants. This should also consider the use of SA3 areas to reduce variability in adequacy of location factors across broad SA4 geographies. </w:t>
      </w:r>
    </w:p>
    <w:p w:rsidR="00BB45E5" w:rsidRPr="000B6202" w:rsidRDefault="00CA03B1" w:rsidP="00BB45E5">
      <w:pPr>
        <w:pStyle w:val="BodyText1"/>
        <w:numPr>
          <w:ilvl w:val="0"/>
          <w:numId w:val="20"/>
        </w:numPr>
        <w:tabs>
          <w:tab w:val="clear" w:pos="340"/>
          <w:tab w:val="num" w:pos="1026"/>
        </w:tabs>
        <w:spacing w:before="80" w:after="80"/>
        <w:rPr>
          <w:rFonts w:cs="Arial"/>
          <w:szCs w:val="20"/>
        </w:rPr>
      </w:pPr>
      <w:r w:rsidRPr="000B6202">
        <w:rPr>
          <w:rFonts w:cs="Arial"/>
          <w:szCs w:val="20"/>
        </w:rPr>
        <w:t>Exploring possible</w:t>
      </w:r>
      <w:r w:rsidR="00BB45E5" w:rsidRPr="000B6202">
        <w:rPr>
          <w:rFonts w:cs="Arial"/>
          <w:szCs w:val="20"/>
        </w:rPr>
        <w:t xml:space="preserve"> arrangements that facilitate living arrangements with a mixture of SDA and non-SDA residents, to remove disincentives that exist for providers to meet participant preferences to live with people who are not eligible for SDA if they choose to (see recommendation 2 in Demand).</w:t>
      </w:r>
    </w:p>
    <w:p w:rsidR="007C09E2" w:rsidRPr="000B6202" w:rsidRDefault="007C09E2" w:rsidP="009B671C">
      <w:pPr>
        <w:pStyle w:val="BodyText1"/>
        <w:numPr>
          <w:ilvl w:val="0"/>
          <w:numId w:val="20"/>
        </w:numPr>
        <w:tabs>
          <w:tab w:val="clear" w:pos="340"/>
          <w:tab w:val="num" w:pos="1026"/>
        </w:tabs>
        <w:spacing w:before="80" w:after="80"/>
        <w:rPr>
          <w:rFonts w:cs="Arial"/>
          <w:szCs w:val="20"/>
        </w:rPr>
      </w:pPr>
      <w:r w:rsidRPr="000B6202">
        <w:rPr>
          <w:rFonts w:cs="Arial"/>
          <w:szCs w:val="20"/>
        </w:rPr>
        <w:t>The current accuracy of key cost inputs and pricing assumptions that underpin SDA funding, including land price inflation rates and building costs across design categories and building types.</w:t>
      </w:r>
    </w:p>
    <w:p w:rsidR="007C09E2" w:rsidRPr="000B6202" w:rsidRDefault="007C09E2" w:rsidP="009B671C">
      <w:pPr>
        <w:pStyle w:val="BodyText1"/>
        <w:numPr>
          <w:ilvl w:val="0"/>
          <w:numId w:val="20"/>
        </w:numPr>
        <w:tabs>
          <w:tab w:val="clear" w:pos="340"/>
          <w:tab w:val="num" w:pos="1026"/>
        </w:tabs>
        <w:spacing w:before="80" w:after="80"/>
        <w:rPr>
          <w:rFonts w:cs="Arial"/>
          <w:szCs w:val="20"/>
        </w:rPr>
      </w:pPr>
      <w:r w:rsidRPr="000B6202">
        <w:rPr>
          <w:rFonts w:cs="Arial"/>
          <w:szCs w:val="20"/>
        </w:rPr>
        <w:t xml:space="preserve">Confirming the nature of benchmark prices for SDA and the consistent use of terminology, including price “benchmarks”, “caps” and “ceilings” </w:t>
      </w:r>
    </w:p>
    <w:p w:rsidR="007C09E2" w:rsidRPr="000B6202" w:rsidRDefault="007C09E2" w:rsidP="009B671C">
      <w:pPr>
        <w:pStyle w:val="BodyText1"/>
        <w:numPr>
          <w:ilvl w:val="0"/>
          <w:numId w:val="20"/>
        </w:numPr>
        <w:tabs>
          <w:tab w:val="clear" w:pos="340"/>
          <w:tab w:val="num" w:pos="1026"/>
        </w:tabs>
        <w:spacing w:before="80" w:after="80"/>
        <w:rPr>
          <w:rFonts w:cs="Arial"/>
          <w:szCs w:val="20"/>
        </w:rPr>
      </w:pPr>
      <w:r w:rsidRPr="000B6202">
        <w:rPr>
          <w:rFonts w:cs="Arial"/>
          <w:szCs w:val="20"/>
        </w:rPr>
        <w:t xml:space="preserve">Considering the impact of </w:t>
      </w:r>
      <w:r w:rsidR="00357916" w:rsidRPr="000B6202">
        <w:t>the new quality and safeguarding requirements enacted through the NDIS Act 2013 and being implemented by the NDIS Commission,</w:t>
      </w:r>
      <w:r w:rsidRPr="000B6202">
        <w:rPr>
          <w:rFonts w:cs="Arial"/>
          <w:szCs w:val="20"/>
        </w:rPr>
        <w:t xml:space="preserve"> and whether this should be addressed in the pricing arrangements. </w:t>
      </w:r>
    </w:p>
    <w:p w:rsidR="007C09E2" w:rsidRPr="000B6202" w:rsidRDefault="007C09E2" w:rsidP="00535524">
      <w:pPr>
        <w:pStyle w:val="BodyText1"/>
        <w:spacing w:before="80" w:after="80"/>
        <w:rPr>
          <w:rFonts w:cs="Arial"/>
          <w:szCs w:val="20"/>
        </w:rPr>
      </w:pPr>
      <w:r w:rsidRPr="000B6202">
        <w:rPr>
          <w:rFonts w:cs="Arial"/>
          <w:szCs w:val="20"/>
        </w:rPr>
        <w:t xml:space="preserve">The Price Review should be conducted </w:t>
      </w:r>
      <w:r w:rsidR="003C30AE" w:rsidRPr="000B6202">
        <w:rPr>
          <w:rFonts w:cs="Arial"/>
          <w:szCs w:val="20"/>
        </w:rPr>
        <w:t>in a</w:t>
      </w:r>
      <w:r w:rsidRPr="000B6202">
        <w:rPr>
          <w:rFonts w:cs="Arial"/>
          <w:szCs w:val="20"/>
        </w:rPr>
        <w:t xml:space="preserve"> transparent way</w:t>
      </w:r>
      <w:r w:rsidR="003C30AE" w:rsidRPr="000B6202">
        <w:rPr>
          <w:rFonts w:cs="Arial"/>
          <w:szCs w:val="20"/>
        </w:rPr>
        <w:t xml:space="preserve"> with independent input,</w:t>
      </w:r>
      <w:r w:rsidRPr="000B6202">
        <w:rPr>
          <w:rFonts w:cs="Arial"/>
          <w:szCs w:val="20"/>
        </w:rPr>
        <w:t xml:space="preserve"> in line with the newly designed </w:t>
      </w:r>
      <w:r w:rsidR="00360AF1" w:rsidRPr="000B6202">
        <w:rPr>
          <w:rFonts w:cs="Arial"/>
          <w:szCs w:val="20"/>
        </w:rPr>
        <w:t>approach</w:t>
      </w:r>
      <w:r w:rsidRPr="000B6202">
        <w:rPr>
          <w:rFonts w:cs="Arial"/>
          <w:szCs w:val="20"/>
        </w:rPr>
        <w:t xml:space="preserve"> for price reviews (refer to</w:t>
      </w:r>
      <w:r w:rsidR="00851F7D" w:rsidRPr="000B6202">
        <w:rPr>
          <w:rFonts w:cs="Arial"/>
          <w:szCs w:val="20"/>
        </w:rPr>
        <w:t xml:space="preserve"> recommendation</w:t>
      </w:r>
      <w:r w:rsidRPr="000B6202">
        <w:rPr>
          <w:rFonts w:cs="Arial"/>
          <w:szCs w:val="20"/>
        </w:rPr>
        <w:t xml:space="preserve"> </w:t>
      </w:r>
      <w:r w:rsidR="00851F7D" w:rsidRPr="000B6202">
        <w:rPr>
          <w:rFonts w:cs="Arial"/>
          <w:szCs w:val="20"/>
        </w:rPr>
        <w:t>9</w:t>
      </w:r>
      <w:r w:rsidRPr="000B6202">
        <w:rPr>
          <w:rFonts w:cs="Arial"/>
          <w:szCs w:val="20"/>
        </w:rPr>
        <w:t>).</w:t>
      </w:r>
    </w:p>
    <w:p w:rsidR="007C09E2" w:rsidRPr="0020182A" w:rsidRDefault="007C09E2" w:rsidP="00535524">
      <w:pPr>
        <w:pStyle w:val="BodyText1"/>
        <w:spacing w:before="80" w:after="80"/>
        <w:rPr>
          <w:rFonts w:cs="Arial"/>
          <w:szCs w:val="20"/>
        </w:rPr>
      </w:pPr>
      <w:r w:rsidRPr="000B6202">
        <w:rPr>
          <w:rFonts w:cs="Arial"/>
          <w:szCs w:val="20"/>
        </w:rPr>
        <w:t>Following conclusion of the Price Review and agreement to recommendations, methods for determining key pricing assumptions (such as accepted</w:t>
      </w:r>
      <w:r w:rsidRPr="0020182A">
        <w:rPr>
          <w:rFonts w:cs="Arial"/>
          <w:szCs w:val="20"/>
        </w:rPr>
        <w:t xml:space="preserve"> public indicators) should be captured in the SDA rules and/or Framework. Existing prices should continue to apply until 2021, and any price changes recommended by the price review should apply from July 2021. This will ensure that no providers or investors who have already made investment decisions based on existing prices will be disadvantaged by the review being brought forward.</w:t>
      </w:r>
    </w:p>
    <w:p w:rsidR="007C09E2" w:rsidRPr="00106279" w:rsidRDefault="007C09E2" w:rsidP="00106279">
      <w:pPr>
        <w:pStyle w:val="BodyText2"/>
        <w:rPr>
          <w:sz w:val="20"/>
        </w:rPr>
      </w:pPr>
      <w:r w:rsidRPr="00106279">
        <w:rPr>
          <w:sz w:val="20"/>
        </w:rPr>
        <w:t>Recommendation 12: The SDA Framework should embed a requirement for consultation on any significant SDA pricing or policy changes.</w:t>
      </w:r>
    </w:p>
    <w:p w:rsidR="007C09E2" w:rsidRPr="0020182A" w:rsidRDefault="007C09E2" w:rsidP="00535524">
      <w:pPr>
        <w:pStyle w:val="BodyText1"/>
        <w:spacing w:before="80" w:after="80"/>
        <w:rPr>
          <w:rFonts w:cs="Arial"/>
          <w:szCs w:val="20"/>
        </w:rPr>
      </w:pPr>
      <w:r w:rsidRPr="0020182A">
        <w:rPr>
          <w:rFonts w:cs="Arial"/>
          <w:szCs w:val="20"/>
        </w:rPr>
        <w:t>This should include release of a draft policy position by DSS and the NDIA, a consultation process, publication of submissions, and release of the final statement.</w:t>
      </w:r>
    </w:p>
    <w:p w:rsidR="007C09E2" w:rsidRPr="0020182A" w:rsidRDefault="007C09E2" w:rsidP="00535524">
      <w:pPr>
        <w:pStyle w:val="BodyText1"/>
        <w:spacing w:before="80" w:after="80"/>
        <w:rPr>
          <w:rFonts w:cs="Arial"/>
          <w:szCs w:val="20"/>
        </w:rPr>
      </w:pPr>
      <w:r w:rsidRPr="0020182A">
        <w:rPr>
          <w:rFonts w:cs="Arial"/>
          <w:szCs w:val="20"/>
        </w:rPr>
        <w:t>DSS and the NDIA should establish an industry reference group for consultation on pricing changes.</w:t>
      </w:r>
    </w:p>
    <w:p w:rsidR="007C09E2" w:rsidRPr="0020182A" w:rsidRDefault="007C09E2" w:rsidP="007C09E2">
      <w:pPr>
        <w:pStyle w:val="Heading3"/>
      </w:pPr>
      <w:r w:rsidRPr="0020182A">
        <w:t>Better managing risks associated with SDA investment</w:t>
      </w:r>
    </w:p>
    <w:p w:rsidR="007C09E2" w:rsidRPr="00106279" w:rsidRDefault="007C09E2" w:rsidP="00106279">
      <w:pPr>
        <w:pStyle w:val="BodyText2"/>
        <w:rPr>
          <w:sz w:val="20"/>
        </w:rPr>
      </w:pPr>
      <w:r w:rsidRPr="00106279">
        <w:rPr>
          <w:sz w:val="20"/>
        </w:rPr>
        <w:t xml:space="preserve">Recommendation 13: Establish greater certainty in SDA policy settings </w:t>
      </w:r>
      <w:r w:rsidR="006A1B9E" w:rsidRPr="00106279">
        <w:rPr>
          <w:sz w:val="20"/>
        </w:rPr>
        <w:t xml:space="preserve">through the SDA Framework, which </w:t>
      </w:r>
      <w:r w:rsidR="006A1B9E" w:rsidRPr="00106279">
        <w:rPr>
          <w:rFonts w:cs="Arial"/>
          <w:sz w:val="20"/>
        </w:rPr>
        <w:t>should be the primary mechanism for providing policy guidance on SDA</w:t>
      </w:r>
      <w:r w:rsidRPr="00106279">
        <w:rPr>
          <w:iCs/>
          <w:sz w:val="20"/>
        </w:rPr>
        <w:t>.</w:t>
      </w:r>
      <w:r w:rsidRPr="00106279">
        <w:rPr>
          <w:sz w:val="20"/>
        </w:rPr>
        <w:t xml:space="preserve"> </w:t>
      </w:r>
    </w:p>
    <w:p w:rsidR="007C09E2" w:rsidRPr="0020182A" w:rsidRDefault="007C09E2" w:rsidP="00535524">
      <w:pPr>
        <w:pStyle w:val="BodyText1"/>
        <w:spacing w:before="80" w:after="80"/>
        <w:rPr>
          <w:rFonts w:cs="Arial"/>
          <w:szCs w:val="20"/>
        </w:rPr>
      </w:pPr>
      <w:r w:rsidRPr="0020182A">
        <w:rPr>
          <w:rFonts w:cs="Arial"/>
          <w:szCs w:val="20"/>
        </w:rPr>
        <w:t xml:space="preserve">At this early stage of market development, the main purpose of the </w:t>
      </w:r>
      <w:r w:rsidR="00851F7D">
        <w:rPr>
          <w:rFonts w:cs="Arial"/>
          <w:szCs w:val="20"/>
        </w:rPr>
        <w:t>F</w:t>
      </w:r>
      <w:r w:rsidRPr="0020182A">
        <w:rPr>
          <w:rFonts w:cs="Arial"/>
          <w:szCs w:val="20"/>
        </w:rPr>
        <w:t xml:space="preserve">ramework should be to provide overarching guidance for the market that focuses on the core objectives of SDA, and indicate how the complement of SDA documentation and rules are achieving these objectives, </w:t>
      </w:r>
      <w:r w:rsidR="00851F7D">
        <w:rPr>
          <w:rFonts w:cs="Arial"/>
          <w:szCs w:val="20"/>
        </w:rPr>
        <w:t>this should include</w:t>
      </w:r>
      <w:r w:rsidRPr="0020182A">
        <w:rPr>
          <w:rFonts w:cs="Arial"/>
          <w:szCs w:val="20"/>
        </w:rPr>
        <w:t>:</w:t>
      </w:r>
    </w:p>
    <w:p w:rsidR="007C09E2" w:rsidRPr="0020182A" w:rsidRDefault="00851F7D" w:rsidP="009B671C">
      <w:pPr>
        <w:pStyle w:val="Bullet1stlevel"/>
        <w:numPr>
          <w:ilvl w:val="0"/>
          <w:numId w:val="62"/>
        </w:numPr>
        <w:spacing w:before="80" w:after="80"/>
        <w:rPr>
          <w:rFonts w:cs="Arial"/>
          <w:szCs w:val="20"/>
        </w:rPr>
      </w:pPr>
      <w:r>
        <w:rPr>
          <w:rFonts w:cs="Arial"/>
          <w:szCs w:val="20"/>
        </w:rPr>
        <w:t>b</w:t>
      </w:r>
      <w:r w:rsidRPr="0020182A">
        <w:rPr>
          <w:rFonts w:cs="Arial"/>
          <w:szCs w:val="20"/>
        </w:rPr>
        <w:t xml:space="preserve">ringing </w:t>
      </w:r>
      <w:r w:rsidR="007C09E2" w:rsidRPr="0020182A">
        <w:rPr>
          <w:rFonts w:cs="Arial"/>
          <w:szCs w:val="20"/>
        </w:rPr>
        <w:t>together the array of SDA documentation and guidance</w:t>
      </w:r>
    </w:p>
    <w:p w:rsidR="007C09E2" w:rsidRPr="0020182A" w:rsidRDefault="00851F7D" w:rsidP="009B671C">
      <w:pPr>
        <w:pStyle w:val="Bullet1stlevel"/>
        <w:numPr>
          <w:ilvl w:val="0"/>
          <w:numId w:val="62"/>
        </w:numPr>
        <w:spacing w:before="80" w:after="80"/>
        <w:rPr>
          <w:rFonts w:cs="Arial"/>
          <w:szCs w:val="20"/>
        </w:rPr>
      </w:pPr>
      <w:r>
        <w:rPr>
          <w:rFonts w:cs="Arial"/>
          <w:szCs w:val="20"/>
        </w:rPr>
        <w:t>d</w:t>
      </w:r>
      <w:r w:rsidRPr="0020182A">
        <w:rPr>
          <w:rFonts w:cs="Arial"/>
          <w:szCs w:val="20"/>
        </w:rPr>
        <w:t xml:space="preserve">escribing </w:t>
      </w:r>
      <w:r w:rsidR="007C09E2" w:rsidRPr="0020182A">
        <w:rPr>
          <w:rFonts w:cs="Arial"/>
          <w:szCs w:val="20"/>
        </w:rPr>
        <w:t xml:space="preserve">the objective and aims of SDA and the intended recipients </w:t>
      </w:r>
    </w:p>
    <w:p w:rsidR="007C09E2" w:rsidRPr="0020182A" w:rsidRDefault="00851F7D" w:rsidP="009B671C">
      <w:pPr>
        <w:pStyle w:val="Bullet1stlevel"/>
        <w:numPr>
          <w:ilvl w:val="0"/>
          <w:numId w:val="62"/>
        </w:numPr>
        <w:spacing w:before="80" w:after="80"/>
        <w:rPr>
          <w:rFonts w:cs="Arial"/>
          <w:szCs w:val="20"/>
        </w:rPr>
      </w:pPr>
      <w:r>
        <w:rPr>
          <w:rFonts w:cs="Arial"/>
          <w:szCs w:val="20"/>
        </w:rPr>
        <w:t>e</w:t>
      </w:r>
      <w:r w:rsidRPr="0020182A">
        <w:rPr>
          <w:rFonts w:cs="Arial"/>
          <w:szCs w:val="20"/>
        </w:rPr>
        <w:t xml:space="preserve">xplaining </w:t>
      </w:r>
      <w:r w:rsidR="007C09E2" w:rsidRPr="0020182A">
        <w:rPr>
          <w:rFonts w:cs="Arial"/>
          <w:szCs w:val="20"/>
        </w:rPr>
        <w:t xml:space="preserve">the </w:t>
      </w:r>
      <w:r w:rsidR="00E54683">
        <w:rPr>
          <w:rFonts w:cs="Arial"/>
          <w:szCs w:val="20"/>
        </w:rPr>
        <w:t>methodology</w:t>
      </w:r>
      <w:r w:rsidR="007C09E2" w:rsidRPr="0020182A">
        <w:rPr>
          <w:rFonts w:cs="Arial"/>
          <w:szCs w:val="20"/>
        </w:rPr>
        <w:t xml:space="preserve"> and underlying assumptions for SDA funding in a detailed and clear format</w:t>
      </w:r>
    </w:p>
    <w:p w:rsidR="007C09E2" w:rsidRPr="0020182A" w:rsidRDefault="00851F7D" w:rsidP="009B671C">
      <w:pPr>
        <w:pStyle w:val="Bullet1stlevel"/>
        <w:numPr>
          <w:ilvl w:val="0"/>
          <w:numId w:val="62"/>
        </w:numPr>
        <w:spacing w:before="80" w:after="80"/>
        <w:rPr>
          <w:rFonts w:cs="Arial"/>
          <w:szCs w:val="20"/>
        </w:rPr>
      </w:pPr>
      <w:r>
        <w:rPr>
          <w:rFonts w:cs="Arial"/>
          <w:szCs w:val="20"/>
        </w:rPr>
        <w:t>l</w:t>
      </w:r>
      <w:r w:rsidRPr="0020182A">
        <w:rPr>
          <w:rFonts w:cs="Arial"/>
          <w:szCs w:val="20"/>
        </w:rPr>
        <w:t xml:space="preserve">aying </w:t>
      </w:r>
      <w:r w:rsidR="007C09E2" w:rsidRPr="0020182A">
        <w:rPr>
          <w:rFonts w:cs="Arial"/>
          <w:szCs w:val="20"/>
        </w:rPr>
        <w:t>out the core components of SDA to provide a holistic picture of SDA requirements and processes.</w:t>
      </w:r>
    </w:p>
    <w:p w:rsidR="007C09E2" w:rsidRPr="0020182A" w:rsidRDefault="007C09E2" w:rsidP="00535524">
      <w:pPr>
        <w:pStyle w:val="Bullet1stlevel"/>
        <w:spacing w:before="80" w:after="80"/>
        <w:rPr>
          <w:rFonts w:cs="Arial"/>
          <w:szCs w:val="20"/>
        </w:rPr>
      </w:pPr>
      <w:r w:rsidRPr="0020182A">
        <w:rPr>
          <w:rFonts w:cs="Arial"/>
          <w:szCs w:val="20"/>
        </w:rPr>
        <w:t>The SDA Framework should be the primary mechanism for providing policy guidance on SDA</w:t>
      </w:r>
      <w:r w:rsidR="00851F7D">
        <w:rPr>
          <w:rFonts w:cs="Arial"/>
          <w:szCs w:val="20"/>
        </w:rPr>
        <w:t>.</w:t>
      </w:r>
      <w:r w:rsidR="00851F7D" w:rsidRPr="00851F7D">
        <w:rPr>
          <w:rFonts w:cs="Arial"/>
          <w:szCs w:val="20"/>
        </w:rPr>
        <w:t xml:space="preserve"> </w:t>
      </w:r>
      <w:r w:rsidR="00851F7D">
        <w:rPr>
          <w:rFonts w:cs="Arial"/>
          <w:szCs w:val="20"/>
        </w:rPr>
        <w:t>W</w:t>
      </w:r>
      <w:r w:rsidR="00851F7D" w:rsidRPr="00DD3308">
        <w:rPr>
          <w:rFonts w:cs="Arial"/>
          <w:szCs w:val="20"/>
        </w:rPr>
        <w:t xml:space="preserve">hile the market remains immature and market participants seek clear guidance on requirements to </w:t>
      </w:r>
      <w:r w:rsidR="00851F7D" w:rsidRPr="00DD3308">
        <w:rPr>
          <w:rFonts w:cs="Arial"/>
          <w:szCs w:val="20"/>
        </w:rPr>
        <w:lastRenderedPageBreak/>
        <w:t>participate</w:t>
      </w:r>
      <w:r w:rsidR="00851F7D">
        <w:rPr>
          <w:rFonts w:cs="Arial"/>
          <w:szCs w:val="20"/>
        </w:rPr>
        <w:t xml:space="preserve"> it should also be the </w:t>
      </w:r>
      <w:r w:rsidRPr="0020182A">
        <w:rPr>
          <w:rFonts w:cs="Arial"/>
          <w:szCs w:val="20"/>
        </w:rPr>
        <w:t xml:space="preserve">mechanism for presenting future policy changes, details or interpretation </w:t>
      </w:r>
      <w:r w:rsidR="00F61B99">
        <w:rPr>
          <w:rFonts w:cs="Arial"/>
          <w:szCs w:val="20"/>
        </w:rPr>
        <w:t>that</w:t>
      </w:r>
      <w:r w:rsidR="00851F7D" w:rsidRPr="0020182A">
        <w:rPr>
          <w:rFonts w:cs="Arial"/>
          <w:szCs w:val="20"/>
        </w:rPr>
        <w:t xml:space="preserve"> </w:t>
      </w:r>
      <w:r w:rsidRPr="0020182A">
        <w:rPr>
          <w:rFonts w:cs="Arial"/>
          <w:szCs w:val="20"/>
        </w:rPr>
        <w:t>relates to the operationalisation of SDA.</w:t>
      </w:r>
    </w:p>
    <w:p w:rsidR="007C09E2" w:rsidRPr="0020182A" w:rsidRDefault="007C09E2" w:rsidP="00535524">
      <w:pPr>
        <w:pStyle w:val="Bullet1stlevel"/>
        <w:spacing w:before="80" w:after="80"/>
        <w:rPr>
          <w:rFonts w:cs="Arial"/>
          <w:szCs w:val="20"/>
        </w:rPr>
      </w:pPr>
      <w:r w:rsidRPr="0020182A">
        <w:rPr>
          <w:rFonts w:cs="Arial"/>
          <w:szCs w:val="20"/>
        </w:rPr>
        <w:t xml:space="preserve">Given the Price Guide now clearly establish the pricing and payments arrangements, and are the most appropriate mechanism to provide further detail, including </w:t>
      </w:r>
      <w:r w:rsidR="00E54683">
        <w:rPr>
          <w:rFonts w:cs="Arial"/>
          <w:szCs w:val="20"/>
        </w:rPr>
        <w:t>methodology</w:t>
      </w:r>
      <w:r w:rsidRPr="0020182A">
        <w:rPr>
          <w:rFonts w:cs="Arial"/>
          <w:szCs w:val="20"/>
        </w:rPr>
        <w:t xml:space="preserve"> and assumptions, the Framework should set the high level principles and objectives for the development for SDA over time.</w:t>
      </w:r>
    </w:p>
    <w:p w:rsidR="007C09E2" w:rsidRPr="0020182A" w:rsidRDefault="007C09E2" w:rsidP="00535524">
      <w:pPr>
        <w:pStyle w:val="BodyText1"/>
        <w:spacing w:before="80" w:after="80"/>
        <w:rPr>
          <w:rFonts w:cs="Arial"/>
          <w:szCs w:val="20"/>
        </w:rPr>
      </w:pPr>
      <w:r w:rsidRPr="0020182A">
        <w:rPr>
          <w:rFonts w:cs="Arial"/>
          <w:szCs w:val="20"/>
        </w:rPr>
        <w:t xml:space="preserve">To the greatest extent possible, the Rules should be the avenue for providing clarity on pricing, payments, eligibility and dwelling registration. Any overlapping or inconsistent elements in the SDA Framework should be removed. The Framework should provide overarching guidance to continue to support and direct the development of the SDA market. The </w:t>
      </w:r>
      <w:r w:rsidR="00851F7D">
        <w:rPr>
          <w:rFonts w:cs="Arial"/>
          <w:szCs w:val="20"/>
        </w:rPr>
        <w:t>F</w:t>
      </w:r>
      <w:r w:rsidRPr="0020182A">
        <w:rPr>
          <w:rFonts w:cs="Arial"/>
          <w:szCs w:val="20"/>
        </w:rPr>
        <w:t>ramework should become a tool for policy setting and market development.</w:t>
      </w:r>
    </w:p>
    <w:p w:rsidR="007C09E2" w:rsidRPr="0020182A" w:rsidRDefault="007C09E2" w:rsidP="006A1B9E">
      <w:pPr>
        <w:pStyle w:val="Bullet1stlevel"/>
        <w:spacing w:before="80" w:after="80"/>
        <w:rPr>
          <w:rFonts w:eastAsiaTheme="majorEastAsia" w:cs="Arial"/>
          <w:iCs/>
          <w:szCs w:val="20"/>
        </w:rPr>
      </w:pPr>
      <w:r w:rsidRPr="0020182A">
        <w:rPr>
          <w:rFonts w:cs="Arial"/>
          <w:szCs w:val="20"/>
        </w:rPr>
        <w:t>Where policy changes are required, the SDA Framework should be amended to set out a clear and transparent mechanism for policy change, which involves engaging with participants, providers and investors on the nature of the proposed policy changes – either to provide sufficient notice of changes in policy, or to provide opportunities for participant/provider/ investor input into the policy process.</w:t>
      </w:r>
      <w:r w:rsidR="006A1B9E">
        <w:rPr>
          <w:rFonts w:cs="Arial"/>
          <w:szCs w:val="20"/>
        </w:rPr>
        <w:t xml:space="preserve">  </w:t>
      </w:r>
      <w:r w:rsidRPr="0020182A">
        <w:rPr>
          <w:rFonts w:eastAsiaTheme="majorEastAsia" w:cs="Arial"/>
          <w:iCs/>
          <w:szCs w:val="20"/>
        </w:rPr>
        <w:t>The SDA Framework should remain as the mechanism for this, with clear amendment processes through DRC. An industry consultation group mechanism could be established for consulting on policy and Rule changes.</w:t>
      </w:r>
    </w:p>
    <w:p w:rsidR="007C09E2" w:rsidRPr="0020182A" w:rsidRDefault="007C09E2" w:rsidP="007C09E2">
      <w:pPr>
        <w:pStyle w:val="Heading3"/>
      </w:pPr>
      <w:r w:rsidRPr="0020182A">
        <w:t xml:space="preserve">Greater clarity around quality requirements </w:t>
      </w:r>
    </w:p>
    <w:p w:rsidR="007C09E2" w:rsidRPr="00106279" w:rsidRDefault="007C09E2" w:rsidP="00106279">
      <w:pPr>
        <w:pStyle w:val="BodyText2"/>
        <w:rPr>
          <w:sz w:val="20"/>
        </w:rPr>
      </w:pPr>
      <w:r w:rsidRPr="00106279">
        <w:rPr>
          <w:sz w:val="20"/>
        </w:rPr>
        <w:t xml:space="preserve">Recommendation 14: When revising the process for </w:t>
      </w:r>
      <w:r w:rsidR="006250A7" w:rsidRPr="00106279">
        <w:rPr>
          <w:sz w:val="20"/>
        </w:rPr>
        <w:t xml:space="preserve">provisional </w:t>
      </w:r>
      <w:r w:rsidRPr="00106279">
        <w:rPr>
          <w:sz w:val="20"/>
        </w:rPr>
        <w:t xml:space="preserve">dwelling </w:t>
      </w:r>
      <w:r w:rsidR="006250A7" w:rsidRPr="00106279">
        <w:rPr>
          <w:sz w:val="20"/>
        </w:rPr>
        <w:t>certification</w:t>
      </w:r>
      <w:r w:rsidRPr="00106279">
        <w:rPr>
          <w:sz w:val="20"/>
        </w:rPr>
        <w:t xml:space="preserve">, as per </w:t>
      </w:r>
      <w:r w:rsidR="00851F7D" w:rsidRPr="00106279">
        <w:rPr>
          <w:sz w:val="20"/>
        </w:rPr>
        <w:t xml:space="preserve">recommendation </w:t>
      </w:r>
      <w:r w:rsidRPr="00106279">
        <w:rPr>
          <w:sz w:val="20"/>
        </w:rPr>
        <w:t xml:space="preserve">5 above, establish clear dwelling eligibility and quality requirements to underpin the provisional dwelling </w:t>
      </w:r>
      <w:r w:rsidR="006250A7" w:rsidRPr="00106279">
        <w:rPr>
          <w:sz w:val="20"/>
        </w:rPr>
        <w:t xml:space="preserve">certification </w:t>
      </w:r>
      <w:r w:rsidRPr="00106279">
        <w:rPr>
          <w:sz w:val="20"/>
        </w:rPr>
        <w:t>process and maintain quality and safeguards.</w:t>
      </w:r>
    </w:p>
    <w:p w:rsidR="007C09E2" w:rsidRPr="0020182A" w:rsidRDefault="007C09E2" w:rsidP="00535524">
      <w:pPr>
        <w:spacing w:before="80" w:after="80"/>
        <w:rPr>
          <w:rFonts w:cs="Arial"/>
          <w:szCs w:val="20"/>
        </w:rPr>
      </w:pPr>
      <w:r w:rsidRPr="0020182A">
        <w:rPr>
          <w:rFonts w:cs="Arial"/>
          <w:szCs w:val="20"/>
        </w:rPr>
        <w:t>This could include:</w:t>
      </w:r>
    </w:p>
    <w:p w:rsidR="007C09E2" w:rsidRPr="0020182A" w:rsidRDefault="00851F7D" w:rsidP="009B671C">
      <w:pPr>
        <w:pStyle w:val="ListParagraph"/>
        <w:numPr>
          <w:ilvl w:val="0"/>
          <w:numId w:val="63"/>
        </w:numPr>
        <w:spacing w:before="80" w:after="80"/>
        <w:contextualSpacing w:val="0"/>
        <w:rPr>
          <w:rFonts w:cs="Arial"/>
          <w:szCs w:val="20"/>
        </w:rPr>
      </w:pPr>
      <w:r>
        <w:rPr>
          <w:rFonts w:cs="Arial"/>
          <w:szCs w:val="20"/>
        </w:rPr>
        <w:t>i</w:t>
      </w:r>
      <w:r w:rsidRPr="0020182A">
        <w:rPr>
          <w:rFonts w:cs="Arial"/>
          <w:szCs w:val="20"/>
        </w:rPr>
        <w:t xml:space="preserve">ssuing </w:t>
      </w:r>
      <w:r w:rsidR="007C09E2" w:rsidRPr="0020182A">
        <w:rPr>
          <w:rFonts w:cs="Arial"/>
          <w:szCs w:val="20"/>
        </w:rPr>
        <w:t>standards which are required to be met for particular categories of dwelling</w:t>
      </w:r>
    </w:p>
    <w:p w:rsidR="007C09E2" w:rsidRPr="0020182A" w:rsidRDefault="00851F7D" w:rsidP="009B671C">
      <w:pPr>
        <w:pStyle w:val="ListParagraph"/>
        <w:numPr>
          <w:ilvl w:val="0"/>
          <w:numId w:val="63"/>
        </w:numPr>
        <w:spacing w:before="80" w:after="80"/>
        <w:contextualSpacing w:val="0"/>
        <w:rPr>
          <w:rFonts w:cs="Arial"/>
          <w:szCs w:val="20"/>
        </w:rPr>
      </w:pPr>
      <w:r>
        <w:rPr>
          <w:rFonts w:cs="Arial"/>
          <w:szCs w:val="20"/>
        </w:rPr>
        <w:t>a</w:t>
      </w:r>
      <w:r w:rsidRPr="0020182A">
        <w:rPr>
          <w:rFonts w:cs="Arial"/>
          <w:szCs w:val="20"/>
        </w:rPr>
        <w:t xml:space="preserve"> </w:t>
      </w:r>
      <w:r w:rsidR="007C09E2" w:rsidRPr="0020182A">
        <w:rPr>
          <w:rFonts w:cs="Arial"/>
          <w:szCs w:val="20"/>
        </w:rPr>
        <w:t>post-build inspection to confirm standards have been met before confirming final enrolment</w:t>
      </w:r>
    </w:p>
    <w:p w:rsidR="007C09E2" w:rsidRPr="0020182A" w:rsidRDefault="00851F7D" w:rsidP="009B671C">
      <w:pPr>
        <w:pStyle w:val="ListParagraph"/>
        <w:numPr>
          <w:ilvl w:val="0"/>
          <w:numId w:val="63"/>
        </w:numPr>
        <w:spacing w:before="80" w:after="80"/>
        <w:contextualSpacing w:val="0"/>
        <w:rPr>
          <w:rFonts w:cs="Arial"/>
          <w:szCs w:val="20"/>
        </w:rPr>
      </w:pPr>
      <w:r>
        <w:rPr>
          <w:rFonts w:cs="Arial"/>
          <w:szCs w:val="20"/>
        </w:rPr>
        <w:t>s</w:t>
      </w:r>
      <w:r w:rsidRPr="0020182A">
        <w:rPr>
          <w:rFonts w:cs="Arial"/>
          <w:szCs w:val="20"/>
        </w:rPr>
        <w:t xml:space="preserve">etting </w:t>
      </w:r>
      <w:r w:rsidR="007C09E2" w:rsidRPr="0020182A">
        <w:rPr>
          <w:rFonts w:cs="Arial"/>
          <w:szCs w:val="20"/>
        </w:rPr>
        <w:t>out responsibility for maintenance requirements, particularly for robust and high physical support categories where these are more frequent and high cost.</w:t>
      </w:r>
    </w:p>
    <w:p w:rsidR="007C09E2" w:rsidRPr="0020182A" w:rsidRDefault="007C09E2" w:rsidP="00535524">
      <w:pPr>
        <w:pStyle w:val="BodyText1"/>
        <w:spacing w:before="80" w:after="80"/>
        <w:rPr>
          <w:rFonts w:eastAsiaTheme="majorEastAsia" w:cs="Arial"/>
          <w:iCs/>
          <w:szCs w:val="20"/>
        </w:rPr>
      </w:pPr>
      <w:r w:rsidRPr="0020182A">
        <w:rPr>
          <w:rFonts w:eastAsiaTheme="majorEastAsia" w:cs="Arial"/>
          <w:iCs/>
          <w:szCs w:val="20"/>
        </w:rPr>
        <w:t xml:space="preserve">It is important that this is integrated with, and aligned to, the processes established by the NDIS Commission in relation to SDA. </w:t>
      </w:r>
    </w:p>
    <w:p w:rsidR="007C09E2" w:rsidRPr="00106279" w:rsidRDefault="007C09E2" w:rsidP="00106279">
      <w:pPr>
        <w:pStyle w:val="BodyText2"/>
        <w:rPr>
          <w:sz w:val="20"/>
        </w:rPr>
      </w:pPr>
      <w:r w:rsidRPr="00106279">
        <w:rPr>
          <w:sz w:val="20"/>
        </w:rPr>
        <w:t xml:space="preserve">Recommendation 15: DRC should clarify the roles and responsibilities of the NDIS Commission and NDIA with respect to SDA. </w:t>
      </w:r>
    </w:p>
    <w:p w:rsidR="007C09E2" w:rsidRPr="0020182A" w:rsidRDefault="007C09E2" w:rsidP="00535524">
      <w:pPr>
        <w:pStyle w:val="Bullet1stlevel"/>
        <w:spacing w:before="80" w:after="80"/>
        <w:rPr>
          <w:rFonts w:cs="Arial"/>
          <w:szCs w:val="20"/>
        </w:rPr>
      </w:pPr>
      <w:r w:rsidRPr="0020182A">
        <w:rPr>
          <w:rFonts w:cs="Arial"/>
          <w:szCs w:val="20"/>
        </w:rPr>
        <w:t xml:space="preserve">In particular, transitional arrangements for jurisdictions that are yet to be governed by the NDIS Commission with respect to SDA should be made clear to provide sufficient certainty for providers on the quality and safeguards requirements they must meet for registration and ongoing SDA provision.  </w:t>
      </w:r>
    </w:p>
    <w:p w:rsidR="007C09E2" w:rsidRPr="0020182A" w:rsidRDefault="007C09E2" w:rsidP="00EC128D">
      <w:pPr>
        <w:pStyle w:val="Bullet1stlevel"/>
        <w:spacing w:before="80" w:after="80"/>
        <w:rPr>
          <w:rFonts w:cs="Arial"/>
          <w:sz w:val="18"/>
        </w:rPr>
      </w:pPr>
      <w:r w:rsidRPr="0020182A">
        <w:rPr>
          <w:rFonts w:cs="Arial"/>
          <w:szCs w:val="20"/>
        </w:rPr>
        <w:t xml:space="preserve">The NDIS Commission should continue to engage with industry regarding the implications of any changes to </w:t>
      </w:r>
      <w:r w:rsidR="00357916">
        <w:rPr>
          <w:rFonts w:cs="Arial"/>
          <w:szCs w:val="20"/>
        </w:rPr>
        <w:t>the</w:t>
      </w:r>
      <w:r w:rsidRPr="0020182A">
        <w:rPr>
          <w:rFonts w:cs="Arial"/>
          <w:sz w:val="18"/>
        </w:rPr>
        <w:t xml:space="preserve"> </w:t>
      </w:r>
      <w:r w:rsidRPr="00357916">
        <w:rPr>
          <w:rFonts w:cs="Arial"/>
        </w:rPr>
        <w:t>quality and safeguarding requirements.</w:t>
      </w:r>
    </w:p>
    <w:p w:rsidR="007C09E2" w:rsidRPr="0020182A" w:rsidRDefault="007C09E2" w:rsidP="007C09E2">
      <w:pPr>
        <w:pStyle w:val="Heading3"/>
      </w:pPr>
      <w:r w:rsidRPr="0020182A">
        <w:t>Information and incentives for innovation in SDA supply`</w:t>
      </w:r>
    </w:p>
    <w:p w:rsidR="007C09E2" w:rsidRPr="00106279" w:rsidRDefault="007C09E2" w:rsidP="00106279">
      <w:pPr>
        <w:pStyle w:val="BodyText2"/>
        <w:rPr>
          <w:sz w:val="20"/>
        </w:rPr>
      </w:pPr>
      <w:r w:rsidRPr="00106279">
        <w:rPr>
          <w:sz w:val="20"/>
        </w:rPr>
        <w:t xml:space="preserve">Recommendation 16: </w:t>
      </w:r>
      <w:r w:rsidR="006250A7" w:rsidRPr="00106279">
        <w:rPr>
          <w:sz w:val="20"/>
        </w:rPr>
        <w:t>R</w:t>
      </w:r>
      <w:r w:rsidRPr="00106279">
        <w:rPr>
          <w:sz w:val="20"/>
        </w:rPr>
        <w:t xml:space="preserve">emove further unnecessary prescription from the SDA Framework that is inhibiting a varied or innovative response in the market. </w:t>
      </w:r>
    </w:p>
    <w:p w:rsidR="006250A7" w:rsidRPr="0020182A" w:rsidRDefault="007C09E2" w:rsidP="00535524">
      <w:pPr>
        <w:pStyle w:val="Bullet1stlevel"/>
        <w:spacing w:before="80" w:after="80"/>
        <w:rPr>
          <w:rFonts w:cs="Arial"/>
          <w:szCs w:val="20"/>
        </w:rPr>
      </w:pPr>
      <w:r w:rsidRPr="0020182A">
        <w:rPr>
          <w:rFonts w:cs="Arial"/>
          <w:szCs w:val="20"/>
        </w:rPr>
        <w:t>This includes</w:t>
      </w:r>
      <w:r w:rsidR="006250A7" w:rsidRPr="0020182A">
        <w:rPr>
          <w:rFonts w:cs="Arial"/>
          <w:szCs w:val="20"/>
        </w:rPr>
        <w:t>:</w:t>
      </w:r>
    </w:p>
    <w:p w:rsidR="007C09E2" w:rsidRPr="0020182A" w:rsidRDefault="007C09E2" w:rsidP="009B671C">
      <w:pPr>
        <w:pStyle w:val="Bullet1stlevel"/>
        <w:numPr>
          <w:ilvl w:val="0"/>
          <w:numId w:val="82"/>
        </w:numPr>
        <w:spacing w:before="80" w:after="80"/>
        <w:rPr>
          <w:rFonts w:cs="Arial"/>
          <w:szCs w:val="20"/>
        </w:rPr>
      </w:pPr>
      <w:r w:rsidRPr="0020182A">
        <w:rPr>
          <w:rFonts w:cs="Arial"/>
          <w:szCs w:val="20"/>
        </w:rPr>
        <w:t xml:space="preserve">assumptions around </w:t>
      </w:r>
      <w:r w:rsidR="006250A7" w:rsidRPr="0020182A">
        <w:rPr>
          <w:rFonts w:cs="Arial"/>
          <w:szCs w:val="20"/>
        </w:rPr>
        <w:t>the ‘</w:t>
      </w:r>
      <w:r w:rsidRPr="0020182A">
        <w:rPr>
          <w:rFonts w:cs="Arial"/>
          <w:szCs w:val="20"/>
        </w:rPr>
        <w:t>rental model</w:t>
      </w:r>
      <w:r w:rsidR="006250A7" w:rsidRPr="0020182A">
        <w:rPr>
          <w:rFonts w:cs="Arial"/>
          <w:szCs w:val="20"/>
        </w:rPr>
        <w:t>’</w:t>
      </w:r>
      <w:r w:rsidRPr="0020182A">
        <w:rPr>
          <w:rFonts w:cs="Arial"/>
          <w:szCs w:val="20"/>
        </w:rPr>
        <w:t xml:space="preserve"> and rental contributions preventing responses that integrate broader ownership and non-tenancy arrangements.</w:t>
      </w:r>
    </w:p>
    <w:p w:rsidR="006250A7" w:rsidRPr="0020182A" w:rsidRDefault="006250A7" w:rsidP="009B671C">
      <w:pPr>
        <w:pStyle w:val="BodyText1"/>
        <w:numPr>
          <w:ilvl w:val="0"/>
          <w:numId w:val="82"/>
        </w:numPr>
        <w:spacing w:before="80" w:after="80"/>
        <w:rPr>
          <w:rFonts w:cs="Arial"/>
          <w:szCs w:val="20"/>
        </w:rPr>
      </w:pPr>
      <w:r w:rsidRPr="0020182A">
        <w:rPr>
          <w:rFonts w:cs="Arial"/>
          <w:szCs w:val="20"/>
        </w:rPr>
        <w:t>r</w:t>
      </w:r>
      <w:r w:rsidR="007C09E2" w:rsidRPr="0020182A">
        <w:rPr>
          <w:rFonts w:cs="Arial"/>
          <w:szCs w:val="20"/>
        </w:rPr>
        <w:t xml:space="preserve">emoving </w:t>
      </w:r>
      <w:r w:rsidRPr="0020182A">
        <w:rPr>
          <w:rFonts w:cs="Arial"/>
          <w:szCs w:val="20"/>
        </w:rPr>
        <w:t xml:space="preserve">specific restrictions </w:t>
      </w:r>
      <w:r w:rsidR="00851F7D">
        <w:rPr>
          <w:rFonts w:cs="Arial"/>
          <w:szCs w:val="20"/>
        </w:rPr>
        <w:t>that</w:t>
      </w:r>
      <w:r w:rsidR="00851F7D" w:rsidRPr="0020182A">
        <w:rPr>
          <w:rFonts w:cs="Arial"/>
          <w:szCs w:val="20"/>
        </w:rPr>
        <w:t xml:space="preserve"> </w:t>
      </w:r>
      <w:r w:rsidRPr="0020182A">
        <w:rPr>
          <w:rFonts w:cs="Arial"/>
          <w:szCs w:val="20"/>
        </w:rPr>
        <w:t xml:space="preserve">limit a participant’s ability to live with others without disability (such as their partner, children, friends or others) (as per </w:t>
      </w:r>
      <w:r w:rsidR="00851F7D">
        <w:rPr>
          <w:rFonts w:cs="Arial"/>
          <w:szCs w:val="20"/>
        </w:rPr>
        <w:t>r</w:t>
      </w:r>
      <w:r w:rsidR="00851F7D" w:rsidRPr="0020182A">
        <w:rPr>
          <w:rFonts w:cs="Arial"/>
          <w:szCs w:val="20"/>
        </w:rPr>
        <w:t xml:space="preserve">ecommendation </w:t>
      </w:r>
      <w:r w:rsidRPr="0020182A">
        <w:rPr>
          <w:rFonts w:cs="Arial"/>
          <w:szCs w:val="20"/>
        </w:rPr>
        <w:t>2)</w:t>
      </w:r>
    </w:p>
    <w:p w:rsidR="007C09E2" w:rsidRPr="0020182A" w:rsidRDefault="006250A7" w:rsidP="009B671C">
      <w:pPr>
        <w:pStyle w:val="BodyText1"/>
        <w:numPr>
          <w:ilvl w:val="0"/>
          <w:numId w:val="64"/>
        </w:numPr>
        <w:spacing w:before="80" w:after="80"/>
        <w:rPr>
          <w:rFonts w:cs="Arial"/>
          <w:szCs w:val="20"/>
        </w:rPr>
      </w:pPr>
      <w:r w:rsidRPr="0020182A">
        <w:rPr>
          <w:rFonts w:cs="Arial"/>
          <w:szCs w:val="20"/>
        </w:rPr>
        <w:t>examining</w:t>
      </w:r>
      <w:r w:rsidR="007C09E2" w:rsidRPr="0020182A">
        <w:rPr>
          <w:rFonts w:cs="Arial"/>
          <w:szCs w:val="20"/>
        </w:rPr>
        <w:t xml:space="preserve"> </w:t>
      </w:r>
      <w:r w:rsidRPr="0020182A">
        <w:rPr>
          <w:rFonts w:cs="Arial"/>
          <w:szCs w:val="20"/>
        </w:rPr>
        <w:t xml:space="preserve">provider </w:t>
      </w:r>
      <w:r w:rsidR="007C09E2" w:rsidRPr="0020182A">
        <w:rPr>
          <w:rFonts w:cs="Arial"/>
          <w:szCs w:val="20"/>
        </w:rPr>
        <w:t xml:space="preserve">disincentives </w:t>
      </w:r>
      <w:r w:rsidRPr="0020182A">
        <w:rPr>
          <w:rFonts w:cs="Arial"/>
          <w:szCs w:val="20"/>
        </w:rPr>
        <w:t>which limit a participant’s ability to live with others without disability (noting that the NDIS does not fund or subsidise living arrangements for people without disability</w:t>
      </w:r>
      <w:r w:rsidR="007C09E2" w:rsidRPr="0020182A">
        <w:rPr>
          <w:rFonts w:cs="Arial"/>
          <w:szCs w:val="20"/>
        </w:rPr>
        <w:t>)</w:t>
      </w:r>
      <w:r w:rsidRPr="0020182A">
        <w:rPr>
          <w:rFonts w:cs="Arial"/>
          <w:szCs w:val="20"/>
        </w:rPr>
        <w:t xml:space="preserve"> (as per </w:t>
      </w:r>
      <w:r w:rsidR="00851F7D">
        <w:rPr>
          <w:rFonts w:cs="Arial"/>
          <w:szCs w:val="20"/>
        </w:rPr>
        <w:t>r</w:t>
      </w:r>
      <w:r w:rsidR="00851F7D" w:rsidRPr="0020182A">
        <w:rPr>
          <w:rFonts w:cs="Arial"/>
          <w:szCs w:val="20"/>
        </w:rPr>
        <w:t xml:space="preserve">ecommendation </w:t>
      </w:r>
      <w:r w:rsidRPr="0020182A">
        <w:rPr>
          <w:rFonts w:cs="Arial"/>
          <w:szCs w:val="20"/>
        </w:rPr>
        <w:t>2)</w:t>
      </w:r>
      <w:r w:rsidR="007C09E2" w:rsidRPr="0020182A">
        <w:rPr>
          <w:rFonts w:cs="Arial"/>
          <w:szCs w:val="20"/>
        </w:rPr>
        <w:t>.</w:t>
      </w:r>
    </w:p>
    <w:p w:rsidR="007C09E2" w:rsidRPr="0020182A" w:rsidRDefault="007C09E2" w:rsidP="00535524">
      <w:pPr>
        <w:pStyle w:val="Bullet1stlevel"/>
        <w:spacing w:before="80" w:after="80"/>
        <w:rPr>
          <w:rFonts w:cs="Arial"/>
          <w:szCs w:val="20"/>
        </w:rPr>
      </w:pPr>
      <w:r w:rsidRPr="0020182A">
        <w:rPr>
          <w:rFonts w:cs="Arial"/>
          <w:szCs w:val="20"/>
        </w:rPr>
        <w:t>In the longer term, consideration should be given to removing prescription relating to dwelling types from NDIS plans to provide for more innovative solutions in response to demand from participants.</w:t>
      </w:r>
    </w:p>
    <w:p w:rsidR="007C09E2" w:rsidRPr="00106279" w:rsidRDefault="007C09E2" w:rsidP="00106279">
      <w:pPr>
        <w:pStyle w:val="BodyText2"/>
        <w:rPr>
          <w:sz w:val="20"/>
        </w:rPr>
      </w:pPr>
      <w:r w:rsidRPr="00106279">
        <w:rPr>
          <w:sz w:val="20"/>
        </w:rPr>
        <w:lastRenderedPageBreak/>
        <w:t xml:space="preserve">Recommendation 17: Provide </w:t>
      </w:r>
      <w:r w:rsidR="00381E25" w:rsidRPr="00106279">
        <w:rPr>
          <w:sz w:val="20"/>
        </w:rPr>
        <w:t xml:space="preserve">research and </w:t>
      </w:r>
      <w:r w:rsidRPr="00106279">
        <w:rPr>
          <w:sz w:val="20"/>
        </w:rPr>
        <w:t xml:space="preserve">information to the market </w:t>
      </w:r>
      <w:r w:rsidR="00381E25" w:rsidRPr="00106279">
        <w:rPr>
          <w:sz w:val="20"/>
        </w:rPr>
        <w:t xml:space="preserve">on </w:t>
      </w:r>
      <w:r w:rsidRPr="00106279">
        <w:rPr>
          <w:sz w:val="20"/>
        </w:rPr>
        <w:t xml:space="preserve">innovative </w:t>
      </w:r>
      <w:r w:rsidR="00381E25" w:rsidRPr="00106279">
        <w:rPr>
          <w:sz w:val="20"/>
        </w:rPr>
        <w:t xml:space="preserve">housing </w:t>
      </w:r>
      <w:r w:rsidRPr="00106279">
        <w:rPr>
          <w:sz w:val="20"/>
        </w:rPr>
        <w:t xml:space="preserve">design – to provide a catalyst for greater investment in more innovative SDA housing models. </w:t>
      </w:r>
    </w:p>
    <w:p w:rsidR="007C09E2" w:rsidRPr="0020182A" w:rsidRDefault="007C09E2" w:rsidP="00CD44A0">
      <w:pPr>
        <w:pStyle w:val="Bullet1stlevel"/>
        <w:spacing w:before="80" w:after="80"/>
        <w:rPr>
          <w:rFonts w:cs="Arial"/>
          <w:szCs w:val="20"/>
        </w:rPr>
      </w:pPr>
      <w:r w:rsidRPr="0020182A">
        <w:rPr>
          <w:rFonts w:cs="Arial"/>
          <w:szCs w:val="20"/>
        </w:rPr>
        <w:t xml:space="preserve">While leadership in innovation needs to come from providers, participants, governments and the broader community, at this stage of market development the NDIA is uniquely placed to play a leadership role. </w:t>
      </w:r>
    </w:p>
    <w:p w:rsidR="007C09E2" w:rsidRPr="0020182A" w:rsidRDefault="007C09E2" w:rsidP="00535524">
      <w:pPr>
        <w:pStyle w:val="Bullet1stlevel"/>
        <w:spacing w:before="80" w:after="80"/>
        <w:rPr>
          <w:rFonts w:cs="Arial"/>
          <w:szCs w:val="20"/>
        </w:rPr>
      </w:pPr>
      <w:r w:rsidRPr="0020182A">
        <w:rPr>
          <w:rFonts w:cs="Arial"/>
          <w:szCs w:val="20"/>
        </w:rPr>
        <w:t>Key to this should be leading the development of a</w:t>
      </w:r>
      <w:r w:rsidR="00381E25" w:rsidRPr="0020182A">
        <w:rPr>
          <w:rFonts w:cs="Arial"/>
          <w:szCs w:val="20"/>
        </w:rPr>
        <w:t xml:space="preserve"> research and </w:t>
      </w:r>
      <w:r w:rsidRPr="0020182A">
        <w:rPr>
          <w:rFonts w:cs="Arial"/>
          <w:szCs w:val="20"/>
        </w:rPr>
        <w:t xml:space="preserve">evidence base </w:t>
      </w:r>
      <w:r w:rsidR="00381E25" w:rsidRPr="0020182A">
        <w:rPr>
          <w:rFonts w:cs="Arial"/>
          <w:szCs w:val="20"/>
        </w:rPr>
        <w:t xml:space="preserve">which illustrates how </w:t>
      </w:r>
      <w:r w:rsidRPr="0020182A">
        <w:rPr>
          <w:rFonts w:cs="Arial"/>
          <w:szCs w:val="20"/>
        </w:rPr>
        <w:t xml:space="preserve">participant outcomes </w:t>
      </w:r>
      <w:r w:rsidR="00381E25" w:rsidRPr="0020182A">
        <w:rPr>
          <w:rFonts w:cs="Arial"/>
          <w:szCs w:val="20"/>
        </w:rPr>
        <w:t xml:space="preserve">are being achieved through </w:t>
      </w:r>
      <w:r w:rsidRPr="0020182A">
        <w:rPr>
          <w:rFonts w:cs="Arial"/>
          <w:szCs w:val="20"/>
        </w:rPr>
        <w:t xml:space="preserve">innovative </w:t>
      </w:r>
      <w:r w:rsidR="00381E25" w:rsidRPr="0020182A">
        <w:rPr>
          <w:rFonts w:cs="Arial"/>
          <w:szCs w:val="20"/>
        </w:rPr>
        <w:t xml:space="preserve">SDA </w:t>
      </w:r>
      <w:r w:rsidRPr="0020182A">
        <w:rPr>
          <w:rFonts w:cs="Arial"/>
          <w:szCs w:val="20"/>
        </w:rPr>
        <w:t xml:space="preserve">models and designs and </w:t>
      </w:r>
      <w:r w:rsidR="00381E25" w:rsidRPr="0020182A">
        <w:rPr>
          <w:rFonts w:cs="Arial"/>
          <w:szCs w:val="20"/>
        </w:rPr>
        <w:t xml:space="preserve">disseminating this </w:t>
      </w:r>
      <w:r w:rsidRPr="0020182A">
        <w:rPr>
          <w:rFonts w:cs="Arial"/>
          <w:szCs w:val="20"/>
        </w:rPr>
        <w:t>evidence to the market and participants.   This could be in the form of ‘</w:t>
      </w:r>
      <w:r w:rsidR="00851F7D">
        <w:rPr>
          <w:rFonts w:cs="Arial"/>
          <w:szCs w:val="20"/>
        </w:rPr>
        <w:t>i</w:t>
      </w:r>
      <w:r w:rsidRPr="0020182A">
        <w:rPr>
          <w:rFonts w:cs="Arial"/>
          <w:szCs w:val="20"/>
        </w:rPr>
        <w:t>nnovation briefs’, publishing case studies on innovative SDA design, and holding an Innovation Summit (similar to the Housing Innovation Showcases hosted by the NDIA in 2016).</w:t>
      </w:r>
    </w:p>
    <w:p w:rsidR="007C09E2" w:rsidRPr="0020182A" w:rsidRDefault="007C09E2" w:rsidP="007C09E2">
      <w:pPr>
        <w:pStyle w:val="Heading3"/>
      </w:pPr>
      <w:r w:rsidRPr="0020182A">
        <w:t>Achieving optimal outcomes and value for money</w:t>
      </w:r>
    </w:p>
    <w:p w:rsidR="007C09E2" w:rsidRPr="00106279" w:rsidRDefault="007C09E2" w:rsidP="00106279">
      <w:pPr>
        <w:pStyle w:val="BodyText2"/>
        <w:rPr>
          <w:sz w:val="20"/>
        </w:rPr>
      </w:pPr>
      <w:r w:rsidRPr="00106279">
        <w:rPr>
          <w:sz w:val="20"/>
        </w:rPr>
        <w:t xml:space="preserve">Recommendation 18: Improve the level and scope of information provided to participants, families, Planners, Support Coordinators and other intermediaries on the options available </w:t>
      </w:r>
      <w:r w:rsidR="0035403F" w:rsidRPr="00106279">
        <w:rPr>
          <w:sz w:val="20"/>
        </w:rPr>
        <w:t>to use SDA, SIL and other support funding to achieve positive outcomes, while also delivering deliver value for money for the Scheme</w:t>
      </w:r>
      <w:r w:rsidRPr="00106279">
        <w:rPr>
          <w:sz w:val="20"/>
        </w:rPr>
        <w:t>.</w:t>
      </w:r>
    </w:p>
    <w:p w:rsidR="007C09E2" w:rsidRPr="0020182A" w:rsidRDefault="007C09E2" w:rsidP="00D73DEA">
      <w:pPr>
        <w:spacing w:before="80" w:after="80"/>
        <w:rPr>
          <w:rFonts w:cs="Arial"/>
          <w:szCs w:val="20"/>
        </w:rPr>
      </w:pPr>
      <w:r w:rsidRPr="0020182A">
        <w:rPr>
          <w:rFonts w:cs="Arial"/>
          <w:szCs w:val="20"/>
        </w:rPr>
        <w:t>There are a number of actions that should be taken to address this:</w:t>
      </w:r>
    </w:p>
    <w:p w:rsidR="007C09E2" w:rsidRDefault="007C09E2" w:rsidP="009B671C">
      <w:pPr>
        <w:pStyle w:val="BodyText1"/>
        <w:numPr>
          <w:ilvl w:val="0"/>
          <w:numId w:val="65"/>
        </w:numPr>
        <w:tabs>
          <w:tab w:val="clear" w:pos="340"/>
          <w:tab w:val="num" w:pos="723"/>
        </w:tabs>
        <w:spacing w:before="80" w:after="80"/>
        <w:rPr>
          <w:rFonts w:cs="Arial"/>
          <w:szCs w:val="20"/>
        </w:rPr>
      </w:pPr>
      <w:r w:rsidRPr="0020182A">
        <w:rPr>
          <w:rFonts w:cs="Arial"/>
          <w:szCs w:val="20"/>
        </w:rPr>
        <w:t xml:space="preserve">Provide information to participants and families on options available </w:t>
      </w:r>
      <w:r w:rsidR="0035403F">
        <w:rPr>
          <w:rFonts w:cs="Arial"/>
          <w:szCs w:val="20"/>
        </w:rPr>
        <w:t xml:space="preserve">for using </w:t>
      </w:r>
      <w:r w:rsidRPr="0020182A">
        <w:rPr>
          <w:rFonts w:cs="Arial"/>
          <w:szCs w:val="20"/>
        </w:rPr>
        <w:t>SDA</w:t>
      </w:r>
      <w:r w:rsidR="0035403F">
        <w:rPr>
          <w:rFonts w:cs="Arial"/>
          <w:szCs w:val="20"/>
        </w:rPr>
        <w:t xml:space="preserve">, SIL and other support funding together </w:t>
      </w:r>
      <w:r w:rsidR="008F33D9">
        <w:rPr>
          <w:rFonts w:cs="Arial"/>
          <w:szCs w:val="20"/>
        </w:rPr>
        <w:t xml:space="preserve">or flexibly </w:t>
      </w:r>
      <w:r w:rsidR="0035403F">
        <w:rPr>
          <w:rFonts w:cs="Arial"/>
          <w:szCs w:val="20"/>
        </w:rPr>
        <w:t xml:space="preserve">to </w:t>
      </w:r>
      <w:r w:rsidRPr="0020182A">
        <w:rPr>
          <w:rFonts w:cs="Arial"/>
          <w:szCs w:val="20"/>
        </w:rPr>
        <w:t>help participants achieve their goals. This should be supplemented with real participant examples.</w:t>
      </w:r>
    </w:p>
    <w:p w:rsidR="007C09E2" w:rsidRPr="0020182A" w:rsidRDefault="007C09E2" w:rsidP="009B671C">
      <w:pPr>
        <w:pStyle w:val="BodyText1"/>
        <w:numPr>
          <w:ilvl w:val="0"/>
          <w:numId w:val="65"/>
        </w:numPr>
        <w:tabs>
          <w:tab w:val="clear" w:pos="340"/>
          <w:tab w:val="num" w:pos="723"/>
        </w:tabs>
        <w:spacing w:before="80" w:after="80"/>
        <w:rPr>
          <w:rFonts w:cs="Arial"/>
          <w:szCs w:val="20"/>
        </w:rPr>
      </w:pPr>
      <w:r w:rsidRPr="0020182A">
        <w:rPr>
          <w:rFonts w:cs="Arial"/>
          <w:szCs w:val="20"/>
        </w:rPr>
        <w:t>Consider the training and specialist understanding needs of Planners to successfully facilitate this process for participants and families and provide guidance in assessing available options and the steps involved in making a long term value for money decision.</w:t>
      </w:r>
    </w:p>
    <w:p w:rsidR="007C09E2" w:rsidRPr="0020182A" w:rsidRDefault="007C09E2" w:rsidP="009B671C">
      <w:pPr>
        <w:pStyle w:val="BodyText1"/>
        <w:numPr>
          <w:ilvl w:val="0"/>
          <w:numId w:val="65"/>
        </w:numPr>
        <w:tabs>
          <w:tab w:val="clear" w:pos="340"/>
          <w:tab w:val="num" w:pos="723"/>
        </w:tabs>
        <w:spacing w:before="80" w:after="80"/>
        <w:rPr>
          <w:rFonts w:cs="Arial"/>
          <w:szCs w:val="20"/>
        </w:rPr>
      </w:pPr>
      <w:r w:rsidRPr="0020182A">
        <w:rPr>
          <w:rFonts w:cs="Arial"/>
          <w:szCs w:val="20"/>
        </w:rPr>
        <w:t>Actively engag</w:t>
      </w:r>
      <w:r w:rsidR="00851F7D">
        <w:rPr>
          <w:rFonts w:cs="Arial"/>
          <w:szCs w:val="20"/>
        </w:rPr>
        <w:t>e</w:t>
      </w:r>
      <w:r w:rsidRPr="0020182A">
        <w:rPr>
          <w:rFonts w:cs="Arial"/>
          <w:szCs w:val="20"/>
        </w:rPr>
        <w:t xml:space="preserve"> participants in decision making about different combinations of SDA and other support funding that will best help them meet their long-term goals</w:t>
      </w:r>
    </w:p>
    <w:p w:rsidR="007C09E2" w:rsidRDefault="006C61CD" w:rsidP="009B671C">
      <w:pPr>
        <w:pStyle w:val="BodyText1"/>
        <w:keepNext/>
        <w:numPr>
          <w:ilvl w:val="0"/>
          <w:numId w:val="65"/>
        </w:numPr>
        <w:tabs>
          <w:tab w:val="clear" w:pos="340"/>
          <w:tab w:val="num" w:pos="723"/>
        </w:tabs>
        <w:spacing w:before="80" w:after="80"/>
        <w:rPr>
          <w:rFonts w:cs="Arial"/>
          <w:szCs w:val="20"/>
        </w:rPr>
      </w:pPr>
      <w:r>
        <w:rPr>
          <w:rFonts w:cs="Arial"/>
          <w:szCs w:val="20"/>
        </w:rPr>
        <w:t>U</w:t>
      </w:r>
      <w:r w:rsidR="007C09E2" w:rsidRPr="0020182A">
        <w:rPr>
          <w:rFonts w:cs="Arial"/>
          <w:szCs w:val="20"/>
        </w:rPr>
        <w:t>ndertake and collate research</w:t>
      </w:r>
      <w:r>
        <w:rPr>
          <w:rFonts w:cs="Arial"/>
          <w:szCs w:val="20"/>
        </w:rPr>
        <w:t xml:space="preserve"> </w:t>
      </w:r>
      <w:r w:rsidR="007C09E2" w:rsidRPr="0020182A">
        <w:rPr>
          <w:rFonts w:cs="Arial"/>
          <w:szCs w:val="20"/>
        </w:rPr>
        <w:t>on long term benefits and outcomes of particular SDA options and plan combinations to support value for money decision making. This should be communicated to Planners and participants to be drawn upon in the decision-making process, and how this can be implemented in a way that is consistent with participant choice and control.</w:t>
      </w:r>
    </w:p>
    <w:p w:rsidR="008F33D9" w:rsidRPr="0020182A" w:rsidRDefault="008F33D9" w:rsidP="008F33D9">
      <w:pPr>
        <w:pStyle w:val="BodyText1"/>
        <w:numPr>
          <w:ilvl w:val="0"/>
          <w:numId w:val="65"/>
        </w:numPr>
        <w:tabs>
          <w:tab w:val="clear" w:pos="340"/>
          <w:tab w:val="num" w:pos="723"/>
        </w:tabs>
        <w:spacing w:before="80" w:after="80"/>
        <w:rPr>
          <w:rFonts w:cs="Arial"/>
          <w:szCs w:val="20"/>
        </w:rPr>
      </w:pPr>
      <w:r>
        <w:rPr>
          <w:rFonts w:cs="Arial"/>
          <w:szCs w:val="20"/>
        </w:rPr>
        <w:t xml:space="preserve">Showcase how innovative SDA design can contribute to reducing SIL and other support costs. </w:t>
      </w:r>
    </w:p>
    <w:p w:rsidR="00C67677" w:rsidRPr="0020182A" w:rsidRDefault="00C67677" w:rsidP="00C67677">
      <w:pPr>
        <w:pStyle w:val="Heading2option2"/>
        <w:numPr>
          <w:ilvl w:val="0"/>
          <w:numId w:val="0"/>
        </w:numPr>
        <w:ind w:left="964" w:hanging="964"/>
      </w:pPr>
      <w:r w:rsidRPr="0020182A">
        <w:t>Next steps</w:t>
      </w:r>
    </w:p>
    <w:p w:rsidR="00D16C54" w:rsidRPr="0020182A" w:rsidRDefault="00D16C54" w:rsidP="00D16C54">
      <w:pPr>
        <w:pStyle w:val="BodyText1"/>
      </w:pPr>
      <w:r w:rsidRPr="0020182A">
        <w:t xml:space="preserve">DRC commissioned the Review in May 2018 in order to consider the early impact of the SDA Framework on the level of investment in SDA. The Review was intended to be presented at the next meeting of DRC following the conclusion of the Review in August 2018. The outcome of the Review will inform DRC’s development of arrangements for SDA into the future.  </w:t>
      </w:r>
    </w:p>
    <w:p w:rsidR="000C5DF4" w:rsidRPr="0020182A" w:rsidRDefault="00D16C54" w:rsidP="00D16C54">
      <w:pPr>
        <w:pStyle w:val="BodyText1"/>
        <w:sectPr w:rsidR="000C5DF4" w:rsidRPr="0020182A" w:rsidSect="000729E6">
          <w:footerReference w:type="default" r:id="rId25"/>
          <w:pgSz w:w="11906" w:h="16838"/>
          <w:pgMar w:top="1418" w:right="1418" w:bottom="1418" w:left="1418" w:header="709" w:footer="453" w:gutter="0"/>
          <w:cols w:space="708"/>
          <w:docGrid w:linePitch="360"/>
        </w:sectPr>
      </w:pPr>
      <w:r w:rsidRPr="0020182A">
        <w:t>The key for DRC will be to determine the ongoing focus of the SDA Framework into the future. The recommendations are aimed at guiding this task, as well as providing DRC with further options to improve the operationalisation of SDA beyond the SDA Framework. Ongoing engagement with people with disability, their families, and carers, as well as providers, investors and representative organisations will be critical to understanding the impacts of the recommendations and planning successful implementatio</w:t>
      </w:r>
      <w:bookmarkEnd w:id="3"/>
      <w:r w:rsidR="00A24002">
        <w:t>n</w:t>
      </w:r>
    </w:p>
    <w:p w:rsidR="002764CC" w:rsidRDefault="002764CC" w:rsidP="00222A00">
      <w:pPr>
        <w:pStyle w:val="HeadingLevel1NoNumber"/>
      </w:pPr>
      <w:bookmarkStart w:id="9" w:name="_Toc518593615"/>
    </w:p>
    <w:p w:rsidR="002764CC" w:rsidRDefault="002764CC" w:rsidP="002764CC">
      <w:pPr>
        <w:pStyle w:val="Dividernumber"/>
      </w:pPr>
    </w:p>
    <w:p w:rsidR="002764CC" w:rsidRDefault="002764CC" w:rsidP="002764CC">
      <w:pPr>
        <w:pStyle w:val="Dividernumber"/>
      </w:pPr>
    </w:p>
    <w:p w:rsidR="002764CC" w:rsidRDefault="002764CC" w:rsidP="002764CC">
      <w:pPr>
        <w:pStyle w:val="Dividernumber"/>
      </w:pPr>
      <w:r>
        <w:t>01</w:t>
      </w:r>
    </w:p>
    <w:p w:rsidR="00190028" w:rsidRDefault="00190028" w:rsidP="00190028">
      <w:pPr>
        <w:pStyle w:val="Dividertitle"/>
        <w:tabs>
          <w:tab w:val="left" w:pos="258"/>
          <w:tab w:val="center" w:pos="4422"/>
        </w:tabs>
        <w:rPr>
          <w:color w:val="0091DA" w:themeColor="accent2"/>
        </w:rPr>
      </w:pPr>
    </w:p>
    <w:p w:rsidR="002764CC" w:rsidRPr="00190028" w:rsidRDefault="002764CC" w:rsidP="00190028">
      <w:pPr>
        <w:pStyle w:val="Dividertitle"/>
        <w:tabs>
          <w:tab w:val="left" w:pos="258"/>
          <w:tab w:val="center" w:pos="4422"/>
        </w:tabs>
        <w:rPr>
          <w:color w:val="0091DA" w:themeColor="accent2"/>
        </w:rPr>
      </w:pPr>
      <w:r w:rsidRPr="00190028">
        <w:rPr>
          <w:color w:val="0091DA" w:themeColor="accent2"/>
        </w:rPr>
        <w:t>Introduction</w:t>
      </w:r>
    </w:p>
    <w:p w:rsidR="002764CC" w:rsidRDefault="002764CC" w:rsidP="002764CC">
      <w:pPr>
        <w:tabs>
          <w:tab w:val="left" w:pos="1271"/>
        </w:tabs>
        <w:jc w:val="center"/>
      </w:pPr>
    </w:p>
    <w:p w:rsidR="00222A00" w:rsidRPr="002764CC" w:rsidRDefault="00222A00" w:rsidP="002764CC">
      <w:pPr>
        <w:tabs>
          <w:tab w:val="left" w:pos="1271"/>
        </w:tabs>
        <w:jc w:val="center"/>
        <w:sectPr w:rsidR="00222A00" w:rsidRPr="002764CC" w:rsidSect="000C5DF4">
          <w:headerReference w:type="default" r:id="rId26"/>
          <w:footerReference w:type="default" r:id="rId27"/>
          <w:pgSz w:w="11906" w:h="16838"/>
          <w:pgMar w:top="1418" w:right="1418" w:bottom="1418" w:left="1418" w:header="340" w:footer="453" w:gutter="0"/>
          <w:cols w:space="708"/>
          <w:docGrid w:linePitch="360"/>
        </w:sectPr>
      </w:pPr>
    </w:p>
    <w:p w:rsidR="004525A5" w:rsidRPr="0020182A" w:rsidRDefault="004525A5" w:rsidP="009B671C">
      <w:pPr>
        <w:pStyle w:val="Heading1"/>
        <w:numPr>
          <w:ilvl w:val="0"/>
          <w:numId w:val="27"/>
        </w:numPr>
      </w:pPr>
      <w:bookmarkStart w:id="10" w:name="_Toc523122959"/>
      <w:bookmarkStart w:id="11" w:name="_Toc530648941"/>
      <w:r w:rsidRPr="0020182A">
        <w:lastRenderedPageBreak/>
        <w:t>Introduction</w:t>
      </w:r>
      <w:bookmarkEnd w:id="10"/>
      <w:bookmarkEnd w:id="11"/>
      <w:r w:rsidRPr="0020182A">
        <w:t xml:space="preserve"> </w:t>
      </w:r>
      <w:bookmarkEnd w:id="9"/>
    </w:p>
    <w:p w:rsidR="0012618C" w:rsidRPr="0020182A" w:rsidRDefault="0012618C" w:rsidP="004525A5">
      <w:pPr>
        <w:pStyle w:val="Heading2"/>
      </w:pPr>
      <w:bookmarkStart w:id="12" w:name="_Toc523122960"/>
      <w:bookmarkStart w:id="13" w:name="_Toc530648942"/>
      <w:bookmarkStart w:id="14" w:name="_Toc518593616"/>
      <w:r w:rsidRPr="0020182A">
        <w:t>Specialist Disability Accommodation</w:t>
      </w:r>
      <w:bookmarkEnd w:id="12"/>
      <w:bookmarkEnd w:id="13"/>
    </w:p>
    <w:p w:rsidR="0012618C" w:rsidRPr="0020182A" w:rsidRDefault="0012618C" w:rsidP="0012618C">
      <w:pPr>
        <w:pStyle w:val="Heading3"/>
      </w:pPr>
      <w:r w:rsidRPr="0020182A">
        <w:t>What is Specialist Disability Accommodation?</w:t>
      </w:r>
    </w:p>
    <w:p w:rsidR="00D16C54" w:rsidRPr="0020182A" w:rsidRDefault="00D16C54" w:rsidP="00D16C54">
      <w:pPr>
        <w:pStyle w:val="BodyText1"/>
      </w:pPr>
      <w:r w:rsidRPr="0020182A">
        <w:t>Specialist Disability Accommodation (SDA) refers to accommodation for people with a disability who require specialist housing solutions, which may assist with delivering supports for participants with a significant functional impairment, and/or very high support needs. SDA was included in the National Disability Insurance Scheme (NDIS) to provide a new form of capital funding for eligible NDIS participants</w:t>
      </w:r>
      <w:r w:rsidR="0008328C">
        <w:t>. SDA</w:t>
      </w:r>
      <w:r w:rsidRPr="0020182A">
        <w:t xml:space="preserve"> is only for land and built forms, not the supports a participant may receive in their home.</w:t>
      </w:r>
    </w:p>
    <w:p w:rsidR="00D16C54" w:rsidRPr="0020182A" w:rsidRDefault="00D16C54" w:rsidP="00D16C54">
      <w:pPr>
        <w:pStyle w:val="BodyText1"/>
      </w:pPr>
      <w:r w:rsidRPr="0020182A">
        <w:t>Providing funding for SDA under the NDIS is also intended to stimulate investment in the development of new, high quality, fit-for-purpose and innovative housing for eligible NDIS participants. SDA changes the way that disability accommodation programs have been traditionally funded, by providing agreed funding amounts</w:t>
      </w:r>
      <w:r w:rsidR="006750B3">
        <w:t xml:space="preserve"> (based on reasonable and necessary supports and the SDA Rules) </w:t>
      </w:r>
      <w:r w:rsidRPr="0020182A">
        <w:t>directly to the participant, who can make their own decision about which SDA provider to enter into an agreement with.</w:t>
      </w:r>
    </w:p>
    <w:p w:rsidR="00D16C54" w:rsidRPr="0020182A" w:rsidRDefault="00D16C54" w:rsidP="00D16C54">
      <w:pPr>
        <w:pStyle w:val="BodyText1"/>
      </w:pPr>
      <w:r w:rsidRPr="0020182A">
        <w:t>SDA is part of a broad suite of supports funded by the NDIS</w:t>
      </w:r>
      <w:r w:rsidR="006750B3" w:rsidRPr="00204436">
        <w:t>.</w:t>
      </w:r>
      <w:r w:rsidRPr="0020182A">
        <w:t xml:space="preserve"> All participants accessing SDA will also utilise a number of other supports which can include Supported Independent Living (SIL) (which is the day-to-day support provided in their home)</w:t>
      </w:r>
      <w:r w:rsidR="0008328C">
        <w:t>. T</w:t>
      </w:r>
      <w:r w:rsidRPr="0020182A">
        <w:t xml:space="preserve">he provision of SDA must contribute to the efficient and effective delivery of other NDIS supports and to achieving the goals and outcomes the participant is seeking to achieve. Importantly, the provision </w:t>
      </w:r>
      <w:r w:rsidRPr="00CA03B1">
        <w:t>of other supports</w:t>
      </w:r>
      <w:r w:rsidR="00CA03B1">
        <w:t xml:space="preserve"> and </w:t>
      </w:r>
      <w:r w:rsidRPr="00CA03B1">
        <w:t xml:space="preserve">assistive technology can </w:t>
      </w:r>
      <w:r w:rsidR="00CA03B1">
        <w:t xml:space="preserve">reduce </w:t>
      </w:r>
      <w:r w:rsidRPr="00CA03B1">
        <w:t>the need for SDA for some participants. Equally, innovative and high quality SDA design can reduce the need for other NDIS</w:t>
      </w:r>
      <w:r w:rsidRPr="0020182A">
        <w:t xml:space="preserve"> supports – for example, an SDA dwelling that integrates a range of technology can reduce the need for SIL supports.</w:t>
      </w:r>
    </w:p>
    <w:p w:rsidR="00D16C54" w:rsidRPr="0020182A" w:rsidRDefault="00D16C54" w:rsidP="00D16C54">
      <w:pPr>
        <w:pStyle w:val="BodyText1"/>
      </w:pPr>
      <w:r w:rsidRPr="0020182A">
        <w:t>The vast majority of NDIS participants will not require a specialist housing solution, and they will be able to access other housing options in the same way as people without disability. This includes living in a home they own, in private rental, or in social or affordable housing – independently or with others. Again, the provision of NDIS supports</w:t>
      </w:r>
      <w:r w:rsidR="00CA03B1">
        <w:t xml:space="preserve"> and </w:t>
      </w:r>
      <w:r w:rsidRPr="0020182A">
        <w:t>assistive technology can support a participant to live in one of these housing options. Some NDIS participants may not be in a position to afford their own home or even private rental accommodation and</w:t>
      </w:r>
      <w:r w:rsidR="0008328C">
        <w:t>,</w:t>
      </w:r>
      <w:r w:rsidRPr="0020182A">
        <w:t xml:space="preserve"> as such</w:t>
      </w:r>
      <w:r w:rsidR="0008328C">
        <w:t>,</w:t>
      </w:r>
      <w:r w:rsidRPr="0020182A">
        <w:t xml:space="preserve"> will require support from </w:t>
      </w:r>
      <w:r w:rsidR="00F61B99">
        <w:t>s</w:t>
      </w:r>
      <w:r w:rsidRPr="0020182A">
        <w:t>tate/</w:t>
      </w:r>
      <w:r w:rsidR="00F61B99">
        <w:t>t</w:t>
      </w:r>
      <w:r w:rsidRPr="0020182A">
        <w:t>erritory and Federal Governments with respect to rental assistance and access to social housing (see the COAG Principles to Determine the Responsibilities of the NDIS and Other Service Systems).</w:t>
      </w:r>
      <w:r w:rsidRPr="0020182A">
        <w:rPr>
          <w:vertAlign w:val="superscript"/>
        </w:rPr>
        <w:footnoteReference w:id="7"/>
      </w:r>
      <w:r w:rsidRPr="0020182A">
        <w:t xml:space="preserve"> </w:t>
      </w:r>
    </w:p>
    <w:p w:rsidR="008F1A16" w:rsidRPr="0020182A" w:rsidRDefault="00F06FC3" w:rsidP="002273E7">
      <w:pPr>
        <w:pStyle w:val="Heading3"/>
      </w:pPr>
      <w:r w:rsidRPr="0020182A">
        <w:t>Eligibility for SDA</w:t>
      </w:r>
    </w:p>
    <w:p w:rsidR="00CA5826" w:rsidRPr="0020182A" w:rsidRDefault="00CA5826" w:rsidP="00CA5826">
      <w:bookmarkStart w:id="15" w:name="_Toc523122961"/>
      <w:r w:rsidRPr="0020182A">
        <w:t>The SDA Framework provides that SDA will be available for participants who</w:t>
      </w:r>
      <w:r w:rsidR="006750B3">
        <w:t xml:space="preserve"> cannot</w:t>
      </w:r>
      <w:r w:rsidRPr="0020182A">
        <w:t xml:space="preserve"> live in mainstream housing because of an extreme functional impairment or very high support needs,</w:t>
      </w:r>
      <w:r w:rsidR="0008328C">
        <w:t xml:space="preserve"> </w:t>
      </w:r>
      <w:r w:rsidRPr="0020182A">
        <w:t>whose needs are most appropriately met by an SDA response</w:t>
      </w:r>
      <w:r w:rsidR="006750B3">
        <w:t xml:space="preserve"> and who meet SDA eligibility</w:t>
      </w:r>
      <w:r w:rsidRPr="0020182A">
        <w:t xml:space="preserve">. </w:t>
      </w:r>
    </w:p>
    <w:p w:rsidR="00CA5826" w:rsidRPr="0020182A" w:rsidRDefault="00CA5826" w:rsidP="00CA5826">
      <w:r w:rsidRPr="0020182A">
        <w:t>In its 2011 report, the Productivity Commission estimated that approximately 28,000 NDIS participants (or 6</w:t>
      </w:r>
      <w:r w:rsidR="00C81CCD">
        <w:t>.1</w:t>
      </w:r>
      <w:r w:rsidRPr="0020182A">
        <w:t xml:space="preserve"> per cent) nationally were expected to require support to access to suitable accommodation through SDA funding. Of these 28,000, around 15,700 were estimated to already live in specialist accommodation, meaning there was a need for enough housing to support an additional 12,300 </w:t>
      </w:r>
      <w:r w:rsidRPr="0020182A">
        <w:lastRenderedPageBreak/>
        <w:t>participants. In 2019-20 terms, it is expected that $700 million will be spent on SDA in the NDIS annually at full Scheme.</w:t>
      </w:r>
      <w:r w:rsidRPr="0020182A">
        <w:rPr>
          <w:vertAlign w:val="superscript"/>
        </w:rPr>
        <w:footnoteReference w:id="8"/>
      </w:r>
    </w:p>
    <w:p w:rsidR="00DD42F0" w:rsidRPr="0020182A" w:rsidRDefault="00DD42F0" w:rsidP="002273E7">
      <w:pPr>
        <w:pStyle w:val="Heading2"/>
      </w:pPr>
      <w:bookmarkStart w:id="16" w:name="_Toc530648943"/>
      <w:r w:rsidRPr="0020182A">
        <w:t>SDA Pricing and Payments Framework</w:t>
      </w:r>
      <w:bookmarkEnd w:id="15"/>
      <w:bookmarkEnd w:id="16"/>
    </w:p>
    <w:p w:rsidR="00CA5826" w:rsidRPr="0020182A" w:rsidRDefault="00CA5826" w:rsidP="00CA5826">
      <w:pPr>
        <w:pStyle w:val="BodyText1"/>
      </w:pPr>
      <w:r w:rsidRPr="0020182A">
        <w:t xml:space="preserve">The SDA Pricing and Payments Framework (the SDA Framework) was endorsed by the Disability Reform Council (DRC) in November 2015 and sets out the pricing and payments policy framework for the funding of </w:t>
      </w:r>
      <w:r w:rsidR="0008328C">
        <w:t>SDA</w:t>
      </w:r>
      <w:r w:rsidRPr="0020182A">
        <w:t xml:space="preserve"> in the NDIS.</w:t>
      </w:r>
    </w:p>
    <w:p w:rsidR="00CA5826" w:rsidRPr="0020182A" w:rsidRDefault="00CA5826" w:rsidP="00CA5826">
      <w:pPr>
        <w:pStyle w:val="BodyText1"/>
      </w:pPr>
      <w:r w:rsidRPr="0020182A">
        <w:t xml:space="preserve">The original intention of the SDA Framework was to establish the pricing and payments arrangements for SDA and provide initial guidance to drive market investment – and in particular achieve the growth in SDA supply required to meet expected demand. The SDA Framework sought to facilitate growth, change and innovation in the supply of SDA over time, while supporting choice and control, innovation and quality. </w:t>
      </w:r>
    </w:p>
    <w:p w:rsidR="00CA5826" w:rsidRPr="0020182A" w:rsidRDefault="00CA5826" w:rsidP="00CA5826">
      <w:pPr>
        <w:pStyle w:val="BodyText1"/>
      </w:pPr>
      <w:r w:rsidRPr="0020182A">
        <w:t xml:space="preserve">The current SDA Framework was developed at a time when the SDA Rules and SDA pricing had not been determined, and as such, the current SDA Framework goes beyond “pricing and payments” and provides guidance on a range of aspects relating to SDA, including eligibility, dwelling registration, quality and safeguards and transitional arrangements for people in legacy stock and other circumstances. </w:t>
      </w:r>
    </w:p>
    <w:p w:rsidR="00DD42F0" w:rsidRPr="0020182A" w:rsidRDefault="006750B3" w:rsidP="00CA5826">
      <w:pPr>
        <w:pStyle w:val="BodyText1"/>
      </w:pPr>
      <w:r>
        <w:t>Following the development of</w:t>
      </w:r>
      <w:r w:rsidR="00CA5826" w:rsidRPr="0020182A">
        <w:t xml:space="preserve"> the SDA Framework, the SDA Rules </w:t>
      </w:r>
      <w:r w:rsidR="00D17976">
        <w:t>that</w:t>
      </w:r>
      <w:r w:rsidR="00CA5826" w:rsidRPr="0020182A">
        <w:t xml:space="preserve"> provide the formal, legally binding rules for SDA eligibility, and dwelling registration</w:t>
      </w:r>
      <w:r w:rsidR="00D17976">
        <w:t xml:space="preserve"> </w:t>
      </w:r>
      <w:r w:rsidR="00D17976" w:rsidRPr="0020182A">
        <w:t xml:space="preserve">have been </w:t>
      </w:r>
      <w:r w:rsidR="00F61B99">
        <w:t>agreed by all state and t</w:t>
      </w:r>
      <w:r w:rsidR="00D17976">
        <w:t>erritory Ministers</w:t>
      </w:r>
      <w:r w:rsidR="00CA5826" w:rsidRPr="0020182A">
        <w:t>. The SDA Price Guide is developed by the NDIA under the Rules and Framework and specifies the range of prices (or price ceilings) to be paid to NDIS participants living in various SDA design and dwelling types across Australia. The NDIA also issues policy documents such as the Investor Brief setting out how it will apply and interpret the SDA Rules. The SDA Framework sits within a broader structure of documents and mechanisms that together support the implementation of SDA.</w:t>
      </w:r>
      <w:r w:rsidR="00D17976">
        <w:t xml:space="preserve"> These governing documents and mechanisms are outlined in </w:t>
      </w:r>
      <w:r w:rsidR="00D17976">
        <w:fldChar w:fldCharType="begin"/>
      </w:r>
      <w:r w:rsidR="00D17976">
        <w:instrText xml:space="preserve"> REF _Ref531356204 \h </w:instrText>
      </w:r>
      <w:r w:rsidR="00D17976">
        <w:fldChar w:fldCharType="separate"/>
      </w:r>
      <w:r w:rsidR="00502D19" w:rsidRPr="0020182A">
        <w:t xml:space="preserve">Figure </w:t>
      </w:r>
      <w:r w:rsidR="00502D19">
        <w:rPr>
          <w:noProof/>
        </w:rPr>
        <w:t>4</w:t>
      </w:r>
      <w:r w:rsidR="00D17976">
        <w:fldChar w:fldCharType="end"/>
      </w:r>
      <w:r w:rsidR="00D17976">
        <w:t xml:space="preserve"> overleaf.</w:t>
      </w:r>
    </w:p>
    <w:p w:rsidR="00DD42F0" w:rsidRPr="0020182A" w:rsidRDefault="00DD42F0" w:rsidP="00DD42F0">
      <w:pPr>
        <w:pStyle w:val="Caption"/>
        <w:keepNext/>
      </w:pPr>
      <w:bookmarkStart w:id="17" w:name="_Ref531356204"/>
      <w:r w:rsidRPr="0020182A">
        <w:lastRenderedPageBreak/>
        <w:t xml:space="preserve">Figure </w:t>
      </w:r>
      <w:r w:rsidR="00A33310" w:rsidRPr="0020182A">
        <w:rPr>
          <w:noProof/>
        </w:rPr>
        <w:fldChar w:fldCharType="begin"/>
      </w:r>
      <w:r w:rsidR="00A33310" w:rsidRPr="0020182A">
        <w:rPr>
          <w:noProof/>
        </w:rPr>
        <w:instrText xml:space="preserve"> SEQ Figure \* ARABIC </w:instrText>
      </w:r>
      <w:r w:rsidR="00A33310" w:rsidRPr="0020182A">
        <w:rPr>
          <w:noProof/>
        </w:rPr>
        <w:fldChar w:fldCharType="separate"/>
      </w:r>
      <w:r w:rsidR="00502D19">
        <w:rPr>
          <w:noProof/>
        </w:rPr>
        <w:t>4</w:t>
      </w:r>
      <w:r w:rsidR="00A33310" w:rsidRPr="0020182A">
        <w:rPr>
          <w:noProof/>
        </w:rPr>
        <w:fldChar w:fldCharType="end"/>
      </w:r>
      <w:bookmarkEnd w:id="17"/>
      <w:r w:rsidRPr="0020182A">
        <w:rPr>
          <w:noProof/>
        </w:rPr>
        <w:t>:</w:t>
      </w:r>
      <w:r w:rsidRPr="0020182A">
        <w:t xml:space="preserve"> SDA governing documents and mechanisms</w:t>
      </w:r>
    </w:p>
    <w:p w:rsidR="00664578" w:rsidRPr="0020182A" w:rsidRDefault="004655BE" w:rsidP="00664578">
      <w:r w:rsidRPr="004655BE">
        <w:rPr>
          <w:noProof/>
          <w:lang w:eastAsia="en-AU"/>
        </w:rPr>
        <w:drawing>
          <wp:inline distT="0" distB="0" distL="0" distR="0" wp14:anchorId="4111C8C1" wp14:editId="0D34B3EF">
            <wp:extent cx="5831840" cy="4785099"/>
            <wp:effectExtent l="0" t="0" r="0" b="0"/>
            <wp:docPr id="8" name="Picture 8" descr="Range of governing documents and mechanisms. There are five categories. First category is 'legally binding requirements applicable to the determination and implementation of SDA.' Second category is 'overarching policy mechanism governed by the Disability Reform Council and providing guidance on the underlying intention, objectives and implementation of SDA.' Third category is 'NDIA mechanisms for settting the requirements for providers to participate in the provision of SDA services.' Fourth category is 'NDIA Mechanism for guiding SDA decision-making for planners and other staff.' Fifth category is NDIA produced materials that provide further guidance to the market on the interpreation of the Rules and standards that govern SDA, and the broader policy setting.'" title="Figure 4: SDA governing documents and mechanis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31840" cy="4785099"/>
                    </a:xfrm>
                    <a:prstGeom prst="rect">
                      <a:avLst/>
                    </a:prstGeom>
                    <a:noFill/>
                    <a:ln>
                      <a:noFill/>
                    </a:ln>
                  </pic:spPr>
                </pic:pic>
              </a:graphicData>
            </a:graphic>
          </wp:inline>
        </w:drawing>
      </w:r>
    </w:p>
    <w:p w:rsidR="00664578" w:rsidRPr="0020182A" w:rsidRDefault="00664578" w:rsidP="00664578">
      <w:pPr>
        <w:pStyle w:val="Caption"/>
        <w:keepNext/>
      </w:pPr>
      <w:r w:rsidRPr="0020182A">
        <w:t>Source: KPMG</w:t>
      </w:r>
    </w:p>
    <w:p w:rsidR="00DD42F0" w:rsidRPr="0020182A" w:rsidRDefault="00DD42F0" w:rsidP="00DD42F0"/>
    <w:p w:rsidR="004525A5" w:rsidRPr="0020182A" w:rsidRDefault="004525A5" w:rsidP="004525A5">
      <w:pPr>
        <w:pStyle w:val="Heading2"/>
      </w:pPr>
      <w:bookmarkStart w:id="18" w:name="_Toc523122962"/>
      <w:bookmarkStart w:id="19" w:name="_Toc530648944"/>
      <w:r w:rsidRPr="0020182A">
        <w:t>The SDA Framework Review</w:t>
      </w:r>
      <w:bookmarkEnd w:id="14"/>
      <w:bookmarkEnd w:id="18"/>
      <w:bookmarkEnd w:id="19"/>
      <w:r w:rsidRPr="0020182A">
        <w:t xml:space="preserve"> </w:t>
      </w:r>
    </w:p>
    <w:p w:rsidR="00CA5826" w:rsidRPr="0020182A" w:rsidRDefault="00CA5826" w:rsidP="00CA5826">
      <w:pPr>
        <w:pStyle w:val="BodyText1"/>
      </w:pPr>
      <w:bookmarkStart w:id="20" w:name="_Toc518593617"/>
      <w:r w:rsidRPr="0020182A">
        <w:t xml:space="preserve">The SDA Framework was endorsed by the Disability Reform Council (DRC) in November 2015 and sets out an initial pricing and payments framework for the funding of </w:t>
      </w:r>
      <w:r w:rsidR="00D17976">
        <w:t>SDA</w:t>
      </w:r>
      <w:r w:rsidRPr="0020182A">
        <w:t xml:space="preserve"> (SDA) in the NDIS.</w:t>
      </w:r>
    </w:p>
    <w:p w:rsidR="00CA5826" w:rsidRPr="0020182A" w:rsidRDefault="00CA5826" w:rsidP="00CA5826">
      <w:pPr>
        <w:pStyle w:val="BodyText1"/>
      </w:pPr>
      <w:r w:rsidRPr="0020182A">
        <w:t xml:space="preserve">The SDA Framework includes a review mechanism (the Review), which required the SDA Framework to be reviewed in its third year of operation, or earlier if deemed necessary. The DRC agreed to this earlier Review in order to consider the early impact of the SDA Framework on the level of investment in SDA, and to address emerging concerns from investors, providers and people with disability, their families and carers seeking SDA as part of their NDIS plan. These concerns related to pricing certainty, implementation of the SDA Framework and supporting documents, and the impact of the SDA Framework on choice and control for participants. </w:t>
      </w:r>
    </w:p>
    <w:p w:rsidR="00B33460" w:rsidRPr="0020182A" w:rsidRDefault="00B33460" w:rsidP="00D73DEA">
      <w:pPr>
        <w:pStyle w:val="Heading3"/>
        <w:spacing w:after="120"/>
      </w:pPr>
      <w:r w:rsidRPr="0020182A">
        <w:lastRenderedPageBreak/>
        <w:t>Terms of Reference for the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erms of Reference for the Review"/>
        <w:tblDescription w:val="Outlines the scope for the current review"/>
      </w:tblPr>
      <w:tblGrid>
        <w:gridCol w:w="284"/>
        <w:gridCol w:w="8776"/>
      </w:tblGrid>
      <w:tr w:rsidR="00025EF6" w:rsidRPr="0020182A" w:rsidTr="00CA244D">
        <w:trPr>
          <w:trHeight w:val="7453"/>
          <w:tblHeader/>
        </w:trPr>
        <w:tc>
          <w:tcPr>
            <w:tcW w:w="284" w:type="dxa"/>
          </w:tcPr>
          <w:p w:rsidR="00025EF6" w:rsidRPr="0020182A" w:rsidRDefault="00025EF6" w:rsidP="003022A2"/>
        </w:tc>
        <w:tc>
          <w:tcPr>
            <w:tcW w:w="8776" w:type="dxa"/>
            <w:shd w:val="clear" w:color="auto" w:fill="0091DA" w:themeFill="accent2"/>
          </w:tcPr>
          <w:p w:rsidR="00025EF6" w:rsidRPr="0020182A" w:rsidRDefault="00025EF6" w:rsidP="003022A2">
            <w:pPr>
              <w:pStyle w:val="BodyText1"/>
              <w:rPr>
                <w:b/>
                <w:bCs/>
                <w:color w:val="FFFFFF" w:themeColor="background1"/>
              </w:rPr>
            </w:pPr>
            <w:r w:rsidRPr="0020182A">
              <w:rPr>
                <w:b/>
                <w:bCs/>
                <w:color w:val="FFFFFF" w:themeColor="background1"/>
              </w:rPr>
              <w:t>The Terms of Reference (TORs) set by DRC for the Review were:</w:t>
            </w:r>
          </w:p>
          <w:p w:rsidR="00025EF6" w:rsidRPr="0020182A" w:rsidRDefault="00025EF6" w:rsidP="003022A2">
            <w:pPr>
              <w:pStyle w:val="BodyText1"/>
              <w:rPr>
                <w:color w:val="FFFFFF" w:themeColor="background1"/>
              </w:rPr>
            </w:pPr>
            <w:r w:rsidRPr="0020182A">
              <w:rPr>
                <w:b/>
                <w:bCs/>
                <w:color w:val="FFFFFF" w:themeColor="background1"/>
              </w:rPr>
              <w:t>1.</w:t>
            </w:r>
            <w:r w:rsidRPr="0020182A">
              <w:rPr>
                <w:color w:val="FFFFFF" w:themeColor="background1"/>
              </w:rPr>
              <w:t xml:space="preserve"> The Review will examine whether the current </w:t>
            </w:r>
            <w:r w:rsidR="006C4413" w:rsidRPr="0020182A">
              <w:rPr>
                <w:color w:val="FFFFFF" w:themeColor="background1"/>
              </w:rPr>
              <w:t xml:space="preserve">SDA </w:t>
            </w:r>
            <w:r w:rsidRPr="0020182A">
              <w:rPr>
                <w:color w:val="FFFFFF" w:themeColor="background1"/>
              </w:rPr>
              <w:t>Framework:</w:t>
            </w:r>
          </w:p>
          <w:p w:rsidR="00025EF6" w:rsidRPr="0020182A" w:rsidRDefault="00025EF6" w:rsidP="00D73DEA">
            <w:pPr>
              <w:pStyle w:val="BodyText1"/>
              <w:ind w:left="835" w:right="447" w:hanging="567"/>
              <w:rPr>
                <w:color w:val="FFFFFF" w:themeColor="background1"/>
              </w:rPr>
            </w:pPr>
            <w:r w:rsidRPr="0020182A">
              <w:rPr>
                <w:b/>
                <w:bCs/>
                <w:color w:val="FFFFFF" w:themeColor="background1"/>
              </w:rPr>
              <w:t>1.1.</w:t>
            </w:r>
            <w:r w:rsidR="00D73DEA" w:rsidRPr="0020182A">
              <w:rPr>
                <w:b/>
                <w:bCs/>
                <w:color w:val="FFFFFF" w:themeColor="background1"/>
              </w:rPr>
              <w:t xml:space="preserve"> </w:t>
            </w:r>
            <w:r w:rsidRPr="0020182A">
              <w:rPr>
                <w:color w:val="FFFFFF" w:themeColor="background1"/>
              </w:rPr>
              <w:t>allows the National Disability Insurance Agency to set appropriate levels of fund</w:t>
            </w:r>
            <w:r w:rsidR="00D73DEA" w:rsidRPr="0020182A">
              <w:rPr>
                <w:color w:val="FFFFFF" w:themeColor="background1"/>
              </w:rPr>
              <w:t>ing for individual participants</w:t>
            </w:r>
          </w:p>
          <w:p w:rsidR="00025EF6" w:rsidRPr="0020182A" w:rsidRDefault="00025EF6" w:rsidP="00D73DEA">
            <w:pPr>
              <w:pStyle w:val="BodyText1"/>
              <w:ind w:left="835" w:right="447" w:hanging="567"/>
              <w:rPr>
                <w:color w:val="FFFFFF" w:themeColor="background1"/>
              </w:rPr>
            </w:pPr>
            <w:r w:rsidRPr="0020182A">
              <w:rPr>
                <w:b/>
                <w:bCs/>
                <w:color w:val="FFFFFF" w:themeColor="background1"/>
              </w:rPr>
              <w:t>1.2.</w:t>
            </w:r>
            <w:r w:rsidR="00D73DEA" w:rsidRPr="0020182A">
              <w:rPr>
                <w:b/>
                <w:bCs/>
                <w:color w:val="FFFFFF" w:themeColor="background1"/>
              </w:rPr>
              <w:t xml:space="preserve"> </w:t>
            </w:r>
            <w:r w:rsidRPr="0020182A">
              <w:rPr>
                <w:color w:val="FFFFFF" w:themeColor="background1"/>
              </w:rPr>
              <w:t>supports the delivery of SDA in sufficient volume and form to meet demand from NDIS participants, noting that efficient investment is dependent on develo</w:t>
            </w:r>
            <w:r w:rsidR="00D73DEA" w:rsidRPr="0020182A">
              <w:rPr>
                <w:color w:val="FFFFFF" w:themeColor="background1"/>
              </w:rPr>
              <w:t>pers’ access to capital markets</w:t>
            </w:r>
          </w:p>
          <w:p w:rsidR="00025EF6" w:rsidRPr="0020182A" w:rsidRDefault="00025EF6" w:rsidP="00D73DEA">
            <w:pPr>
              <w:pStyle w:val="BodyText1"/>
              <w:ind w:left="835" w:right="447" w:hanging="567"/>
              <w:rPr>
                <w:color w:val="FFFFFF" w:themeColor="background1"/>
              </w:rPr>
            </w:pPr>
            <w:r w:rsidRPr="0020182A">
              <w:rPr>
                <w:b/>
                <w:bCs/>
                <w:color w:val="FFFFFF" w:themeColor="background1"/>
              </w:rPr>
              <w:t>1.3.</w:t>
            </w:r>
            <w:r w:rsidR="00D73DEA" w:rsidRPr="0020182A">
              <w:rPr>
                <w:b/>
                <w:bCs/>
                <w:color w:val="FFFFFF" w:themeColor="background1"/>
              </w:rPr>
              <w:t xml:space="preserve"> </w:t>
            </w:r>
            <w:r w:rsidRPr="0020182A">
              <w:rPr>
                <w:color w:val="FFFFFF" w:themeColor="background1"/>
              </w:rPr>
              <w:t>enables innovation by SDA providers and the devel</w:t>
            </w:r>
            <w:r w:rsidR="00D73DEA" w:rsidRPr="0020182A">
              <w:rPr>
                <w:color w:val="FFFFFF" w:themeColor="background1"/>
              </w:rPr>
              <w:t>opment of quality accommodation</w:t>
            </w:r>
          </w:p>
          <w:p w:rsidR="00025EF6" w:rsidRPr="0020182A" w:rsidRDefault="00025EF6" w:rsidP="00D73DEA">
            <w:pPr>
              <w:pStyle w:val="BodyText1"/>
              <w:ind w:left="835" w:right="447" w:hanging="567"/>
              <w:rPr>
                <w:color w:val="FFFFFF" w:themeColor="background1"/>
              </w:rPr>
            </w:pPr>
            <w:r w:rsidRPr="0020182A">
              <w:rPr>
                <w:b/>
                <w:bCs/>
                <w:color w:val="FFFFFF" w:themeColor="background1"/>
              </w:rPr>
              <w:t>1.4.</w:t>
            </w:r>
            <w:r w:rsidR="00D73DEA" w:rsidRPr="0020182A">
              <w:rPr>
                <w:b/>
                <w:bCs/>
                <w:color w:val="FFFFFF" w:themeColor="background1"/>
              </w:rPr>
              <w:t xml:space="preserve"> </w:t>
            </w:r>
            <w:r w:rsidRPr="0020182A">
              <w:rPr>
                <w:color w:val="FFFFFF" w:themeColor="background1"/>
              </w:rPr>
              <w:t>enable</w:t>
            </w:r>
            <w:r w:rsidR="00D73DEA" w:rsidRPr="0020182A">
              <w:rPr>
                <w:color w:val="FFFFFF" w:themeColor="background1"/>
              </w:rPr>
              <w:t>s participants to exercise choic</w:t>
            </w:r>
            <w:r w:rsidRPr="0020182A">
              <w:rPr>
                <w:color w:val="FFFFFF" w:themeColor="background1"/>
              </w:rPr>
              <w:t>e and control, and maximise independent lifestyles and inclusion in the com</w:t>
            </w:r>
            <w:r w:rsidR="00D73DEA" w:rsidRPr="0020182A">
              <w:rPr>
                <w:color w:val="FFFFFF" w:themeColor="background1"/>
              </w:rPr>
              <w:t>munity</w:t>
            </w:r>
          </w:p>
          <w:p w:rsidR="00025EF6" w:rsidRPr="0020182A" w:rsidRDefault="00025EF6" w:rsidP="00D73DEA">
            <w:pPr>
              <w:pStyle w:val="BodyText1"/>
              <w:ind w:left="835" w:right="447" w:hanging="567"/>
              <w:rPr>
                <w:color w:val="FFFFFF" w:themeColor="background1"/>
              </w:rPr>
            </w:pPr>
            <w:r w:rsidRPr="0020182A">
              <w:rPr>
                <w:b/>
                <w:bCs/>
                <w:color w:val="FFFFFF" w:themeColor="background1"/>
              </w:rPr>
              <w:t>1.5.</w:t>
            </w:r>
            <w:r w:rsidR="00D73DEA" w:rsidRPr="0020182A">
              <w:rPr>
                <w:b/>
                <w:bCs/>
                <w:color w:val="FFFFFF" w:themeColor="background1"/>
              </w:rPr>
              <w:t xml:space="preserve"> </w:t>
            </w:r>
            <w:r w:rsidRPr="0020182A">
              <w:rPr>
                <w:color w:val="FFFFFF" w:themeColor="background1"/>
              </w:rPr>
              <w:t>provides opportunities and incentives for participants to consider value</w:t>
            </w:r>
            <w:r w:rsidRPr="0020182A">
              <w:rPr>
                <w:rFonts w:ascii="Times New Roman" w:hAnsi="Times New Roman" w:cs="Times New Roman"/>
                <w:color w:val="FFFFFF" w:themeColor="background1"/>
              </w:rPr>
              <w:t>‑</w:t>
            </w:r>
            <w:r w:rsidRPr="0020182A">
              <w:rPr>
                <w:color w:val="FFFFFF" w:themeColor="background1"/>
              </w:rPr>
              <w:t>for</w:t>
            </w:r>
            <w:r w:rsidRPr="0020182A">
              <w:rPr>
                <w:rFonts w:ascii="Times New Roman" w:hAnsi="Times New Roman" w:cs="Times New Roman"/>
                <w:color w:val="FFFFFF" w:themeColor="background1"/>
              </w:rPr>
              <w:t>‑</w:t>
            </w:r>
            <w:r w:rsidRPr="0020182A">
              <w:rPr>
                <w:color w:val="FFFFFF" w:themeColor="background1"/>
              </w:rPr>
              <w:t>money in the use of their NDIS funds, including SDA as a su</w:t>
            </w:r>
            <w:r w:rsidR="00D73DEA" w:rsidRPr="0020182A">
              <w:rPr>
                <w:color w:val="FFFFFF" w:themeColor="background1"/>
              </w:rPr>
              <w:t>bstitute for other supports</w:t>
            </w:r>
          </w:p>
          <w:p w:rsidR="00025EF6" w:rsidRPr="0020182A" w:rsidRDefault="00025EF6" w:rsidP="00D73DEA">
            <w:pPr>
              <w:pStyle w:val="BodyText1"/>
              <w:ind w:left="835" w:right="447" w:hanging="567"/>
              <w:rPr>
                <w:color w:val="FFFFFF" w:themeColor="background1"/>
              </w:rPr>
            </w:pPr>
            <w:r w:rsidRPr="0020182A">
              <w:rPr>
                <w:b/>
                <w:bCs/>
                <w:color w:val="FFFFFF" w:themeColor="background1"/>
              </w:rPr>
              <w:t>1.6.</w:t>
            </w:r>
            <w:r w:rsidR="00D73DEA" w:rsidRPr="0020182A">
              <w:rPr>
                <w:b/>
                <w:bCs/>
                <w:color w:val="FFFFFF" w:themeColor="background1"/>
              </w:rPr>
              <w:t xml:space="preserve"> </w:t>
            </w:r>
            <w:r w:rsidRPr="0020182A">
              <w:rPr>
                <w:color w:val="FFFFFF" w:themeColor="background1"/>
              </w:rPr>
              <w:t>provides flexibility to meet changes in quality and safeguards requirements.</w:t>
            </w:r>
          </w:p>
          <w:p w:rsidR="00025EF6" w:rsidRPr="0020182A" w:rsidRDefault="00025EF6" w:rsidP="00D73DEA">
            <w:pPr>
              <w:pStyle w:val="BodyText1"/>
              <w:ind w:left="268" w:right="447" w:hanging="268"/>
              <w:rPr>
                <w:color w:val="FFFFFF" w:themeColor="background1"/>
              </w:rPr>
            </w:pPr>
            <w:r w:rsidRPr="0020182A">
              <w:rPr>
                <w:b/>
                <w:bCs/>
                <w:color w:val="FFFFFF" w:themeColor="background1"/>
              </w:rPr>
              <w:t xml:space="preserve">2. </w:t>
            </w:r>
            <w:r w:rsidRPr="0020182A">
              <w:rPr>
                <w:color w:val="FFFFFF" w:themeColor="background1"/>
              </w:rPr>
              <w:t>The Review will examine factors that influence investor decisions to participate in SDA, including ensuring that there is sufficient information for providers to invest and by considering the operation of the</w:t>
            </w:r>
            <w:r w:rsidR="006C4413" w:rsidRPr="0020182A">
              <w:rPr>
                <w:color w:val="FFFFFF" w:themeColor="background1"/>
              </w:rPr>
              <w:t xml:space="preserve"> SDA</w:t>
            </w:r>
            <w:r w:rsidRPr="0020182A">
              <w:rPr>
                <w:color w:val="FFFFFF" w:themeColor="background1"/>
              </w:rPr>
              <w:t xml:space="preserve"> Framework and lessons learned to date.</w:t>
            </w:r>
          </w:p>
          <w:p w:rsidR="00025EF6" w:rsidRPr="0020182A" w:rsidRDefault="00025EF6" w:rsidP="00D73DEA">
            <w:pPr>
              <w:pStyle w:val="BodyText1"/>
              <w:ind w:left="268" w:right="447" w:hanging="268"/>
              <w:rPr>
                <w:color w:val="FFFFFF" w:themeColor="background1"/>
              </w:rPr>
            </w:pPr>
            <w:r w:rsidRPr="0020182A">
              <w:rPr>
                <w:b/>
                <w:bCs/>
                <w:color w:val="FFFFFF" w:themeColor="background1"/>
              </w:rPr>
              <w:t xml:space="preserve">3. </w:t>
            </w:r>
            <w:r w:rsidRPr="0020182A">
              <w:rPr>
                <w:color w:val="FFFFFF" w:themeColor="background1"/>
              </w:rPr>
              <w:t>The Review will also consider the impact of price controls and scheduled framework and pricing reviews on achieving efficient outcomes.</w:t>
            </w:r>
          </w:p>
          <w:p w:rsidR="00025EF6" w:rsidRPr="0020182A" w:rsidRDefault="00025EF6" w:rsidP="00D73DEA">
            <w:pPr>
              <w:pStyle w:val="BodyText1"/>
              <w:ind w:left="268" w:right="447" w:hanging="268"/>
              <w:rPr>
                <w:color w:val="FFFFFF" w:themeColor="background1"/>
              </w:rPr>
            </w:pPr>
            <w:r w:rsidRPr="0020182A">
              <w:rPr>
                <w:b/>
                <w:bCs/>
                <w:color w:val="FFFFFF" w:themeColor="background1"/>
              </w:rPr>
              <w:t xml:space="preserve">4. </w:t>
            </w:r>
            <w:r w:rsidRPr="0020182A">
              <w:rPr>
                <w:color w:val="FFFFFF" w:themeColor="background1"/>
              </w:rPr>
              <w:t xml:space="preserve">The Review will identify options for the development of participant funding arrangements, and ongoing funding certainty, and other market settings to improve or replace the current </w:t>
            </w:r>
            <w:r w:rsidR="006C4413" w:rsidRPr="0020182A">
              <w:rPr>
                <w:color w:val="FFFFFF" w:themeColor="background1"/>
              </w:rPr>
              <w:t xml:space="preserve">SDA </w:t>
            </w:r>
            <w:r w:rsidRPr="0020182A">
              <w:rPr>
                <w:color w:val="FFFFFF" w:themeColor="background1"/>
              </w:rPr>
              <w:t>Framework. Consideration should be given to the impact of any changes on participant welfare, SDA industry development, including existing provider stock, and the financial sustainability of the NDIS.</w:t>
            </w:r>
          </w:p>
        </w:tc>
      </w:tr>
    </w:tbl>
    <w:p w:rsidR="00025EF6" w:rsidRPr="0020182A" w:rsidRDefault="00025EF6" w:rsidP="002273E7">
      <w:pPr>
        <w:pStyle w:val="BodyText1"/>
      </w:pPr>
    </w:p>
    <w:p w:rsidR="00CA5826" w:rsidRPr="0020182A" w:rsidRDefault="00CA5826" w:rsidP="00CA5826">
      <w:pPr>
        <w:pStyle w:val="BodyText1"/>
      </w:pPr>
      <w:bookmarkStart w:id="21" w:name="_Toc523122963"/>
      <w:r w:rsidRPr="0020182A">
        <w:t>Given the timing of this Review, the focus was on assessing the adequacy of the SDA Framework in establishing the “building blocks” necessary to achieve desired SDA outcomes, and whether there is evidence of progress towards achieving SDA outcomes already. The Review examined whether the parameters included in the SDA Framework are the most effective mechanism for supporting a strong market response to specialist housing for eligible NDIS participants over time. The outcome of this Review will be used to inform DRC’s development of arrangements for SDA funding and market settings into the future.</w:t>
      </w:r>
    </w:p>
    <w:p w:rsidR="00CA5826" w:rsidRPr="0020182A" w:rsidRDefault="00CA5826" w:rsidP="00CA5826">
      <w:pPr>
        <w:pStyle w:val="BodyText1"/>
      </w:pPr>
      <w:r w:rsidRPr="0020182A">
        <w:t>It is important to note that in conducting this Review there were a number of issues raised by stakeholders that were not directly within the scope of the SDA Framework, although they were difficult to separate from issues relating to the SDA Framework itself. For completeness these issues have been included in the Review report. Examples include:</w:t>
      </w:r>
    </w:p>
    <w:p w:rsidR="00CA5826" w:rsidRPr="0020182A" w:rsidRDefault="00CA5826" w:rsidP="009B671C">
      <w:pPr>
        <w:pStyle w:val="BodyText1"/>
        <w:numPr>
          <w:ilvl w:val="0"/>
          <w:numId w:val="40"/>
        </w:numPr>
      </w:pPr>
      <w:r w:rsidRPr="0020182A">
        <w:t>Issues relating to SDA prices and price assumptions (noting that setting specific prices (conducting a pricing review) was outside the scope of this Review).</w:t>
      </w:r>
    </w:p>
    <w:p w:rsidR="00CA5826" w:rsidRPr="0020182A" w:rsidRDefault="00CA5826" w:rsidP="009B671C">
      <w:pPr>
        <w:pStyle w:val="BodyText1"/>
        <w:numPr>
          <w:ilvl w:val="0"/>
          <w:numId w:val="40"/>
        </w:numPr>
      </w:pPr>
      <w:r w:rsidRPr="0020182A">
        <w:t xml:space="preserve">Issues relating to the NDIA’s Investor Brief and information provided to the market. </w:t>
      </w:r>
    </w:p>
    <w:p w:rsidR="00CA5826" w:rsidRPr="0020182A" w:rsidRDefault="00CA5826" w:rsidP="009B671C">
      <w:pPr>
        <w:pStyle w:val="BodyText1"/>
        <w:numPr>
          <w:ilvl w:val="0"/>
          <w:numId w:val="40"/>
        </w:numPr>
      </w:pPr>
      <w:r w:rsidRPr="0020182A">
        <w:t xml:space="preserve">Issues relating to eligibility of participants for SDA and consistency of eligibility decisions. </w:t>
      </w:r>
    </w:p>
    <w:p w:rsidR="004525A5" w:rsidRPr="0020182A" w:rsidRDefault="004525A5" w:rsidP="002273E7">
      <w:pPr>
        <w:pStyle w:val="Heading2"/>
      </w:pPr>
      <w:bookmarkStart w:id="22" w:name="_Toc530648945"/>
      <w:r w:rsidRPr="0020182A">
        <w:lastRenderedPageBreak/>
        <w:t>Purpose of this document</w:t>
      </w:r>
      <w:bookmarkEnd w:id="20"/>
      <w:bookmarkEnd w:id="21"/>
      <w:bookmarkEnd w:id="22"/>
      <w:r w:rsidRPr="0020182A">
        <w:t xml:space="preserve"> </w:t>
      </w:r>
    </w:p>
    <w:p w:rsidR="004525A5" w:rsidRPr="0020182A" w:rsidRDefault="004525A5" w:rsidP="00B8401A">
      <w:pPr>
        <w:pStyle w:val="BodyText1"/>
      </w:pPr>
      <w:r w:rsidRPr="0020182A">
        <w:t xml:space="preserve">The purpose of this document is to summarise the findings from the Review and present recommendations for future the SDA Framework and supporting structures </w:t>
      </w:r>
      <w:r w:rsidR="00C26B1F" w:rsidRPr="0020182A">
        <w:t>and mechanisms</w:t>
      </w:r>
      <w:r w:rsidRPr="0020182A">
        <w:t xml:space="preserve">. </w:t>
      </w:r>
      <w:r w:rsidR="00C26B1F" w:rsidRPr="0020182A">
        <w:t xml:space="preserve">In particular, this </w:t>
      </w:r>
      <w:r w:rsidRPr="0020182A">
        <w:t>document:</w:t>
      </w:r>
    </w:p>
    <w:p w:rsidR="004525A5" w:rsidRPr="0020182A" w:rsidRDefault="00D73DEA" w:rsidP="009B671C">
      <w:pPr>
        <w:pStyle w:val="Bullet1stlevel"/>
        <w:numPr>
          <w:ilvl w:val="0"/>
          <w:numId w:val="67"/>
        </w:numPr>
      </w:pPr>
      <w:r w:rsidRPr="0020182A">
        <w:t>d</w:t>
      </w:r>
      <w:r w:rsidR="004525A5" w:rsidRPr="0020182A">
        <w:t>escribes the approach to conducting the Review</w:t>
      </w:r>
    </w:p>
    <w:p w:rsidR="004525A5" w:rsidRPr="0020182A" w:rsidRDefault="00D73DEA" w:rsidP="009B671C">
      <w:pPr>
        <w:pStyle w:val="Bullet1stlevel"/>
        <w:numPr>
          <w:ilvl w:val="0"/>
          <w:numId w:val="67"/>
        </w:numPr>
      </w:pPr>
      <w:r w:rsidRPr="0020182A">
        <w:t>d</w:t>
      </w:r>
      <w:r w:rsidR="00C26B1F" w:rsidRPr="0020182A">
        <w:t xml:space="preserve">escribes the features of </w:t>
      </w:r>
      <w:r w:rsidR="004525A5" w:rsidRPr="0020182A">
        <w:t>a successful SDA market</w:t>
      </w:r>
      <w:r w:rsidR="00C26B1F" w:rsidRPr="0020182A">
        <w:t>, and how the SDA market is likely to develop over time</w:t>
      </w:r>
    </w:p>
    <w:p w:rsidR="004525A5" w:rsidRPr="0020182A" w:rsidRDefault="00D73DEA" w:rsidP="009B671C">
      <w:pPr>
        <w:pStyle w:val="Bullet1stlevel"/>
        <w:numPr>
          <w:ilvl w:val="0"/>
          <w:numId w:val="67"/>
        </w:numPr>
      </w:pPr>
      <w:r w:rsidRPr="0020182A">
        <w:t>p</w:t>
      </w:r>
      <w:r w:rsidR="004525A5" w:rsidRPr="0020182A">
        <w:t xml:space="preserve">rovides a comprehensive description of </w:t>
      </w:r>
      <w:r w:rsidR="00C26B1F" w:rsidRPr="0020182A">
        <w:t xml:space="preserve">review </w:t>
      </w:r>
      <w:r w:rsidRPr="0020182A">
        <w:t>findings</w:t>
      </w:r>
    </w:p>
    <w:p w:rsidR="00C26B1F" w:rsidRPr="0020182A" w:rsidRDefault="00D73DEA" w:rsidP="009B671C">
      <w:pPr>
        <w:pStyle w:val="Bullet1stlevel"/>
        <w:numPr>
          <w:ilvl w:val="0"/>
          <w:numId w:val="67"/>
        </w:numPr>
      </w:pPr>
      <w:r w:rsidRPr="0020182A">
        <w:t>s</w:t>
      </w:r>
      <w:r w:rsidR="00C26B1F" w:rsidRPr="0020182A">
        <w:t xml:space="preserve">uggests </w:t>
      </w:r>
      <w:r w:rsidR="004525A5" w:rsidRPr="0020182A">
        <w:t xml:space="preserve">potential solutions </w:t>
      </w:r>
      <w:r w:rsidR="00C26B1F" w:rsidRPr="0020182A">
        <w:t xml:space="preserve">and options </w:t>
      </w:r>
      <w:r w:rsidR="004525A5" w:rsidRPr="0020182A">
        <w:t xml:space="preserve">for addressing </w:t>
      </w:r>
      <w:r w:rsidR="00C26B1F" w:rsidRPr="0020182A">
        <w:t>issues raised by the Review</w:t>
      </w:r>
      <w:r w:rsidR="004525A5" w:rsidRPr="0020182A">
        <w:t xml:space="preserve"> for DRC</w:t>
      </w:r>
      <w:r w:rsidR="00C26B1F" w:rsidRPr="0020182A">
        <w:t xml:space="preserve">’s further consideration. </w:t>
      </w:r>
    </w:p>
    <w:p w:rsidR="004525A5" w:rsidRPr="0020182A" w:rsidRDefault="004525A5" w:rsidP="00B8401A">
      <w:pPr>
        <w:pStyle w:val="BodyText1"/>
      </w:pPr>
      <w:r w:rsidRPr="0020182A">
        <w:t>The Structure of this Report is as follows:</w:t>
      </w:r>
    </w:p>
    <w:p w:rsidR="004525A5" w:rsidRPr="0020182A" w:rsidRDefault="004525A5" w:rsidP="009B671C">
      <w:pPr>
        <w:pStyle w:val="BodyText1"/>
        <w:numPr>
          <w:ilvl w:val="0"/>
          <w:numId w:val="66"/>
        </w:numPr>
      </w:pPr>
      <w:r w:rsidRPr="0020182A">
        <w:rPr>
          <w:i/>
        </w:rPr>
        <w:t>Section 1</w:t>
      </w:r>
      <w:r w:rsidRPr="0020182A">
        <w:t xml:space="preserve"> (this Section) outlines the purpose and scope of the Review.</w:t>
      </w:r>
    </w:p>
    <w:p w:rsidR="004525A5" w:rsidRPr="0020182A" w:rsidRDefault="004525A5" w:rsidP="009B671C">
      <w:pPr>
        <w:pStyle w:val="BodyText1"/>
        <w:numPr>
          <w:ilvl w:val="0"/>
          <w:numId w:val="66"/>
        </w:numPr>
      </w:pPr>
      <w:r w:rsidRPr="0020182A">
        <w:rPr>
          <w:i/>
        </w:rPr>
        <w:t>Section 2</w:t>
      </w:r>
      <w:r w:rsidRPr="0020182A">
        <w:t xml:space="preserve"> provides an overview</w:t>
      </w:r>
      <w:r w:rsidR="00211CC8" w:rsidRPr="0020182A">
        <w:t xml:space="preserve"> of the approach to the </w:t>
      </w:r>
      <w:r w:rsidR="009134B5" w:rsidRPr="0020182A">
        <w:t>R</w:t>
      </w:r>
      <w:r w:rsidR="00211CC8" w:rsidRPr="0020182A">
        <w:t>eview</w:t>
      </w:r>
      <w:r w:rsidR="009134B5" w:rsidRPr="0020182A">
        <w:t>.</w:t>
      </w:r>
    </w:p>
    <w:p w:rsidR="004525A5" w:rsidRPr="0020182A" w:rsidRDefault="004525A5" w:rsidP="009B671C">
      <w:pPr>
        <w:pStyle w:val="BodyText1"/>
        <w:numPr>
          <w:ilvl w:val="0"/>
          <w:numId w:val="66"/>
        </w:numPr>
      </w:pPr>
      <w:r w:rsidRPr="0020182A">
        <w:rPr>
          <w:i/>
        </w:rPr>
        <w:t>Section 3</w:t>
      </w:r>
      <w:r w:rsidRPr="0020182A">
        <w:t xml:space="preserve"> establishes the vision and components for a successful SDA market</w:t>
      </w:r>
      <w:r w:rsidR="009134B5" w:rsidRPr="0020182A">
        <w:t>.</w:t>
      </w:r>
    </w:p>
    <w:p w:rsidR="004525A5" w:rsidRPr="0020182A" w:rsidRDefault="004525A5" w:rsidP="009B671C">
      <w:pPr>
        <w:pStyle w:val="BodyText1"/>
        <w:numPr>
          <w:ilvl w:val="0"/>
          <w:numId w:val="66"/>
        </w:numPr>
      </w:pPr>
      <w:r w:rsidRPr="0020182A">
        <w:rPr>
          <w:i/>
        </w:rPr>
        <w:t>Section 4</w:t>
      </w:r>
      <w:r w:rsidRPr="0020182A">
        <w:t xml:space="preserve"> outlines the findings in relation to each of </w:t>
      </w:r>
      <w:r w:rsidR="00211CC8" w:rsidRPr="0020182A">
        <w:t>components of a successful SDA market</w:t>
      </w:r>
      <w:r w:rsidR="009134B5" w:rsidRPr="0020182A">
        <w:t>.</w:t>
      </w:r>
    </w:p>
    <w:p w:rsidR="004E793A" w:rsidRPr="0020182A" w:rsidRDefault="004525A5" w:rsidP="009B671C">
      <w:pPr>
        <w:pStyle w:val="BodyText1"/>
        <w:numPr>
          <w:ilvl w:val="0"/>
          <w:numId w:val="66"/>
        </w:numPr>
        <w:sectPr w:rsidR="004E793A" w:rsidRPr="0020182A" w:rsidSect="00D73DEA">
          <w:headerReference w:type="default" r:id="rId29"/>
          <w:footerReference w:type="default" r:id="rId30"/>
          <w:pgSz w:w="11906" w:h="16838"/>
          <w:pgMar w:top="1418" w:right="1361" w:bottom="1191" w:left="1361" w:header="340" w:footer="454" w:gutter="0"/>
          <w:cols w:space="708"/>
          <w:docGrid w:linePitch="360"/>
        </w:sectPr>
      </w:pPr>
      <w:r w:rsidRPr="0020182A">
        <w:rPr>
          <w:i/>
        </w:rPr>
        <w:t>Section 5</w:t>
      </w:r>
      <w:r w:rsidRPr="0020182A">
        <w:t xml:space="preserve"> provides recommendations for the next iteration of the SDA Framework and supporting elements to facilitate SDA market settings into the future.</w:t>
      </w:r>
    </w:p>
    <w:p w:rsidR="00CA244D" w:rsidRDefault="00CA244D" w:rsidP="00190028">
      <w:pPr>
        <w:pStyle w:val="Dividertitle"/>
        <w:tabs>
          <w:tab w:val="left" w:pos="258"/>
          <w:tab w:val="center" w:pos="4422"/>
        </w:tabs>
        <w:jc w:val="left"/>
        <w:rPr>
          <w:color w:val="0091DA" w:themeColor="accent2"/>
          <w:sz w:val="200"/>
          <w:szCs w:val="200"/>
        </w:rPr>
      </w:pPr>
    </w:p>
    <w:p w:rsidR="00CA244D" w:rsidRDefault="00CA244D" w:rsidP="00CA244D">
      <w:pPr>
        <w:pStyle w:val="Dividertitle"/>
        <w:tabs>
          <w:tab w:val="left" w:pos="258"/>
          <w:tab w:val="center" w:pos="4422"/>
        </w:tabs>
        <w:rPr>
          <w:color w:val="0091DA" w:themeColor="accent2"/>
          <w:sz w:val="200"/>
          <w:szCs w:val="200"/>
        </w:rPr>
      </w:pPr>
    </w:p>
    <w:p w:rsidR="00CA244D" w:rsidRPr="00190028" w:rsidRDefault="00CA244D" w:rsidP="00190028">
      <w:pPr>
        <w:pStyle w:val="Dividertitle"/>
        <w:tabs>
          <w:tab w:val="left" w:pos="258"/>
          <w:tab w:val="center" w:pos="4422"/>
        </w:tabs>
        <w:rPr>
          <w:color w:val="0091DA" w:themeColor="accent2"/>
          <w:sz w:val="200"/>
          <w:szCs w:val="200"/>
        </w:rPr>
      </w:pPr>
      <w:r w:rsidRPr="00CA244D">
        <w:rPr>
          <w:color w:val="0091DA" w:themeColor="accent2"/>
          <w:sz w:val="200"/>
          <w:szCs w:val="200"/>
        </w:rPr>
        <w:t>02</w:t>
      </w:r>
    </w:p>
    <w:p w:rsidR="00190028" w:rsidRDefault="00190028" w:rsidP="00CA244D">
      <w:pPr>
        <w:pStyle w:val="Dividertitle"/>
        <w:tabs>
          <w:tab w:val="left" w:pos="258"/>
          <w:tab w:val="center" w:pos="4422"/>
        </w:tabs>
        <w:rPr>
          <w:color w:val="0091DA" w:themeColor="accent2"/>
        </w:rPr>
      </w:pPr>
    </w:p>
    <w:p w:rsidR="00CA244D" w:rsidRPr="00D43B07" w:rsidRDefault="00CA244D" w:rsidP="00CA244D">
      <w:pPr>
        <w:pStyle w:val="Dividertitle"/>
        <w:tabs>
          <w:tab w:val="left" w:pos="258"/>
          <w:tab w:val="center" w:pos="4422"/>
        </w:tabs>
        <w:rPr>
          <w:color w:val="0091DA" w:themeColor="accent2"/>
        </w:rPr>
      </w:pPr>
      <w:r w:rsidRPr="00D43B07">
        <w:rPr>
          <w:color w:val="0091DA" w:themeColor="accent2"/>
        </w:rPr>
        <w:t>Approach to the Review</w:t>
      </w:r>
    </w:p>
    <w:p w:rsidR="004E793A" w:rsidRPr="00D43B07" w:rsidRDefault="004E793A" w:rsidP="00D43B07">
      <w:pPr>
        <w:tabs>
          <w:tab w:val="left" w:pos="1274"/>
        </w:tabs>
        <w:sectPr w:rsidR="004E793A" w:rsidRPr="00D43B07" w:rsidSect="000C5DF4">
          <w:headerReference w:type="default" r:id="rId31"/>
          <w:footerReference w:type="default" r:id="rId32"/>
          <w:pgSz w:w="11906" w:h="16838"/>
          <w:pgMar w:top="1418" w:right="1418" w:bottom="1418" w:left="1418" w:header="340" w:footer="453" w:gutter="0"/>
          <w:cols w:space="708"/>
          <w:docGrid w:linePitch="360"/>
        </w:sectPr>
      </w:pPr>
    </w:p>
    <w:p w:rsidR="004525A5" w:rsidRPr="0020182A" w:rsidRDefault="004525A5" w:rsidP="00AF059B">
      <w:pPr>
        <w:pStyle w:val="Heading1"/>
      </w:pPr>
      <w:bookmarkStart w:id="23" w:name="_Toc523122964"/>
      <w:bookmarkStart w:id="24" w:name="_Toc530648946"/>
      <w:bookmarkStart w:id="25" w:name="_Toc518593618"/>
      <w:r w:rsidRPr="0020182A">
        <w:lastRenderedPageBreak/>
        <w:t>Approach to the Review</w:t>
      </w:r>
      <w:bookmarkEnd w:id="23"/>
      <w:bookmarkEnd w:id="24"/>
      <w:r w:rsidRPr="0020182A">
        <w:t xml:space="preserve"> </w:t>
      </w:r>
      <w:bookmarkEnd w:id="25"/>
    </w:p>
    <w:p w:rsidR="00B33460" w:rsidRPr="0020182A" w:rsidRDefault="00B33460" w:rsidP="002273E7">
      <w:pPr>
        <w:pStyle w:val="Heading2"/>
      </w:pPr>
      <w:bookmarkStart w:id="26" w:name="_Toc523122965"/>
      <w:bookmarkStart w:id="27" w:name="_Toc530648947"/>
      <w:bookmarkStart w:id="28" w:name="_Toc518593619"/>
      <w:bookmarkStart w:id="29" w:name="_Ref520126098"/>
      <w:r w:rsidRPr="0020182A">
        <w:t>Focus of the Review</w:t>
      </w:r>
      <w:bookmarkEnd w:id="26"/>
      <w:bookmarkEnd w:id="27"/>
    </w:p>
    <w:p w:rsidR="00CA5826" w:rsidRPr="0020182A" w:rsidRDefault="00CA5826" w:rsidP="00CA5826">
      <w:pPr>
        <w:pStyle w:val="BodyText1"/>
      </w:pPr>
      <w:r w:rsidRPr="0020182A">
        <w:t xml:space="preserve">The Review was initiated in early 2018 at an early stage of SDA market development, at a point in time when SDA pricing arrangements and allocation of SDA funding in participant plans was still relatively new, and the NDIS itself was </w:t>
      </w:r>
      <w:r w:rsidR="00D17976">
        <w:t xml:space="preserve">considerably </w:t>
      </w:r>
      <w:r w:rsidRPr="0020182A">
        <w:t>new (and still in transition phase in a number of jurisdictions)</w:t>
      </w:r>
      <w:r w:rsidRPr="0020182A">
        <w:rPr>
          <w:rStyle w:val="FootnoteReference"/>
        </w:rPr>
        <w:footnoteReference w:id="9"/>
      </w:r>
      <w:r w:rsidRPr="0020182A">
        <w:t xml:space="preserve"> with full Scheme expected to be reached by 2019-20.  </w:t>
      </w:r>
    </w:p>
    <w:p w:rsidR="00B33460" w:rsidRPr="0020182A" w:rsidRDefault="00CA5826" w:rsidP="00CA5826">
      <w:pPr>
        <w:pStyle w:val="BodyText1"/>
      </w:pPr>
      <w:r w:rsidRPr="0020182A">
        <w:t>As such, the focus of this Review has been on assessing the adequacy of the SDA Framework in establishing the “building blocks” necessary to achieve desired SDA outcomes (for example, in terms of market growth, access</w:t>
      </w:r>
      <w:r w:rsidR="00D17976">
        <w:t xml:space="preserve"> and</w:t>
      </w:r>
      <w:r w:rsidRPr="0020182A">
        <w:t xml:space="preserve"> choice and control), and whether there is evidence of progress towards achieving SDA outcomes. The Review examined whether the parameters included in the SDA Framework are the most effective mechanism for supporting a strong market response to specialist housing for eligible NDIS participants over time. </w:t>
      </w:r>
    </w:p>
    <w:p w:rsidR="004525A5" w:rsidRPr="0020182A" w:rsidRDefault="004525A5" w:rsidP="004525A5">
      <w:pPr>
        <w:pStyle w:val="Heading2"/>
      </w:pPr>
      <w:bookmarkStart w:id="30" w:name="_Toc523122966"/>
      <w:bookmarkStart w:id="31" w:name="_Toc530648948"/>
      <w:r w:rsidRPr="0020182A">
        <w:t>Review Framework</w:t>
      </w:r>
      <w:bookmarkEnd w:id="28"/>
      <w:bookmarkEnd w:id="29"/>
      <w:bookmarkEnd w:id="30"/>
      <w:bookmarkEnd w:id="31"/>
      <w:r w:rsidRPr="0020182A">
        <w:t xml:space="preserve"> </w:t>
      </w:r>
    </w:p>
    <w:p w:rsidR="00CA5826" w:rsidRPr="0020182A" w:rsidRDefault="00CA5826" w:rsidP="00CA5826">
      <w:pPr>
        <w:pStyle w:val="BodyText1"/>
      </w:pPr>
      <w:bookmarkStart w:id="32" w:name="_Ref517952868"/>
      <w:r w:rsidRPr="0020182A">
        <w:t>To underpin the Review, a Review Framework was developed and agreed with the Department of Social Services (DSS) to support consultation and investigation of the TORs. The Review Framework also accounted for the context in which this Review is occurring, including:</w:t>
      </w:r>
    </w:p>
    <w:p w:rsidR="00CA5826" w:rsidRPr="0020182A" w:rsidRDefault="00D73DEA" w:rsidP="009B671C">
      <w:pPr>
        <w:pStyle w:val="BodyText1"/>
        <w:numPr>
          <w:ilvl w:val="0"/>
          <w:numId w:val="41"/>
        </w:numPr>
      </w:pPr>
      <w:r w:rsidRPr="0020182A">
        <w:t>t</w:t>
      </w:r>
      <w:r w:rsidR="00CA5826" w:rsidRPr="0020182A">
        <w:t>he timing for the review, having been brought</w:t>
      </w:r>
      <w:r w:rsidRPr="0020182A">
        <w:t xml:space="preserve"> forward due to market concerns</w:t>
      </w:r>
    </w:p>
    <w:p w:rsidR="00CA5826" w:rsidRPr="0020182A" w:rsidRDefault="00D73DEA" w:rsidP="009B671C">
      <w:pPr>
        <w:pStyle w:val="BodyText1"/>
        <w:numPr>
          <w:ilvl w:val="0"/>
          <w:numId w:val="41"/>
        </w:numPr>
      </w:pPr>
      <w:r w:rsidRPr="0020182A">
        <w:t>t</w:t>
      </w:r>
      <w:r w:rsidR="00CA5826" w:rsidRPr="0020182A">
        <w:t>he current early stag</w:t>
      </w:r>
      <w:r w:rsidRPr="0020182A">
        <w:t>e of market development for SDA</w:t>
      </w:r>
    </w:p>
    <w:p w:rsidR="00CA5826" w:rsidRPr="0020182A" w:rsidRDefault="00D73DEA" w:rsidP="009B671C">
      <w:pPr>
        <w:pStyle w:val="BodyText1"/>
        <w:numPr>
          <w:ilvl w:val="0"/>
          <w:numId w:val="41"/>
        </w:numPr>
      </w:pPr>
      <w:r w:rsidRPr="0020182A">
        <w:t>t</w:t>
      </w:r>
      <w:r w:rsidR="00CA5826" w:rsidRPr="0020182A">
        <w:t>he current stage of the transition to the fully rolled-out NDIS (full Scheme) across Australia and the ongoing changes to policy with the introduction of the Quality and Safeguards Commission and other supporting functions for the NDIS.</w:t>
      </w:r>
    </w:p>
    <w:p w:rsidR="002273E7" w:rsidRPr="0020182A" w:rsidRDefault="00CA5826" w:rsidP="00CA5826">
      <w:pPr>
        <w:pStyle w:val="BodyText1"/>
      </w:pPr>
      <w:r w:rsidRPr="0020182A">
        <w:t xml:space="preserve">The DRC TORs provided a clear scope for the conduct for the Review (as outlined in Section 1). From the TORs, six domains were identified to guide the consultation stage of the Review. The domains were supported by six high-level Review questions </w:t>
      </w:r>
      <w:r w:rsidR="000A4E5C">
        <w:t xml:space="preserve">which were used </w:t>
      </w:r>
      <w:r w:rsidRPr="0020182A">
        <w:t xml:space="preserve">to guide consultation questions and the development of a discussion paper for consultation. The six domains and Review questions are outlined in Figure </w:t>
      </w:r>
      <w:r w:rsidR="003F2D39" w:rsidRPr="0020182A">
        <w:t xml:space="preserve">5 </w:t>
      </w:r>
      <w:r w:rsidRPr="0020182A">
        <w:t>overleaf.</w:t>
      </w:r>
      <w:r w:rsidR="004525A5" w:rsidRPr="0020182A">
        <w:t xml:space="preserve"> </w:t>
      </w:r>
    </w:p>
    <w:p w:rsidR="002273E7" w:rsidRPr="0020182A" w:rsidRDefault="002273E7">
      <w:pPr>
        <w:spacing w:before="0" w:after="160" w:line="259" w:lineRule="auto"/>
      </w:pPr>
      <w:r w:rsidRPr="0020182A">
        <w:br w:type="page"/>
      </w:r>
    </w:p>
    <w:p w:rsidR="004525A5" w:rsidRPr="0020182A" w:rsidRDefault="004525A5" w:rsidP="00B8401A">
      <w:pPr>
        <w:pStyle w:val="BodyText1"/>
      </w:pPr>
    </w:p>
    <w:p w:rsidR="004525A5" w:rsidRPr="0020182A" w:rsidRDefault="004525A5" w:rsidP="00B8401A">
      <w:pPr>
        <w:pStyle w:val="Caption"/>
      </w:pPr>
      <w:bookmarkStart w:id="33" w:name="_Ref531356697"/>
      <w:r w:rsidRPr="0020182A">
        <w:t xml:space="preserve">Figure </w:t>
      </w:r>
      <w:r w:rsidR="00A33310" w:rsidRPr="0020182A">
        <w:rPr>
          <w:noProof/>
        </w:rPr>
        <w:fldChar w:fldCharType="begin"/>
      </w:r>
      <w:r w:rsidR="00A33310" w:rsidRPr="0020182A">
        <w:rPr>
          <w:noProof/>
        </w:rPr>
        <w:instrText xml:space="preserve"> SEQ Figure \* ARABIC </w:instrText>
      </w:r>
      <w:r w:rsidR="00A33310" w:rsidRPr="0020182A">
        <w:rPr>
          <w:noProof/>
        </w:rPr>
        <w:fldChar w:fldCharType="separate"/>
      </w:r>
      <w:r w:rsidR="00502D19">
        <w:rPr>
          <w:noProof/>
        </w:rPr>
        <w:t>5</w:t>
      </w:r>
      <w:r w:rsidR="00A33310" w:rsidRPr="0020182A">
        <w:rPr>
          <w:noProof/>
        </w:rPr>
        <w:fldChar w:fldCharType="end"/>
      </w:r>
      <w:bookmarkEnd w:id="33"/>
      <w:r w:rsidRPr="0020182A">
        <w:t xml:space="preserve">: Review Framework </w:t>
      </w:r>
      <w:r w:rsidR="00C26B1F" w:rsidRPr="0020182A">
        <w:t>h</w:t>
      </w:r>
      <w:r w:rsidRPr="0020182A">
        <w:t xml:space="preserve">igh-level </w:t>
      </w:r>
      <w:r w:rsidR="00C26B1F" w:rsidRPr="0020182A">
        <w:t>r</w:t>
      </w:r>
      <w:r w:rsidRPr="0020182A">
        <w:t xml:space="preserve">eview </w:t>
      </w:r>
      <w:r w:rsidR="00C26B1F" w:rsidRPr="0020182A">
        <w:t>q</w:t>
      </w:r>
      <w:r w:rsidRPr="0020182A">
        <w:t xml:space="preserve">uestions </w:t>
      </w:r>
    </w:p>
    <w:p w:rsidR="00D27C4F" w:rsidRDefault="00D27C4F">
      <w:pPr>
        <w:pStyle w:val="Caption"/>
      </w:pPr>
      <w:r>
        <w:rPr>
          <w:noProof/>
          <w:lang w:eastAsia="en-AU"/>
        </w:rPr>
        <w:drawing>
          <wp:inline distT="0" distB="0" distL="0" distR="0" wp14:anchorId="401B0799" wp14:editId="27FED767">
            <wp:extent cx="5759450" cy="2998470"/>
            <wp:effectExtent l="0" t="0" r="0" b="0"/>
            <wp:docPr id="480" name="Picture 480" descr="The high-level review questions relate to six categories which are pricing and payments, supply, investment, innovation and quality, choice and control as well as value and sustainability. " title="Figure 5: Review Framework high-level review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59450" cy="2998470"/>
                    </a:xfrm>
                    <a:prstGeom prst="rect">
                      <a:avLst/>
                    </a:prstGeom>
                  </pic:spPr>
                </pic:pic>
              </a:graphicData>
            </a:graphic>
          </wp:inline>
        </w:drawing>
      </w:r>
    </w:p>
    <w:p w:rsidR="0077449F" w:rsidRPr="0020182A" w:rsidRDefault="0077449F">
      <w:pPr>
        <w:pStyle w:val="Caption"/>
      </w:pPr>
      <w:r w:rsidRPr="0020182A">
        <w:t>Source: KPMG</w:t>
      </w:r>
    </w:p>
    <w:p w:rsidR="00CA5826" w:rsidRPr="0020182A" w:rsidRDefault="00CA5826" w:rsidP="00CA5826">
      <w:pPr>
        <w:pStyle w:val="BodyText"/>
      </w:pPr>
      <w:r w:rsidRPr="0020182A">
        <w:t>The full Review Framework is contained in Appendix B.</w:t>
      </w:r>
    </w:p>
    <w:p w:rsidR="00CA5826" w:rsidRPr="0020182A" w:rsidRDefault="00CA5826" w:rsidP="00CA5826">
      <w:pPr>
        <w:pStyle w:val="BodyText"/>
      </w:pPr>
      <w:r w:rsidRPr="0020182A">
        <w:t xml:space="preserve">Moving into the technical analysis and findings stage of the review, a market lens was applied to the domains. Evidence and findings considered the unique features of the SDA market (and how it differs from other markets, and other </w:t>
      </w:r>
      <w:r w:rsidR="00CD5AA9">
        <w:t>infrastructure</w:t>
      </w:r>
      <w:r w:rsidRPr="0020182A">
        <w:t xml:space="preserve"> markets) and how a well-functioning SDA market should ideally operate.  </w:t>
      </w:r>
    </w:p>
    <w:p w:rsidR="00B33460" w:rsidRPr="0020182A" w:rsidRDefault="00CA5826" w:rsidP="00CA5826">
      <w:pPr>
        <w:pStyle w:val="BodyText"/>
      </w:pPr>
      <w:r w:rsidRPr="0020182A">
        <w:t xml:space="preserve">The elements of a well-functioning SDA market are outlined in the following </w:t>
      </w:r>
      <w:r w:rsidR="000A4E5C">
        <w:fldChar w:fldCharType="begin"/>
      </w:r>
      <w:r w:rsidR="000A4E5C">
        <w:instrText xml:space="preserve"> REF _Ref523237237 \h </w:instrText>
      </w:r>
      <w:r w:rsidR="000A4E5C">
        <w:fldChar w:fldCharType="separate"/>
      </w:r>
      <w:r w:rsidR="00502D19" w:rsidRPr="0020182A">
        <w:t xml:space="preserve">Figure </w:t>
      </w:r>
      <w:r w:rsidR="00502D19">
        <w:rPr>
          <w:noProof/>
        </w:rPr>
        <w:t>6</w:t>
      </w:r>
      <w:r w:rsidR="000A4E5C">
        <w:fldChar w:fldCharType="end"/>
      </w:r>
      <w:r w:rsidR="000A4E5C">
        <w:t xml:space="preserve"> overleaf</w:t>
      </w:r>
      <w:r w:rsidRPr="0020182A">
        <w:t xml:space="preserve">, which </w:t>
      </w:r>
      <w:r w:rsidR="000A4E5C">
        <w:t xml:space="preserve">have been used as the basis of the Review Framework </w:t>
      </w:r>
      <w:r w:rsidRPr="0020182A">
        <w:t>that has been employed to undertake the technical analysis and develop findings in response to the TOR issued by DRC.</w:t>
      </w:r>
    </w:p>
    <w:p w:rsidR="00B33460" w:rsidRPr="0020182A" w:rsidRDefault="00B33460" w:rsidP="00B33460">
      <w:pPr>
        <w:spacing w:before="0" w:after="160" w:line="259" w:lineRule="auto"/>
      </w:pPr>
      <w:r w:rsidRPr="0020182A">
        <w:br w:type="page"/>
      </w:r>
    </w:p>
    <w:p w:rsidR="00B33460" w:rsidRPr="0020182A" w:rsidRDefault="00B33460" w:rsidP="00B33460">
      <w:pPr>
        <w:pStyle w:val="Caption"/>
      </w:pPr>
      <w:bookmarkStart w:id="34" w:name="_Ref523237237"/>
      <w:bookmarkStart w:id="35" w:name="_Ref531358038"/>
      <w:r w:rsidRPr="0020182A">
        <w:lastRenderedPageBreak/>
        <w:t xml:space="preserve">Figure </w:t>
      </w:r>
      <w:r w:rsidR="00A33310" w:rsidRPr="0020182A">
        <w:rPr>
          <w:noProof/>
        </w:rPr>
        <w:fldChar w:fldCharType="begin"/>
      </w:r>
      <w:r w:rsidR="00A33310" w:rsidRPr="0020182A">
        <w:rPr>
          <w:noProof/>
        </w:rPr>
        <w:instrText xml:space="preserve"> SEQ Figure \* ARABIC </w:instrText>
      </w:r>
      <w:r w:rsidR="00A33310" w:rsidRPr="0020182A">
        <w:rPr>
          <w:noProof/>
        </w:rPr>
        <w:fldChar w:fldCharType="separate"/>
      </w:r>
      <w:r w:rsidR="00502D19">
        <w:rPr>
          <w:noProof/>
        </w:rPr>
        <w:t>6</w:t>
      </w:r>
      <w:r w:rsidR="00A33310" w:rsidRPr="0020182A">
        <w:rPr>
          <w:noProof/>
        </w:rPr>
        <w:fldChar w:fldCharType="end"/>
      </w:r>
      <w:bookmarkEnd w:id="34"/>
      <w:r w:rsidRPr="0020182A">
        <w:t>: Elements of functioning SDA market</w:t>
      </w:r>
      <w:bookmarkEnd w:id="35"/>
    </w:p>
    <w:p w:rsidR="00CA5826" w:rsidRPr="0020182A" w:rsidRDefault="00CA5826" w:rsidP="00B33460">
      <w:pPr>
        <w:pStyle w:val="Caption"/>
      </w:pPr>
      <w:r w:rsidRPr="0020182A">
        <w:rPr>
          <w:noProof/>
          <w:lang w:eastAsia="en-AU"/>
        </w:rPr>
        <w:drawing>
          <wp:inline distT="0" distB="0" distL="0" distR="0" wp14:anchorId="3C488C64" wp14:editId="300A3EF5">
            <wp:extent cx="5759450" cy="7800975"/>
            <wp:effectExtent l="0" t="0" r="0" b="9525"/>
            <wp:docPr id="485" name="Picture 485" descr="Elements of a functioning SDA market in regards to demand, supply as well as efficiency and value for money" title="Figure 6: Elements of functioning SDA 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g diagram 2 for SDA.png"/>
                    <pic:cNvPicPr/>
                  </pic:nvPicPr>
                  <pic:blipFill>
                    <a:blip r:embed="rId22">
                      <a:extLst>
                        <a:ext uri="{28A0092B-C50C-407E-A947-70E740481C1C}">
                          <a14:useLocalDpi xmlns:a14="http://schemas.microsoft.com/office/drawing/2010/main" val="0"/>
                        </a:ext>
                      </a:extLst>
                    </a:blip>
                    <a:stretch>
                      <a:fillRect/>
                    </a:stretch>
                  </pic:blipFill>
                  <pic:spPr>
                    <a:xfrm>
                      <a:off x="0" y="0"/>
                      <a:ext cx="5759450" cy="7800975"/>
                    </a:xfrm>
                    <a:prstGeom prst="rect">
                      <a:avLst/>
                    </a:prstGeom>
                  </pic:spPr>
                </pic:pic>
              </a:graphicData>
            </a:graphic>
          </wp:inline>
        </w:drawing>
      </w:r>
    </w:p>
    <w:p w:rsidR="00B33460" w:rsidRPr="0020182A" w:rsidRDefault="00B33460" w:rsidP="00B33460">
      <w:pPr>
        <w:pStyle w:val="Caption"/>
      </w:pPr>
      <w:r w:rsidRPr="0020182A">
        <w:t>Source: KPMG</w:t>
      </w:r>
    </w:p>
    <w:p w:rsidR="00B33460" w:rsidRPr="0020182A" w:rsidRDefault="00B33460" w:rsidP="00B33460">
      <w:pPr>
        <w:spacing w:before="0" w:after="160" w:line="259" w:lineRule="auto"/>
        <w:rPr>
          <w:rFonts w:eastAsiaTheme="majorEastAsia" w:cstheme="majorBidi"/>
          <w:color w:val="0091DA" w:themeColor="accent2"/>
          <w:sz w:val="32"/>
          <w:szCs w:val="24"/>
        </w:rPr>
      </w:pPr>
      <w:r w:rsidRPr="0020182A">
        <w:br w:type="page"/>
      </w:r>
    </w:p>
    <w:p w:rsidR="00AF059B" w:rsidRPr="0020182A" w:rsidRDefault="00AF059B" w:rsidP="00AF059B">
      <w:pPr>
        <w:pStyle w:val="Heading2"/>
        <w:spacing w:before="120" w:after="120"/>
      </w:pPr>
      <w:bookmarkStart w:id="36" w:name="_Toc523122967"/>
      <w:bookmarkStart w:id="37" w:name="_Toc530648949"/>
      <w:r w:rsidRPr="0020182A">
        <w:lastRenderedPageBreak/>
        <w:t>Review approach</w:t>
      </w:r>
      <w:bookmarkEnd w:id="36"/>
      <w:bookmarkEnd w:id="37"/>
    </w:p>
    <w:p w:rsidR="00AF059B" w:rsidRPr="0020182A" w:rsidRDefault="00AF059B" w:rsidP="002273E7">
      <w:pPr>
        <w:pStyle w:val="Bullet1stlevel"/>
      </w:pPr>
      <w:r w:rsidRPr="0020182A">
        <w:t xml:space="preserve">The Review was conducted in three key stages, illustrated in </w:t>
      </w:r>
      <w:r w:rsidR="001F20B0" w:rsidRPr="0020182A">
        <w:fldChar w:fldCharType="begin"/>
      </w:r>
      <w:r w:rsidR="001F20B0" w:rsidRPr="0020182A">
        <w:instrText xml:space="preserve"> REF _Ref522871315 \h </w:instrText>
      </w:r>
      <w:r w:rsidR="00057F25" w:rsidRPr="0020182A">
        <w:instrText xml:space="preserve"> \* MERGEFORMAT </w:instrText>
      </w:r>
      <w:r w:rsidR="001F20B0" w:rsidRPr="0020182A">
        <w:fldChar w:fldCharType="separate"/>
      </w:r>
      <w:r w:rsidR="00502D19" w:rsidRPr="0020182A">
        <w:t xml:space="preserve">Figure </w:t>
      </w:r>
      <w:r w:rsidR="00502D19">
        <w:rPr>
          <w:noProof/>
        </w:rPr>
        <w:t>7</w:t>
      </w:r>
      <w:r w:rsidR="001F20B0" w:rsidRPr="0020182A">
        <w:fldChar w:fldCharType="end"/>
      </w:r>
      <w:r w:rsidRPr="0020182A">
        <w:t xml:space="preserve"> below.</w:t>
      </w:r>
    </w:p>
    <w:p w:rsidR="001F20B0" w:rsidRPr="0020182A" w:rsidRDefault="001F20B0" w:rsidP="001F20B0">
      <w:pPr>
        <w:pStyle w:val="Caption"/>
      </w:pPr>
      <w:bookmarkStart w:id="38" w:name="_Ref522871315"/>
      <w:r w:rsidRPr="0020182A">
        <w:t xml:space="preserve">Figure </w:t>
      </w:r>
      <w:r w:rsidR="00A33310" w:rsidRPr="0020182A">
        <w:rPr>
          <w:noProof/>
        </w:rPr>
        <w:fldChar w:fldCharType="begin"/>
      </w:r>
      <w:r w:rsidR="00A33310" w:rsidRPr="0020182A">
        <w:rPr>
          <w:noProof/>
        </w:rPr>
        <w:instrText xml:space="preserve"> SEQ Figure \* ARABIC </w:instrText>
      </w:r>
      <w:r w:rsidR="00A33310" w:rsidRPr="0020182A">
        <w:rPr>
          <w:noProof/>
        </w:rPr>
        <w:fldChar w:fldCharType="separate"/>
      </w:r>
      <w:r w:rsidR="00502D19">
        <w:rPr>
          <w:noProof/>
        </w:rPr>
        <w:t>7</w:t>
      </w:r>
      <w:r w:rsidR="00A33310" w:rsidRPr="0020182A">
        <w:rPr>
          <w:noProof/>
        </w:rPr>
        <w:fldChar w:fldCharType="end"/>
      </w:r>
      <w:bookmarkEnd w:id="38"/>
      <w:r w:rsidRPr="0020182A">
        <w:t>: Approach to the SDA Framework Review</w:t>
      </w:r>
    </w:p>
    <w:p w:rsidR="006B7E37" w:rsidRPr="0020182A" w:rsidRDefault="005C4BDA" w:rsidP="008C02D9">
      <w:r>
        <w:rPr>
          <w:noProof/>
          <w:lang w:eastAsia="en-AU"/>
        </w:rPr>
        <w:drawing>
          <wp:inline distT="0" distB="0" distL="0" distR="0" wp14:anchorId="14735BAA" wp14:editId="33353851">
            <wp:extent cx="5759450" cy="4620895"/>
            <wp:effectExtent l="0" t="0" r="0" b="8255"/>
            <wp:docPr id="467" name="Picture 467" descr="Timeline outling the three key stages of the review from May 2018 to October. The three key stages are stakeholder consultation, market &amp; issues analysis and reporting." title="Figure 7: Approach to the SDA Framework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59450" cy="4620895"/>
                    </a:xfrm>
                    <a:prstGeom prst="rect">
                      <a:avLst/>
                    </a:prstGeom>
                  </pic:spPr>
                </pic:pic>
              </a:graphicData>
            </a:graphic>
          </wp:inline>
        </w:drawing>
      </w:r>
    </w:p>
    <w:p w:rsidR="00AF059B" w:rsidRPr="0020182A" w:rsidRDefault="00AF059B" w:rsidP="001F20B0">
      <w:pPr>
        <w:pStyle w:val="Caption"/>
      </w:pPr>
      <w:r w:rsidRPr="0020182A">
        <w:t>Source: KPMG</w:t>
      </w:r>
    </w:p>
    <w:p w:rsidR="00AF059B" w:rsidRPr="0020182A" w:rsidRDefault="00AF059B" w:rsidP="002273E7">
      <w:pPr>
        <w:pStyle w:val="Bullet1stlevel"/>
      </w:pPr>
      <w:r w:rsidRPr="0020182A">
        <w:t>Each stage of the review provided critical feedback and evidence to inform the final findings and recommendations. This is discussed further below.</w:t>
      </w:r>
    </w:p>
    <w:p w:rsidR="00AF059B" w:rsidRPr="0020182A" w:rsidRDefault="00AF059B" w:rsidP="00AF059B">
      <w:pPr>
        <w:pStyle w:val="Heading3"/>
      </w:pPr>
      <w:r w:rsidRPr="0020182A">
        <w:t>Consultations</w:t>
      </w:r>
    </w:p>
    <w:p w:rsidR="00AF059B" w:rsidRPr="0020182A" w:rsidRDefault="00AF059B" w:rsidP="00AF059B">
      <w:pPr>
        <w:pStyle w:val="BodyText1"/>
      </w:pPr>
      <w:r w:rsidRPr="0020182A">
        <w:t>The Review included consultation with stakeholder groups, in order to understand the range of points of view in relation to SDA. Consultation activities focused on specific Review questions considered most relevant for each stakeholder group. Consultation activities included:</w:t>
      </w:r>
    </w:p>
    <w:p w:rsidR="009C315A" w:rsidRPr="0020182A" w:rsidRDefault="000A4E5C" w:rsidP="009B671C">
      <w:pPr>
        <w:pStyle w:val="BodyText1"/>
        <w:numPr>
          <w:ilvl w:val="0"/>
          <w:numId w:val="68"/>
        </w:numPr>
      </w:pPr>
      <w:r>
        <w:t>D</w:t>
      </w:r>
      <w:r w:rsidR="00AF059B" w:rsidRPr="0020182A">
        <w:t xml:space="preserve">evelopment of a Discussion Paper to guide discussion based on the high-level Review questions identified above in </w:t>
      </w:r>
      <w:r>
        <w:fldChar w:fldCharType="begin"/>
      </w:r>
      <w:r>
        <w:instrText xml:space="preserve"> REF _Ref531356697 \h </w:instrText>
      </w:r>
      <w:r>
        <w:fldChar w:fldCharType="separate"/>
      </w:r>
      <w:r w:rsidR="00502D19" w:rsidRPr="0020182A">
        <w:t xml:space="preserve">Figure </w:t>
      </w:r>
      <w:r w:rsidR="00502D19">
        <w:rPr>
          <w:noProof/>
        </w:rPr>
        <w:t>5</w:t>
      </w:r>
      <w:r>
        <w:fldChar w:fldCharType="end"/>
      </w:r>
      <w:r w:rsidR="00AF059B" w:rsidRPr="0020182A">
        <w:t>.</w:t>
      </w:r>
      <w:r w:rsidR="009C315A" w:rsidRPr="0020182A">
        <w:t xml:space="preserve"> The Discussion Paper was published on the Department’s website on 8 June 2018, and stakeholders had the opportunity to provide written submissions in response to this Discussion Paper. Written submissions were open for approximately three weeks. </w:t>
      </w:r>
    </w:p>
    <w:p w:rsidR="00725B07" w:rsidRPr="0020182A" w:rsidRDefault="000A4E5C" w:rsidP="009B671C">
      <w:pPr>
        <w:pStyle w:val="Bullet1stlevel"/>
        <w:numPr>
          <w:ilvl w:val="0"/>
          <w:numId w:val="68"/>
        </w:numPr>
      </w:pPr>
      <w:r>
        <w:t>E</w:t>
      </w:r>
      <w:r w:rsidR="00725B07" w:rsidRPr="0020182A">
        <w:t xml:space="preserve">ngagement with key government stakeholders through the Market Oversight Working Group (MOWG) and the Senior Officers Working Group (SOWG), and direct engagement with DSS and the NDIA. </w:t>
      </w:r>
    </w:p>
    <w:p w:rsidR="00725B07" w:rsidRPr="0020182A" w:rsidRDefault="00725B07" w:rsidP="009B671C">
      <w:pPr>
        <w:pStyle w:val="Bullet1stlevel"/>
        <w:numPr>
          <w:ilvl w:val="0"/>
          <w:numId w:val="68"/>
        </w:numPr>
      </w:pPr>
      <w:r w:rsidRPr="0020182A">
        <w:t>18 Roundtable discussions with people with disability, their families and carers, SDA providers, investors, and investor-focussed organisations (attended by 196 people).</w:t>
      </w:r>
    </w:p>
    <w:p w:rsidR="00725B07" w:rsidRPr="0020182A" w:rsidRDefault="00725B07" w:rsidP="009B671C">
      <w:pPr>
        <w:pStyle w:val="Bullet1stlevel"/>
        <w:numPr>
          <w:ilvl w:val="0"/>
          <w:numId w:val="68"/>
        </w:numPr>
      </w:pPr>
      <w:r w:rsidRPr="0020182A">
        <w:lastRenderedPageBreak/>
        <w:t>25 confidential discussions with SDA providers and investors to elicit greater detail and information that may not have been made available in an open forum, and other interest groups.</w:t>
      </w:r>
    </w:p>
    <w:p w:rsidR="00AF059B" w:rsidRPr="0020182A" w:rsidRDefault="000A4E5C" w:rsidP="009B671C">
      <w:pPr>
        <w:pStyle w:val="Bullet1stlevel"/>
        <w:numPr>
          <w:ilvl w:val="0"/>
          <w:numId w:val="68"/>
        </w:numPr>
      </w:pPr>
      <w:r>
        <w:t>R</w:t>
      </w:r>
      <w:r w:rsidR="00AF059B" w:rsidRPr="0020182A">
        <w:t>eview of 51 written submissions received.</w:t>
      </w:r>
    </w:p>
    <w:p w:rsidR="00AF059B" w:rsidRPr="0020182A" w:rsidRDefault="009C315A" w:rsidP="00AF059B">
      <w:pPr>
        <w:pStyle w:val="BodyText1"/>
      </w:pPr>
      <w:r w:rsidRPr="0020182A">
        <w:rPr>
          <w:lang w:eastAsia="ko-KR"/>
        </w:rPr>
        <w:t>R</w:t>
      </w:r>
      <w:r w:rsidR="00AF059B" w:rsidRPr="0020182A">
        <w:rPr>
          <w:lang w:eastAsia="ko-KR"/>
        </w:rPr>
        <w:t>oundtable discussions were held in each State and Territory (Sydney, Melbourne, Canberra, Brisbane, Hobart, Adelaide, Darwin and Perth). In each location, KPMG held two roundtables</w:t>
      </w:r>
      <w:r w:rsidRPr="0020182A">
        <w:rPr>
          <w:rStyle w:val="FootnoteReference"/>
          <w:lang w:eastAsia="ko-KR"/>
        </w:rPr>
        <w:footnoteReference w:id="10"/>
      </w:r>
      <w:r w:rsidRPr="0020182A">
        <w:rPr>
          <w:lang w:eastAsia="ko-KR"/>
        </w:rPr>
        <w:t>:</w:t>
      </w:r>
      <w:r w:rsidR="00AF059B" w:rsidRPr="0020182A">
        <w:rPr>
          <w:lang w:eastAsia="ko-KR"/>
        </w:rPr>
        <w:t xml:space="preserve"> </w:t>
      </w:r>
      <w:r w:rsidRPr="0020182A">
        <w:rPr>
          <w:lang w:eastAsia="ko-KR"/>
        </w:rPr>
        <w:t xml:space="preserve">one for </w:t>
      </w:r>
      <w:r w:rsidR="00AF059B" w:rsidRPr="0020182A">
        <w:rPr>
          <w:rFonts w:eastAsia="Calibri" w:cs="Arial"/>
          <w:szCs w:val="20"/>
        </w:rPr>
        <w:t>people with disability, their families, carers and representatives</w:t>
      </w:r>
      <w:r w:rsidRPr="0020182A">
        <w:rPr>
          <w:rFonts w:eastAsia="Calibri" w:cs="Arial"/>
          <w:szCs w:val="20"/>
        </w:rPr>
        <w:t xml:space="preserve">; and a second for </w:t>
      </w:r>
      <w:r w:rsidR="00AF059B" w:rsidRPr="0020182A">
        <w:rPr>
          <w:rFonts w:eastAsia="Calibri" w:cs="Arial"/>
          <w:szCs w:val="20"/>
        </w:rPr>
        <w:t>current and potential SDA providers and investors and provider/investor-focussed organisations.</w:t>
      </w:r>
      <w:r w:rsidR="00AF059B" w:rsidRPr="0020182A">
        <w:rPr>
          <w:szCs w:val="20"/>
          <w:lang w:eastAsia="ko-KR"/>
        </w:rPr>
        <w:t xml:space="preserve"> </w:t>
      </w:r>
      <w:r w:rsidR="00AF059B" w:rsidRPr="0020182A">
        <w:t>Stakeholder views were collected through table group discussions, whole-of-forum discussions</w:t>
      </w:r>
      <w:r w:rsidR="000A4E5C">
        <w:t xml:space="preserve">. All notes collected in these sessions were thematically analysed. </w:t>
      </w:r>
      <w:r w:rsidR="00AF059B" w:rsidRPr="0020182A">
        <w:t xml:space="preserve"> </w:t>
      </w:r>
    </w:p>
    <w:p w:rsidR="00AF059B" w:rsidRPr="0020182A" w:rsidRDefault="00AF059B" w:rsidP="00AF059B">
      <w:pPr>
        <w:pStyle w:val="BodyText1"/>
      </w:pPr>
      <w:r w:rsidRPr="0020182A">
        <w:t>Confidential discussions with key SDA and housing providers, investors and interest groups were held to gather more detailed information regarding the SDA Framework. Two stakeholder groups were targeted for these discussions:</w:t>
      </w:r>
    </w:p>
    <w:p w:rsidR="00AF059B" w:rsidRPr="0020182A" w:rsidRDefault="00AF059B" w:rsidP="009B671C">
      <w:pPr>
        <w:pStyle w:val="Bullet1stlevel"/>
        <w:numPr>
          <w:ilvl w:val="0"/>
          <w:numId w:val="69"/>
        </w:numPr>
      </w:pPr>
      <w:r w:rsidRPr="0020182A">
        <w:t>Providers, representative groups, investors and organisations with experience in SDA and those with detailed data or information about the implementation of the SDA Framework to date</w:t>
      </w:r>
      <w:r w:rsidR="001B65FD" w:rsidRPr="0020182A">
        <w:t>.</w:t>
      </w:r>
      <w:r w:rsidRPr="0020182A">
        <w:t xml:space="preserve"> </w:t>
      </w:r>
    </w:p>
    <w:p w:rsidR="00A907D4" w:rsidRPr="0020182A" w:rsidRDefault="00A907D4" w:rsidP="009B671C">
      <w:pPr>
        <w:pStyle w:val="Bullet1stlevel"/>
        <w:numPr>
          <w:ilvl w:val="0"/>
          <w:numId w:val="69"/>
        </w:numPr>
      </w:pPr>
      <w:r w:rsidRPr="0020182A">
        <w:t xml:space="preserve">Stakeholders who were able to elicit greater detail and information that may not have been made available in an open forum. </w:t>
      </w:r>
    </w:p>
    <w:p w:rsidR="00AF059B" w:rsidRPr="0020182A" w:rsidRDefault="001F20B0" w:rsidP="00AF059B">
      <w:pPr>
        <w:pStyle w:val="BodyText1"/>
      </w:pPr>
      <w:r w:rsidRPr="0020182A">
        <w:fldChar w:fldCharType="begin"/>
      </w:r>
      <w:r w:rsidRPr="0020182A">
        <w:instrText xml:space="preserve"> REF _Ref522871388 \h </w:instrText>
      </w:r>
      <w:r w:rsidR="00057F25" w:rsidRPr="0020182A">
        <w:instrText xml:space="preserve"> \* MERGEFORMAT </w:instrText>
      </w:r>
      <w:r w:rsidRPr="0020182A">
        <w:fldChar w:fldCharType="separate"/>
      </w:r>
      <w:r w:rsidR="00502D19" w:rsidRPr="0020182A">
        <w:t xml:space="preserve">Table </w:t>
      </w:r>
      <w:r w:rsidR="00502D19">
        <w:rPr>
          <w:noProof/>
        </w:rPr>
        <w:t>1</w:t>
      </w:r>
      <w:r w:rsidRPr="0020182A">
        <w:fldChar w:fldCharType="end"/>
      </w:r>
      <w:r w:rsidRPr="0020182A">
        <w:t xml:space="preserve"> </w:t>
      </w:r>
      <w:r w:rsidR="00AF059B" w:rsidRPr="0020182A">
        <w:t xml:space="preserve">provides an overview of the number of stakeholders involved in each consultation activity. </w:t>
      </w:r>
    </w:p>
    <w:p w:rsidR="00AF059B" w:rsidRPr="0020182A" w:rsidRDefault="00AF059B" w:rsidP="00654BA2">
      <w:pPr>
        <w:pStyle w:val="Caption"/>
      </w:pPr>
      <w:bookmarkStart w:id="39" w:name="_Ref522871388"/>
      <w:bookmarkStart w:id="40" w:name="_Ref522871361"/>
      <w:r w:rsidRPr="0020182A">
        <w:t xml:space="preserve">Table </w:t>
      </w:r>
      <w:r w:rsidRPr="0020182A">
        <w:rPr>
          <w:noProof/>
        </w:rPr>
        <w:fldChar w:fldCharType="begin"/>
      </w:r>
      <w:r w:rsidRPr="0020182A">
        <w:rPr>
          <w:noProof/>
        </w:rPr>
        <w:instrText xml:space="preserve"> SEQ Table \* ARABIC </w:instrText>
      </w:r>
      <w:r w:rsidRPr="0020182A">
        <w:rPr>
          <w:noProof/>
        </w:rPr>
        <w:fldChar w:fldCharType="separate"/>
      </w:r>
      <w:r w:rsidR="00502D19">
        <w:rPr>
          <w:noProof/>
        </w:rPr>
        <w:t>1</w:t>
      </w:r>
      <w:r w:rsidRPr="0020182A">
        <w:rPr>
          <w:noProof/>
        </w:rPr>
        <w:fldChar w:fldCharType="end"/>
      </w:r>
      <w:bookmarkEnd w:id="39"/>
      <w:r w:rsidRPr="0020182A">
        <w:t>: Structure and number of attendees by consultation type</w:t>
      </w:r>
      <w:bookmarkEnd w:id="40"/>
    </w:p>
    <w:tbl>
      <w:tblPr>
        <w:tblStyle w:val="GridTable1Light-Accent2"/>
        <w:tblW w:w="5255"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Caption w:val="Table 1: Structure and number of attendees by consultation type"/>
        <w:tblDescription w:val="Includes consultation type, group, number of sessions and number of attendees/responses. The three consultation types are roundtables, confidential discussions and written submissions."/>
      </w:tblPr>
      <w:tblGrid>
        <w:gridCol w:w="1567"/>
        <w:gridCol w:w="5114"/>
        <w:gridCol w:w="1395"/>
        <w:gridCol w:w="1450"/>
      </w:tblGrid>
      <w:tr w:rsidR="00AF059B" w:rsidRPr="0020182A" w:rsidTr="00B92F60">
        <w:trPr>
          <w:cnfStyle w:val="100000000000" w:firstRow="1" w:lastRow="0" w:firstColumn="0" w:lastColumn="0" w:oddVBand="0" w:evenVBand="0" w:oddHBand="0" w:evenHBand="0" w:firstRowFirstColumn="0" w:firstRowLastColumn="0" w:lastRowFirstColumn="0" w:lastRowLastColumn="0"/>
          <w:trHeight w:val="551"/>
          <w:tblHeader/>
        </w:trPr>
        <w:tc>
          <w:tcPr>
            <w:cnfStyle w:val="001000000000" w:firstRow="0" w:lastRow="0" w:firstColumn="1" w:lastColumn="0" w:oddVBand="0" w:evenVBand="0" w:oddHBand="0" w:evenHBand="0" w:firstRowFirstColumn="0" w:firstRowLastColumn="0" w:lastRowFirstColumn="0" w:lastRowLastColumn="0"/>
            <w:tcW w:w="821" w:type="pct"/>
            <w:shd w:val="clear" w:color="auto" w:fill="0091DA" w:themeFill="accent2"/>
            <w:vAlign w:val="bottom"/>
          </w:tcPr>
          <w:p w:rsidR="00AF059B" w:rsidRPr="0020182A" w:rsidRDefault="00AF059B" w:rsidP="00355518">
            <w:pPr>
              <w:pStyle w:val="Tableheading"/>
              <w:rPr>
                <w:sz w:val="18"/>
              </w:rPr>
            </w:pPr>
            <w:r w:rsidRPr="0020182A">
              <w:rPr>
                <w:sz w:val="18"/>
              </w:rPr>
              <w:t>Type</w:t>
            </w:r>
          </w:p>
        </w:tc>
        <w:tc>
          <w:tcPr>
            <w:tcW w:w="2684" w:type="pct"/>
            <w:shd w:val="clear" w:color="auto" w:fill="0091DA" w:themeFill="accent2"/>
            <w:vAlign w:val="bottom"/>
          </w:tcPr>
          <w:p w:rsidR="00AF059B" w:rsidRPr="0020182A" w:rsidRDefault="00AF059B" w:rsidP="00355518">
            <w:pPr>
              <w:pStyle w:val="Tableheading"/>
              <w:cnfStyle w:val="100000000000" w:firstRow="1" w:lastRow="0" w:firstColumn="0" w:lastColumn="0" w:oddVBand="0" w:evenVBand="0" w:oddHBand="0" w:evenHBand="0" w:firstRowFirstColumn="0" w:firstRowLastColumn="0" w:lastRowFirstColumn="0" w:lastRowLastColumn="0"/>
              <w:rPr>
                <w:sz w:val="18"/>
              </w:rPr>
            </w:pPr>
            <w:r w:rsidRPr="0020182A">
              <w:rPr>
                <w:sz w:val="18"/>
              </w:rPr>
              <w:t>Group</w:t>
            </w:r>
          </w:p>
        </w:tc>
        <w:tc>
          <w:tcPr>
            <w:tcW w:w="732" w:type="pct"/>
            <w:shd w:val="clear" w:color="auto" w:fill="0091DA" w:themeFill="accent2"/>
            <w:vAlign w:val="bottom"/>
          </w:tcPr>
          <w:p w:rsidR="00AF059B" w:rsidRPr="0020182A" w:rsidRDefault="00AF059B" w:rsidP="00264AD6">
            <w:pPr>
              <w:pStyle w:val="Tableheading"/>
              <w:jc w:val="center"/>
              <w:cnfStyle w:val="100000000000" w:firstRow="1" w:lastRow="0" w:firstColumn="0" w:lastColumn="0" w:oddVBand="0" w:evenVBand="0" w:oddHBand="0" w:evenHBand="0" w:firstRowFirstColumn="0" w:firstRowLastColumn="0" w:lastRowFirstColumn="0" w:lastRowLastColumn="0"/>
              <w:rPr>
                <w:sz w:val="18"/>
              </w:rPr>
            </w:pPr>
            <w:r w:rsidRPr="0020182A">
              <w:rPr>
                <w:sz w:val="18"/>
              </w:rPr>
              <w:t>Number of sessions</w:t>
            </w:r>
          </w:p>
        </w:tc>
        <w:tc>
          <w:tcPr>
            <w:tcW w:w="762" w:type="pct"/>
            <w:shd w:val="clear" w:color="auto" w:fill="0091DA" w:themeFill="accent2"/>
            <w:vAlign w:val="bottom"/>
          </w:tcPr>
          <w:p w:rsidR="00AF059B" w:rsidRPr="0020182A" w:rsidRDefault="00AF059B" w:rsidP="00264AD6">
            <w:pPr>
              <w:pStyle w:val="Tableheading"/>
              <w:jc w:val="center"/>
              <w:cnfStyle w:val="100000000000" w:firstRow="1" w:lastRow="0" w:firstColumn="0" w:lastColumn="0" w:oddVBand="0" w:evenVBand="0" w:oddHBand="0" w:evenHBand="0" w:firstRowFirstColumn="0" w:firstRowLastColumn="0" w:lastRowFirstColumn="0" w:lastRowLastColumn="0"/>
              <w:rPr>
                <w:sz w:val="18"/>
              </w:rPr>
            </w:pPr>
            <w:r w:rsidRPr="0020182A">
              <w:rPr>
                <w:sz w:val="18"/>
              </w:rPr>
              <w:t>Number of</w:t>
            </w:r>
            <w:r w:rsidR="00945BC2" w:rsidRPr="0020182A">
              <w:rPr>
                <w:sz w:val="18"/>
              </w:rPr>
              <w:t xml:space="preserve"> </w:t>
            </w:r>
            <w:r w:rsidR="009C315A" w:rsidRPr="0020182A">
              <w:rPr>
                <w:sz w:val="18"/>
              </w:rPr>
              <w:t>attendees / responses</w:t>
            </w:r>
          </w:p>
        </w:tc>
      </w:tr>
      <w:tr w:rsidR="00AF059B" w:rsidRPr="0020182A" w:rsidTr="00264AD6">
        <w:trPr>
          <w:trHeight w:val="486"/>
        </w:trPr>
        <w:tc>
          <w:tcPr>
            <w:cnfStyle w:val="001000000000" w:firstRow="0" w:lastRow="0" w:firstColumn="1" w:lastColumn="0" w:oddVBand="0" w:evenVBand="0" w:oddHBand="0" w:evenHBand="0" w:firstRowFirstColumn="0" w:firstRowLastColumn="0" w:lastRowFirstColumn="0" w:lastRowLastColumn="0"/>
            <w:tcW w:w="822" w:type="pct"/>
          </w:tcPr>
          <w:p w:rsidR="00AF059B" w:rsidRPr="0020182A" w:rsidRDefault="00AF059B" w:rsidP="00355518">
            <w:pPr>
              <w:pStyle w:val="Tabletext"/>
              <w:rPr>
                <w:sz w:val="18"/>
              </w:rPr>
            </w:pPr>
            <w:r w:rsidRPr="0020182A">
              <w:rPr>
                <w:sz w:val="18"/>
              </w:rPr>
              <w:t xml:space="preserve">Roundtables </w:t>
            </w:r>
          </w:p>
        </w:tc>
        <w:tc>
          <w:tcPr>
            <w:tcW w:w="2683" w:type="pct"/>
          </w:tcPr>
          <w:p w:rsidR="00AF059B" w:rsidRPr="0020182A" w:rsidRDefault="00AF059B" w:rsidP="00355518">
            <w:pPr>
              <w:pStyle w:val="Tabletext"/>
              <w:cnfStyle w:val="000000000000" w:firstRow="0" w:lastRow="0" w:firstColumn="0" w:lastColumn="0" w:oddVBand="0" w:evenVBand="0" w:oddHBand="0" w:evenHBand="0" w:firstRowFirstColumn="0" w:firstRowLastColumn="0" w:lastRowFirstColumn="0" w:lastRowLastColumn="0"/>
              <w:rPr>
                <w:sz w:val="18"/>
              </w:rPr>
            </w:pPr>
            <w:r w:rsidRPr="0020182A">
              <w:rPr>
                <w:sz w:val="18"/>
              </w:rPr>
              <w:t>Current and potential SDA providers and investors and the organisations that represent them</w:t>
            </w:r>
          </w:p>
        </w:tc>
        <w:tc>
          <w:tcPr>
            <w:tcW w:w="732" w:type="pct"/>
          </w:tcPr>
          <w:p w:rsidR="00AF059B" w:rsidRPr="0020182A" w:rsidRDefault="00AF059B" w:rsidP="00264AD6">
            <w:pPr>
              <w:pStyle w:val="Tabletext"/>
              <w:jc w:val="center"/>
              <w:cnfStyle w:val="000000000000" w:firstRow="0" w:lastRow="0" w:firstColumn="0" w:lastColumn="0" w:oddVBand="0" w:evenVBand="0" w:oddHBand="0" w:evenHBand="0" w:firstRowFirstColumn="0" w:firstRowLastColumn="0" w:lastRowFirstColumn="0" w:lastRowLastColumn="0"/>
              <w:rPr>
                <w:sz w:val="18"/>
              </w:rPr>
            </w:pPr>
            <w:r w:rsidRPr="0020182A">
              <w:rPr>
                <w:sz w:val="18"/>
              </w:rPr>
              <w:t>8</w:t>
            </w:r>
          </w:p>
        </w:tc>
        <w:tc>
          <w:tcPr>
            <w:tcW w:w="762" w:type="pct"/>
          </w:tcPr>
          <w:p w:rsidR="00AF059B" w:rsidRPr="0020182A" w:rsidRDefault="00AF059B" w:rsidP="00264AD6">
            <w:pPr>
              <w:pStyle w:val="Tabletext"/>
              <w:jc w:val="center"/>
              <w:cnfStyle w:val="000000000000" w:firstRow="0" w:lastRow="0" w:firstColumn="0" w:lastColumn="0" w:oddVBand="0" w:evenVBand="0" w:oddHBand="0" w:evenHBand="0" w:firstRowFirstColumn="0" w:firstRowLastColumn="0" w:lastRowFirstColumn="0" w:lastRowLastColumn="0"/>
              <w:rPr>
                <w:sz w:val="18"/>
              </w:rPr>
            </w:pPr>
            <w:r w:rsidRPr="0020182A">
              <w:rPr>
                <w:sz w:val="18"/>
              </w:rPr>
              <w:t>131</w:t>
            </w:r>
          </w:p>
        </w:tc>
      </w:tr>
      <w:tr w:rsidR="00AF059B" w:rsidRPr="0020182A" w:rsidTr="00264AD6">
        <w:trPr>
          <w:trHeight w:val="511"/>
        </w:trPr>
        <w:tc>
          <w:tcPr>
            <w:cnfStyle w:val="001000000000" w:firstRow="0" w:lastRow="0" w:firstColumn="1" w:lastColumn="0" w:oddVBand="0" w:evenVBand="0" w:oddHBand="0" w:evenHBand="0" w:firstRowFirstColumn="0" w:firstRowLastColumn="0" w:lastRowFirstColumn="0" w:lastRowLastColumn="0"/>
            <w:tcW w:w="822" w:type="pct"/>
          </w:tcPr>
          <w:p w:rsidR="00AF059B" w:rsidRPr="0020182A" w:rsidRDefault="00AF059B" w:rsidP="00355518">
            <w:pPr>
              <w:pStyle w:val="Tabletext"/>
              <w:rPr>
                <w:sz w:val="18"/>
              </w:rPr>
            </w:pPr>
          </w:p>
        </w:tc>
        <w:tc>
          <w:tcPr>
            <w:tcW w:w="2683" w:type="pct"/>
          </w:tcPr>
          <w:p w:rsidR="00AF059B" w:rsidRPr="0020182A" w:rsidRDefault="00AF059B" w:rsidP="00355518">
            <w:pPr>
              <w:pStyle w:val="Tabletext"/>
              <w:cnfStyle w:val="000000000000" w:firstRow="0" w:lastRow="0" w:firstColumn="0" w:lastColumn="0" w:oddVBand="0" w:evenVBand="0" w:oddHBand="0" w:evenHBand="0" w:firstRowFirstColumn="0" w:firstRowLastColumn="0" w:lastRowFirstColumn="0" w:lastRowLastColumn="0"/>
              <w:rPr>
                <w:sz w:val="18"/>
              </w:rPr>
            </w:pPr>
            <w:r w:rsidRPr="0020182A">
              <w:rPr>
                <w:sz w:val="18"/>
              </w:rPr>
              <w:t>People with disabilities, their families, carers and the organisations that represent them</w:t>
            </w:r>
          </w:p>
        </w:tc>
        <w:tc>
          <w:tcPr>
            <w:tcW w:w="732" w:type="pct"/>
          </w:tcPr>
          <w:p w:rsidR="00AF059B" w:rsidRPr="0020182A" w:rsidRDefault="00AF059B" w:rsidP="00264AD6">
            <w:pPr>
              <w:pStyle w:val="Tabletext"/>
              <w:jc w:val="center"/>
              <w:cnfStyle w:val="000000000000" w:firstRow="0" w:lastRow="0" w:firstColumn="0" w:lastColumn="0" w:oddVBand="0" w:evenVBand="0" w:oddHBand="0" w:evenHBand="0" w:firstRowFirstColumn="0" w:firstRowLastColumn="0" w:lastRowFirstColumn="0" w:lastRowLastColumn="0"/>
              <w:rPr>
                <w:sz w:val="18"/>
              </w:rPr>
            </w:pPr>
            <w:r w:rsidRPr="0020182A">
              <w:rPr>
                <w:sz w:val="18"/>
              </w:rPr>
              <w:t>10</w:t>
            </w:r>
          </w:p>
        </w:tc>
        <w:tc>
          <w:tcPr>
            <w:tcW w:w="762" w:type="pct"/>
          </w:tcPr>
          <w:p w:rsidR="00AF059B" w:rsidRPr="0020182A" w:rsidRDefault="00AF059B" w:rsidP="00264AD6">
            <w:pPr>
              <w:pStyle w:val="Tabletext"/>
              <w:jc w:val="center"/>
              <w:cnfStyle w:val="000000000000" w:firstRow="0" w:lastRow="0" w:firstColumn="0" w:lastColumn="0" w:oddVBand="0" w:evenVBand="0" w:oddHBand="0" w:evenHBand="0" w:firstRowFirstColumn="0" w:firstRowLastColumn="0" w:lastRowFirstColumn="0" w:lastRowLastColumn="0"/>
              <w:rPr>
                <w:sz w:val="18"/>
              </w:rPr>
            </w:pPr>
            <w:r w:rsidRPr="0020182A">
              <w:rPr>
                <w:sz w:val="18"/>
              </w:rPr>
              <w:t>65</w:t>
            </w:r>
          </w:p>
        </w:tc>
      </w:tr>
      <w:tr w:rsidR="00AF059B" w:rsidRPr="0020182A" w:rsidTr="00264AD6">
        <w:trPr>
          <w:trHeight w:val="647"/>
        </w:trPr>
        <w:tc>
          <w:tcPr>
            <w:cnfStyle w:val="001000000000" w:firstRow="0" w:lastRow="0" w:firstColumn="1" w:lastColumn="0" w:oddVBand="0" w:evenVBand="0" w:oddHBand="0" w:evenHBand="0" w:firstRowFirstColumn="0" w:firstRowLastColumn="0" w:lastRowFirstColumn="0" w:lastRowLastColumn="0"/>
            <w:tcW w:w="822" w:type="pct"/>
          </w:tcPr>
          <w:p w:rsidR="00AF059B" w:rsidRPr="0020182A" w:rsidRDefault="00AF059B" w:rsidP="00355518">
            <w:pPr>
              <w:pStyle w:val="Tabletext"/>
              <w:rPr>
                <w:sz w:val="18"/>
              </w:rPr>
            </w:pPr>
            <w:r w:rsidRPr="0020182A">
              <w:rPr>
                <w:sz w:val="18"/>
              </w:rPr>
              <w:t xml:space="preserve">Confidential discussions </w:t>
            </w:r>
          </w:p>
        </w:tc>
        <w:tc>
          <w:tcPr>
            <w:tcW w:w="2683" w:type="pct"/>
          </w:tcPr>
          <w:p w:rsidR="00AF059B" w:rsidRPr="0020182A" w:rsidRDefault="00AF059B" w:rsidP="00654BA2">
            <w:pPr>
              <w:pStyle w:val="Tabletext"/>
              <w:cnfStyle w:val="000000000000" w:firstRow="0" w:lastRow="0" w:firstColumn="0" w:lastColumn="0" w:oddVBand="0" w:evenVBand="0" w:oddHBand="0" w:evenHBand="0" w:firstRowFirstColumn="0" w:firstRowLastColumn="0" w:lastRowFirstColumn="0" w:lastRowLastColumn="0"/>
              <w:rPr>
                <w:sz w:val="18"/>
              </w:rPr>
            </w:pPr>
            <w:r w:rsidRPr="0020182A">
              <w:rPr>
                <w:sz w:val="18"/>
              </w:rPr>
              <w:t>Current and potent</w:t>
            </w:r>
            <w:r w:rsidR="00654BA2" w:rsidRPr="0020182A">
              <w:rPr>
                <w:sz w:val="18"/>
              </w:rPr>
              <w:t>ial SDA providers and investors, r</w:t>
            </w:r>
            <w:r w:rsidRPr="0020182A">
              <w:rPr>
                <w:sz w:val="18"/>
              </w:rPr>
              <w:t>epresentative organisations</w:t>
            </w:r>
            <w:r w:rsidR="00654BA2" w:rsidRPr="0020182A">
              <w:rPr>
                <w:sz w:val="18"/>
              </w:rPr>
              <w:t xml:space="preserve"> and governments</w:t>
            </w:r>
          </w:p>
        </w:tc>
        <w:tc>
          <w:tcPr>
            <w:tcW w:w="732" w:type="pct"/>
          </w:tcPr>
          <w:p w:rsidR="00AF059B" w:rsidRPr="0020182A" w:rsidRDefault="00AF059B" w:rsidP="00264AD6">
            <w:pPr>
              <w:pStyle w:val="Tabletext"/>
              <w:jc w:val="center"/>
              <w:cnfStyle w:val="000000000000" w:firstRow="0" w:lastRow="0" w:firstColumn="0" w:lastColumn="0" w:oddVBand="0" w:evenVBand="0" w:oddHBand="0" w:evenHBand="0" w:firstRowFirstColumn="0" w:firstRowLastColumn="0" w:lastRowFirstColumn="0" w:lastRowLastColumn="0"/>
              <w:rPr>
                <w:sz w:val="18"/>
              </w:rPr>
            </w:pPr>
            <w:r w:rsidRPr="0020182A">
              <w:rPr>
                <w:sz w:val="18"/>
              </w:rPr>
              <w:t>25</w:t>
            </w:r>
          </w:p>
        </w:tc>
        <w:tc>
          <w:tcPr>
            <w:tcW w:w="762" w:type="pct"/>
          </w:tcPr>
          <w:p w:rsidR="00AF059B" w:rsidRPr="0020182A" w:rsidRDefault="00AF059B" w:rsidP="00264AD6">
            <w:pPr>
              <w:pStyle w:val="Tabletext"/>
              <w:jc w:val="center"/>
              <w:cnfStyle w:val="000000000000" w:firstRow="0" w:lastRow="0" w:firstColumn="0" w:lastColumn="0" w:oddVBand="0" w:evenVBand="0" w:oddHBand="0" w:evenHBand="0" w:firstRowFirstColumn="0" w:firstRowLastColumn="0" w:lastRowFirstColumn="0" w:lastRowLastColumn="0"/>
              <w:rPr>
                <w:sz w:val="18"/>
              </w:rPr>
            </w:pPr>
            <w:r w:rsidRPr="0020182A">
              <w:rPr>
                <w:sz w:val="18"/>
              </w:rPr>
              <w:t>n/a</w:t>
            </w:r>
          </w:p>
        </w:tc>
      </w:tr>
      <w:tr w:rsidR="009C315A" w:rsidRPr="0020182A" w:rsidTr="009C315A">
        <w:tblPrEx>
          <w:tblBorders>
            <w:top w:val="single" w:sz="4" w:space="0" w:color="8AD7FF" w:themeColor="accent2" w:themeTint="66"/>
            <w:left w:val="single" w:sz="4" w:space="0" w:color="8AD7FF" w:themeColor="accent2" w:themeTint="66"/>
            <w:bottom w:val="single" w:sz="4" w:space="0" w:color="8AD7FF" w:themeColor="accent2" w:themeTint="66"/>
            <w:right w:val="single" w:sz="4" w:space="0" w:color="8AD7FF" w:themeColor="accent2" w:themeTint="66"/>
            <w:insideH w:val="single" w:sz="4" w:space="0" w:color="8AD7FF" w:themeColor="accent2" w:themeTint="66"/>
            <w:insideV w:val="single" w:sz="4" w:space="0" w:color="8AD7FF" w:themeColor="accent2" w:themeTint="66"/>
          </w:tblBorders>
        </w:tblPrEx>
        <w:trPr>
          <w:trHeight w:val="1197"/>
        </w:trPr>
        <w:tc>
          <w:tcPr>
            <w:cnfStyle w:val="001000000000" w:firstRow="0" w:lastRow="0" w:firstColumn="1" w:lastColumn="0" w:oddVBand="0" w:evenVBand="0" w:oddHBand="0" w:evenHBand="0" w:firstRowFirstColumn="0" w:firstRowLastColumn="0" w:lastRowFirstColumn="0" w:lastRowLastColumn="0"/>
            <w:tcW w:w="823" w:type="pct"/>
          </w:tcPr>
          <w:p w:rsidR="009C315A" w:rsidRPr="0020182A" w:rsidRDefault="009C315A" w:rsidP="00A354DC">
            <w:pPr>
              <w:pStyle w:val="Tabletext"/>
              <w:rPr>
                <w:sz w:val="18"/>
              </w:rPr>
            </w:pPr>
            <w:r w:rsidRPr="0020182A">
              <w:rPr>
                <w:sz w:val="18"/>
              </w:rPr>
              <w:t xml:space="preserve">Written submissions </w:t>
            </w:r>
          </w:p>
        </w:tc>
        <w:tc>
          <w:tcPr>
            <w:tcW w:w="2683" w:type="pct"/>
          </w:tcPr>
          <w:p w:rsidR="009C315A" w:rsidRPr="0020182A" w:rsidRDefault="009C315A" w:rsidP="00A354DC">
            <w:pPr>
              <w:pStyle w:val="Tabletext"/>
              <w:cnfStyle w:val="000000000000" w:firstRow="0" w:lastRow="0" w:firstColumn="0" w:lastColumn="0" w:oddVBand="0" w:evenVBand="0" w:oddHBand="0" w:evenHBand="0" w:firstRowFirstColumn="0" w:firstRowLastColumn="0" w:lastRowFirstColumn="0" w:lastRowLastColumn="0"/>
              <w:rPr>
                <w:sz w:val="18"/>
              </w:rPr>
            </w:pPr>
            <w:r w:rsidRPr="0020182A">
              <w:rPr>
                <w:sz w:val="18"/>
              </w:rPr>
              <w:t>People with disabilities, their families, carers and the organisations that represent them</w:t>
            </w:r>
          </w:p>
          <w:p w:rsidR="009C315A" w:rsidRPr="0020182A" w:rsidRDefault="009C315A" w:rsidP="00A354DC">
            <w:pPr>
              <w:pStyle w:val="Tabletext"/>
              <w:cnfStyle w:val="000000000000" w:firstRow="0" w:lastRow="0" w:firstColumn="0" w:lastColumn="0" w:oddVBand="0" w:evenVBand="0" w:oddHBand="0" w:evenHBand="0" w:firstRowFirstColumn="0" w:firstRowLastColumn="0" w:lastRowFirstColumn="0" w:lastRowLastColumn="0"/>
              <w:rPr>
                <w:sz w:val="18"/>
              </w:rPr>
            </w:pPr>
            <w:r w:rsidRPr="0020182A">
              <w:rPr>
                <w:sz w:val="18"/>
              </w:rPr>
              <w:t>Current and potential SDA providers and investors and the organisations that represent them</w:t>
            </w:r>
          </w:p>
          <w:p w:rsidR="009C315A" w:rsidRPr="0020182A" w:rsidRDefault="009C315A" w:rsidP="00A354DC">
            <w:pPr>
              <w:pStyle w:val="Tabletext"/>
              <w:cnfStyle w:val="000000000000" w:firstRow="0" w:lastRow="0" w:firstColumn="0" w:lastColumn="0" w:oddVBand="0" w:evenVBand="0" w:oddHBand="0" w:evenHBand="0" w:firstRowFirstColumn="0" w:firstRowLastColumn="0" w:lastRowFirstColumn="0" w:lastRowLastColumn="0"/>
              <w:rPr>
                <w:sz w:val="18"/>
              </w:rPr>
            </w:pPr>
            <w:r w:rsidRPr="0020182A">
              <w:rPr>
                <w:sz w:val="18"/>
              </w:rPr>
              <w:t>National Disability Insurance Agency</w:t>
            </w:r>
          </w:p>
        </w:tc>
        <w:tc>
          <w:tcPr>
            <w:tcW w:w="732" w:type="pct"/>
          </w:tcPr>
          <w:p w:rsidR="009C315A" w:rsidRPr="0020182A" w:rsidRDefault="009C315A" w:rsidP="00A354DC">
            <w:pPr>
              <w:pStyle w:val="Tabletext"/>
              <w:jc w:val="center"/>
              <w:cnfStyle w:val="000000000000" w:firstRow="0" w:lastRow="0" w:firstColumn="0" w:lastColumn="0" w:oddVBand="0" w:evenVBand="0" w:oddHBand="0" w:evenHBand="0" w:firstRowFirstColumn="0" w:firstRowLastColumn="0" w:lastRowFirstColumn="0" w:lastRowLastColumn="0"/>
              <w:rPr>
                <w:sz w:val="18"/>
              </w:rPr>
            </w:pPr>
            <w:r w:rsidRPr="0020182A">
              <w:rPr>
                <w:sz w:val="18"/>
              </w:rPr>
              <w:t>n/a</w:t>
            </w:r>
          </w:p>
        </w:tc>
        <w:tc>
          <w:tcPr>
            <w:tcW w:w="762" w:type="pct"/>
          </w:tcPr>
          <w:p w:rsidR="009C315A" w:rsidRPr="0020182A" w:rsidRDefault="009C315A" w:rsidP="00A354DC">
            <w:pPr>
              <w:pStyle w:val="Tabletext"/>
              <w:jc w:val="center"/>
              <w:cnfStyle w:val="000000000000" w:firstRow="0" w:lastRow="0" w:firstColumn="0" w:lastColumn="0" w:oddVBand="0" w:evenVBand="0" w:oddHBand="0" w:evenHBand="0" w:firstRowFirstColumn="0" w:firstRowLastColumn="0" w:lastRowFirstColumn="0" w:lastRowLastColumn="0"/>
              <w:rPr>
                <w:sz w:val="18"/>
              </w:rPr>
            </w:pPr>
            <w:r w:rsidRPr="0020182A">
              <w:rPr>
                <w:sz w:val="18"/>
              </w:rPr>
              <w:t>51</w:t>
            </w:r>
          </w:p>
        </w:tc>
      </w:tr>
    </w:tbl>
    <w:p w:rsidR="00AF059B" w:rsidRPr="0020182A" w:rsidRDefault="00AF059B" w:rsidP="00AF059B">
      <w:pPr>
        <w:pStyle w:val="Caption"/>
      </w:pPr>
      <w:r w:rsidRPr="0020182A">
        <w:t>Source: KPMG</w:t>
      </w:r>
    </w:p>
    <w:p w:rsidR="00AF059B" w:rsidRPr="0020182A" w:rsidRDefault="00AF059B" w:rsidP="00AF059B">
      <w:pPr>
        <w:pStyle w:val="Heading3"/>
      </w:pPr>
      <w:r w:rsidRPr="0020182A">
        <w:t>Technical analysis</w:t>
      </w:r>
    </w:p>
    <w:p w:rsidR="00AF059B" w:rsidRPr="0020182A" w:rsidRDefault="00AF059B" w:rsidP="00AF059B">
      <w:pPr>
        <w:pStyle w:val="BodyText1"/>
      </w:pPr>
      <w:r w:rsidRPr="0020182A">
        <w:t>Some analysis of available SDA supply and participant data was also undertaken to understand how the SDA market has developed since the SDA Framework was endorsed and</w:t>
      </w:r>
      <w:r w:rsidR="000A4E5C">
        <w:t xml:space="preserve"> the</w:t>
      </w:r>
      <w:r w:rsidRPr="0020182A">
        <w:t xml:space="preserve"> characteristics of participants accessing SDA. Specifically, this included analysis of:</w:t>
      </w:r>
    </w:p>
    <w:p w:rsidR="00AF059B" w:rsidRPr="0020182A" w:rsidRDefault="00AF059B" w:rsidP="009B671C">
      <w:pPr>
        <w:pStyle w:val="BodyText1"/>
        <w:numPr>
          <w:ilvl w:val="0"/>
          <w:numId w:val="17"/>
        </w:numPr>
      </w:pPr>
      <w:r w:rsidRPr="0020182A">
        <w:t xml:space="preserve">SDA dwelling registrations over time, by dwelling type, design category and location </w:t>
      </w:r>
    </w:p>
    <w:p w:rsidR="00AF059B" w:rsidRPr="0020182A" w:rsidRDefault="000A4E5C" w:rsidP="009B671C">
      <w:pPr>
        <w:pStyle w:val="BodyText1"/>
        <w:numPr>
          <w:ilvl w:val="0"/>
          <w:numId w:val="17"/>
        </w:numPr>
      </w:pPr>
      <w:r>
        <w:t>p</w:t>
      </w:r>
      <w:r w:rsidRPr="0020182A">
        <w:t xml:space="preserve">articipant </w:t>
      </w:r>
      <w:r w:rsidR="00AF059B" w:rsidRPr="0020182A">
        <w:t>SDA funding allocations and amounts expended to date</w:t>
      </w:r>
      <w:r w:rsidR="005A7CA6" w:rsidRPr="0020182A">
        <w:t>.</w:t>
      </w:r>
    </w:p>
    <w:p w:rsidR="00AF059B" w:rsidRPr="0020182A" w:rsidRDefault="00AF059B" w:rsidP="00AF059B">
      <w:pPr>
        <w:pStyle w:val="BodyText1"/>
      </w:pPr>
      <w:r w:rsidRPr="0020182A">
        <w:t>There are a number of limitations to th</w:t>
      </w:r>
      <w:r w:rsidR="00D00E0D" w:rsidRPr="0020182A">
        <w:t xml:space="preserve">e technical </w:t>
      </w:r>
      <w:r w:rsidRPr="0020182A">
        <w:t xml:space="preserve">analysis </w:t>
      </w:r>
      <w:r w:rsidR="00D00E0D" w:rsidRPr="0020182A">
        <w:t xml:space="preserve">undertaken </w:t>
      </w:r>
      <w:r w:rsidRPr="0020182A">
        <w:t xml:space="preserve">which should be </w:t>
      </w:r>
      <w:r w:rsidR="00D00E0D" w:rsidRPr="0020182A">
        <w:t>noted</w:t>
      </w:r>
      <w:r w:rsidRPr="0020182A">
        <w:t>:</w:t>
      </w:r>
    </w:p>
    <w:p w:rsidR="00AF059B" w:rsidRPr="0020182A" w:rsidRDefault="00AF059B" w:rsidP="009B671C">
      <w:pPr>
        <w:pStyle w:val="Bullet1stlevel"/>
        <w:numPr>
          <w:ilvl w:val="0"/>
          <w:numId w:val="70"/>
        </w:numPr>
      </w:pPr>
      <w:r w:rsidRPr="0020182A">
        <w:t xml:space="preserve">The scope of this Review, as provided for by its </w:t>
      </w:r>
      <w:r w:rsidR="005A7CA6" w:rsidRPr="0020182A">
        <w:t>TORs</w:t>
      </w:r>
      <w:r w:rsidR="00D00E0D" w:rsidRPr="0020182A">
        <w:t>,</w:t>
      </w:r>
      <w:r w:rsidRPr="0020182A">
        <w:t xml:space="preserve"> did not include a review of prices set by the NDIA or assumptions used to determine those prices. As such, findings in relation to prices are based on the evidence provided through consultation activity as well as some limited analysis undertaken (and identified in the report) by KPMG</w:t>
      </w:r>
      <w:r w:rsidR="005A7CA6" w:rsidRPr="0020182A">
        <w:t>.</w:t>
      </w:r>
    </w:p>
    <w:p w:rsidR="00AF059B" w:rsidRPr="0020182A" w:rsidRDefault="00AF059B" w:rsidP="009B671C">
      <w:pPr>
        <w:pStyle w:val="Bullet1stlevel"/>
        <w:numPr>
          <w:ilvl w:val="0"/>
          <w:numId w:val="70"/>
        </w:numPr>
      </w:pPr>
      <w:r w:rsidRPr="0020182A">
        <w:lastRenderedPageBreak/>
        <w:t xml:space="preserve">The data provided by the NDIA does not necessarily represent current supply and demand. Participant data was taken at a point in time in </w:t>
      </w:r>
      <w:r w:rsidR="00F61B99" w:rsidRPr="00F06A5B">
        <w:t>September</w:t>
      </w:r>
      <w:r w:rsidR="00F61B99" w:rsidRPr="00F61B99">
        <w:t xml:space="preserve"> </w:t>
      </w:r>
      <w:r w:rsidRPr="00F61B99">
        <w:t>2018</w:t>
      </w:r>
      <w:r w:rsidRPr="0020182A">
        <w:t>, and is only representative of participants who were already deemed eligible for SDA and allocated funding in their NDIS plans. Provider data was taken at a point in time in</w:t>
      </w:r>
      <w:r w:rsidR="00F61B99">
        <w:t xml:space="preserve"> September </w:t>
      </w:r>
      <w:r w:rsidRPr="00F61B99">
        <w:t>2018</w:t>
      </w:r>
      <w:r w:rsidRPr="0020182A">
        <w:t xml:space="preserve">, and only represents enrolled dwellings with the NDIA, which will not include dwellings that are still under development or planning. </w:t>
      </w:r>
    </w:p>
    <w:bookmarkEnd w:id="32"/>
    <w:p w:rsidR="004E793A" w:rsidRPr="0020182A" w:rsidRDefault="004E793A" w:rsidP="00B8401A">
      <w:pPr>
        <w:pStyle w:val="BodyText1"/>
        <w:sectPr w:rsidR="004E793A" w:rsidRPr="0020182A" w:rsidSect="000C5DF4">
          <w:headerReference w:type="default" r:id="rId35"/>
          <w:footerReference w:type="default" r:id="rId36"/>
          <w:pgSz w:w="11906" w:h="16838"/>
          <w:pgMar w:top="1418" w:right="1418" w:bottom="1418" w:left="1418" w:header="340" w:footer="453" w:gutter="0"/>
          <w:cols w:space="708"/>
          <w:docGrid w:linePitch="360"/>
        </w:sectPr>
      </w:pPr>
    </w:p>
    <w:p w:rsidR="00DD5D11" w:rsidRDefault="00DD5D11" w:rsidP="00B92F60">
      <w:pPr>
        <w:pStyle w:val="Dividernumber"/>
      </w:pPr>
    </w:p>
    <w:p w:rsidR="00DD5D11" w:rsidRDefault="00DD5D11" w:rsidP="00B92F60">
      <w:pPr>
        <w:pStyle w:val="Dividernumber"/>
      </w:pPr>
    </w:p>
    <w:p w:rsidR="00B92F60" w:rsidRPr="00B92F60" w:rsidRDefault="00B92F60" w:rsidP="00B92F60">
      <w:pPr>
        <w:pStyle w:val="Dividernumber"/>
      </w:pPr>
      <w:r w:rsidRPr="00B92F60">
        <w:t>03</w:t>
      </w:r>
    </w:p>
    <w:p w:rsidR="00B92F60" w:rsidRPr="00B92F60" w:rsidRDefault="00B92F60" w:rsidP="00B92F60">
      <w:pPr>
        <w:rPr>
          <w:rFonts w:ascii="KPMG Extralight" w:eastAsiaTheme="majorEastAsia" w:hAnsi="KPMG Extralight" w:cstheme="majorBidi"/>
          <w:color w:val="0091DA" w:themeColor="accent2"/>
          <w:sz w:val="120"/>
          <w:szCs w:val="120"/>
        </w:rPr>
      </w:pPr>
    </w:p>
    <w:p w:rsidR="004E793A" w:rsidRPr="00B92F60" w:rsidRDefault="00B92F60" w:rsidP="00B92F60">
      <w:pPr>
        <w:jc w:val="center"/>
        <w:rPr>
          <w:rFonts w:ascii="KPMG Extralight" w:eastAsiaTheme="majorEastAsia" w:hAnsi="KPMG Extralight" w:cstheme="majorBidi"/>
          <w:color w:val="0091DA" w:themeColor="accent2"/>
          <w:sz w:val="120"/>
          <w:szCs w:val="120"/>
        </w:rPr>
        <w:sectPr w:rsidR="004E793A" w:rsidRPr="00B92F60" w:rsidSect="000C5DF4">
          <w:headerReference w:type="default" r:id="rId37"/>
          <w:footerReference w:type="default" r:id="rId38"/>
          <w:pgSz w:w="11906" w:h="16838"/>
          <w:pgMar w:top="1418" w:right="1418" w:bottom="1418" w:left="1418" w:header="340" w:footer="453" w:gutter="0"/>
          <w:cols w:space="708"/>
          <w:docGrid w:linePitch="360"/>
        </w:sectPr>
      </w:pPr>
      <w:r w:rsidRPr="00B92F60">
        <w:rPr>
          <w:rFonts w:ascii="KPMG Extralight" w:eastAsiaTheme="majorEastAsia" w:hAnsi="KPMG Extralight" w:cstheme="majorBidi"/>
          <w:color w:val="0091DA" w:themeColor="accent2"/>
          <w:sz w:val="120"/>
          <w:szCs w:val="120"/>
        </w:rPr>
        <w:t xml:space="preserve">Delivering a new specialist </w:t>
      </w:r>
      <w:r w:rsidRPr="00B92F60">
        <w:rPr>
          <w:rFonts w:ascii="KPMG Extralight" w:eastAsiaTheme="majorEastAsia" w:hAnsi="KPMG Extralight" w:cstheme="majorBidi"/>
          <w:color w:val="0091DA" w:themeColor="accent2"/>
          <w:sz w:val="120"/>
          <w:szCs w:val="120"/>
        </w:rPr>
        <w:lastRenderedPageBreak/>
        <w:t>disability housing market</w:t>
      </w:r>
    </w:p>
    <w:p w:rsidR="003809AB" w:rsidRPr="0020182A" w:rsidRDefault="007B1A57" w:rsidP="00222A00">
      <w:pPr>
        <w:pStyle w:val="Heading1"/>
        <w:spacing w:line="192" w:lineRule="auto"/>
      </w:pPr>
      <w:bookmarkStart w:id="41" w:name="_Toc523122968"/>
      <w:bookmarkStart w:id="42" w:name="_Toc530648950"/>
      <w:r w:rsidRPr="0020182A">
        <w:lastRenderedPageBreak/>
        <w:t xml:space="preserve">Delivering a new specialist </w:t>
      </w:r>
      <w:r w:rsidR="000A180E" w:rsidRPr="0020182A">
        <w:t xml:space="preserve">disability </w:t>
      </w:r>
      <w:r w:rsidR="000C5747" w:rsidRPr="0020182A">
        <w:t>housing market</w:t>
      </w:r>
      <w:bookmarkEnd w:id="41"/>
      <w:bookmarkEnd w:id="42"/>
    </w:p>
    <w:p w:rsidR="000C5747" w:rsidRPr="0020182A" w:rsidRDefault="000C5747" w:rsidP="000C5747">
      <w:pPr>
        <w:pStyle w:val="Heading2"/>
      </w:pPr>
      <w:bookmarkStart w:id="43" w:name="_Toc523122969"/>
      <w:bookmarkStart w:id="44" w:name="_Toc530648951"/>
      <w:r w:rsidRPr="0020182A">
        <w:t>Features of a successful market</w:t>
      </w:r>
      <w:bookmarkEnd w:id="43"/>
      <w:bookmarkEnd w:id="44"/>
    </w:p>
    <w:p w:rsidR="000C5747" w:rsidRPr="0020182A" w:rsidRDefault="000C5747" w:rsidP="00B8401A">
      <w:pPr>
        <w:pStyle w:val="BodyText1"/>
        <w:rPr>
          <w:lang w:val="en-US"/>
        </w:rPr>
      </w:pPr>
      <w:r w:rsidRPr="0020182A">
        <w:rPr>
          <w:lang w:val="en-US"/>
        </w:rPr>
        <w:t>Market</w:t>
      </w:r>
      <w:r w:rsidR="005A59A6" w:rsidRPr="0020182A">
        <w:rPr>
          <w:lang w:val="en-US"/>
        </w:rPr>
        <w:t>s</w:t>
      </w:r>
      <w:r w:rsidRPr="0020182A">
        <w:rPr>
          <w:lang w:val="en-US"/>
        </w:rPr>
        <w:t xml:space="preserve"> are physical or virtual places </w:t>
      </w:r>
      <w:r w:rsidR="000A4E5C">
        <w:rPr>
          <w:lang w:val="en-US"/>
        </w:rPr>
        <w:t>that</w:t>
      </w:r>
      <w:r w:rsidR="000A4E5C" w:rsidRPr="0020182A">
        <w:rPr>
          <w:lang w:val="en-US"/>
        </w:rPr>
        <w:t xml:space="preserve"> </w:t>
      </w:r>
      <w:r w:rsidRPr="0020182A">
        <w:rPr>
          <w:lang w:val="en-US"/>
        </w:rPr>
        <w:t>facilitate the voluntary exchange of goods and services based on supply and demand. Markets can take a range of different forms and can facilitate the exchange of a wide range of goods and services. They include, but are not limited to:</w:t>
      </w:r>
    </w:p>
    <w:p w:rsidR="000C5747" w:rsidRPr="0020182A" w:rsidRDefault="000A4E5C" w:rsidP="009B671C">
      <w:pPr>
        <w:pStyle w:val="Bullet1stlevel"/>
        <w:numPr>
          <w:ilvl w:val="0"/>
          <w:numId w:val="77"/>
        </w:numPr>
        <w:rPr>
          <w:lang w:val="en-US"/>
        </w:rPr>
      </w:pPr>
      <w:r>
        <w:rPr>
          <w:lang w:val="en-US"/>
        </w:rPr>
        <w:t>p</w:t>
      </w:r>
      <w:r w:rsidRPr="0020182A">
        <w:rPr>
          <w:lang w:val="en-US"/>
        </w:rPr>
        <w:t xml:space="preserve">hysical </w:t>
      </w:r>
      <w:r w:rsidR="000C5747" w:rsidRPr="0020182A">
        <w:rPr>
          <w:lang w:val="en-US"/>
        </w:rPr>
        <w:t>consumer or business markets</w:t>
      </w:r>
    </w:p>
    <w:p w:rsidR="000C5747" w:rsidRPr="0020182A" w:rsidRDefault="000A4E5C" w:rsidP="009B671C">
      <w:pPr>
        <w:pStyle w:val="Bullet1stlevel"/>
        <w:numPr>
          <w:ilvl w:val="0"/>
          <w:numId w:val="77"/>
        </w:numPr>
        <w:rPr>
          <w:lang w:val="en-US"/>
        </w:rPr>
      </w:pPr>
      <w:r>
        <w:rPr>
          <w:lang w:val="en-US"/>
        </w:rPr>
        <w:t>n</w:t>
      </w:r>
      <w:r w:rsidRPr="0020182A">
        <w:rPr>
          <w:lang w:val="en-US"/>
        </w:rPr>
        <w:t>on</w:t>
      </w:r>
      <w:r w:rsidR="000C5747" w:rsidRPr="0020182A">
        <w:rPr>
          <w:lang w:val="en-US"/>
        </w:rPr>
        <w:t>-physical markets</w:t>
      </w:r>
      <w:r w:rsidR="00EC5F5E" w:rsidRPr="0020182A">
        <w:rPr>
          <w:lang w:val="en-US"/>
        </w:rPr>
        <w:t>.</w:t>
      </w:r>
      <w:r w:rsidR="000C5747" w:rsidRPr="0020182A">
        <w:rPr>
          <w:b/>
          <w:lang w:val="en-US"/>
        </w:rPr>
        <w:t xml:space="preserve"> </w:t>
      </w:r>
    </w:p>
    <w:p w:rsidR="000C5747" w:rsidRPr="0020182A" w:rsidRDefault="000A4E5C" w:rsidP="009B671C">
      <w:pPr>
        <w:pStyle w:val="Bullet1stlevel"/>
        <w:numPr>
          <w:ilvl w:val="0"/>
          <w:numId w:val="77"/>
        </w:numPr>
        <w:rPr>
          <w:lang w:val="en-US"/>
        </w:rPr>
      </w:pPr>
      <w:r>
        <w:rPr>
          <w:lang w:val="en-US"/>
        </w:rPr>
        <w:t>f</w:t>
      </w:r>
      <w:r w:rsidRPr="0020182A">
        <w:rPr>
          <w:lang w:val="en-US"/>
        </w:rPr>
        <w:t xml:space="preserve">inancial </w:t>
      </w:r>
      <w:r w:rsidR="000C5747" w:rsidRPr="0020182A">
        <w:rPr>
          <w:lang w:val="en-US"/>
        </w:rPr>
        <w:t>markets</w:t>
      </w:r>
      <w:r w:rsidR="00EC5F5E" w:rsidRPr="0020182A">
        <w:rPr>
          <w:lang w:val="en-US"/>
        </w:rPr>
        <w:t>.</w:t>
      </w:r>
    </w:p>
    <w:p w:rsidR="000C5747" w:rsidRPr="0020182A" w:rsidRDefault="000C5747" w:rsidP="00B8401A">
      <w:pPr>
        <w:pStyle w:val="BodyText1"/>
        <w:rPr>
          <w:lang w:val="en-US"/>
        </w:rPr>
      </w:pPr>
      <w:r w:rsidRPr="0020182A">
        <w:rPr>
          <w:lang w:val="en-US"/>
        </w:rPr>
        <w:t xml:space="preserve">The central premise underpinning the operation of markets </w:t>
      </w:r>
      <w:r w:rsidR="00EC5F5E" w:rsidRPr="0020182A">
        <w:rPr>
          <w:lang w:val="en-US"/>
        </w:rPr>
        <w:t xml:space="preserve">is </w:t>
      </w:r>
      <w:r w:rsidRPr="0020182A">
        <w:rPr>
          <w:lang w:val="en-US"/>
        </w:rPr>
        <w:t>the notion</w:t>
      </w:r>
      <w:r w:rsidR="00EC5F5E" w:rsidRPr="0020182A">
        <w:rPr>
          <w:lang w:val="en-US"/>
        </w:rPr>
        <w:t xml:space="preserve"> </w:t>
      </w:r>
      <w:r w:rsidRPr="0020182A">
        <w:rPr>
          <w:lang w:val="en-US"/>
        </w:rPr>
        <w:t>of supply and demand. The theory of supply and demand is that, in a competitive market, the price for a particular good or service will vary until it settles at a point where the quantity demanded (at the current price) will equal the quantity supplied (at the current price).</w:t>
      </w:r>
      <w:r w:rsidRPr="0020182A">
        <w:rPr>
          <w:rStyle w:val="FootnoteReference"/>
          <w:lang w:val="en-US"/>
        </w:rPr>
        <w:footnoteReference w:id="11"/>
      </w:r>
      <w:r w:rsidRPr="0020182A">
        <w:rPr>
          <w:lang w:val="en-US"/>
        </w:rPr>
        <w:t xml:space="preserve"> </w:t>
      </w:r>
    </w:p>
    <w:p w:rsidR="000C5747" w:rsidRPr="0020182A" w:rsidRDefault="000C5747" w:rsidP="00B8401A">
      <w:pPr>
        <w:pStyle w:val="BodyText1"/>
        <w:rPr>
          <w:lang w:val="en-US"/>
        </w:rPr>
      </w:pPr>
      <w:r w:rsidRPr="0020182A">
        <w:rPr>
          <w:lang w:val="en-US"/>
        </w:rPr>
        <w:t xml:space="preserve">While in practice there are no examples of a truly ‘free market’, in its idealised form, it is a market where: </w:t>
      </w:r>
    </w:p>
    <w:p w:rsidR="004C5364" w:rsidRPr="0020182A" w:rsidRDefault="00AB24F3" w:rsidP="009B671C">
      <w:pPr>
        <w:pStyle w:val="BodyText1"/>
        <w:numPr>
          <w:ilvl w:val="0"/>
          <w:numId w:val="28"/>
        </w:numPr>
        <w:rPr>
          <w:lang w:val="en-US"/>
        </w:rPr>
      </w:pPr>
      <w:r w:rsidRPr="0020182A">
        <w:rPr>
          <w:lang w:val="en-US"/>
        </w:rPr>
        <w:t>i</w:t>
      </w:r>
      <w:r w:rsidR="004C5364" w:rsidRPr="0020182A">
        <w:rPr>
          <w:lang w:val="en-US"/>
        </w:rPr>
        <w:t>nformed consumers have access to transparent information from suppliers to support well-informed purchasing decisions</w:t>
      </w:r>
    </w:p>
    <w:p w:rsidR="004C5364" w:rsidRPr="0020182A" w:rsidRDefault="00AB24F3" w:rsidP="009B671C">
      <w:pPr>
        <w:pStyle w:val="BodyText1"/>
        <w:numPr>
          <w:ilvl w:val="0"/>
          <w:numId w:val="28"/>
        </w:numPr>
        <w:rPr>
          <w:lang w:val="en-US"/>
        </w:rPr>
      </w:pPr>
      <w:r w:rsidRPr="0020182A">
        <w:rPr>
          <w:lang w:val="en-US"/>
        </w:rPr>
        <w:t>t</w:t>
      </w:r>
      <w:r w:rsidR="004C5364" w:rsidRPr="0020182A">
        <w:rPr>
          <w:lang w:val="en-US"/>
        </w:rPr>
        <w:t>here is a competitive supply landscape, where consumer choice and competition among providers drives efficient allocation of resources, price competition, and improvements in quality for consumers</w:t>
      </w:r>
    </w:p>
    <w:p w:rsidR="004C5364" w:rsidRPr="0020182A" w:rsidRDefault="00AB24F3" w:rsidP="009B671C">
      <w:pPr>
        <w:pStyle w:val="BodyText1"/>
        <w:numPr>
          <w:ilvl w:val="0"/>
          <w:numId w:val="28"/>
        </w:numPr>
        <w:rPr>
          <w:lang w:val="en-US"/>
        </w:rPr>
      </w:pPr>
      <w:r w:rsidRPr="0020182A">
        <w:rPr>
          <w:lang w:val="en-US"/>
        </w:rPr>
        <w:t>l</w:t>
      </w:r>
      <w:r w:rsidR="004C5364" w:rsidRPr="0020182A">
        <w:rPr>
          <w:lang w:val="en-US"/>
        </w:rPr>
        <w:t>ow barriers to entry, whereby new and existing providers can enter the market or expand operations to be able to deliver more and different types of services</w:t>
      </w:r>
      <w:r w:rsidR="00EC5F5E" w:rsidRPr="0020182A">
        <w:rPr>
          <w:lang w:val="en-US"/>
        </w:rPr>
        <w:t>.</w:t>
      </w:r>
    </w:p>
    <w:p w:rsidR="000A4E5C" w:rsidRPr="0020182A" w:rsidRDefault="004C5364" w:rsidP="004C5364">
      <w:pPr>
        <w:pStyle w:val="BodyText1"/>
        <w:rPr>
          <w:lang w:val="en-US"/>
        </w:rPr>
      </w:pPr>
      <w:r w:rsidRPr="0020182A">
        <w:rPr>
          <w:lang w:val="en-US"/>
        </w:rPr>
        <w:t>The above market forces are delivered by the market with minimal or no regulatory intervention by government or other bodies.</w:t>
      </w:r>
      <w:r w:rsidR="000A4E5C">
        <w:rPr>
          <w:lang w:val="en-US"/>
        </w:rPr>
        <w:t xml:space="preserve"> </w:t>
      </w:r>
    </w:p>
    <w:p w:rsidR="000C5747" w:rsidRPr="0020182A" w:rsidRDefault="000A4E5C" w:rsidP="00B8401A">
      <w:pPr>
        <w:pStyle w:val="BodyText1"/>
        <w:rPr>
          <w:lang w:val="en-US"/>
        </w:rPr>
      </w:pPr>
      <w:r>
        <w:rPr>
          <w:lang w:val="en-US"/>
        </w:rPr>
        <w:t>t</w:t>
      </w:r>
      <w:r w:rsidR="000C5747" w:rsidRPr="0020182A">
        <w:rPr>
          <w:lang w:val="en-US"/>
        </w:rPr>
        <w:t xml:space="preserve">here may be instances where the outcomes delivered by markets are sub-optimal and desired market forces are not observed. There is a range of potential circumstances and drivers for this, for example: </w:t>
      </w:r>
    </w:p>
    <w:p w:rsidR="000C5747" w:rsidRPr="0020182A" w:rsidRDefault="000A4E5C" w:rsidP="009B671C">
      <w:pPr>
        <w:pStyle w:val="Bullet1stlevel"/>
        <w:numPr>
          <w:ilvl w:val="0"/>
          <w:numId w:val="71"/>
        </w:numPr>
        <w:rPr>
          <w:lang w:val="en-US"/>
        </w:rPr>
      </w:pPr>
      <w:r>
        <w:rPr>
          <w:lang w:val="en-US"/>
        </w:rPr>
        <w:t>m</w:t>
      </w:r>
      <w:r w:rsidR="000C5747" w:rsidRPr="0020182A">
        <w:rPr>
          <w:lang w:val="en-US"/>
        </w:rPr>
        <w:t xml:space="preserve">arkets may become thin where there are </w:t>
      </w:r>
      <w:r w:rsidR="000C5747" w:rsidRPr="0020182A">
        <w:t>supply shortages and disincentives for suppliers to enter the market</w:t>
      </w:r>
    </w:p>
    <w:p w:rsidR="000C5747" w:rsidRPr="0020182A" w:rsidRDefault="000A4E5C" w:rsidP="009B671C">
      <w:pPr>
        <w:pStyle w:val="Bullet1stlevel"/>
        <w:numPr>
          <w:ilvl w:val="0"/>
          <w:numId w:val="71"/>
        </w:numPr>
        <w:rPr>
          <w:lang w:val="en-US"/>
        </w:rPr>
      </w:pPr>
      <w:r>
        <w:t>m</w:t>
      </w:r>
      <w:r w:rsidRPr="0020182A">
        <w:t xml:space="preserve">arket </w:t>
      </w:r>
      <w:r w:rsidR="000C5747" w:rsidRPr="0020182A">
        <w:t>outcomes may be impacted where consumer choice is heavily constraine</w:t>
      </w:r>
      <w:r w:rsidR="00EC5F5E" w:rsidRPr="0020182A">
        <w:t>d.</w:t>
      </w:r>
    </w:p>
    <w:p w:rsidR="000C5747" w:rsidRPr="0020182A" w:rsidRDefault="000A4E5C" w:rsidP="009B671C">
      <w:pPr>
        <w:pStyle w:val="Bullet1stlevel"/>
        <w:numPr>
          <w:ilvl w:val="0"/>
          <w:numId w:val="71"/>
        </w:numPr>
        <w:rPr>
          <w:lang w:val="en-US"/>
        </w:rPr>
      </w:pPr>
      <w:r>
        <w:rPr>
          <w:lang w:val="en-US"/>
        </w:rPr>
        <w:lastRenderedPageBreak/>
        <w:t>c</w:t>
      </w:r>
      <w:r w:rsidR="000C5747" w:rsidRPr="0020182A">
        <w:rPr>
          <w:lang w:val="en-US"/>
        </w:rPr>
        <w:t xml:space="preserve">ompetition may be impacted through concentration of market share into one or a small number of providers. </w:t>
      </w:r>
    </w:p>
    <w:p w:rsidR="000C5747" w:rsidRPr="0020182A" w:rsidRDefault="000C5747" w:rsidP="00B8401A">
      <w:pPr>
        <w:pStyle w:val="BodyText1"/>
        <w:rPr>
          <w:lang w:val="en-US"/>
        </w:rPr>
      </w:pPr>
      <w:r w:rsidRPr="0020182A">
        <w:t>In the most severe cases, these issues (either in part or combination) may drive market failure, where the market temporarily or permanently cannot deliver individual and collective outcomes without significant regulatory intervention by government.</w:t>
      </w:r>
    </w:p>
    <w:p w:rsidR="000C5747" w:rsidRPr="0020182A" w:rsidRDefault="000C5747" w:rsidP="00B8401A">
      <w:pPr>
        <w:pStyle w:val="BodyText1"/>
        <w:rPr>
          <w:lang w:val="en-US"/>
        </w:rPr>
      </w:pPr>
      <w:r w:rsidRPr="0020182A">
        <w:rPr>
          <w:lang w:val="en-US"/>
        </w:rPr>
        <w:t>The following table outlines some of the characteristics that indicate a mature or successful market, including potential drivers of adverse outcomes for each characteristic.</w:t>
      </w:r>
    </w:p>
    <w:p w:rsidR="009C7581" w:rsidRPr="0020182A" w:rsidRDefault="009C7581" w:rsidP="009C7581">
      <w:pPr>
        <w:pStyle w:val="Caption"/>
        <w:keepNext/>
      </w:pPr>
      <w:r w:rsidRPr="0020182A">
        <w:t xml:space="preserve">Table </w:t>
      </w:r>
      <w:r w:rsidR="00A33310" w:rsidRPr="0020182A">
        <w:rPr>
          <w:noProof/>
        </w:rPr>
        <w:fldChar w:fldCharType="begin"/>
      </w:r>
      <w:r w:rsidR="00A33310" w:rsidRPr="0020182A">
        <w:rPr>
          <w:noProof/>
        </w:rPr>
        <w:instrText xml:space="preserve"> SEQ Table \* ARABIC </w:instrText>
      </w:r>
      <w:r w:rsidR="00A33310" w:rsidRPr="0020182A">
        <w:rPr>
          <w:noProof/>
        </w:rPr>
        <w:fldChar w:fldCharType="separate"/>
      </w:r>
      <w:r w:rsidR="00502D19">
        <w:rPr>
          <w:noProof/>
        </w:rPr>
        <w:t>2</w:t>
      </w:r>
      <w:r w:rsidR="00A33310" w:rsidRPr="0020182A">
        <w:rPr>
          <w:noProof/>
        </w:rPr>
        <w:fldChar w:fldCharType="end"/>
      </w:r>
      <w:r w:rsidRPr="0020182A">
        <w:t xml:space="preserve"> Characteristics of a successful market</w:t>
      </w:r>
    </w:p>
    <w:tbl>
      <w:tblPr>
        <w:tblStyle w:val="GridTable1Light-Accent2"/>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Caption w:val="Table 2: Characteristics of a successful market"/>
        <w:tblDescription w:val="Includes characteristics of a successful market as well as teh adverse outcomes and drivers for each characteristic. "/>
      </w:tblPr>
      <w:tblGrid>
        <w:gridCol w:w="3205"/>
        <w:gridCol w:w="5859"/>
      </w:tblGrid>
      <w:tr w:rsidR="000C5747" w:rsidRPr="0020182A" w:rsidTr="00F06A5B">
        <w:trPr>
          <w:cnfStyle w:val="100000000000" w:firstRow="1" w:lastRow="0" w:firstColumn="0" w:lastColumn="0" w:oddVBand="0" w:evenVBand="0" w:oddHBand="0" w:evenHBand="0" w:firstRowFirstColumn="0" w:firstRowLastColumn="0" w:lastRowFirstColumn="0" w:lastRowLastColumn="0"/>
          <w:trHeight w:val="387"/>
          <w:tblHeader/>
        </w:trPr>
        <w:tc>
          <w:tcPr>
            <w:cnfStyle w:val="001000000000" w:firstRow="0" w:lastRow="0" w:firstColumn="1" w:lastColumn="0" w:oddVBand="0" w:evenVBand="0" w:oddHBand="0" w:evenHBand="0" w:firstRowFirstColumn="0" w:firstRowLastColumn="0" w:lastRowFirstColumn="0" w:lastRowLastColumn="0"/>
            <w:tcW w:w="1768" w:type="pct"/>
            <w:shd w:val="clear" w:color="auto" w:fill="0091DA" w:themeFill="accent2"/>
            <w:vAlign w:val="bottom"/>
          </w:tcPr>
          <w:p w:rsidR="000C5747" w:rsidRPr="0020182A" w:rsidRDefault="000C5747" w:rsidP="005D335A">
            <w:pPr>
              <w:pStyle w:val="Tableheading"/>
            </w:pPr>
            <w:r w:rsidRPr="0020182A">
              <w:t>Characteristics of a successful market</w:t>
            </w:r>
          </w:p>
        </w:tc>
        <w:tc>
          <w:tcPr>
            <w:tcW w:w="3232" w:type="pct"/>
            <w:shd w:val="clear" w:color="auto" w:fill="0091DA" w:themeFill="accent2"/>
            <w:vAlign w:val="bottom"/>
          </w:tcPr>
          <w:p w:rsidR="000C5747" w:rsidRPr="0020182A" w:rsidRDefault="000C5747" w:rsidP="005D335A">
            <w:pPr>
              <w:pStyle w:val="Tableheading"/>
              <w:cnfStyle w:val="100000000000" w:firstRow="1" w:lastRow="0" w:firstColumn="0" w:lastColumn="0" w:oddVBand="0" w:evenVBand="0" w:oddHBand="0" w:evenHBand="0" w:firstRowFirstColumn="0" w:firstRowLastColumn="0" w:lastRowFirstColumn="0" w:lastRowLastColumn="0"/>
            </w:pPr>
            <w:r w:rsidRPr="0020182A">
              <w:t xml:space="preserve">Adverse outcomes and drivers </w:t>
            </w:r>
          </w:p>
        </w:tc>
      </w:tr>
      <w:tr w:rsidR="000C5747" w:rsidRPr="0020182A" w:rsidTr="00AB24F3">
        <w:trPr>
          <w:trHeight w:val="1858"/>
        </w:trPr>
        <w:tc>
          <w:tcPr>
            <w:cnfStyle w:val="001000000000" w:firstRow="0" w:lastRow="0" w:firstColumn="1" w:lastColumn="0" w:oddVBand="0" w:evenVBand="0" w:oddHBand="0" w:evenHBand="0" w:firstRowFirstColumn="0" w:firstRowLastColumn="0" w:lastRowFirstColumn="0" w:lastRowLastColumn="0"/>
            <w:tcW w:w="1768" w:type="pct"/>
          </w:tcPr>
          <w:p w:rsidR="000C5747" w:rsidRPr="0020182A" w:rsidRDefault="000C5747" w:rsidP="000C5747">
            <w:pPr>
              <w:pStyle w:val="BodyText2"/>
              <w:rPr>
                <w:b w:val="0"/>
                <w:sz w:val="20"/>
                <w:szCs w:val="20"/>
                <w:lang w:val="en-US"/>
              </w:rPr>
            </w:pPr>
            <w:r w:rsidRPr="0020182A">
              <w:rPr>
                <w:b w:val="0"/>
                <w:sz w:val="20"/>
                <w:szCs w:val="20"/>
                <w:lang w:val="en-US"/>
              </w:rPr>
              <w:t xml:space="preserve">Information symmetry where providers and consumers have access to accurate and complete information that enables informed choice </w:t>
            </w:r>
          </w:p>
        </w:tc>
        <w:tc>
          <w:tcPr>
            <w:tcW w:w="3232" w:type="pct"/>
          </w:tcPr>
          <w:p w:rsidR="000C5747" w:rsidRPr="0020182A" w:rsidRDefault="000C5747" w:rsidP="000C5747">
            <w:pPr>
              <w:pStyle w:val="BodyText2"/>
              <w:cnfStyle w:val="000000000000" w:firstRow="0" w:lastRow="0" w:firstColumn="0" w:lastColumn="0" w:oddVBand="0" w:evenVBand="0" w:oddHBand="0" w:evenHBand="0" w:firstRowFirstColumn="0" w:firstRowLastColumn="0" w:lastRowFirstColumn="0" w:lastRowLastColumn="0"/>
              <w:rPr>
                <w:sz w:val="20"/>
                <w:szCs w:val="20"/>
                <w:lang w:val="en-US"/>
              </w:rPr>
            </w:pPr>
            <w:r w:rsidRPr="0020182A">
              <w:rPr>
                <w:sz w:val="20"/>
                <w:szCs w:val="20"/>
                <w:lang w:val="en-US"/>
              </w:rPr>
              <w:t>Information is not readily available or accessible to consumers or providers, there is a lack of trust in information, and decision making is limited. This may be caused by:</w:t>
            </w:r>
          </w:p>
          <w:p w:rsidR="00C40BAB" w:rsidRPr="0020182A" w:rsidRDefault="00AB24F3" w:rsidP="00C40BAB">
            <w:pPr>
              <w:pStyle w:val="TableBullet1"/>
              <w:cnfStyle w:val="000000000000" w:firstRow="0" w:lastRow="0" w:firstColumn="0" w:lastColumn="0" w:oddVBand="0" w:evenVBand="0" w:oddHBand="0" w:evenHBand="0" w:firstRowFirstColumn="0" w:firstRowLastColumn="0" w:lastRowFirstColumn="0" w:lastRowLastColumn="0"/>
              <w:rPr>
                <w:lang w:val="en-US"/>
              </w:rPr>
            </w:pPr>
            <w:r w:rsidRPr="0020182A">
              <w:rPr>
                <w:lang w:val="en-US"/>
              </w:rPr>
              <w:t>l</w:t>
            </w:r>
            <w:r w:rsidR="000C5747" w:rsidRPr="0020182A">
              <w:rPr>
                <w:lang w:val="en-US"/>
              </w:rPr>
              <w:t>ack of competition</w:t>
            </w:r>
            <w:r w:rsidR="00B91151" w:rsidRPr="0020182A">
              <w:rPr>
                <w:lang w:val="en-US"/>
              </w:rPr>
              <w:t xml:space="preserve"> </w:t>
            </w:r>
          </w:p>
          <w:p w:rsidR="000C5747" w:rsidRPr="0020182A" w:rsidRDefault="00AB24F3" w:rsidP="00C40BAB">
            <w:pPr>
              <w:pStyle w:val="TableBullet1"/>
              <w:cnfStyle w:val="000000000000" w:firstRow="0" w:lastRow="0" w:firstColumn="0" w:lastColumn="0" w:oddVBand="0" w:evenVBand="0" w:oddHBand="0" w:evenHBand="0" w:firstRowFirstColumn="0" w:firstRowLastColumn="0" w:lastRowFirstColumn="0" w:lastRowLastColumn="0"/>
              <w:rPr>
                <w:lang w:val="en-US"/>
              </w:rPr>
            </w:pPr>
            <w:r w:rsidRPr="0020182A">
              <w:rPr>
                <w:lang w:val="en-US"/>
              </w:rPr>
              <w:t>b</w:t>
            </w:r>
            <w:r w:rsidR="000C5747" w:rsidRPr="0020182A">
              <w:rPr>
                <w:lang w:val="en-US"/>
              </w:rPr>
              <w:t>arriers to information sharing</w:t>
            </w:r>
          </w:p>
          <w:p w:rsidR="000C5747" w:rsidRPr="0020182A" w:rsidRDefault="00AB24F3" w:rsidP="005D335A">
            <w:pPr>
              <w:pStyle w:val="TableBullet1"/>
              <w:cnfStyle w:val="000000000000" w:firstRow="0" w:lastRow="0" w:firstColumn="0" w:lastColumn="0" w:oddVBand="0" w:evenVBand="0" w:oddHBand="0" w:evenHBand="0" w:firstRowFirstColumn="0" w:firstRowLastColumn="0" w:lastRowFirstColumn="0" w:lastRowLastColumn="0"/>
              <w:rPr>
                <w:lang w:val="en-US"/>
              </w:rPr>
            </w:pPr>
            <w:r w:rsidRPr="0020182A">
              <w:rPr>
                <w:lang w:val="en-US"/>
              </w:rPr>
              <w:t>u</w:t>
            </w:r>
            <w:r w:rsidR="000C5747" w:rsidRPr="0020182A">
              <w:rPr>
                <w:lang w:val="en-US"/>
              </w:rPr>
              <w:t>nderdevelopment of the market</w:t>
            </w:r>
          </w:p>
          <w:p w:rsidR="000C5747" w:rsidRPr="0020182A" w:rsidRDefault="00AB24F3" w:rsidP="005D335A">
            <w:pPr>
              <w:pStyle w:val="TableBullet1"/>
              <w:cnfStyle w:val="000000000000" w:firstRow="0" w:lastRow="0" w:firstColumn="0" w:lastColumn="0" w:oddVBand="0" w:evenVBand="0" w:oddHBand="0" w:evenHBand="0" w:firstRowFirstColumn="0" w:firstRowLastColumn="0" w:lastRowFirstColumn="0" w:lastRowLastColumn="0"/>
              <w:rPr>
                <w:lang w:val="en-US"/>
              </w:rPr>
            </w:pPr>
            <w:r w:rsidRPr="0020182A">
              <w:rPr>
                <w:lang w:val="en-US"/>
              </w:rPr>
              <w:t>l</w:t>
            </w:r>
            <w:r w:rsidR="000C5747" w:rsidRPr="0020182A">
              <w:rPr>
                <w:lang w:val="en-US"/>
              </w:rPr>
              <w:t>ack of consumer capacity to access information</w:t>
            </w:r>
            <w:r w:rsidR="00EC5F5E" w:rsidRPr="0020182A">
              <w:rPr>
                <w:lang w:val="en-US"/>
              </w:rPr>
              <w:t>.</w:t>
            </w:r>
          </w:p>
        </w:tc>
      </w:tr>
      <w:tr w:rsidR="000C5747" w:rsidRPr="0020182A" w:rsidTr="007E1DFF">
        <w:trPr>
          <w:trHeight w:val="754"/>
        </w:trPr>
        <w:tc>
          <w:tcPr>
            <w:cnfStyle w:val="001000000000" w:firstRow="0" w:lastRow="0" w:firstColumn="1" w:lastColumn="0" w:oddVBand="0" w:evenVBand="0" w:oddHBand="0" w:evenHBand="0" w:firstRowFirstColumn="0" w:firstRowLastColumn="0" w:lastRowFirstColumn="0" w:lastRowLastColumn="0"/>
            <w:tcW w:w="1768" w:type="pct"/>
          </w:tcPr>
          <w:p w:rsidR="000C5747" w:rsidRPr="0020182A" w:rsidRDefault="000C5747" w:rsidP="000C5747">
            <w:pPr>
              <w:pStyle w:val="BodyText2"/>
              <w:rPr>
                <w:b w:val="0"/>
                <w:sz w:val="20"/>
                <w:szCs w:val="20"/>
                <w:lang w:val="en-US"/>
              </w:rPr>
            </w:pPr>
            <w:r w:rsidRPr="0020182A">
              <w:rPr>
                <w:b w:val="0"/>
                <w:sz w:val="20"/>
                <w:szCs w:val="20"/>
                <w:lang w:val="en-US"/>
              </w:rPr>
              <w:t xml:space="preserve">There are low barriers to entry where new or expanding providers are not unduly prevented from entering the market and don’t stifle competition </w:t>
            </w:r>
          </w:p>
        </w:tc>
        <w:tc>
          <w:tcPr>
            <w:tcW w:w="3232" w:type="pct"/>
          </w:tcPr>
          <w:p w:rsidR="000C5747" w:rsidRPr="0020182A" w:rsidRDefault="000C5747" w:rsidP="000C5747">
            <w:pPr>
              <w:pStyle w:val="BodyText2"/>
              <w:cnfStyle w:val="000000000000" w:firstRow="0" w:lastRow="0" w:firstColumn="0" w:lastColumn="0" w:oddVBand="0" w:evenVBand="0" w:oddHBand="0" w:evenHBand="0" w:firstRowFirstColumn="0" w:firstRowLastColumn="0" w:lastRowFirstColumn="0" w:lastRowLastColumn="0"/>
              <w:rPr>
                <w:sz w:val="20"/>
                <w:szCs w:val="20"/>
                <w:lang w:val="en-US"/>
              </w:rPr>
            </w:pPr>
            <w:r w:rsidRPr="0020182A">
              <w:rPr>
                <w:sz w:val="20"/>
                <w:szCs w:val="20"/>
                <w:lang w:val="en-US"/>
              </w:rPr>
              <w:t>High barriers to entry prevent new firms into a market, stifling competition and leading to market concentration. This may be caused by:</w:t>
            </w:r>
          </w:p>
          <w:p w:rsidR="000C5747" w:rsidRPr="0020182A" w:rsidRDefault="00AB24F3" w:rsidP="005D335A">
            <w:pPr>
              <w:pStyle w:val="TableBullet1"/>
              <w:cnfStyle w:val="000000000000" w:firstRow="0" w:lastRow="0" w:firstColumn="0" w:lastColumn="0" w:oddVBand="0" w:evenVBand="0" w:oddHBand="0" w:evenHBand="0" w:firstRowFirstColumn="0" w:firstRowLastColumn="0" w:lastRowFirstColumn="0" w:lastRowLastColumn="0"/>
              <w:rPr>
                <w:lang w:val="en-US"/>
              </w:rPr>
            </w:pPr>
            <w:r w:rsidRPr="0020182A">
              <w:rPr>
                <w:lang w:val="en-US"/>
              </w:rPr>
              <w:t>h</w:t>
            </w:r>
            <w:r w:rsidR="000C5747" w:rsidRPr="0020182A">
              <w:rPr>
                <w:lang w:val="en-US"/>
              </w:rPr>
              <w:t>igh start-up/capital costs</w:t>
            </w:r>
          </w:p>
          <w:p w:rsidR="000C5747" w:rsidRPr="0020182A" w:rsidRDefault="00AB24F3" w:rsidP="005D335A">
            <w:pPr>
              <w:pStyle w:val="TableBullet1"/>
              <w:cnfStyle w:val="000000000000" w:firstRow="0" w:lastRow="0" w:firstColumn="0" w:lastColumn="0" w:oddVBand="0" w:evenVBand="0" w:oddHBand="0" w:evenHBand="0" w:firstRowFirstColumn="0" w:firstRowLastColumn="0" w:lastRowFirstColumn="0" w:lastRowLastColumn="0"/>
              <w:rPr>
                <w:lang w:val="en-US"/>
              </w:rPr>
            </w:pPr>
            <w:r w:rsidRPr="0020182A">
              <w:rPr>
                <w:lang w:val="en-US"/>
              </w:rPr>
              <w:t>d</w:t>
            </w:r>
            <w:r w:rsidR="000C5747" w:rsidRPr="0020182A">
              <w:rPr>
                <w:lang w:val="en-US"/>
              </w:rPr>
              <w:t>istributor agreements or established infrastructure</w:t>
            </w:r>
          </w:p>
          <w:p w:rsidR="000C5747" w:rsidRPr="0020182A" w:rsidRDefault="00AB24F3" w:rsidP="005D335A">
            <w:pPr>
              <w:pStyle w:val="TableBullet1"/>
              <w:cnfStyle w:val="000000000000" w:firstRow="0" w:lastRow="0" w:firstColumn="0" w:lastColumn="0" w:oddVBand="0" w:evenVBand="0" w:oddHBand="0" w:evenHBand="0" w:firstRowFirstColumn="0" w:firstRowLastColumn="0" w:lastRowFirstColumn="0" w:lastRowLastColumn="0"/>
              <w:rPr>
                <w:lang w:val="en-US"/>
              </w:rPr>
            </w:pPr>
            <w:r w:rsidRPr="0020182A">
              <w:rPr>
                <w:lang w:val="en-US"/>
              </w:rPr>
              <w:t>n</w:t>
            </w:r>
            <w:r w:rsidR="000C5747" w:rsidRPr="0020182A">
              <w:rPr>
                <w:lang w:val="en-US"/>
              </w:rPr>
              <w:t>atural monopolies</w:t>
            </w:r>
          </w:p>
          <w:p w:rsidR="000C5747" w:rsidRPr="0020182A" w:rsidRDefault="00AB24F3" w:rsidP="005D335A">
            <w:pPr>
              <w:pStyle w:val="TableBullet1"/>
              <w:cnfStyle w:val="000000000000" w:firstRow="0" w:lastRow="0" w:firstColumn="0" w:lastColumn="0" w:oddVBand="0" w:evenVBand="0" w:oddHBand="0" w:evenHBand="0" w:firstRowFirstColumn="0" w:firstRowLastColumn="0" w:lastRowFirstColumn="0" w:lastRowLastColumn="0"/>
              <w:rPr>
                <w:lang w:val="en-US"/>
              </w:rPr>
            </w:pPr>
            <w:r w:rsidRPr="0020182A">
              <w:rPr>
                <w:lang w:val="en-US"/>
              </w:rPr>
              <w:t>c</w:t>
            </w:r>
            <w:r w:rsidR="000C5747" w:rsidRPr="0020182A">
              <w:rPr>
                <w:lang w:val="en-US"/>
              </w:rPr>
              <w:t>oncentrated intellectual property and trademarks</w:t>
            </w:r>
          </w:p>
          <w:p w:rsidR="000C5747" w:rsidRPr="0020182A" w:rsidRDefault="00AB24F3" w:rsidP="005D335A">
            <w:pPr>
              <w:pStyle w:val="TableBullet1"/>
              <w:cnfStyle w:val="000000000000" w:firstRow="0" w:lastRow="0" w:firstColumn="0" w:lastColumn="0" w:oddVBand="0" w:evenVBand="0" w:oddHBand="0" w:evenHBand="0" w:firstRowFirstColumn="0" w:firstRowLastColumn="0" w:lastRowFirstColumn="0" w:lastRowLastColumn="0"/>
              <w:rPr>
                <w:lang w:val="en-US"/>
              </w:rPr>
            </w:pPr>
            <w:r w:rsidRPr="0020182A">
              <w:rPr>
                <w:lang w:val="en-US"/>
              </w:rPr>
              <w:t>t</w:t>
            </w:r>
            <w:r w:rsidR="000C5747" w:rsidRPr="0020182A">
              <w:rPr>
                <w:lang w:val="en-US"/>
              </w:rPr>
              <w:t>ariffs and regulatory burdens.</w:t>
            </w:r>
          </w:p>
        </w:tc>
      </w:tr>
      <w:tr w:rsidR="000C5747" w:rsidRPr="0020182A" w:rsidTr="007E1DFF">
        <w:trPr>
          <w:trHeight w:val="754"/>
        </w:trPr>
        <w:tc>
          <w:tcPr>
            <w:cnfStyle w:val="001000000000" w:firstRow="0" w:lastRow="0" w:firstColumn="1" w:lastColumn="0" w:oddVBand="0" w:evenVBand="0" w:oddHBand="0" w:evenHBand="0" w:firstRowFirstColumn="0" w:firstRowLastColumn="0" w:lastRowFirstColumn="0" w:lastRowLastColumn="0"/>
            <w:tcW w:w="1768" w:type="pct"/>
          </w:tcPr>
          <w:p w:rsidR="000C5747" w:rsidRPr="0020182A" w:rsidRDefault="000C5747" w:rsidP="000C5747">
            <w:pPr>
              <w:pStyle w:val="BodyText2"/>
              <w:rPr>
                <w:b w:val="0"/>
                <w:sz w:val="20"/>
                <w:szCs w:val="20"/>
                <w:lang w:val="en-US"/>
              </w:rPr>
            </w:pPr>
            <w:r w:rsidRPr="0020182A">
              <w:rPr>
                <w:b w:val="0"/>
                <w:sz w:val="20"/>
                <w:szCs w:val="20"/>
                <w:lang w:val="en-US"/>
              </w:rPr>
              <w:t>There is price equilibrium where supply and demand are balanced, creating prices that are reflective of both the demand for the commodity and the supply of the commodity.</w:t>
            </w:r>
          </w:p>
        </w:tc>
        <w:tc>
          <w:tcPr>
            <w:tcW w:w="3232" w:type="pct"/>
          </w:tcPr>
          <w:p w:rsidR="000C5747" w:rsidRPr="0020182A" w:rsidRDefault="000C5747" w:rsidP="000C5747">
            <w:pPr>
              <w:pStyle w:val="BodyText2"/>
              <w:cnfStyle w:val="000000000000" w:firstRow="0" w:lastRow="0" w:firstColumn="0" w:lastColumn="0" w:oddVBand="0" w:evenVBand="0" w:oddHBand="0" w:evenHBand="0" w:firstRowFirstColumn="0" w:firstRowLastColumn="0" w:lastRowFirstColumn="0" w:lastRowLastColumn="0"/>
              <w:rPr>
                <w:sz w:val="20"/>
                <w:szCs w:val="20"/>
                <w:lang w:val="en-US"/>
              </w:rPr>
            </w:pPr>
            <w:r w:rsidRPr="0020182A">
              <w:rPr>
                <w:sz w:val="20"/>
                <w:szCs w:val="20"/>
                <w:lang w:val="en-US"/>
              </w:rPr>
              <w:t>Supply and demand are not balanced, leading to volatility in pricing, price collapse or price inflation, depending on the nature of the imbalance (disequilibrium). This may be caused by:</w:t>
            </w:r>
          </w:p>
          <w:p w:rsidR="000C5747" w:rsidRPr="0020182A" w:rsidRDefault="00AB24F3" w:rsidP="005D335A">
            <w:pPr>
              <w:pStyle w:val="TableBullet1"/>
              <w:cnfStyle w:val="000000000000" w:firstRow="0" w:lastRow="0" w:firstColumn="0" w:lastColumn="0" w:oddVBand="0" w:evenVBand="0" w:oddHBand="0" w:evenHBand="0" w:firstRowFirstColumn="0" w:firstRowLastColumn="0" w:lastRowFirstColumn="0" w:lastRowLastColumn="0"/>
              <w:rPr>
                <w:lang w:val="en-US"/>
              </w:rPr>
            </w:pPr>
            <w:r w:rsidRPr="0020182A">
              <w:rPr>
                <w:lang w:val="en-US"/>
              </w:rPr>
              <w:t>o</w:t>
            </w:r>
            <w:r w:rsidR="000C5747" w:rsidRPr="0020182A">
              <w:rPr>
                <w:lang w:val="en-US"/>
              </w:rPr>
              <w:t>versupply or undersupply of a commodity</w:t>
            </w:r>
          </w:p>
          <w:p w:rsidR="000C5747" w:rsidRPr="0020182A" w:rsidRDefault="00AB24F3" w:rsidP="005D335A">
            <w:pPr>
              <w:pStyle w:val="TableBullet1"/>
              <w:cnfStyle w:val="000000000000" w:firstRow="0" w:lastRow="0" w:firstColumn="0" w:lastColumn="0" w:oddVBand="0" w:evenVBand="0" w:oddHBand="0" w:evenHBand="0" w:firstRowFirstColumn="0" w:firstRowLastColumn="0" w:lastRowFirstColumn="0" w:lastRowLastColumn="0"/>
              <w:rPr>
                <w:lang w:val="en-US"/>
              </w:rPr>
            </w:pPr>
            <w:r w:rsidRPr="0020182A">
              <w:rPr>
                <w:lang w:val="en-US"/>
              </w:rPr>
              <w:t>r</w:t>
            </w:r>
            <w:r w:rsidR="000C5747" w:rsidRPr="0020182A">
              <w:rPr>
                <w:lang w:val="en-US"/>
              </w:rPr>
              <w:t>a</w:t>
            </w:r>
            <w:r w:rsidRPr="0020182A">
              <w:rPr>
                <w:lang w:val="en-US"/>
              </w:rPr>
              <w:t>pid change in consumer demand</w:t>
            </w:r>
          </w:p>
          <w:p w:rsidR="000C5747" w:rsidRPr="0020182A" w:rsidRDefault="00AB24F3" w:rsidP="005D335A">
            <w:pPr>
              <w:pStyle w:val="TableBullet1"/>
              <w:cnfStyle w:val="000000000000" w:firstRow="0" w:lastRow="0" w:firstColumn="0" w:lastColumn="0" w:oddVBand="0" w:evenVBand="0" w:oddHBand="0" w:evenHBand="0" w:firstRowFirstColumn="0" w:firstRowLastColumn="0" w:lastRowFirstColumn="0" w:lastRowLastColumn="0"/>
              <w:rPr>
                <w:lang w:val="en-US"/>
              </w:rPr>
            </w:pPr>
            <w:r w:rsidRPr="0020182A">
              <w:rPr>
                <w:lang w:val="en-US"/>
              </w:rPr>
              <w:t>l</w:t>
            </w:r>
            <w:r w:rsidR="000C5747" w:rsidRPr="0020182A">
              <w:rPr>
                <w:lang w:val="en-US"/>
              </w:rPr>
              <w:t>ack of competition and market-making by suppliers.</w:t>
            </w:r>
          </w:p>
        </w:tc>
      </w:tr>
      <w:tr w:rsidR="000C5747" w:rsidRPr="0020182A" w:rsidTr="007E1DFF">
        <w:trPr>
          <w:trHeight w:val="494"/>
        </w:trPr>
        <w:tc>
          <w:tcPr>
            <w:cnfStyle w:val="001000000000" w:firstRow="0" w:lastRow="0" w:firstColumn="1" w:lastColumn="0" w:oddVBand="0" w:evenVBand="0" w:oddHBand="0" w:evenHBand="0" w:firstRowFirstColumn="0" w:firstRowLastColumn="0" w:lastRowFirstColumn="0" w:lastRowLastColumn="0"/>
            <w:tcW w:w="1768" w:type="pct"/>
          </w:tcPr>
          <w:p w:rsidR="000C5747" w:rsidRPr="0020182A" w:rsidRDefault="000C5747" w:rsidP="000C5747">
            <w:pPr>
              <w:pStyle w:val="BodyText2"/>
              <w:rPr>
                <w:b w:val="0"/>
                <w:sz w:val="20"/>
                <w:szCs w:val="20"/>
                <w:lang w:val="en-US"/>
              </w:rPr>
            </w:pPr>
            <w:r w:rsidRPr="0020182A">
              <w:rPr>
                <w:b w:val="0"/>
                <w:sz w:val="20"/>
                <w:szCs w:val="20"/>
                <w:lang w:val="en-US"/>
              </w:rPr>
              <w:t>There is perfect competition where a large number of firms operate in the market, increasing competition, driving efficient pricing of goods and services and creating incentives for providers to maintain and improve quality.</w:t>
            </w:r>
          </w:p>
        </w:tc>
        <w:tc>
          <w:tcPr>
            <w:tcW w:w="3232" w:type="pct"/>
          </w:tcPr>
          <w:p w:rsidR="000C5747" w:rsidRPr="0020182A" w:rsidRDefault="000C5747" w:rsidP="000C5747">
            <w:pPr>
              <w:pStyle w:val="BodyText2"/>
              <w:cnfStyle w:val="000000000000" w:firstRow="0" w:lastRow="0" w:firstColumn="0" w:lastColumn="0" w:oddVBand="0" w:evenVBand="0" w:oddHBand="0" w:evenHBand="0" w:firstRowFirstColumn="0" w:firstRowLastColumn="0" w:lastRowFirstColumn="0" w:lastRowLastColumn="0"/>
              <w:rPr>
                <w:sz w:val="20"/>
                <w:szCs w:val="20"/>
                <w:lang w:val="en-US"/>
              </w:rPr>
            </w:pPr>
            <w:r w:rsidRPr="0020182A">
              <w:rPr>
                <w:sz w:val="20"/>
                <w:szCs w:val="20"/>
                <w:lang w:val="en-US"/>
              </w:rPr>
              <w:t>The market is characterised by one (monopoly) or only a few large (oligopoly), non-competing firms, which can disadvantage consumers through increased prices and/or low quality goods and services. This may be caused by:</w:t>
            </w:r>
          </w:p>
          <w:p w:rsidR="000C5747" w:rsidRPr="0020182A" w:rsidRDefault="00AB24F3" w:rsidP="005D335A">
            <w:pPr>
              <w:pStyle w:val="TableBullet1"/>
              <w:cnfStyle w:val="000000000000" w:firstRow="0" w:lastRow="0" w:firstColumn="0" w:lastColumn="0" w:oddVBand="0" w:evenVBand="0" w:oddHBand="0" w:evenHBand="0" w:firstRowFirstColumn="0" w:firstRowLastColumn="0" w:lastRowFirstColumn="0" w:lastRowLastColumn="0"/>
            </w:pPr>
            <w:r w:rsidRPr="0020182A">
              <w:rPr>
                <w:lang w:val="en-US"/>
              </w:rPr>
              <w:t>b</w:t>
            </w:r>
            <w:r w:rsidR="000C5747" w:rsidRPr="0020182A">
              <w:rPr>
                <w:lang w:val="en-US"/>
              </w:rPr>
              <w:t>arr</w:t>
            </w:r>
            <w:r w:rsidR="000C5747" w:rsidRPr="0020182A">
              <w:t xml:space="preserve">iers to entry </w:t>
            </w:r>
          </w:p>
          <w:p w:rsidR="000C5747" w:rsidRPr="0020182A" w:rsidRDefault="00AB24F3" w:rsidP="005D335A">
            <w:pPr>
              <w:pStyle w:val="TableBullet1"/>
              <w:cnfStyle w:val="000000000000" w:firstRow="0" w:lastRow="0" w:firstColumn="0" w:lastColumn="0" w:oddVBand="0" w:evenVBand="0" w:oddHBand="0" w:evenHBand="0" w:firstRowFirstColumn="0" w:firstRowLastColumn="0" w:lastRowFirstColumn="0" w:lastRowLastColumn="0"/>
              <w:rPr>
                <w:lang w:val="en-US"/>
              </w:rPr>
            </w:pPr>
            <w:r w:rsidRPr="0020182A">
              <w:t>m</w:t>
            </w:r>
            <w:r w:rsidR="000C5747" w:rsidRPr="0020182A">
              <w:t>arket concentra</w:t>
            </w:r>
            <w:r w:rsidR="000C5747" w:rsidRPr="0020182A">
              <w:rPr>
                <w:lang w:val="en-US"/>
              </w:rPr>
              <w:t>tion (i</w:t>
            </w:r>
            <w:r w:rsidR="005D1460" w:rsidRPr="0020182A">
              <w:rPr>
                <w:lang w:val="en-US"/>
              </w:rPr>
              <w:t>.</w:t>
            </w:r>
            <w:r w:rsidR="000C5747" w:rsidRPr="0020182A">
              <w:rPr>
                <w:lang w:val="en-US"/>
              </w:rPr>
              <w:t>e. market share concentrated with a small number of suppliers, such as sup</w:t>
            </w:r>
            <w:r w:rsidRPr="0020182A">
              <w:rPr>
                <w:lang w:val="en-US"/>
              </w:rPr>
              <w:t>ermarkets)</w:t>
            </w:r>
          </w:p>
          <w:p w:rsidR="000C5747" w:rsidRPr="0020182A" w:rsidRDefault="00AB24F3" w:rsidP="005D335A">
            <w:pPr>
              <w:pStyle w:val="TableBullet1"/>
              <w:cnfStyle w:val="000000000000" w:firstRow="0" w:lastRow="0" w:firstColumn="0" w:lastColumn="0" w:oddVBand="0" w:evenVBand="0" w:oddHBand="0" w:evenHBand="0" w:firstRowFirstColumn="0" w:firstRowLastColumn="0" w:lastRowFirstColumn="0" w:lastRowLastColumn="0"/>
              <w:rPr>
                <w:lang w:val="en-US"/>
              </w:rPr>
            </w:pPr>
            <w:r w:rsidRPr="0020182A">
              <w:rPr>
                <w:lang w:val="en-US"/>
              </w:rPr>
              <w:t>b</w:t>
            </w:r>
            <w:r w:rsidR="000C5747" w:rsidRPr="0020182A">
              <w:rPr>
                <w:lang w:val="en-US"/>
              </w:rPr>
              <w:t>rand recognition and loyalty from consumers</w:t>
            </w:r>
          </w:p>
          <w:p w:rsidR="000C5747" w:rsidRPr="0020182A" w:rsidRDefault="00AB24F3" w:rsidP="005D335A">
            <w:pPr>
              <w:pStyle w:val="TableBullet1"/>
              <w:cnfStyle w:val="000000000000" w:firstRow="0" w:lastRow="0" w:firstColumn="0" w:lastColumn="0" w:oddVBand="0" w:evenVBand="0" w:oddHBand="0" w:evenHBand="0" w:firstRowFirstColumn="0" w:firstRowLastColumn="0" w:lastRowFirstColumn="0" w:lastRowLastColumn="0"/>
              <w:rPr>
                <w:lang w:val="en-US"/>
              </w:rPr>
            </w:pPr>
            <w:r w:rsidRPr="0020182A">
              <w:rPr>
                <w:lang w:val="en-US"/>
              </w:rPr>
              <w:t>control of natural resources</w:t>
            </w:r>
          </w:p>
          <w:p w:rsidR="000C5747" w:rsidRPr="0020182A" w:rsidRDefault="00AB24F3" w:rsidP="005D335A">
            <w:pPr>
              <w:pStyle w:val="TableBullet1"/>
              <w:cnfStyle w:val="000000000000" w:firstRow="0" w:lastRow="0" w:firstColumn="0" w:lastColumn="0" w:oddVBand="0" w:evenVBand="0" w:oddHBand="0" w:evenHBand="0" w:firstRowFirstColumn="0" w:firstRowLastColumn="0" w:lastRowFirstColumn="0" w:lastRowLastColumn="0"/>
              <w:rPr>
                <w:lang w:val="en-US"/>
              </w:rPr>
            </w:pPr>
            <w:r w:rsidRPr="0020182A">
              <w:rPr>
                <w:lang w:val="en-US"/>
              </w:rPr>
              <w:t>t</w:t>
            </w:r>
            <w:r w:rsidR="000C5747" w:rsidRPr="0020182A">
              <w:rPr>
                <w:lang w:val="en-US"/>
              </w:rPr>
              <w:t>echnological superiority of established firms.</w:t>
            </w:r>
          </w:p>
        </w:tc>
      </w:tr>
      <w:tr w:rsidR="000C5747" w:rsidRPr="0020182A" w:rsidTr="007E1DFF">
        <w:trPr>
          <w:trHeight w:val="1550"/>
        </w:trPr>
        <w:tc>
          <w:tcPr>
            <w:cnfStyle w:val="001000000000" w:firstRow="0" w:lastRow="0" w:firstColumn="1" w:lastColumn="0" w:oddVBand="0" w:evenVBand="0" w:oddHBand="0" w:evenHBand="0" w:firstRowFirstColumn="0" w:firstRowLastColumn="0" w:lastRowFirstColumn="0" w:lastRowLastColumn="0"/>
            <w:tcW w:w="1768" w:type="pct"/>
          </w:tcPr>
          <w:p w:rsidR="000C5747" w:rsidRPr="0020182A" w:rsidRDefault="000C5747" w:rsidP="00CD4818">
            <w:pPr>
              <w:pStyle w:val="BodyText2"/>
              <w:rPr>
                <w:szCs w:val="20"/>
                <w:lang w:val="en-US"/>
              </w:rPr>
            </w:pPr>
            <w:r w:rsidRPr="0020182A">
              <w:rPr>
                <w:b w:val="0"/>
                <w:sz w:val="20"/>
                <w:szCs w:val="20"/>
                <w:lang w:val="en-US"/>
              </w:rPr>
              <w:lastRenderedPageBreak/>
              <w:t>There is adequate consumer product choice where a large number of firms operate in the market, increasing the number of products available and increasing consumer choice.</w:t>
            </w:r>
          </w:p>
        </w:tc>
        <w:tc>
          <w:tcPr>
            <w:tcW w:w="3232" w:type="pct"/>
          </w:tcPr>
          <w:p w:rsidR="000C5747" w:rsidRPr="0020182A" w:rsidRDefault="000C5747" w:rsidP="000C5747">
            <w:pPr>
              <w:pStyle w:val="BodyText2"/>
              <w:cnfStyle w:val="000000000000" w:firstRow="0" w:lastRow="0" w:firstColumn="0" w:lastColumn="0" w:oddVBand="0" w:evenVBand="0" w:oddHBand="0" w:evenHBand="0" w:firstRowFirstColumn="0" w:firstRowLastColumn="0" w:lastRowFirstColumn="0" w:lastRowLastColumn="0"/>
              <w:rPr>
                <w:sz w:val="20"/>
                <w:szCs w:val="20"/>
                <w:lang w:val="en-US"/>
              </w:rPr>
            </w:pPr>
            <w:r w:rsidRPr="0020182A">
              <w:rPr>
                <w:sz w:val="20"/>
                <w:szCs w:val="20"/>
                <w:lang w:val="en-US"/>
              </w:rPr>
              <w:t>A small number of firms operate in the market or the products in the market lack significant differentiation, decreasing consumer choice. This may occur because a market monopoly or barriers to entry restrict the number of firms in a market, an established product with established demand which makes competition or further development untenable or low demand for a particular product which makes production not cost-effective.</w:t>
            </w:r>
          </w:p>
        </w:tc>
      </w:tr>
      <w:tr w:rsidR="000C5747" w:rsidRPr="0020182A" w:rsidTr="007E1DFF">
        <w:trPr>
          <w:trHeight w:val="494"/>
        </w:trPr>
        <w:tc>
          <w:tcPr>
            <w:cnfStyle w:val="001000000000" w:firstRow="0" w:lastRow="0" w:firstColumn="1" w:lastColumn="0" w:oddVBand="0" w:evenVBand="0" w:oddHBand="0" w:evenHBand="0" w:firstRowFirstColumn="0" w:firstRowLastColumn="0" w:lastRowFirstColumn="0" w:lastRowLastColumn="0"/>
            <w:tcW w:w="1768" w:type="pct"/>
          </w:tcPr>
          <w:p w:rsidR="000C5747" w:rsidRPr="0020182A" w:rsidRDefault="000C5747" w:rsidP="000C5747">
            <w:pPr>
              <w:pStyle w:val="BodyText2"/>
              <w:rPr>
                <w:b w:val="0"/>
                <w:sz w:val="20"/>
                <w:szCs w:val="20"/>
                <w:lang w:val="en-US"/>
              </w:rPr>
            </w:pPr>
            <w:r w:rsidRPr="0020182A">
              <w:rPr>
                <w:b w:val="0"/>
                <w:sz w:val="20"/>
                <w:szCs w:val="20"/>
                <w:lang w:val="en-US"/>
              </w:rPr>
              <w:t xml:space="preserve">Consumers have awareness of product or service quality before purchasing and consumers have access to a wide range of goods and service to allow the choice of the desired quality level. </w:t>
            </w:r>
          </w:p>
        </w:tc>
        <w:tc>
          <w:tcPr>
            <w:tcW w:w="3232" w:type="pct"/>
          </w:tcPr>
          <w:p w:rsidR="000C5747" w:rsidRPr="0020182A" w:rsidRDefault="000C5747" w:rsidP="000C5747">
            <w:pPr>
              <w:pStyle w:val="BodyText2"/>
              <w:cnfStyle w:val="000000000000" w:firstRow="0" w:lastRow="0" w:firstColumn="0" w:lastColumn="0" w:oddVBand="0" w:evenVBand="0" w:oddHBand="0" w:evenHBand="0" w:firstRowFirstColumn="0" w:firstRowLastColumn="0" w:lastRowFirstColumn="0" w:lastRowLastColumn="0"/>
              <w:rPr>
                <w:sz w:val="20"/>
                <w:szCs w:val="20"/>
                <w:lang w:val="en-US"/>
              </w:rPr>
            </w:pPr>
            <w:r w:rsidRPr="0020182A">
              <w:rPr>
                <w:sz w:val="20"/>
                <w:szCs w:val="20"/>
                <w:lang w:val="en-US"/>
              </w:rPr>
              <w:t xml:space="preserve">Consumers lack sufficient oversight of the quality of a good or service before purchase or consumers do not have an adequate range of products from which to select the desired level of quality. This may be caused by: </w:t>
            </w:r>
          </w:p>
          <w:p w:rsidR="000C5747" w:rsidRPr="0020182A" w:rsidRDefault="00AB24F3" w:rsidP="005D335A">
            <w:pPr>
              <w:pStyle w:val="TableBullet1"/>
              <w:cnfStyle w:val="000000000000" w:firstRow="0" w:lastRow="0" w:firstColumn="0" w:lastColumn="0" w:oddVBand="0" w:evenVBand="0" w:oddHBand="0" w:evenHBand="0" w:firstRowFirstColumn="0" w:firstRowLastColumn="0" w:lastRowFirstColumn="0" w:lastRowLastColumn="0"/>
              <w:rPr>
                <w:lang w:val="en-US"/>
              </w:rPr>
            </w:pPr>
            <w:r w:rsidRPr="0020182A">
              <w:rPr>
                <w:lang w:val="en-US"/>
              </w:rPr>
              <w:t>i</w:t>
            </w:r>
            <w:r w:rsidR="000C5747" w:rsidRPr="0020182A">
              <w:rPr>
                <w:lang w:val="en-US"/>
              </w:rPr>
              <w:t>nformation asymmetry between producers and consumers driv</w:t>
            </w:r>
            <w:r w:rsidRPr="0020182A">
              <w:rPr>
                <w:lang w:val="en-US"/>
              </w:rPr>
              <w:t>es constrained consumer choice</w:t>
            </w:r>
          </w:p>
          <w:p w:rsidR="000C5747" w:rsidRPr="0020182A" w:rsidRDefault="00AB24F3" w:rsidP="005D335A">
            <w:pPr>
              <w:pStyle w:val="TableBullet1"/>
              <w:cnfStyle w:val="000000000000" w:firstRow="0" w:lastRow="0" w:firstColumn="0" w:lastColumn="0" w:oddVBand="0" w:evenVBand="0" w:oddHBand="0" w:evenHBand="0" w:firstRowFirstColumn="0" w:firstRowLastColumn="0" w:lastRowFirstColumn="0" w:lastRowLastColumn="0"/>
              <w:rPr>
                <w:lang w:val="en-US"/>
              </w:rPr>
            </w:pPr>
            <w:r w:rsidRPr="0020182A">
              <w:rPr>
                <w:lang w:val="en-US"/>
              </w:rPr>
              <w:t>l</w:t>
            </w:r>
            <w:r w:rsidR="000C5747" w:rsidRPr="0020182A">
              <w:rPr>
                <w:lang w:val="en-US"/>
              </w:rPr>
              <w:t>ack of consumer capacity to discern and diff</w:t>
            </w:r>
            <w:r w:rsidRPr="0020182A">
              <w:rPr>
                <w:lang w:val="en-US"/>
              </w:rPr>
              <w:t>erentiate quality</w:t>
            </w:r>
          </w:p>
          <w:p w:rsidR="000C5747" w:rsidRPr="0020182A" w:rsidRDefault="00AB24F3" w:rsidP="005D335A">
            <w:pPr>
              <w:pStyle w:val="TableBullet1"/>
              <w:cnfStyle w:val="000000000000" w:firstRow="0" w:lastRow="0" w:firstColumn="0" w:lastColumn="0" w:oddVBand="0" w:evenVBand="0" w:oddHBand="0" w:evenHBand="0" w:firstRowFirstColumn="0" w:firstRowLastColumn="0" w:lastRowFirstColumn="0" w:lastRowLastColumn="0"/>
              <w:rPr>
                <w:lang w:val="en-US"/>
              </w:rPr>
            </w:pPr>
            <w:r w:rsidRPr="0020182A">
              <w:rPr>
                <w:lang w:val="en-US"/>
              </w:rPr>
              <w:t>l</w:t>
            </w:r>
            <w:r w:rsidR="000C5747" w:rsidRPr="0020182A">
              <w:rPr>
                <w:lang w:val="en-US"/>
              </w:rPr>
              <w:t>ack of consu</w:t>
            </w:r>
            <w:r w:rsidRPr="0020182A">
              <w:rPr>
                <w:lang w:val="en-US"/>
              </w:rPr>
              <w:t>mer dispute resolution channels</w:t>
            </w:r>
            <w:r w:rsidR="000C5747" w:rsidRPr="0020182A">
              <w:rPr>
                <w:lang w:val="en-US"/>
              </w:rPr>
              <w:t xml:space="preserve"> </w:t>
            </w:r>
          </w:p>
          <w:p w:rsidR="000C5747" w:rsidRPr="0020182A" w:rsidRDefault="00AB24F3" w:rsidP="005D335A">
            <w:pPr>
              <w:pStyle w:val="TableBullet1"/>
              <w:cnfStyle w:val="000000000000" w:firstRow="0" w:lastRow="0" w:firstColumn="0" w:lastColumn="0" w:oddVBand="0" w:evenVBand="0" w:oddHBand="0" w:evenHBand="0" w:firstRowFirstColumn="0" w:firstRowLastColumn="0" w:lastRowFirstColumn="0" w:lastRowLastColumn="0"/>
              <w:rPr>
                <w:lang w:val="en-US"/>
              </w:rPr>
            </w:pPr>
            <w:r w:rsidRPr="0020182A">
              <w:rPr>
                <w:lang w:val="en-US"/>
              </w:rPr>
              <w:t>l</w:t>
            </w:r>
            <w:r w:rsidR="000C5747" w:rsidRPr="0020182A">
              <w:rPr>
                <w:lang w:val="en-US"/>
              </w:rPr>
              <w:t>ack of competition means there is not incentives for suppliers to improve quality.</w:t>
            </w:r>
          </w:p>
        </w:tc>
      </w:tr>
      <w:tr w:rsidR="000C5747" w:rsidRPr="0020182A" w:rsidTr="007E1DFF">
        <w:trPr>
          <w:trHeight w:val="494"/>
        </w:trPr>
        <w:tc>
          <w:tcPr>
            <w:cnfStyle w:val="001000000000" w:firstRow="0" w:lastRow="0" w:firstColumn="1" w:lastColumn="0" w:oddVBand="0" w:evenVBand="0" w:oddHBand="0" w:evenHBand="0" w:firstRowFirstColumn="0" w:firstRowLastColumn="0" w:lastRowFirstColumn="0" w:lastRowLastColumn="0"/>
            <w:tcW w:w="1768" w:type="pct"/>
          </w:tcPr>
          <w:p w:rsidR="000C5747" w:rsidRPr="0020182A" w:rsidRDefault="000C5747" w:rsidP="000C5747">
            <w:pPr>
              <w:rPr>
                <w:b w:val="0"/>
                <w:szCs w:val="20"/>
                <w:lang w:val="en-US"/>
              </w:rPr>
            </w:pPr>
            <w:r w:rsidRPr="0020182A">
              <w:rPr>
                <w:rFonts w:eastAsia="SimSun" w:cs="Times New Roman"/>
                <w:b w:val="0"/>
                <w:szCs w:val="20"/>
                <w:lang w:val="en-US"/>
              </w:rPr>
              <w:t>Where possible, externalities, such as costs and benefits of a transaction or production are built into the system or addressed through social norms and law.</w:t>
            </w:r>
          </w:p>
        </w:tc>
        <w:tc>
          <w:tcPr>
            <w:tcW w:w="3232" w:type="pct"/>
          </w:tcPr>
          <w:p w:rsidR="000C5747" w:rsidRPr="0020182A" w:rsidRDefault="000C5747" w:rsidP="000C5747">
            <w:pPr>
              <w:pStyle w:val="BodyText2"/>
              <w:cnfStyle w:val="000000000000" w:firstRow="0" w:lastRow="0" w:firstColumn="0" w:lastColumn="0" w:oddVBand="0" w:evenVBand="0" w:oddHBand="0" w:evenHBand="0" w:firstRowFirstColumn="0" w:firstRowLastColumn="0" w:lastRowFirstColumn="0" w:lastRowLastColumn="0"/>
              <w:rPr>
                <w:sz w:val="20"/>
                <w:szCs w:val="20"/>
                <w:lang w:val="en-US"/>
              </w:rPr>
            </w:pPr>
            <w:r w:rsidRPr="0020182A">
              <w:rPr>
                <w:sz w:val="20"/>
                <w:szCs w:val="20"/>
                <w:lang w:val="en-US"/>
              </w:rPr>
              <w:t>Costs and benefits of a transaction are not built into the system, leading to a greater share of negative economic, social, or environmental consequences by parties unrelated to the transaction or production. This may be caused by:</w:t>
            </w:r>
          </w:p>
          <w:p w:rsidR="000C5747" w:rsidRPr="0020182A" w:rsidRDefault="00AB24F3" w:rsidP="005D335A">
            <w:pPr>
              <w:pStyle w:val="TableBullet1"/>
              <w:cnfStyle w:val="000000000000" w:firstRow="0" w:lastRow="0" w:firstColumn="0" w:lastColumn="0" w:oddVBand="0" w:evenVBand="0" w:oddHBand="0" w:evenHBand="0" w:firstRowFirstColumn="0" w:firstRowLastColumn="0" w:lastRowFirstColumn="0" w:lastRowLastColumn="0"/>
              <w:rPr>
                <w:lang w:val="en-US"/>
              </w:rPr>
            </w:pPr>
            <w:r w:rsidRPr="0020182A">
              <w:rPr>
                <w:lang w:val="en-US"/>
              </w:rPr>
              <w:t>l</w:t>
            </w:r>
            <w:r w:rsidR="000C5747" w:rsidRPr="0020182A">
              <w:rPr>
                <w:lang w:val="en-US"/>
              </w:rPr>
              <w:t xml:space="preserve">ack of regulation </w:t>
            </w:r>
          </w:p>
          <w:p w:rsidR="000C5747" w:rsidRPr="0020182A" w:rsidRDefault="00AB24F3" w:rsidP="005D335A">
            <w:pPr>
              <w:pStyle w:val="TableBullet1"/>
              <w:cnfStyle w:val="000000000000" w:firstRow="0" w:lastRow="0" w:firstColumn="0" w:lastColumn="0" w:oddVBand="0" w:evenVBand="0" w:oddHBand="0" w:evenHBand="0" w:firstRowFirstColumn="0" w:firstRowLastColumn="0" w:lastRowFirstColumn="0" w:lastRowLastColumn="0"/>
              <w:rPr>
                <w:lang w:val="en-US"/>
              </w:rPr>
            </w:pPr>
            <w:r w:rsidRPr="0020182A">
              <w:rPr>
                <w:lang w:val="en-US"/>
              </w:rPr>
              <w:t>n</w:t>
            </w:r>
            <w:r w:rsidR="000C5747" w:rsidRPr="0020182A">
              <w:rPr>
                <w:lang w:val="en-US"/>
              </w:rPr>
              <w:t xml:space="preserve">atural externalities of production </w:t>
            </w:r>
            <w:r w:rsidR="00567DFA" w:rsidRPr="0020182A">
              <w:rPr>
                <w:lang w:val="en-US"/>
              </w:rPr>
              <w:t>(e.g.</w:t>
            </w:r>
            <w:r w:rsidRPr="0020182A">
              <w:rPr>
                <w:lang w:val="en-US"/>
              </w:rPr>
              <w:t xml:space="preserve"> pollution)</w:t>
            </w:r>
            <w:r w:rsidR="000C5747" w:rsidRPr="0020182A">
              <w:rPr>
                <w:lang w:val="en-US"/>
              </w:rPr>
              <w:t xml:space="preserve"> </w:t>
            </w:r>
          </w:p>
          <w:p w:rsidR="000C5747" w:rsidRPr="0020182A" w:rsidRDefault="00AB24F3">
            <w:pPr>
              <w:pStyle w:val="TableBullet1"/>
              <w:cnfStyle w:val="000000000000" w:firstRow="0" w:lastRow="0" w:firstColumn="0" w:lastColumn="0" w:oddVBand="0" w:evenVBand="0" w:oddHBand="0" w:evenHBand="0" w:firstRowFirstColumn="0" w:firstRowLastColumn="0" w:lastRowFirstColumn="0" w:lastRowLastColumn="0"/>
              <w:rPr>
                <w:lang w:val="en-US"/>
              </w:rPr>
            </w:pPr>
            <w:r w:rsidRPr="0020182A">
              <w:rPr>
                <w:lang w:val="en-US"/>
              </w:rPr>
              <w:t>n</w:t>
            </w:r>
            <w:r w:rsidR="000C5747" w:rsidRPr="0020182A">
              <w:rPr>
                <w:lang w:val="en-US"/>
              </w:rPr>
              <w:t xml:space="preserve">egative social, environmental, or economic costs of consumption </w:t>
            </w:r>
            <w:r w:rsidR="00567DFA" w:rsidRPr="0020182A">
              <w:rPr>
                <w:lang w:val="en-US"/>
              </w:rPr>
              <w:t>(e.g.</w:t>
            </w:r>
            <w:r w:rsidR="000C5747" w:rsidRPr="0020182A">
              <w:rPr>
                <w:lang w:val="en-US"/>
              </w:rPr>
              <w:t xml:space="preserve"> public health issues related to tobacco).</w:t>
            </w:r>
          </w:p>
        </w:tc>
      </w:tr>
    </w:tbl>
    <w:p w:rsidR="000C5747" w:rsidRPr="0020182A" w:rsidRDefault="000C5747" w:rsidP="000C5747">
      <w:pPr>
        <w:pStyle w:val="Heading2"/>
      </w:pPr>
      <w:bookmarkStart w:id="45" w:name="_Toc523122970"/>
      <w:bookmarkStart w:id="46" w:name="_Toc530648952"/>
      <w:r w:rsidRPr="0020182A">
        <w:t>Developing the SDA market</w:t>
      </w:r>
      <w:bookmarkEnd w:id="45"/>
      <w:bookmarkEnd w:id="46"/>
    </w:p>
    <w:p w:rsidR="009309A8" w:rsidRPr="0020182A" w:rsidRDefault="009309A8" w:rsidP="009309A8">
      <w:pPr>
        <w:pStyle w:val="Heading3"/>
      </w:pPr>
      <w:r w:rsidRPr="0020182A">
        <w:t>What does a well-functioning SDA</w:t>
      </w:r>
      <w:r w:rsidRPr="0020182A">
        <w:rPr>
          <w:i/>
        </w:rPr>
        <w:t xml:space="preserve"> </w:t>
      </w:r>
      <w:r w:rsidRPr="0020182A">
        <w:t>market look like?</w:t>
      </w:r>
    </w:p>
    <w:p w:rsidR="00CA5826" w:rsidRPr="0020182A" w:rsidRDefault="00CA5826" w:rsidP="00CA5826">
      <w:pPr>
        <w:pStyle w:val="BodyText1"/>
      </w:pPr>
      <w:r w:rsidRPr="0020182A">
        <w:t>The SDA market differs significantly to a typical market context described above:</w:t>
      </w:r>
    </w:p>
    <w:p w:rsidR="00CA5826" w:rsidRPr="0020182A" w:rsidRDefault="00CA5826" w:rsidP="009B671C">
      <w:pPr>
        <w:pStyle w:val="BodyText1"/>
        <w:numPr>
          <w:ilvl w:val="0"/>
          <w:numId w:val="42"/>
        </w:numPr>
      </w:pPr>
      <w:r w:rsidRPr="0020182A">
        <w:t>Information availability in the SDA market is not free flowing, with demand and supply information held centrally by the NDIA, and information on level and nature of demand and need emerging as the NDIS matures.</w:t>
      </w:r>
    </w:p>
    <w:p w:rsidR="00CA5826" w:rsidRPr="00CD5AA9" w:rsidRDefault="00CA5826" w:rsidP="009B671C">
      <w:pPr>
        <w:pStyle w:val="BodyText1"/>
        <w:numPr>
          <w:ilvl w:val="0"/>
          <w:numId w:val="42"/>
        </w:numPr>
      </w:pPr>
      <w:r w:rsidRPr="0020182A">
        <w:t xml:space="preserve">The SDA market is a regulated market: the NDIA (through the SDA rules) controls the number of people eligible for SDA and hence the overall level of demand prices, and the NDIA determines maximum SDA subsidy levels which are largely reflected in the prices that the market charges for SDA places. Further, there are controls on who can supply SDA (through NDIS registration processes that are transitioning to the NDIS Commission) and what can be supplied in terms of </w:t>
      </w:r>
      <w:r w:rsidRPr="00CD5AA9">
        <w:t>design and quality standards.</w:t>
      </w:r>
    </w:p>
    <w:p w:rsidR="00CA5826" w:rsidRPr="00CD5AA9" w:rsidRDefault="003C30AE" w:rsidP="009B671C">
      <w:pPr>
        <w:pStyle w:val="BodyText1"/>
        <w:numPr>
          <w:ilvl w:val="0"/>
          <w:numId w:val="42"/>
        </w:numPr>
      </w:pPr>
      <w:r w:rsidRPr="00CD5AA9">
        <w:lastRenderedPageBreak/>
        <w:t xml:space="preserve">The SDA market </w:t>
      </w:r>
      <w:r w:rsidR="00CD5AA9" w:rsidRPr="00CD5AA9">
        <w:t>can be seen as</w:t>
      </w:r>
      <w:r w:rsidRPr="00CD5AA9">
        <w:t xml:space="preserve"> an infrastructure </w:t>
      </w:r>
      <w:r w:rsidR="00CA5826" w:rsidRPr="00CD5AA9">
        <w:t>market, which involves considerable upfront investment from providers</w:t>
      </w:r>
      <w:r w:rsidR="00CD5AA9" w:rsidRPr="00CD5AA9">
        <w:t xml:space="preserve"> and investors and a long-</w:t>
      </w:r>
      <w:r w:rsidR="00CA5826" w:rsidRPr="00CD5AA9">
        <w:t xml:space="preserve">term horizon for investment returns to be realised. </w:t>
      </w:r>
    </w:p>
    <w:p w:rsidR="003A58E3" w:rsidRPr="0020182A" w:rsidRDefault="00041E57" w:rsidP="00B8401A">
      <w:pPr>
        <w:pStyle w:val="BodyText1"/>
      </w:pPr>
      <w:r w:rsidRPr="0020182A">
        <w:t xml:space="preserve">There are a number of elements of a </w:t>
      </w:r>
      <w:r w:rsidR="00530862" w:rsidRPr="0020182A">
        <w:t>well-functioning</w:t>
      </w:r>
      <w:r w:rsidRPr="0020182A">
        <w:t xml:space="preserve"> SDA market. These are reflected in detail</w:t>
      </w:r>
      <w:r w:rsidR="00CD5AA9">
        <w:t xml:space="preserve"> </w:t>
      </w:r>
      <w:r w:rsidRPr="0020182A">
        <w:t xml:space="preserve">in </w:t>
      </w:r>
      <w:r w:rsidRPr="0020182A">
        <w:fldChar w:fldCharType="begin"/>
      </w:r>
      <w:r w:rsidRPr="0020182A">
        <w:instrText xml:space="preserve"> REF _Ref523237237 \h </w:instrText>
      </w:r>
      <w:r w:rsidR="00057F25" w:rsidRPr="0020182A">
        <w:instrText xml:space="preserve"> \* MERGEFORMAT </w:instrText>
      </w:r>
      <w:r w:rsidRPr="0020182A">
        <w:fldChar w:fldCharType="separate"/>
      </w:r>
      <w:r w:rsidR="00CD5AA9" w:rsidRPr="0020182A">
        <w:t xml:space="preserve">Figure </w:t>
      </w:r>
      <w:r w:rsidR="00CD5AA9">
        <w:rPr>
          <w:noProof/>
        </w:rPr>
        <w:t>6</w:t>
      </w:r>
      <w:r w:rsidRPr="0020182A">
        <w:fldChar w:fldCharType="end"/>
      </w:r>
      <w:r w:rsidR="00530862" w:rsidRPr="0020182A">
        <w:t xml:space="preserve"> </w:t>
      </w:r>
      <w:r w:rsidR="000A4E5C">
        <w:t xml:space="preserve">on page </w:t>
      </w:r>
      <w:r w:rsidR="000A4E5C">
        <w:fldChar w:fldCharType="begin"/>
      </w:r>
      <w:r w:rsidR="000A4E5C">
        <w:instrText xml:space="preserve"> PAGEREF _Ref531358038 \h </w:instrText>
      </w:r>
      <w:r w:rsidR="000A4E5C">
        <w:fldChar w:fldCharType="separate"/>
      </w:r>
      <w:r w:rsidR="00CD5AA9">
        <w:rPr>
          <w:noProof/>
        </w:rPr>
        <w:t>34</w:t>
      </w:r>
      <w:r w:rsidR="000A4E5C">
        <w:fldChar w:fldCharType="end"/>
      </w:r>
      <w:r w:rsidR="006C739B">
        <w:t xml:space="preserve"> and include</w:t>
      </w:r>
      <w:r w:rsidRPr="0020182A">
        <w:t xml:space="preserve"> elements of demand, supply and efficiency and value for money. </w:t>
      </w:r>
    </w:p>
    <w:p w:rsidR="000C5747" w:rsidRPr="0020182A" w:rsidRDefault="003A58E3" w:rsidP="00B8401A">
      <w:pPr>
        <w:pStyle w:val="BodyText1"/>
      </w:pPr>
      <w:r w:rsidRPr="0020182A">
        <w:t xml:space="preserve">It will take some time for the SDA market to develop and mature, and </w:t>
      </w:r>
      <w:r w:rsidR="000C5747" w:rsidRPr="0020182A">
        <w:fldChar w:fldCharType="begin"/>
      </w:r>
      <w:r w:rsidR="000C5747" w:rsidRPr="0020182A">
        <w:instrText xml:space="preserve"> REF _Ref520473258 \h </w:instrText>
      </w:r>
      <w:r w:rsidR="005A5471" w:rsidRPr="0020182A">
        <w:instrText xml:space="preserve"> \* MERGEFORMAT </w:instrText>
      </w:r>
      <w:r w:rsidR="000C5747" w:rsidRPr="0020182A">
        <w:fldChar w:fldCharType="separate"/>
      </w:r>
      <w:r w:rsidR="00502D19" w:rsidRPr="0020182A">
        <w:t xml:space="preserve">Figure </w:t>
      </w:r>
      <w:r w:rsidR="00502D19">
        <w:rPr>
          <w:noProof/>
        </w:rPr>
        <w:t>8</w:t>
      </w:r>
      <w:r w:rsidR="000C5747" w:rsidRPr="0020182A">
        <w:fldChar w:fldCharType="end"/>
      </w:r>
      <w:r w:rsidR="000C5747" w:rsidRPr="0020182A">
        <w:t xml:space="preserve"> below outlines </w:t>
      </w:r>
      <w:r w:rsidRPr="0020182A">
        <w:t>SDA market characteristics at different stages of SDA market development</w:t>
      </w:r>
      <w:r w:rsidR="000C5747" w:rsidRPr="0020182A">
        <w:t xml:space="preserve">. </w:t>
      </w:r>
    </w:p>
    <w:p w:rsidR="0087603C" w:rsidRPr="0020182A" w:rsidRDefault="000C5747" w:rsidP="00725B07">
      <w:pPr>
        <w:pStyle w:val="Caption"/>
        <w:keepNext/>
      </w:pPr>
      <w:bookmarkStart w:id="47" w:name="_Ref520473258"/>
      <w:bookmarkStart w:id="48" w:name="_Ref520473233"/>
      <w:r w:rsidRPr="0020182A">
        <w:lastRenderedPageBreak/>
        <w:t xml:space="preserve">Figure </w:t>
      </w:r>
      <w:r w:rsidR="00A33310" w:rsidRPr="0020182A">
        <w:rPr>
          <w:noProof/>
        </w:rPr>
        <w:fldChar w:fldCharType="begin"/>
      </w:r>
      <w:r w:rsidR="00A33310" w:rsidRPr="0020182A">
        <w:rPr>
          <w:noProof/>
        </w:rPr>
        <w:instrText xml:space="preserve"> SEQ Figure \* ARABIC </w:instrText>
      </w:r>
      <w:r w:rsidR="00A33310" w:rsidRPr="0020182A">
        <w:rPr>
          <w:noProof/>
        </w:rPr>
        <w:fldChar w:fldCharType="separate"/>
      </w:r>
      <w:r w:rsidR="00502D19">
        <w:rPr>
          <w:noProof/>
        </w:rPr>
        <w:t>8</w:t>
      </w:r>
      <w:r w:rsidR="00A33310" w:rsidRPr="0020182A">
        <w:rPr>
          <w:noProof/>
        </w:rPr>
        <w:fldChar w:fldCharType="end"/>
      </w:r>
      <w:bookmarkEnd w:id="47"/>
      <w:r w:rsidRPr="0020182A">
        <w:t xml:space="preserve">: SDA market </w:t>
      </w:r>
      <w:bookmarkEnd w:id="48"/>
      <w:r w:rsidR="003A58E3" w:rsidRPr="0020182A">
        <w:t>characteristics over time</w:t>
      </w:r>
    </w:p>
    <w:p w:rsidR="00A1325C" w:rsidRPr="0020182A" w:rsidRDefault="00233AC1" w:rsidP="00A1325C">
      <w:r>
        <w:rPr>
          <w:noProof/>
          <w:lang w:eastAsia="en-AU"/>
        </w:rPr>
        <w:drawing>
          <wp:inline distT="0" distB="0" distL="0" distR="0" wp14:anchorId="75EEAACF">
            <wp:extent cx="5744580" cy="7546612"/>
            <wp:effectExtent l="0" t="0" r="0" b="0"/>
            <wp:docPr id="502" name="Picture 502" descr="SDA market characteristics over the short-term, medium-term and long-term. More details found in the text above. &#10;Short term:&#10;- a small market populated by early adopters and first movers&#10;- choice, supply and competition are limited due to scale of early investment&#10;- providers, investors and participants are building an awarness of the market rules, in order to understand potential opportunities and level of risk associated with market entry&#10;- regulatory provisions being finalised&#10;- inconsistent/ unsophisticated arrangements for allocating supports (SIL) to SDA properties&#10;In the medium term:&#10;- a growing market with a larger number of mainstream providers and investors actively engaged in SDA provision&#10;- greater supply of SDA dwellings, due to new providers as well as existing providers expanding their numbers of SDA dwellings&#10;- new types of market entrants aside from early movers and traditional accommodation providers&#10;- clearer rules of engagement for all stakeholders, with greater market information symmetry for both demand for SDA dwellings and current/planned supply&#10;- greater choice and emergence of different or innovative housing models for Scheme participants&#10;- emergence of new support mechanisms for the market such as provider and participant matching services, participant supports etc&#10;- clearer and improved interactions between SDA and SIL&#10;In the long-term:&#10;- market is categorised by innovative models driven by consumer choice adn control for participants&#10;- information symmetry suppors for development of supply&#10;- participants are able to successfully navigate the market&#10;- desired level of supply for participants is achieved&#10;- provers have lower barriers to entry through reduced costs for raising capital&#10;- tested ad known parameters for the market including greater understanding of how funding is provider&#10;- greater market consolidation around providers/ investors with successful models&#10;" title="Figure 8: SDA market characteristics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48390" cy="7551617"/>
                    </a:xfrm>
                    <a:prstGeom prst="rect">
                      <a:avLst/>
                    </a:prstGeom>
                    <a:noFill/>
                  </pic:spPr>
                </pic:pic>
              </a:graphicData>
            </a:graphic>
          </wp:inline>
        </w:drawing>
      </w:r>
    </w:p>
    <w:p w:rsidR="000C5747" w:rsidRPr="0020182A" w:rsidRDefault="0087603C" w:rsidP="0087603C">
      <w:pPr>
        <w:pStyle w:val="Caption"/>
      </w:pPr>
      <w:r w:rsidRPr="0020182A">
        <w:t>Source: KPMG</w:t>
      </w:r>
    </w:p>
    <w:p w:rsidR="000C5747" w:rsidRPr="0020182A" w:rsidRDefault="000C5747" w:rsidP="000C5747">
      <w:pPr>
        <w:pStyle w:val="Heading2"/>
      </w:pPr>
      <w:bookmarkStart w:id="49" w:name="_Ref520538988"/>
      <w:bookmarkStart w:id="50" w:name="_Ref520539837"/>
      <w:bookmarkStart w:id="51" w:name="_Toc523122971"/>
      <w:bookmarkStart w:id="52" w:name="_Toc530648953"/>
      <w:r w:rsidRPr="0020182A">
        <w:lastRenderedPageBreak/>
        <w:t>Current state of the SDA market</w:t>
      </w:r>
      <w:bookmarkEnd w:id="49"/>
      <w:bookmarkEnd w:id="50"/>
      <w:bookmarkEnd w:id="51"/>
      <w:bookmarkEnd w:id="52"/>
    </w:p>
    <w:p w:rsidR="000C5747" w:rsidRPr="0020182A" w:rsidRDefault="000C5747" w:rsidP="00654BA2">
      <w:pPr>
        <w:pStyle w:val="Heading3"/>
      </w:pPr>
      <w:r w:rsidRPr="0020182A">
        <w:t>Overview of the market</w:t>
      </w:r>
    </w:p>
    <w:p w:rsidR="00A1325C" w:rsidRPr="0020182A" w:rsidRDefault="00A1325C" w:rsidP="00A1325C">
      <w:pPr>
        <w:pStyle w:val="BodyText1"/>
      </w:pPr>
      <w:r w:rsidRPr="0020182A">
        <w:t xml:space="preserve">SDA is a relatively new aspect of the NDIS, with the SDA Framework only endorsed by DRC in November 2015. Supporting documents and legislation have been developed over time and the SDA Framework now forms part of the structure of documents guiding the SDA market. This now includes the </w:t>
      </w:r>
      <w:hyperlink r:id="rId39" w:anchor="_Toc256000039" w:history="1">
        <w:r w:rsidRPr="0020182A">
          <w:rPr>
            <w:rStyle w:val="Hyperlink"/>
            <w:i/>
            <w:sz w:val="20"/>
          </w:rPr>
          <w:t>SDA Rules 2017</w:t>
        </w:r>
        <w:r w:rsidRPr="0020182A">
          <w:rPr>
            <w:rStyle w:val="Hyperlink"/>
            <w:sz w:val="20"/>
          </w:rPr>
          <w:t xml:space="preserve"> (SDA legislation</w:t>
        </w:r>
      </w:hyperlink>
      <w:r w:rsidRPr="0020182A">
        <w:t xml:space="preserve">), </w:t>
      </w:r>
      <w:hyperlink r:id="rId40" w:history="1">
        <w:r w:rsidRPr="0020182A">
          <w:rPr>
            <w:rStyle w:val="Hyperlink"/>
            <w:i/>
            <w:sz w:val="20"/>
          </w:rPr>
          <w:t>NDIA Decision Paper on Pricing and Payments</w:t>
        </w:r>
      </w:hyperlink>
      <w:r w:rsidRPr="0020182A">
        <w:t xml:space="preserve">, and </w:t>
      </w:r>
      <w:hyperlink r:id="rId41" w:history="1">
        <w:r w:rsidRPr="0020182A">
          <w:rPr>
            <w:rStyle w:val="Hyperlink"/>
            <w:i/>
            <w:sz w:val="20"/>
          </w:rPr>
          <w:t>NDIS Price Guide</w:t>
        </w:r>
      </w:hyperlink>
      <w:r w:rsidRPr="0020182A">
        <w:t>, updated annually</w:t>
      </w:r>
      <w:r w:rsidRPr="0020182A">
        <w:rPr>
          <w:vertAlign w:val="superscript"/>
        </w:rPr>
        <w:footnoteReference w:id="12"/>
      </w:r>
      <w:r w:rsidRPr="0020182A">
        <w:t>.</w:t>
      </w:r>
    </w:p>
    <w:p w:rsidR="00A1325C" w:rsidRPr="0020182A" w:rsidRDefault="00A1325C" w:rsidP="00A1325C">
      <w:pPr>
        <w:pStyle w:val="BodyText1"/>
      </w:pPr>
      <w:r w:rsidRPr="0020182A">
        <w:t xml:space="preserve">Given the SDA Framework is relatively new, it has not had the opportunity to be fully applied as the NDIS is still transitioning and full Scheme has not yet been reached in most jurisdictions. This is reflected in the fact that most SDA allocations </w:t>
      </w:r>
      <w:r w:rsidR="006C739B">
        <w:t xml:space="preserve">have been </w:t>
      </w:r>
      <w:r w:rsidRPr="0020182A">
        <w:t xml:space="preserve">made ‘in kind’, and the SDA market </w:t>
      </w:r>
      <w:r w:rsidR="006C739B">
        <w:t>is</w:t>
      </w:r>
      <w:r w:rsidR="006C739B" w:rsidRPr="0020182A">
        <w:t xml:space="preserve"> </w:t>
      </w:r>
      <w:r w:rsidRPr="0020182A">
        <w:t xml:space="preserve">largely comprised of pre-NDIS supported accommodation providers. </w:t>
      </w:r>
    </w:p>
    <w:p w:rsidR="00A1325C" w:rsidRPr="0020182A" w:rsidRDefault="00A1325C" w:rsidP="00A1325C">
      <w:pPr>
        <w:pStyle w:val="BodyText1"/>
      </w:pPr>
      <w:r w:rsidRPr="0020182A">
        <w:t xml:space="preserve">There is also still a high degree of uncertainty around the current SDA market and its potential future development, with many factors continuing to impact on market capacity, capability, and forward certainty. These include policy changes, high cost of entry combined with high risk perceptions, a lack of market information, governments seeking to transfer services to the non-government sector, growth in demand and provider entry, exit and consolidation. </w:t>
      </w:r>
    </w:p>
    <w:p w:rsidR="00A1325C" w:rsidRPr="0020182A" w:rsidRDefault="00A1325C" w:rsidP="00A1325C">
      <w:pPr>
        <w:pStyle w:val="BodyText1"/>
      </w:pPr>
      <w:r w:rsidRPr="0020182A">
        <w:t>The Review found the current market is in the early stages of development</w:t>
      </w:r>
      <w:r w:rsidR="008F33D9">
        <w:t>.</w:t>
      </w:r>
      <w:r w:rsidRPr="0020182A">
        <w:t xml:space="preserve"> Of the </w:t>
      </w:r>
      <w:r w:rsidR="007C6208">
        <w:t>198</w:t>
      </w:r>
      <w:r w:rsidRPr="0020182A">
        <w:t xml:space="preserve"> registered providers of SDA, </w:t>
      </w:r>
      <w:r w:rsidR="007C6208">
        <w:t>54</w:t>
      </w:r>
      <w:r w:rsidRPr="0020182A">
        <w:t xml:space="preserve"> have new</w:t>
      </w:r>
      <w:r w:rsidR="00877267">
        <w:t>ly</w:t>
      </w:r>
      <w:r w:rsidRPr="0020182A">
        <w:t xml:space="preserve"> bui</w:t>
      </w:r>
      <w:r w:rsidR="00877267">
        <w:t>lt</w:t>
      </w:r>
      <w:r w:rsidRPr="0020182A">
        <w:t xml:space="preserve"> dwellings</w:t>
      </w:r>
      <w:r w:rsidR="007C6208">
        <w:t xml:space="preserve"> enrolled (including new build </w:t>
      </w:r>
      <w:r w:rsidR="00877267">
        <w:t xml:space="preserve">- </w:t>
      </w:r>
      <w:r w:rsidR="007C6208">
        <w:t>refurbished)</w:t>
      </w:r>
      <w:r w:rsidRPr="0020182A">
        <w:t>. Of these providers, 26 have enrolled three dwellings or less with 50 percent of the new dwellings enrolled by the same eight providers. More detail regarding current SDA participants and enrolled dwellings is outlined below.</w:t>
      </w:r>
    </w:p>
    <w:p w:rsidR="000C5747" w:rsidRDefault="000C5747" w:rsidP="000C5747">
      <w:pPr>
        <w:pStyle w:val="HeadingLevel3NoNumber"/>
        <w:rPr>
          <w:rStyle w:val="Heading3Char"/>
        </w:rPr>
      </w:pPr>
      <w:r w:rsidRPr="0020182A">
        <w:t>C</w:t>
      </w:r>
      <w:r w:rsidRPr="0020182A">
        <w:rPr>
          <w:rStyle w:val="Heading3Char"/>
        </w:rPr>
        <w:t xml:space="preserve">urrent demand </w:t>
      </w:r>
    </w:p>
    <w:p w:rsidR="00E52513" w:rsidRPr="00E52513" w:rsidRDefault="00E52513" w:rsidP="00F06A5B">
      <w:pPr>
        <w:pStyle w:val="BodyText1"/>
      </w:pPr>
      <w:r w:rsidRPr="00204436">
        <w:t>At this stage of NDIS implementation, a number of participants who are expected to require SDA have not yet transitioned to the Scheme or have not had SDA funding included in their plans.  As such, the number of participants accessing SDA at this point in time is not reflective of demand for SDA.</w:t>
      </w:r>
      <w:r>
        <w:t xml:space="preserve"> </w:t>
      </w:r>
    </w:p>
    <w:p w:rsidR="00E52513" w:rsidRDefault="00E52513" w:rsidP="00F06A5B">
      <w:pPr>
        <w:pStyle w:val="Heading4"/>
      </w:pPr>
      <w:r>
        <w:t>Participants with SDA funding</w:t>
      </w:r>
    </w:p>
    <w:p w:rsidR="00317B69" w:rsidRDefault="00681FB4" w:rsidP="00317B69">
      <w:pPr>
        <w:pStyle w:val="BodyText1"/>
      </w:pPr>
      <w:r w:rsidRPr="00204436">
        <w:t xml:space="preserve">As at </w:t>
      </w:r>
      <w:r w:rsidR="001A16F4">
        <w:t xml:space="preserve">end </w:t>
      </w:r>
      <w:r>
        <w:t xml:space="preserve">September </w:t>
      </w:r>
      <w:r w:rsidRPr="00204436">
        <w:t xml:space="preserve">2018 there were </w:t>
      </w:r>
      <w:r>
        <w:t>9,536</w:t>
      </w:r>
      <w:r w:rsidRPr="00204436">
        <w:t xml:space="preserve"> participants with SDA approved in their NDIS plans. Of these, the majority of participants are located in NSW</w:t>
      </w:r>
      <w:r w:rsidRPr="00204436">
        <w:fldChar w:fldCharType="begin"/>
      </w:r>
      <w:r w:rsidRPr="00204436">
        <w:instrText xml:space="preserve"> REF _Ref523222418 \h  \* MERGEFORMAT </w:instrText>
      </w:r>
      <w:r w:rsidRPr="00204436">
        <w:fldChar w:fldCharType="end"/>
      </w:r>
      <w:r w:rsidRPr="00204436">
        <w:t xml:space="preserve">. </w:t>
      </w:r>
      <w:r w:rsidR="001A16F4">
        <w:t xml:space="preserve"> </w:t>
      </w:r>
      <w:r w:rsidRPr="00204436">
        <w:t xml:space="preserve">This is reflective of the stage of transition to the NDIS for each state/territory, </w:t>
      </w:r>
      <w:r w:rsidR="006C739B">
        <w:t xml:space="preserve">state and territory population size and </w:t>
      </w:r>
      <w:r w:rsidRPr="00204436">
        <w:t xml:space="preserve">the individual arrangements made between the NDIA and each state/territory within bilateral agreements. </w:t>
      </w:r>
    </w:p>
    <w:p w:rsidR="00681FB4" w:rsidRPr="00204436" w:rsidRDefault="00317B69" w:rsidP="00681FB4">
      <w:pPr>
        <w:pStyle w:val="BodyText1"/>
      </w:pPr>
      <w:r>
        <w:t>Plan utilisation is relatively high for participants who have SIL and SDA funding in their plan, with 85 per cent of funding utilised, on average, compared with 68 per cent of funding utilised for NDIS participants</w:t>
      </w:r>
      <w:r w:rsidR="00E52513">
        <w:t xml:space="preserve"> in general</w:t>
      </w:r>
      <w:r>
        <w:t>.</w:t>
      </w:r>
      <w:r>
        <w:rPr>
          <w:rStyle w:val="FootnoteReference"/>
        </w:rPr>
        <w:footnoteReference w:id="13"/>
      </w:r>
      <w:r w:rsidR="00E52513">
        <w:t xml:space="preserve"> Howe</w:t>
      </w:r>
      <w:r w:rsidR="00E52513" w:rsidRPr="009F46E4">
        <w:t xml:space="preserve">ver, </w:t>
      </w:r>
      <w:r w:rsidRPr="00F06A5B">
        <w:t xml:space="preserve">NDIA data illustrates that participant utilisation of SDA funding </w:t>
      </w:r>
      <w:r w:rsidR="00E52513" w:rsidRPr="00F06A5B">
        <w:t xml:space="preserve">alone </w:t>
      </w:r>
      <w:r w:rsidRPr="00F06A5B">
        <w:t>is around 50 per cent.</w:t>
      </w:r>
      <w:r w:rsidR="00DD5D11" w:rsidRPr="00204436">
        <w:t xml:space="preserve"> </w:t>
      </w:r>
    </w:p>
    <w:p w:rsidR="00681FB4" w:rsidRPr="00204436" w:rsidRDefault="00681FB4" w:rsidP="00681FB4">
      <w:pPr>
        <w:spacing w:before="0" w:after="160" w:line="259" w:lineRule="auto"/>
      </w:pPr>
      <w:r w:rsidRPr="00204436">
        <w:br w:type="page"/>
      </w:r>
    </w:p>
    <w:p w:rsidR="00681FB4" w:rsidRPr="00204436" w:rsidRDefault="00CB0B53" w:rsidP="00681FB4">
      <w:pPr>
        <w:spacing w:before="0" w:after="160" w:line="259" w:lineRule="auto"/>
      </w:pPr>
      <w:r w:rsidRPr="00C73B59">
        <w:rPr>
          <w:color w:val="000000" w:themeColor="text1"/>
        </w:rPr>
        <w:lastRenderedPageBreak/>
        <w:t>O</w:t>
      </w:r>
      <w:r w:rsidR="00681FB4" w:rsidRPr="00C73B59">
        <w:rPr>
          <w:color w:val="000000" w:themeColor="text1"/>
        </w:rPr>
        <w:t xml:space="preserve">f </w:t>
      </w:r>
      <w:r w:rsidR="00C81CCD">
        <w:rPr>
          <w:color w:val="000000" w:themeColor="text1"/>
        </w:rPr>
        <w:t xml:space="preserve">the </w:t>
      </w:r>
      <w:r w:rsidR="00681FB4" w:rsidRPr="00C73B59">
        <w:rPr>
          <w:color w:val="000000" w:themeColor="text1"/>
        </w:rPr>
        <w:t>participants</w:t>
      </w:r>
      <w:r w:rsidRPr="00C73B59">
        <w:rPr>
          <w:color w:val="000000" w:themeColor="text1"/>
        </w:rPr>
        <w:t xml:space="preserve"> </w:t>
      </w:r>
      <w:r w:rsidR="00C81CCD">
        <w:rPr>
          <w:color w:val="000000" w:themeColor="text1"/>
        </w:rPr>
        <w:t xml:space="preserve">with SDA in their plan, </w:t>
      </w:r>
      <w:r w:rsidRPr="00C73B59">
        <w:rPr>
          <w:color w:val="000000" w:themeColor="text1"/>
        </w:rPr>
        <w:t>34 percent</w:t>
      </w:r>
      <w:r w:rsidR="00681FB4" w:rsidRPr="00C73B59">
        <w:rPr>
          <w:color w:val="000000" w:themeColor="text1"/>
        </w:rPr>
        <w:t xml:space="preserve"> were receiving in-kind SDA payments, through </w:t>
      </w:r>
      <w:r w:rsidR="00F61B99" w:rsidRPr="00C73B59">
        <w:rPr>
          <w:color w:val="000000" w:themeColor="text1"/>
        </w:rPr>
        <w:t>s</w:t>
      </w:r>
      <w:r w:rsidR="00681FB4" w:rsidRPr="00C73B59">
        <w:rPr>
          <w:color w:val="000000" w:themeColor="text1"/>
        </w:rPr>
        <w:t>tate/</w:t>
      </w:r>
      <w:r w:rsidR="00F61B99" w:rsidRPr="00C73B59">
        <w:rPr>
          <w:color w:val="000000" w:themeColor="text1"/>
        </w:rPr>
        <w:t>t</w:t>
      </w:r>
      <w:r w:rsidR="00681FB4" w:rsidRPr="00C73B59">
        <w:rPr>
          <w:color w:val="000000" w:themeColor="text1"/>
        </w:rPr>
        <w:t xml:space="preserve">erritory </w:t>
      </w:r>
      <w:r w:rsidR="00317B69">
        <w:rPr>
          <w:color w:val="000000" w:themeColor="text1"/>
        </w:rPr>
        <w:t>b</w:t>
      </w:r>
      <w:r w:rsidR="00681FB4" w:rsidRPr="00C73B59">
        <w:rPr>
          <w:color w:val="000000" w:themeColor="text1"/>
        </w:rPr>
        <w:t xml:space="preserve">ilateral agreements with the NDIA. The remaining 66 percent were being funded directly by the agency. </w:t>
      </w:r>
      <w:r w:rsidR="00681FB4" w:rsidRPr="00204436">
        <w:t xml:space="preserve">The majority of participants were also deemed to have a low level of function – </w:t>
      </w:r>
      <w:r w:rsidR="00681FB4">
        <w:t>70</w:t>
      </w:r>
      <w:r w:rsidR="00681FB4" w:rsidRPr="00204436">
        <w:t xml:space="preserve"> percent (see </w:t>
      </w:r>
      <w:r w:rsidR="00681FB4" w:rsidRPr="00204436">
        <w:fldChar w:fldCharType="begin"/>
      </w:r>
      <w:r w:rsidR="00681FB4" w:rsidRPr="00204436">
        <w:instrText xml:space="preserve"> REF _Ref520818800 \h  \* MERGEFORMAT </w:instrText>
      </w:r>
      <w:r w:rsidR="00681FB4" w:rsidRPr="00204436">
        <w:fldChar w:fldCharType="separate"/>
      </w:r>
      <w:r w:rsidR="00502D19" w:rsidRPr="00204436">
        <w:t xml:space="preserve">Figure </w:t>
      </w:r>
      <w:r w:rsidR="00502D19">
        <w:rPr>
          <w:noProof/>
        </w:rPr>
        <w:t>9</w:t>
      </w:r>
      <w:r w:rsidR="00681FB4" w:rsidRPr="00204436">
        <w:fldChar w:fldCharType="end"/>
      </w:r>
      <w:r w:rsidR="00681FB4" w:rsidRPr="00204436">
        <w:t xml:space="preserve"> below). The level of function of participants is also influenced by the large number of participants who were already residents of supported accommodation upon entering the NDIS.</w:t>
      </w:r>
    </w:p>
    <w:p w:rsidR="00681FB4" w:rsidRDefault="00681FB4" w:rsidP="00681FB4">
      <w:pPr>
        <w:pStyle w:val="Caption"/>
        <w:rPr>
          <w:noProof/>
          <w:lang w:eastAsia="en-AU"/>
        </w:rPr>
      </w:pPr>
      <w:bookmarkStart w:id="53" w:name="_Ref519617125"/>
      <w:bookmarkStart w:id="54" w:name="_Ref520818800"/>
      <w:bookmarkStart w:id="55" w:name="_Ref520818793"/>
      <w:r w:rsidRPr="00204436">
        <w:t xml:space="preserve">Figure </w:t>
      </w:r>
      <w:r w:rsidRPr="00204436">
        <w:rPr>
          <w:noProof/>
        </w:rPr>
        <w:fldChar w:fldCharType="begin"/>
      </w:r>
      <w:r w:rsidRPr="00204436">
        <w:rPr>
          <w:noProof/>
        </w:rPr>
        <w:instrText xml:space="preserve"> SEQ Figure \* ARABIC </w:instrText>
      </w:r>
      <w:r w:rsidRPr="00204436">
        <w:rPr>
          <w:noProof/>
        </w:rPr>
        <w:fldChar w:fldCharType="separate"/>
      </w:r>
      <w:r w:rsidR="00502D19">
        <w:rPr>
          <w:noProof/>
        </w:rPr>
        <w:t>9</w:t>
      </w:r>
      <w:r w:rsidRPr="00204436">
        <w:rPr>
          <w:noProof/>
        </w:rPr>
        <w:fldChar w:fldCharType="end"/>
      </w:r>
      <w:bookmarkEnd w:id="53"/>
      <w:bookmarkEnd w:id="54"/>
      <w:r w:rsidRPr="00204436">
        <w:t xml:space="preserve">: Level of function of participants with SDA funding in their NDIS plans, </w:t>
      </w:r>
      <w:r>
        <w:t>September</w:t>
      </w:r>
      <w:r w:rsidRPr="00204436">
        <w:t xml:space="preserve"> 2018</w:t>
      </w:r>
      <w:r w:rsidRPr="00204436">
        <w:rPr>
          <w:rStyle w:val="FootnoteReference"/>
          <w:color w:val="auto"/>
        </w:rPr>
        <w:footnoteReference w:id="14"/>
      </w:r>
      <w:bookmarkEnd w:id="55"/>
    </w:p>
    <w:p w:rsidR="000A7D0B" w:rsidRPr="000A7D0B" w:rsidRDefault="000A7D0B" w:rsidP="000A7D0B">
      <w:pPr>
        <w:rPr>
          <w:lang w:eastAsia="en-AU"/>
        </w:rPr>
      </w:pPr>
      <w:r>
        <w:rPr>
          <w:noProof/>
          <w:lang w:eastAsia="en-AU"/>
        </w:rPr>
        <w:drawing>
          <wp:inline distT="0" distB="0" distL="0" distR="0" wp14:anchorId="19EE800C">
            <wp:extent cx="4468495" cy="2737485"/>
            <wp:effectExtent l="0" t="0" r="0" b="0"/>
            <wp:docPr id="1" name="Picture 1" descr="High level funding (Level 1-5) is 70%, Medium level funding (Level 6-10) is 28% and low level funding (Level 11-15) is 3%." title="Level of function of participants with SDA funding in their NDIS plans, September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468495" cy="2737485"/>
                    </a:xfrm>
                    <a:prstGeom prst="rect">
                      <a:avLst/>
                    </a:prstGeom>
                    <a:noFill/>
                  </pic:spPr>
                </pic:pic>
              </a:graphicData>
            </a:graphic>
          </wp:inline>
        </w:drawing>
      </w:r>
    </w:p>
    <w:p w:rsidR="00681FB4" w:rsidRPr="00204436" w:rsidRDefault="00681FB4" w:rsidP="00681FB4">
      <w:pPr>
        <w:pStyle w:val="Caption"/>
      </w:pPr>
      <w:r w:rsidRPr="00204436">
        <w:t xml:space="preserve">Source: NDIA Participant and payment data, </w:t>
      </w:r>
      <w:r>
        <w:t>September</w:t>
      </w:r>
      <w:r w:rsidRPr="00204436">
        <w:t xml:space="preserve"> 2018</w:t>
      </w:r>
    </w:p>
    <w:p w:rsidR="00317B69" w:rsidRDefault="00317B69" w:rsidP="00681FB4">
      <w:pPr>
        <w:pStyle w:val="BodyText1"/>
        <w:rPr>
          <w:highlight w:val="yellow"/>
        </w:rPr>
      </w:pPr>
    </w:p>
    <w:p w:rsidR="00E52513" w:rsidRPr="00F06A5B" w:rsidRDefault="00E52513" w:rsidP="00F06A5B">
      <w:pPr>
        <w:pStyle w:val="Heading4"/>
      </w:pPr>
      <w:r w:rsidRPr="00F06A5B">
        <w:t xml:space="preserve">Participants with SIL funding </w:t>
      </w:r>
    </w:p>
    <w:p w:rsidR="00E52513" w:rsidRPr="00F06A5B" w:rsidRDefault="00E52513" w:rsidP="00681FB4">
      <w:pPr>
        <w:pStyle w:val="BodyText1"/>
      </w:pPr>
      <w:r w:rsidRPr="00F06A5B">
        <w:t xml:space="preserve">The number of participants with SIL funding in their plan </w:t>
      </w:r>
      <w:r w:rsidR="004E0F95">
        <w:t>may be</w:t>
      </w:r>
      <w:r w:rsidRPr="00F06A5B">
        <w:t xml:space="preserve"> a better indicator of demand </w:t>
      </w:r>
      <w:r>
        <w:t xml:space="preserve">for SDA </w:t>
      </w:r>
      <w:r w:rsidRPr="00F06A5B">
        <w:t xml:space="preserve">at this point in time </w:t>
      </w:r>
      <w:r w:rsidR="00C81CCD">
        <w:t>given the majority of participants who have SIL funding will require an SDA place</w:t>
      </w:r>
      <w:r w:rsidR="003C40B6">
        <w:t xml:space="preserve">.  This </w:t>
      </w:r>
      <w:r w:rsidRPr="00F06A5B">
        <w:t>is still an underestimate of total demand given a number of participants have yet to transition to the Scheme</w:t>
      </w:r>
      <w:r w:rsidR="003C40B6">
        <w:t>, and some participants accessing SIL are living in a dwelling not yet registered for SDA</w:t>
      </w:r>
      <w:r>
        <w:t>.</w:t>
      </w:r>
    </w:p>
    <w:p w:rsidR="00C81CCD" w:rsidRPr="00F06A5B" w:rsidRDefault="00C81CCD" w:rsidP="00681FB4">
      <w:pPr>
        <w:pStyle w:val="BodyText1"/>
      </w:pPr>
      <w:r w:rsidRPr="00F06A5B">
        <w:t xml:space="preserve">Data provided by the NDIA illustrates that as at end September 2018, 14,000 </w:t>
      </w:r>
      <w:r w:rsidR="004E18B5">
        <w:t xml:space="preserve">active </w:t>
      </w:r>
      <w:r w:rsidRPr="00F06A5B">
        <w:t xml:space="preserve">participants had SIL funding included in their plans (including the 9,536 participants with SDA in their plans, and more than 4,400 participants with SIL but not SDA funding in their plans).  This represents 7.1 per cent of </w:t>
      </w:r>
      <w:r w:rsidR="004E18B5">
        <w:t xml:space="preserve">active </w:t>
      </w:r>
      <w:r w:rsidRPr="00F06A5B">
        <w:t>participants</w:t>
      </w:r>
      <w:r w:rsidRPr="00F06A5B">
        <w:rPr>
          <w:rStyle w:val="FootnoteReference"/>
        </w:rPr>
        <w:footnoteReference w:id="15"/>
      </w:r>
      <w:r w:rsidRPr="00F06A5B">
        <w:t xml:space="preserve"> – higher than the 6.1 per cent of participants that the Productivity Commission estimated as requiring SDA supports.</w:t>
      </w:r>
    </w:p>
    <w:p w:rsidR="009F46E4" w:rsidRPr="004E18B5" w:rsidRDefault="004E18B5" w:rsidP="009F46E4">
      <w:pPr>
        <w:spacing w:before="0" w:after="160" w:line="259" w:lineRule="auto"/>
      </w:pPr>
      <w:r>
        <w:rPr>
          <w:bCs/>
        </w:rPr>
        <w:t xml:space="preserve">Participants with </w:t>
      </w:r>
      <w:r w:rsidRPr="004E18B5">
        <w:rPr>
          <w:bCs/>
        </w:rPr>
        <w:t>SIL</w:t>
      </w:r>
      <w:r>
        <w:rPr>
          <w:bCs/>
        </w:rPr>
        <w:t xml:space="preserve">/SDA funding in their plans has increased </w:t>
      </w:r>
      <w:r w:rsidR="009F46E4">
        <w:rPr>
          <w:bCs/>
        </w:rPr>
        <w:t xml:space="preserve">over time </w:t>
      </w:r>
      <w:r>
        <w:rPr>
          <w:bCs/>
        </w:rPr>
        <w:t>as participants have transitioned into the Scheme</w:t>
      </w:r>
      <w:r w:rsidR="009F46E4">
        <w:rPr>
          <w:bCs/>
        </w:rPr>
        <w:t xml:space="preserve"> – as illustrated in </w:t>
      </w:r>
      <w:r w:rsidR="009F46E4" w:rsidRPr="004E18B5">
        <w:fldChar w:fldCharType="begin"/>
      </w:r>
      <w:r w:rsidR="009F46E4" w:rsidRPr="004E18B5">
        <w:instrText xml:space="preserve"> REF _Ref520818800 \h  \* MERGEFORMAT </w:instrText>
      </w:r>
      <w:r w:rsidR="009F46E4" w:rsidRPr="004E18B5">
        <w:fldChar w:fldCharType="separate"/>
      </w:r>
      <w:r w:rsidR="00502D19" w:rsidRPr="00204436">
        <w:t xml:space="preserve">Figure </w:t>
      </w:r>
      <w:r w:rsidR="00502D19">
        <w:t>10</w:t>
      </w:r>
      <w:r w:rsidR="009F46E4" w:rsidRPr="004E18B5">
        <w:fldChar w:fldCharType="end"/>
      </w:r>
      <w:r w:rsidR="009F46E4" w:rsidRPr="004E18B5">
        <w:t xml:space="preserve"> below</w:t>
      </w:r>
      <w:r w:rsidR="009F46E4">
        <w:t>.</w:t>
      </w:r>
    </w:p>
    <w:p w:rsidR="009F46E4" w:rsidRDefault="009F46E4">
      <w:pPr>
        <w:spacing w:before="0" w:after="160" w:line="259" w:lineRule="auto"/>
        <w:rPr>
          <w:i/>
        </w:rPr>
      </w:pPr>
      <w:r>
        <w:rPr>
          <w:i/>
        </w:rPr>
        <w:br w:type="page"/>
      </w:r>
    </w:p>
    <w:p w:rsidR="009F46E4" w:rsidRPr="00704453" w:rsidRDefault="009F46E4" w:rsidP="009F46E4">
      <w:pPr>
        <w:pStyle w:val="BodyText1"/>
        <w:rPr>
          <w:i/>
          <w:iCs/>
          <w:color w:val="595959" w:themeColor="text1" w:themeTint="A6"/>
          <w:sz w:val="18"/>
          <w:szCs w:val="18"/>
        </w:rPr>
      </w:pPr>
      <w:r w:rsidRPr="00704453">
        <w:rPr>
          <w:i/>
          <w:iCs/>
          <w:color w:val="595959" w:themeColor="text1" w:themeTint="A6"/>
          <w:sz w:val="18"/>
          <w:szCs w:val="18"/>
        </w:rPr>
        <w:lastRenderedPageBreak/>
        <w:t xml:space="preserve">Figure </w:t>
      </w:r>
      <w:r w:rsidRPr="00704453">
        <w:rPr>
          <w:i/>
          <w:iCs/>
          <w:color w:val="595959" w:themeColor="text1" w:themeTint="A6"/>
          <w:sz w:val="18"/>
          <w:szCs w:val="18"/>
        </w:rPr>
        <w:fldChar w:fldCharType="begin"/>
      </w:r>
      <w:r w:rsidRPr="00704453">
        <w:rPr>
          <w:i/>
          <w:iCs/>
          <w:color w:val="595959" w:themeColor="text1" w:themeTint="A6"/>
          <w:sz w:val="18"/>
          <w:szCs w:val="18"/>
        </w:rPr>
        <w:instrText xml:space="preserve"> SEQ Figure \* ARABIC </w:instrText>
      </w:r>
      <w:r w:rsidRPr="00704453">
        <w:rPr>
          <w:i/>
          <w:iCs/>
          <w:color w:val="595959" w:themeColor="text1" w:themeTint="A6"/>
          <w:sz w:val="18"/>
          <w:szCs w:val="18"/>
        </w:rPr>
        <w:fldChar w:fldCharType="separate"/>
      </w:r>
      <w:r w:rsidR="00502D19" w:rsidRPr="00704453">
        <w:rPr>
          <w:i/>
          <w:iCs/>
          <w:color w:val="595959" w:themeColor="text1" w:themeTint="A6"/>
          <w:sz w:val="18"/>
          <w:szCs w:val="18"/>
        </w:rPr>
        <w:t>10</w:t>
      </w:r>
      <w:r w:rsidRPr="00704453">
        <w:rPr>
          <w:i/>
          <w:iCs/>
          <w:color w:val="595959" w:themeColor="text1" w:themeTint="A6"/>
          <w:sz w:val="18"/>
          <w:szCs w:val="18"/>
        </w:rPr>
        <w:fldChar w:fldCharType="end"/>
      </w:r>
      <w:r w:rsidRPr="00704453">
        <w:rPr>
          <w:i/>
          <w:iCs/>
          <w:color w:val="595959" w:themeColor="text1" w:themeTint="A6"/>
          <w:sz w:val="18"/>
          <w:szCs w:val="18"/>
        </w:rPr>
        <w:t>: Number and proportion of participants with SIL/SDA supports (‘000s of participants, % of total active participants), September 2018</w:t>
      </w:r>
    </w:p>
    <w:p w:rsidR="004E18B5" w:rsidRDefault="009F46E4" w:rsidP="00AC515D">
      <w:pPr>
        <w:pStyle w:val="BodyText1"/>
        <w:rPr>
          <w:i/>
        </w:rPr>
      </w:pPr>
      <w:r w:rsidRPr="009F46E4">
        <w:rPr>
          <w:noProof/>
          <w:lang w:eastAsia="en-AU"/>
        </w:rPr>
        <w:drawing>
          <wp:inline distT="0" distB="0" distL="0" distR="0" wp14:anchorId="685F94DF" wp14:editId="3736670C">
            <wp:extent cx="5759450" cy="2677450"/>
            <wp:effectExtent l="0" t="0" r="0" b="0"/>
            <wp:docPr id="479" name="Picture 479" descr="Includes percentage of participants with SDA and SIL supports as well as percentage of participants with SIL but not SDA supports." title="Figure 10: Number and proportion of participants with SIL/SDA supports (‘000s of participants, % of total active participants), September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59450" cy="2677450"/>
                    </a:xfrm>
                    <a:prstGeom prst="rect">
                      <a:avLst/>
                    </a:prstGeom>
                    <a:noFill/>
                    <a:ln>
                      <a:noFill/>
                    </a:ln>
                  </pic:spPr>
                </pic:pic>
              </a:graphicData>
            </a:graphic>
          </wp:inline>
        </w:drawing>
      </w:r>
    </w:p>
    <w:p w:rsidR="009F46E4" w:rsidRPr="00204436" w:rsidRDefault="009F46E4" w:rsidP="009F46E4">
      <w:pPr>
        <w:pStyle w:val="Caption"/>
      </w:pPr>
      <w:r w:rsidRPr="00204436">
        <w:t xml:space="preserve">Source: NDIA, </w:t>
      </w:r>
      <w:r>
        <w:t>September</w:t>
      </w:r>
      <w:r w:rsidRPr="00204436">
        <w:t xml:space="preserve"> 2018</w:t>
      </w:r>
    </w:p>
    <w:p w:rsidR="009F46E4" w:rsidRDefault="009F46E4" w:rsidP="00AC515D">
      <w:pPr>
        <w:pStyle w:val="BodyText1"/>
        <w:rPr>
          <w:i/>
        </w:rPr>
      </w:pPr>
    </w:p>
    <w:p w:rsidR="009F46E4" w:rsidRPr="004E18B5" w:rsidRDefault="009F46E4" w:rsidP="009F46E4">
      <w:pPr>
        <w:spacing w:before="0" w:after="160" w:line="259" w:lineRule="auto"/>
      </w:pPr>
      <w:r w:rsidRPr="00BD4B17">
        <w:rPr>
          <w:bCs/>
        </w:rPr>
        <w:t xml:space="preserve">In all states and territories other than SA, the proportion of participants with SIL/SDA supports is at or above the overall PC estimate – as indicated in </w:t>
      </w:r>
      <w:r w:rsidRPr="004E18B5">
        <w:fldChar w:fldCharType="begin"/>
      </w:r>
      <w:r w:rsidRPr="004E18B5">
        <w:instrText xml:space="preserve"> REF _Ref520818800 \h  \* MERGEFORMAT </w:instrText>
      </w:r>
      <w:r w:rsidRPr="004E18B5">
        <w:fldChar w:fldCharType="separate"/>
      </w:r>
      <w:r w:rsidR="00502D19" w:rsidRPr="00204436">
        <w:t xml:space="preserve">Figure </w:t>
      </w:r>
      <w:r w:rsidRPr="004E18B5">
        <w:fldChar w:fldCharType="end"/>
      </w:r>
      <w:r w:rsidR="00502D19">
        <w:t>11</w:t>
      </w:r>
      <w:r w:rsidRPr="004E18B5">
        <w:t xml:space="preserve"> below</w:t>
      </w:r>
      <w:r>
        <w:t>.</w:t>
      </w:r>
    </w:p>
    <w:p w:rsidR="00AC515D" w:rsidRPr="00704453" w:rsidRDefault="00AC515D" w:rsidP="00AC515D">
      <w:pPr>
        <w:pStyle w:val="BodyText1"/>
        <w:rPr>
          <w:i/>
          <w:iCs/>
          <w:color w:val="595959" w:themeColor="text1" w:themeTint="A6"/>
          <w:sz w:val="18"/>
          <w:szCs w:val="18"/>
        </w:rPr>
      </w:pPr>
      <w:r w:rsidRPr="00704453">
        <w:rPr>
          <w:i/>
          <w:iCs/>
          <w:color w:val="595959" w:themeColor="text1" w:themeTint="A6"/>
          <w:sz w:val="18"/>
          <w:szCs w:val="18"/>
        </w:rPr>
        <w:t xml:space="preserve">Figure </w:t>
      </w:r>
      <w:r w:rsidRPr="00704453">
        <w:rPr>
          <w:i/>
          <w:iCs/>
          <w:color w:val="595959" w:themeColor="text1" w:themeTint="A6"/>
          <w:sz w:val="18"/>
          <w:szCs w:val="18"/>
        </w:rPr>
        <w:fldChar w:fldCharType="begin"/>
      </w:r>
      <w:r w:rsidRPr="00704453">
        <w:rPr>
          <w:i/>
          <w:iCs/>
          <w:color w:val="595959" w:themeColor="text1" w:themeTint="A6"/>
          <w:sz w:val="18"/>
          <w:szCs w:val="18"/>
        </w:rPr>
        <w:instrText xml:space="preserve"> SEQ Figure \* ARABIC </w:instrText>
      </w:r>
      <w:r w:rsidRPr="00704453">
        <w:rPr>
          <w:i/>
          <w:iCs/>
          <w:color w:val="595959" w:themeColor="text1" w:themeTint="A6"/>
          <w:sz w:val="18"/>
          <w:szCs w:val="18"/>
        </w:rPr>
        <w:fldChar w:fldCharType="separate"/>
      </w:r>
      <w:r w:rsidR="00502D19" w:rsidRPr="00704453">
        <w:rPr>
          <w:i/>
          <w:iCs/>
          <w:color w:val="595959" w:themeColor="text1" w:themeTint="A6"/>
          <w:sz w:val="18"/>
          <w:szCs w:val="18"/>
        </w:rPr>
        <w:t>11</w:t>
      </w:r>
      <w:r w:rsidRPr="00704453">
        <w:rPr>
          <w:i/>
          <w:iCs/>
          <w:color w:val="595959" w:themeColor="text1" w:themeTint="A6"/>
          <w:sz w:val="18"/>
          <w:szCs w:val="18"/>
        </w:rPr>
        <w:fldChar w:fldCharType="end"/>
      </w:r>
      <w:r w:rsidRPr="00704453">
        <w:rPr>
          <w:i/>
          <w:iCs/>
          <w:color w:val="595959" w:themeColor="text1" w:themeTint="A6"/>
          <w:sz w:val="18"/>
          <w:szCs w:val="18"/>
        </w:rPr>
        <w:t>:</w:t>
      </w:r>
      <w:r w:rsidR="004E18B5" w:rsidRPr="00704453">
        <w:rPr>
          <w:i/>
          <w:iCs/>
          <w:color w:val="595959" w:themeColor="text1" w:themeTint="A6"/>
          <w:sz w:val="18"/>
          <w:szCs w:val="18"/>
        </w:rPr>
        <w:t xml:space="preserve"> P</w:t>
      </w:r>
      <w:r w:rsidRPr="00704453">
        <w:rPr>
          <w:i/>
          <w:iCs/>
          <w:color w:val="595959" w:themeColor="text1" w:themeTint="A6"/>
          <w:sz w:val="18"/>
          <w:szCs w:val="18"/>
        </w:rPr>
        <w:t xml:space="preserve">articipants with SIL/SDA supports, by state and territory (% of total </w:t>
      </w:r>
      <w:r w:rsidR="004E18B5" w:rsidRPr="00704453">
        <w:rPr>
          <w:i/>
          <w:iCs/>
          <w:color w:val="595959" w:themeColor="text1" w:themeTint="A6"/>
          <w:sz w:val="18"/>
          <w:szCs w:val="18"/>
        </w:rPr>
        <w:t xml:space="preserve">active </w:t>
      </w:r>
      <w:r w:rsidRPr="00704453">
        <w:rPr>
          <w:i/>
          <w:iCs/>
          <w:color w:val="595959" w:themeColor="text1" w:themeTint="A6"/>
          <w:sz w:val="18"/>
          <w:szCs w:val="18"/>
        </w:rPr>
        <w:t>participants</w:t>
      </w:r>
      <w:r w:rsidR="004E18B5" w:rsidRPr="00704453">
        <w:rPr>
          <w:i/>
          <w:iCs/>
          <w:color w:val="595959" w:themeColor="text1" w:themeTint="A6"/>
          <w:sz w:val="18"/>
          <w:szCs w:val="18"/>
        </w:rPr>
        <w:t xml:space="preserve"> in each state/territory</w:t>
      </w:r>
      <w:r w:rsidRPr="00704453">
        <w:rPr>
          <w:i/>
          <w:iCs/>
          <w:color w:val="595959" w:themeColor="text1" w:themeTint="A6"/>
          <w:sz w:val="18"/>
          <w:szCs w:val="18"/>
        </w:rPr>
        <w:t>), September 2018</w:t>
      </w:r>
    </w:p>
    <w:p w:rsidR="00E52513" w:rsidRPr="00F06A5B" w:rsidRDefault="004E18B5" w:rsidP="00681FB4">
      <w:pPr>
        <w:pStyle w:val="BodyText1"/>
      </w:pPr>
      <w:r w:rsidRPr="004E18B5">
        <w:rPr>
          <w:noProof/>
          <w:lang w:eastAsia="en-AU"/>
        </w:rPr>
        <w:drawing>
          <wp:inline distT="0" distB="0" distL="0" distR="0" wp14:anchorId="4C5FD6F5" wp14:editId="3D4FAE96">
            <wp:extent cx="5759450" cy="2490027"/>
            <wp:effectExtent l="0" t="0" r="0" b="0"/>
            <wp:docPr id="478" name="Picture 478" descr="Percentage breakdown of active participants with SDA and SIL supports." title="Figure 11: Participants with SIL/SDA supports, by state and territory (% of total active participants in each state/territory), September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59450" cy="2490027"/>
                    </a:xfrm>
                    <a:prstGeom prst="rect">
                      <a:avLst/>
                    </a:prstGeom>
                    <a:noFill/>
                    <a:ln>
                      <a:noFill/>
                    </a:ln>
                  </pic:spPr>
                </pic:pic>
              </a:graphicData>
            </a:graphic>
          </wp:inline>
        </w:drawing>
      </w:r>
    </w:p>
    <w:p w:rsidR="00AC515D" w:rsidRPr="00204436" w:rsidRDefault="00AC515D" w:rsidP="00AC515D">
      <w:pPr>
        <w:pStyle w:val="Caption"/>
      </w:pPr>
      <w:r w:rsidRPr="00204436">
        <w:t xml:space="preserve">Source: NDIA, </w:t>
      </w:r>
      <w:r>
        <w:t>September</w:t>
      </w:r>
      <w:r w:rsidRPr="00204436">
        <w:t xml:space="preserve"> 2018</w:t>
      </w:r>
    </w:p>
    <w:p w:rsidR="00AC515D" w:rsidRDefault="00AC515D" w:rsidP="00681FB4">
      <w:pPr>
        <w:pStyle w:val="BodyText1"/>
        <w:rPr>
          <w:highlight w:val="yellow"/>
        </w:rPr>
      </w:pPr>
    </w:p>
    <w:p w:rsidR="00D61CE5" w:rsidRPr="0020182A" w:rsidRDefault="00D61CE5" w:rsidP="00D61CE5">
      <w:pPr>
        <w:pStyle w:val="Heading3"/>
      </w:pPr>
      <w:r w:rsidRPr="0020182A">
        <w:t xml:space="preserve">Current supply </w:t>
      </w:r>
    </w:p>
    <w:p w:rsidR="00681FB4" w:rsidRPr="00204436" w:rsidRDefault="00681FB4" w:rsidP="00681FB4">
      <w:pPr>
        <w:pStyle w:val="BodyText1"/>
      </w:pPr>
      <w:r w:rsidRPr="00204436">
        <w:t xml:space="preserve">Current data also suggests that supply of SDA is limited. As at </w:t>
      </w:r>
      <w:r>
        <w:t>30 September</w:t>
      </w:r>
      <w:r w:rsidRPr="00204436">
        <w:t xml:space="preserve"> 2018, there were 2,</w:t>
      </w:r>
      <w:r>
        <w:t>243</w:t>
      </w:r>
      <w:r w:rsidRPr="00204436">
        <w:t xml:space="preserve"> enrolled SDA properties</w:t>
      </w:r>
      <w:r>
        <w:t xml:space="preserve"> (excluding in-kind)</w:t>
      </w:r>
      <w:r w:rsidRPr="00204436">
        <w:t xml:space="preserve">, with a </w:t>
      </w:r>
      <w:r w:rsidRPr="00037438">
        <w:rPr>
          <w:color w:val="404040" w:themeColor="text1" w:themeTint="BF"/>
        </w:rPr>
        <w:t xml:space="preserve">total of 7,996 places. It </w:t>
      </w:r>
      <w:r w:rsidRPr="00204436">
        <w:t>should be noted that this number of places is significantly lower than the number of people with disability</w:t>
      </w:r>
      <w:r w:rsidR="006C739B">
        <w:t xml:space="preserve"> that</w:t>
      </w:r>
      <w:r w:rsidRPr="00204436">
        <w:t xml:space="preserve"> the Productivity Commission estimated to be already living in specialist accommodation in 2011 (12,300). This is likely to be because a number of existing properties are yet to be enrolled in the Scheme</w:t>
      </w:r>
      <w:r>
        <w:t>, and this figure does not include in-kind</w:t>
      </w:r>
      <w:r w:rsidRPr="00204436">
        <w:t>.</w:t>
      </w:r>
    </w:p>
    <w:p w:rsidR="00681FB4" w:rsidRPr="0055188A" w:rsidRDefault="00681FB4" w:rsidP="00681FB4">
      <w:pPr>
        <w:pStyle w:val="BodyText1"/>
      </w:pPr>
      <w:r w:rsidRPr="0055188A">
        <w:lastRenderedPageBreak/>
        <w:t>The vast majority of these dwellings were existing or legacy stock</w:t>
      </w:r>
      <w:r w:rsidRPr="00B87094">
        <w:t xml:space="preserve"> (1</w:t>
      </w:r>
      <w:r w:rsidR="006C739B">
        <w:t>,</w:t>
      </w:r>
      <w:r w:rsidRPr="00B87094">
        <w:t>970)</w:t>
      </w:r>
      <w:r w:rsidRPr="0055188A">
        <w:t xml:space="preserve">, with </w:t>
      </w:r>
      <w:r w:rsidRPr="00B87094">
        <w:t>273</w:t>
      </w:r>
      <w:r w:rsidRPr="0055188A">
        <w:t xml:space="preserve"> </w:t>
      </w:r>
      <w:r w:rsidRPr="00E30A73">
        <w:t>new builds or refurb</w:t>
      </w:r>
      <w:r w:rsidRPr="00517750">
        <w:t xml:space="preserve">ished dwellings eligible for new build status enrolled (see </w:t>
      </w:r>
      <w:r w:rsidRPr="009B5D0D">
        <w:fldChar w:fldCharType="begin"/>
      </w:r>
      <w:r w:rsidRPr="0055188A">
        <w:instrText xml:space="preserve"> REF _Ref523833126 \h  \* MERGEFORMAT </w:instrText>
      </w:r>
      <w:r w:rsidRPr="009B5D0D">
        <w:fldChar w:fldCharType="separate"/>
      </w:r>
      <w:r w:rsidR="00502D19" w:rsidRPr="00681FB4">
        <w:t xml:space="preserve">Figure </w:t>
      </w:r>
      <w:r w:rsidR="00502D19">
        <w:rPr>
          <w:noProof/>
        </w:rPr>
        <w:t>12</w:t>
      </w:r>
      <w:r w:rsidRPr="009B5D0D">
        <w:fldChar w:fldCharType="end"/>
      </w:r>
      <w:r w:rsidRPr="0055188A">
        <w:t>).</w:t>
      </w:r>
    </w:p>
    <w:p w:rsidR="00681FB4" w:rsidRPr="00704453" w:rsidRDefault="00681FB4" w:rsidP="00704453">
      <w:pPr>
        <w:pStyle w:val="BodyText1"/>
        <w:rPr>
          <w:i/>
          <w:iCs/>
          <w:color w:val="595959" w:themeColor="text1" w:themeTint="A6"/>
          <w:sz w:val="18"/>
          <w:szCs w:val="18"/>
        </w:rPr>
      </w:pPr>
      <w:bookmarkStart w:id="56" w:name="_Ref523833126"/>
      <w:bookmarkStart w:id="57" w:name="_Ref520204520"/>
      <w:r w:rsidRPr="00704453">
        <w:rPr>
          <w:i/>
          <w:iCs/>
          <w:color w:val="595959" w:themeColor="text1" w:themeTint="A6"/>
          <w:sz w:val="18"/>
          <w:szCs w:val="18"/>
        </w:rPr>
        <w:t xml:space="preserve">Figure </w:t>
      </w:r>
      <w:r w:rsidR="004E0F95" w:rsidRPr="00704453">
        <w:rPr>
          <w:i/>
          <w:iCs/>
          <w:color w:val="595959" w:themeColor="text1" w:themeTint="A6"/>
          <w:sz w:val="18"/>
          <w:szCs w:val="18"/>
        </w:rPr>
        <w:fldChar w:fldCharType="begin"/>
      </w:r>
      <w:r w:rsidR="004E0F95" w:rsidRPr="00704453">
        <w:rPr>
          <w:i/>
          <w:iCs/>
          <w:color w:val="595959" w:themeColor="text1" w:themeTint="A6"/>
          <w:sz w:val="18"/>
          <w:szCs w:val="18"/>
        </w:rPr>
        <w:instrText xml:space="preserve"> SEQ Figure \* ARABIC </w:instrText>
      </w:r>
      <w:r w:rsidR="004E0F95" w:rsidRPr="00704453">
        <w:rPr>
          <w:i/>
          <w:iCs/>
          <w:color w:val="595959" w:themeColor="text1" w:themeTint="A6"/>
          <w:sz w:val="18"/>
          <w:szCs w:val="18"/>
        </w:rPr>
        <w:fldChar w:fldCharType="separate"/>
      </w:r>
      <w:r w:rsidR="00502D19" w:rsidRPr="00704453">
        <w:rPr>
          <w:i/>
          <w:iCs/>
          <w:color w:val="595959" w:themeColor="text1" w:themeTint="A6"/>
          <w:sz w:val="18"/>
          <w:szCs w:val="18"/>
        </w:rPr>
        <w:t>12</w:t>
      </w:r>
      <w:r w:rsidR="004E0F95" w:rsidRPr="00704453">
        <w:rPr>
          <w:i/>
          <w:iCs/>
          <w:color w:val="595959" w:themeColor="text1" w:themeTint="A6"/>
          <w:sz w:val="18"/>
          <w:szCs w:val="18"/>
        </w:rPr>
        <w:fldChar w:fldCharType="end"/>
      </w:r>
      <w:bookmarkEnd w:id="56"/>
      <w:r w:rsidRPr="00704453">
        <w:rPr>
          <w:i/>
          <w:iCs/>
          <w:color w:val="595959" w:themeColor="text1" w:themeTint="A6"/>
          <w:sz w:val="18"/>
          <w:szCs w:val="18"/>
        </w:rPr>
        <w:t>: Number of enrolled dwellings - state, by type of SDA</w:t>
      </w:r>
      <w:bookmarkEnd w:id="57"/>
      <w:r w:rsidRPr="00704453">
        <w:rPr>
          <w:i/>
          <w:iCs/>
          <w:color w:val="595959" w:themeColor="text1" w:themeTint="A6"/>
          <w:sz w:val="18"/>
          <w:szCs w:val="18"/>
        </w:rPr>
        <w:t>, September 2018</w:t>
      </w:r>
    </w:p>
    <w:p w:rsidR="00681FB4" w:rsidRPr="00517750" w:rsidRDefault="000A7D0B" w:rsidP="00681FB4">
      <w:r>
        <w:rPr>
          <w:noProof/>
          <w:lang w:eastAsia="en-AU"/>
        </w:rPr>
        <w:drawing>
          <wp:inline distT="0" distB="0" distL="0" distR="0" wp14:anchorId="6097DFA2">
            <wp:extent cx="4554220" cy="2743200"/>
            <wp:effectExtent l="0" t="0" r="0" b="0"/>
            <wp:docPr id="5" name="Picture 5" descr="Shows the break down of new build, new build refurbishment, existing stock and legacy stock for each state. The data is described in the text below." title="Number of enrolled dwellings by state, by type of SDA as at September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54220" cy="2743200"/>
                    </a:xfrm>
                    <a:prstGeom prst="rect">
                      <a:avLst/>
                    </a:prstGeom>
                    <a:noFill/>
                  </pic:spPr>
                </pic:pic>
              </a:graphicData>
            </a:graphic>
          </wp:inline>
        </w:drawing>
      </w:r>
    </w:p>
    <w:p w:rsidR="00681FB4" w:rsidRPr="00204436" w:rsidRDefault="00681FB4" w:rsidP="00681FB4">
      <w:pPr>
        <w:pStyle w:val="Caption"/>
      </w:pPr>
      <w:r w:rsidRPr="00204436">
        <w:t xml:space="preserve">Source: NDIA enrolled dwelling data, </w:t>
      </w:r>
      <w:r>
        <w:t>September</w:t>
      </w:r>
      <w:r w:rsidRPr="00204436">
        <w:t xml:space="preserve"> 2018</w:t>
      </w:r>
    </w:p>
    <w:p w:rsidR="008D5D04" w:rsidRDefault="008D5D04" w:rsidP="00681FB4">
      <w:pPr>
        <w:pStyle w:val="BodyText1"/>
      </w:pPr>
    </w:p>
    <w:p w:rsidR="000864CF" w:rsidRDefault="000864CF" w:rsidP="00681FB4">
      <w:pPr>
        <w:pStyle w:val="BodyText1"/>
      </w:pPr>
      <w:r>
        <w:t>The number of SDA dwelling</w:t>
      </w:r>
      <w:r w:rsidR="004E0F95">
        <w:t>s</w:t>
      </w:r>
      <w:r>
        <w:t xml:space="preserve"> enrolled has been increasing over time, from 497 dwellings as at end June 2017 to 2,243 dwelling as at end September 2018.  This is illustrated in Figure 13 below.</w:t>
      </w:r>
    </w:p>
    <w:p w:rsidR="000864CF" w:rsidRDefault="000864CF" w:rsidP="000864CF">
      <w:pPr>
        <w:pStyle w:val="Caption"/>
      </w:pPr>
      <w:r w:rsidRPr="00681FB4">
        <w:t xml:space="preserve">Figure </w:t>
      </w:r>
      <w:r w:rsidR="00357916">
        <w:rPr>
          <w:noProof/>
        </w:rPr>
        <w:fldChar w:fldCharType="begin"/>
      </w:r>
      <w:r w:rsidR="00357916">
        <w:rPr>
          <w:noProof/>
        </w:rPr>
        <w:instrText xml:space="preserve"> SEQ Figure \* ARABIC </w:instrText>
      </w:r>
      <w:r w:rsidR="00357916">
        <w:rPr>
          <w:noProof/>
        </w:rPr>
        <w:fldChar w:fldCharType="separate"/>
      </w:r>
      <w:r w:rsidR="00502D19">
        <w:rPr>
          <w:noProof/>
        </w:rPr>
        <w:t>13</w:t>
      </w:r>
      <w:r w:rsidR="00357916">
        <w:rPr>
          <w:noProof/>
        </w:rPr>
        <w:fldChar w:fldCharType="end"/>
      </w:r>
      <w:r w:rsidRPr="00681FB4">
        <w:t xml:space="preserve">: Number of enrolled dwellings, </w:t>
      </w:r>
      <w:r>
        <w:t xml:space="preserve">June 2017 to </w:t>
      </w:r>
      <w:r w:rsidRPr="00681FB4">
        <w:t>September 2018</w:t>
      </w:r>
    </w:p>
    <w:p w:rsidR="000864CF" w:rsidRDefault="000864CF" w:rsidP="00F06A5B">
      <w:r w:rsidRPr="000864CF">
        <w:rPr>
          <w:noProof/>
          <w:lang w:eastAsia="en-AU"/>
        </w:rPr>
        <w:drawing>
          <wp:inline distT="0" distB="0" distL="0" distR="0" wp14:anchorId="06B40475" wp14:editId="32C3B3B8">
            <wp:extent cx="4445000" cy="2294255"/>
            <wp:effectExtent l="0" t="0" r="0" b="0"/>
            <wp:docPr id="12" name="Picture 12" descr="Depicting that the number of SDA dwellings have increased month by month from June 2017 to September 2018." title="Figure 13: Number of enrolled dwellings, June 2017 to September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445000" cy="2294255"/>
                    </a:xfrm>
                    <a:prstGeom prst="rect">
                      <a:avLst/>
                    </a:prstGeom>
                    <a:noFill/>
                    <a:ln>
                      <a:noFill/>
                    </a:ln>
                  </pic:spPr>
                </pic:pic>
              </a:graphicData>
            </a:graphic>
          </wp:inline>
        </w:drawing>
      </w:r>
    </w:p>
    <w:p w:rsidR="000864CF" w:rsidRPr="00204436" w:rsidRDefault="000864CF" w:rsidP="000864CF">
      <w:pPr>
        <w:pStyle w:val="Caption"/>
      </w:pPr>
      <w:r w:rsidRPr="00204436">
        <w:t>Source: N</w:t>
      </w:r>
      <w:r>
        <w:t>D</w:t>
      </w:r>
      <w:r w:rsidRPr="00204436">
        <w:t xml:space="preserve">IA enrolled dwelling data, </w:t>
      </w:r>
      <w:r>
        <w:t>September</w:t>
      </w:r>
      <w:r w:rsidRPr="00204436">
        <w:t xml:space="preserve"> 2018</w:t>
      </w:r>
    </w:p>
    <w:p w:rsidR="000864CF" w:rsidRPr="000864CF" w:rsidRDefault="000864CF" w:rsidP="00F06A5B"/>
    <w:p w:rsidR="00317B69" w:rsidRDefault="00681FB4" w:rsidP="00DD5D11">
      <w:pPr>
        <w:pStyle w:val="BodyText1"/>
      </w:pPr>
      <w:r w:rsidRPr="00204436">
        <w:t xml:space="preserve">The number of dwellings enrolled in particular design categories and building types </w:t>
      </w:r>
      <w:r w:rsidR="006C739B">
        <w:t>is shown in</w:t>
      </w:r>
      <w:r w:rsidRPr="00204436">
        <w:fldChar w:fldCharType="begin"/>
      </w:r>
      <w:r w:rsidRPr="00204436">
        <w:instrText xml:space="preserve"> REF _Ref519688895 \h  \* MERGEFORMAT </w:instrText>
      </w:r>
      <w:r w:rsidRPr="00204436">
        <w:fldChar w:fldCharType="separate"/>
      </w:r>
      <w:r w:rsidR="00502D19">
        <w:t xml:space="preserve"> </w:t>
      </w:r>
      <w:r w:rsidR="00502D19" w:rsidRPr="00204436">
        <w:t xml:space="preserve">Figure </w:t>
      </w:r>
      <w:r w:rsidR="00502D19">
        <w:rPr>
          <w:noProof/>
        </w:rPr>
        <w:t>14</w:t>
      </w:r>
      <w:r w:rsidRPr="00204436">
        <w:fldChar w:fldCharType="end"/>
      </w:r>
      <w:r w:rsidRPr="00204436">
        <w:t xml:space="preserve"> and </w:t>
      </w:r>
      <w:r w:rsidRPr="00204436">
        <w:fldChar w:fldCharType="begin"/>
      </w:r>
      <w:r w:rsidRPr="00204436">
        <w:instrText xml:space="preserve"> REF _Ref520473540 \h  \* MERGEFORMAT </w:instrText>
      </w:r>
      <w:r w:rsidRPr="00204436">
        <w:fldChar w:fldCharType="separate"/>
      </w:r>
      <w:r w:rsidR="00502D19" w:rsidRPr="00204436">
        <w:t xml:space="preserve">Figure </w:t>
      </w:r>
      <w:r w:rsidR="00502D19">
        <w:rPr>
          <w:noProof/>
        </w:rPr>
        <w:t>15</w:t>
      </w:r>
      <w:r w:rsidRPr="00204436">
        <w:fldChar w:fldCharType="end"/>
      </w:r>
      <w:r w:rsidRPr="00204436">
        <w:t xml:space="preserve">. </w:t>
      </w:r>
      <w:r>
        <w:t>Around 49 percent</w:t>
      </w:r>
      <w:r w:rsidRPr="00204436">
        <w:t xml:space="preserve"> of enrolled dwellings are of a Basic standard, while only </w:t>
      </w:r>
      <w:r>
        <w:t>five</w:t>
      </w:r>
      <w:r w:rsidRPr="00204436">
        <w:t xml:space="preserve"> percent are Robust, and </w:t>
      </w:r>
      <w:r w:rsidR="006C739B">
        <w:t>nine</w:t>
      </w:r>
      <w:r w:rsidR="006C739B" w:rsidRPr="00204436">
        <w:t xml:space="preserve"> </w:t>
      </w:r>
      <w:r w:rsidRPr="00204436">
        <w:t>percent High Physical Support.</w:t>
      </w:r>
      <w:bookmarkStart w:id="58" w:name="_Ref519688895"/>
      <w:r w:rsidR="00DD5D11">
        <w:t xml:space="preserve"> </w:t>
      </w:r>
    </w:p>
    <w:p w:rsidR="00681FB4" w:rsidRPr="00204436" w:rsidRDefault="00681FB4" w:rsidP="00C50997">
      <w:pPr>
        <w:pStyle w:val="Caption"/>
        <w:keepNext/>
      </w:pPr>
      <w:r w:rsidRPr="00204436">
        <w:lastRenderedPageBreak/>
        <w:t xml:space="preserve">Figure </w:t>
      </w:r>
      <w:r w:rsidRPr="00204436">
        <w:rPr>
          <w:noProof/>
        </w:rPr>
        <w:fldChar w:fldCharType="begin"/>
      </w:r>
      <w:r w:rsidRPr="00204436">
        <w:rPr>
          <w:noProof/>
        </w:rPr>
        <w:instrText xml:space="preserve"> SEQ Figure \* ARABIC </w:instrText>
      </w:r>
      <w:r w:rsidRPr="00204436">
        <w:rPr>
          <w:noProof/>
        </w:rPr>
        <w:fldChar w:fldCharType="separate"/>
      </w:r>
      <w:r w:rsidR="00502D19">
        <w:rPr>
          <w:noProof/>
        </w:rPr>
        <w:t>14</w:t>
      </w:r>
      <w:r w:rsidRPr="00204436">
        <w:rPr>
          <w:noProof/>
        </w:rPr>
        <w:fldChar w:fldCharType="end"/>
      </w:r>
      <w:bookmarkEnd w:id="58"/>
      <w:r w:rsidRPr="00204436">
        <w:t xml:space="preserve">: Enrolled dwellings - by design category, </w:t>
      </w:r>
      <w:r>
        <w:t>September</w:t>
      </w:r>
      <w:r w:rsidRPr="00204436">
        <w:t xml:space="preserve"> 2018</w:t>
      </w:r>
    </w:p>
    <w:p w:rsidR="00681FB4" w:rsidRDefault="000A7D0B" w:rsidP="00681FB4">
      <w:pPr>
        <w:pStyle w:val="Caption"/>
      </w:pPr>
      <w:r>
        <w:rPr>
          <w:noProof/>
          <w:lang w:eastAsia="en-AU"/>
        </w:rPr>
        <w:drawing>
          <wp:inline distT="0" distB="0" distL="0" distR="0" wp14:anchorId="1F62E7A7">
            <wp:extent cx="4450715" cy="2737485"/>
            <wp:effectExtent l="0" t="0" r="0" b="0"/>
            <wp:docPr id="6" name="Picture 6" descr="The percentage of enrolments for each design category are:&#10;- basic is 49%&#10;- fully accessible is 13%&#10;- high physical support is 9%&#10;- improved liveability is 24%&#10;- robust is 5%" title="Enrolled dwellings by design category as at September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450715" cy="2737485"/>
                    </a:xfrm>
                    <a:prstGeom prst="rect">
                      <a:avLst/>
                    </a:prstGeom>
                    <a:noFill/>
                  </pic:spPr>
                </pic:pic>
              </a:graphicData>
            </a:graphic>
          </wp:inline>
        </w:drawing>
      </w:r>
    </w:p>
    <w:p w:rsidR="00681FB4" w:rsidRPr="00204436" w:rsidRDefault="00681FB4" w:rsidP="00681FB4">
      <w:pPr>
        <w:pStyle w:val="BodyText1"/>
      </w:pPr>
      <w:r w:rsidRPr="00204436">
        <w:t xml:space="preserve">Almost 50 percent of all enrolled dwellings are four to five bedroom group homes, while apartments make up </w:t>
      </w:r>
      <w:r>
        <w:t>only</w:t>
      </w:r>
      <w:r w:rsidRPr="00204436">
        <w:t xml:space="preserve"> </w:t>
      </w:r>
      <w:r>
        <w:t>seven</w:t>
      </w:r>
      <w:r w:rsidRPr="00204436">
        <w:t xml:space="preserve"> percent of dwellings</w:t>
      </w:r>
      <w:r>
        <w:t xml:space="preserve">. Villa/duplex/townhouse numbers, which house between </w:t>
      </w:r>
      <w:r w:rsidR="006C739B">
        <w:t xml:space="preserve">one </w:t>
      </w:r>
      <w:r>
        <w:t xml:space="preserve">and </w:t>
      </w:r>
      <w:r w:rsidR="006C739B">
        <w:t xml:space="preserve">three </w:t>
      </w:r>
      <w:r>
        <w:t xml:space="preserve">residents, are relatively high, making up 33 percent. </w:t>
      </w:r>
    </w:p>
    <w:p w:rsidR="000A7D0B" w:rsidRDefault="00681FB4" w:rsidP="00681FB4">
      <w:pPr>
        <w:pStyle w:val="Caption"/>
      </w:pPr>
      <w:bookmarkStart w:id="59" w:name="_Ref520473540"/>
      <w:r w:rsidRPr="00204436">
        <w:t xml:space="preserve">Figure </w:t>
      </w:r>
      <w:r w:rsidRPr="00204436">
        <w:rPr>
          <w:i w:val="0"/>
          <w:iCs w:val="0"/>
          <w:noProof/>
        </w:rPr>
        <w:fldChar w:fldCharType="begin"/>
      </w:r>
      <w:r w:rsidRPr="00204436">
        <w:rPr>
          <w:noProof/>
        </w:rPr>
        <w:instrText xml:space="preserve"> SEQ Figure \* ARABIC </w:instrText>
      </w:r>
      <w:r w:rsidRPr="00204436">
        <w:rPr>
          <w:i w:val="0"/>
          <w:iCs w:val="0"/>
          <w:noProof/>
        </w:rPr>
        <w:fldChar w:fldCharType="separate"/>
      </w:r>
      <w:r w:rsidR="00502D19">
        <w:rPr>
          <w:noProof/>
        </w:rPr>
        <w:t>15</w:t>
      </w:r>
      <w:r w:rsidRPr="00204436">
        <w:rPr>
          <w:i w:val="0"/>
          <w:iCs w:val="0"/>
          <w:noProof/>
        </w:rPr>
        <w:fldChar w:fldCharType="end"/>
      </w:r>
      <w:bookmarkEnd w:id="59"/>
      <w:r w:rsidRPr="00204436">
        <w:t xml:space="preserve">: Number of enrolled dwellings – by building type, </w:t>
      </w:r>
      <w:r>
        <w:t>September</w:t>
      </w:r>
      <w:r w:rsidRPr="00204436">
        <w:t xml:space="preserve"> 2018</w:t>
      </w:r>
    </w:p>
    <w:p w:rsidR="000A7D0B" w:rsidRDefault="000A7D0B" w:rsidP="00681FB4">
      <w:pPr>
        <w:pStyle w:val="Caption"/>
      </w:pPr>
      <w:r>
        <w:rPr>
          <w:noProof/>
          <w:lang w:eastAsia="en-AU"/>
        </w:rPr>
        <w:drawing>
          <wp:inline distT="0" distB="0" distL="0" distR="0" wp14:anchorId="49DBAEE9">
            <wp:extent cx="5761355" cy="2834640"/>
            <wp:effectExtent l="0" t="0" r="0" b="3810"/>
            <wp:docPr id="10" name="Picture 10" descr="Diagram shows the dwelling enrolments for each dwelling size, from 1 bedroom, 1 resident apartments through to group homes with 5 residents. There is a general increase in the number of enrolled dwellings, except for 2 and 3 resident houses." title="Number of enrolled dwellings by building type as at September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61355" cy="2834640"/>
                    </a:xfrm>
                    <a:prstGeom prst="rect">
                      <a:avLst/>
                    </a:prstGeom>
                    <a:noFill/>
                  </pic:spPr>
                </pic:pic>
              </a:graphicData>
            </a:graphic>
          </wp:inline>
        </w:drawing>
      </w:r>
    </w:p>
    <w:p w:rsidR="00681FB4" w:rsidRPr="00204436" w:rsidRDefault="00681FB4" w:rsidP="00681FB4">
      <w:pPr>
        <w:pStyle w:val="Caption"/>
      </w:pPr>
      <w:r w:rsidRPr="00204436">
        <w:t xml:space="preserve">Source: NDIA enrolled dwelling data, </w:t>
      </w:r>
      <w:r>
        <w:t>September</w:t>
      </w:r>
      <w:r w:rsidRPr="00204436">
        <w:t xml:space="preserve"> 2018</w:t>
      </w:r>
    </w:p>
    <w:p w:rsidR="00037438" w:rsidRDefault="00037438" w:rsidP="00681FB4">
      <w:pPr>
        <w:pStyle w:val="BodyText"/>
      </w:pPr>
    </w:p>
    <w:p w:rsidR="00702B82" w:rsidRPr="0020182A" w:rsidRDefault="00681FB4" w:rsidP="00702B82">
      <w:pPr>
        <w:pStyle w:val="BodyText"/>
      </w:pPr>
      <w:r w:rsidRPr="00204436">
        <w:t xml:space="preserve">This demonstrates that current supply still remains dominated by existing and legacy stock, with very few new dwellings/places for participants who are eligible for SDA. </w:t>
      </w:r>
      <w:r w:rsidR="00037438">
        <w:t xml:space="preserve">Further, the majority of places </w:t>
      </w:r>
      <w:r w:rsidR="004E0F95">
        <w:t xml:space="preserve">available </w:t>
      </w:r>
      <w:r w:rsidR="00037438">
        <w:t>are in more traditional 4-5 resident homes, though it is noted that there are increasing numbers of 2-3 resident dwellings.</w:t>
      </w:r>
      <w:r w:rsidR="00DD5D11" w:rsidRPr="0020182A">
        <w:t xml:space="preserve"> </w:t>
      </w:r>
    </w:p>
    <w:p w:rsidR="00702B82" w:rsidRPr="0020182A" w:rsidRDefault="00702B82" w:rsidP="00702B82">
      <w:pPr>
        <w:pStyle w:val="BodyText"/>
        <w:sectPr w:rsidR="00702B82" w:rsidRPr="0020182A" w:rsidSect="000C5DF4">
          <w:headerReference w:type="default" r:id="rId49"/>
          <w:footerReference w:type="default" r:id="rId50"/>
          <w:pgSz w:w="11906" w:h="16838"/>
          <w:pgMar w:top="1418" w:right="1418" w:bottom="1418" w:left="1418" w:header="340" w:footer="453" w:gutter="0"/>
          <w:cols w:space="708"/>
          <w:docGrid w:linePitch="360"/>
        </w:sectPr>
      </w:pPr>
    </w:p>
    <w:p w:rsidR="00DD5D11" w:rsidRDefault="00DD5D11" w:rsidP="004E05CB">
      <w:pPr>
        <w:pStyle w:val="Dividernumber"/>
      </w:pPr>
    </w:p>
    <w:p w:rsidR="00DD5D11" w:rsidRDefault="00DD5D11" w:rsidP="004E05CB">
      <w:pPr>
        <w:pStyle w:val="Dividernumber"/>
      </w:pPr>
    </w:p>
    <w:p w:rsidR="00DD5D11" w:rsidRDefault="00DD5D11" w:rsidP="004E05CB">
      <w:pPr>
        <w:pStyle w:val="Dividernumber"/>
      </w:pPr>
    </w:p>
    <w:p w:rsidR="004E05CB" w:rsidRDefault="004E05CB" w:rsidP="004E05CB">
      <w:pPr>
        <w:pStyle w:val="Dividernumber"/>
      </w:pPr>
      <w:r w:rsidRPr="0079660E">
        <w:t>04</w:t>
      </w:r>
    </w:p>
    <w:p w:rsidR="004E05CB" w:rsidRDefault="004E05CB" w:rsidP="004E05CB"/>
    <w:p w:rsidR="004E05CB" w:rsidRPr="004E05CB" w:rsidRDefault="004E05CB" w:rsidP="004E05CB">
      <w:pPr>
        <w:jc w:val="center"/>
        <w:rPr>
          <w:rFonts w:ascii="KPMG Extralight" w:eastAsiaTheme="majorEastAsia" w:hAnsi="KPMG Extralight" w:cstheme="majorBidi"/>
          <w:color w:val="0091DA" w:themeColor="accent2"/>
          <w:sz w:val="120"/>
          <w:szCs w:val="120"/>
        </w:rPr>
      </w:pPr>
      <w:r w:rsidRPr="004E05CB">
        <w:rPr>
          <w:rFonts w:ascii="KPMG Extralight" w:eastAsiaTheme="majorEastAsia" w:hAnsi="KPMG Extralight" w:cstheme="majorBidi"/>
          <w:color w:val="0091DA" w:themeColor="accent2"/>
          <w:sz w:val="120"/>
          <w:szCs w:val="120"/>
        </w:rPr>
        <w:t>Review findings</w:t>
      </w:r>
    </w:p>
    <w:p w:rsidR="004E05CB" w:rsidRPr="004E05CB" w:rsidRDefault="004E05CB" w:rsidP="004E05CB">
      <w:pPr>
        <w:pStyle w:val="Dividertitle"/>
        <w:rPr>
          <w:color w:val="0091DA" w:themeColor="accent2"/>
        </w:rPr>
      </w:pPr>
    </w:p>
    <w:p w:rsidR="004E793A" w:rsidRPr="004E05CB" w:rsidRDefault="004E793A" w:rsidP="004E05CB">
      <w:pPr>
        <w:sectPr w:rsidR="004E793A" w:rsidRPr="004E05CB" w:rsidSect="000C5DF4">
          <w:headerReference w:type="default" r:id="rId51"/>
          <w:footerReference w:type="default" r:id="rId52"/>
          <w:pgSz w:w="11906" w:h="16838"/>
          <w:pgMar w:top="1418" w:right="1418" w:bottom="1418" w:left="1418" w:header="340" w:footer="453" w:gutter="0"/>
          <w:cols w:space="708"/>
          <w:docGrid w:linePitch="360"/>
        </w:sectPr>
      </w:pPr>
    </w:p>
    <w:p w:rsidR="006A71E3" w:rsidRPr="0020182A" w:rsidRDefault="006A71E3" w:rsidP="006A71E3">
      <w:pPr>
        <w:pStyle w:val="Heading1"/>
      </w:pPr>
      <w:bookmarkStart w:id="60" w:name="_Toc523122972"/>
      <w:bookmarkStart w:id="61" w:name="_Toc530648954"/>
      <w:bookmarkStart w:id="62" w:name="_Ref520738466"/>
      <w:bookmarkStart w:id="63" w:name="_Toc523122978"/>
      <w:r w:rsidRPr="0020182A">
        <w:lastRenderedPageBreak/>
        <w:t>Review findings</w:t>
      </w:r>
      <w:bookmarkEnd w:id="60"/>
      <w:bookmarkEnd w:id="61"/>
    </w:p>
    <w:p w:rsidR="006A71E3" w:rsidRPr="0020182A" w:rsidRDefault="006A71E3" w:rsidP="006A71E3">
      <w:pPr>
        <w:pStyle w:val="Heading2"/>
      </w:pPr>
      <w:bookmarkStart w:id="64" w:name="_Toc523122973"/>
      <w:bookmarkStart w:id="65" w:name="_Toc530648955"/>
      <w:r w:rsidRPr="0020182A">
        <w:t>Introduction</w:t>
      </w:r>
      <w:bookmarkEnd w:id="64"/>
      <w:bookmarkEnd w:id="65"/>
      <w:r w:rsidRPr="0020182A">
        <w:t xml:space="preserve"> </w:t>
      </w:r>
    </w:p>
    <w:p w:rsidR="00A1325C" w:rsidRPr="0020182A" w:rsidRDefault="00A1325C" w:rsidP="00A1325C">
      <w:pPr>
        <w:pStyle w:val="BodyText1"/>
      </w:pPr>
      <w:r w:rsidRPr="0020182A">
        <w:t>The Review provided a number of key findings in relation to how the SDA Framework is supporting the development of the SDA market, including participants. Broadly, the SDA Framework is well placed to support SDA market development, however, this Review has identified some design features of the Framework and Rules which are impacting market development. This section provides detailed analysis of findings and issues identified during the Review, as well as suggested recommendations to address these issues. Findings and recommendations have been presented in terms of the elements of a well-functioning SDA market, that is, elements relating to:</w:t>
      </w:r>
    </w:p>
    <w:p w:rsidR="00A1325C" w:rsidRPr="0020182A" w:rsidRDefault="00A1325C" w:rsidP="009B671C">
      <w:pPr>
        <w:pStyle w:val="BodyText1"/>
        <w:numPr>
          <w:ilvl w:val="0"/>
          <w:numId w:val="43"/>
        </w:numPr>
      </w:pPr>
      <w:r w:rsidRPr="0020182A">
        <w:rPr>
          <w:i/>
        </w:rPr>
        <w:t>Demand</w:t>
      </w:r>
      <w:r w:rsidRPr="0020182A">
        <w:t>, where eligible participants are able to express their preferences and have choice.</w:t>
      </w:r>
    </w:p>
    <w:p w:rsidR="00A1325C" w:rsidRPr="0020182A" w:rsidRDefault="00A1325C" w:rsidP="009B671C">
      <w:pPr>
        <w:pStyle w:val="BodyText1"/>
        <w:numPr>
          <w:ilvl w:val="0"/>
          <w:numId w:val="43"/>
        </w:numPr>
      </w:pPr>
      <w:r w:rsidRPr="0020182A">
        <w:rPr>
          <w:i/>
        </w:rPr>
        <w:t>Supply</w:t>
      </w:r>
      <w:r w:rsidRPr="0020182A">
        <w:t>, and in particular achieving optimal SDA supply and supply mix.</w:t>
      </w:r>
    </w:p>
    <w:p w:rsidR="00A1325C" w:rsidRPr="0020182A" w:rsidRDefault="00A1325C" w:rsidP="009B671C">
      <w:pPr>
        <w:pStyle w:val="BodyText1"/>
        <w:numPr>
          <w:ilvl w:val="0"/>
          <w:numId w:val="43"/>
        </w:numPr>
      </w:pPr>
      <w:r w:rsidRPr="0020182A">
        <w:rPr>
          <w:i/>
        </w:rPr>
        <w:t>Efficiency and value for money</w:t>
      </w:r>
      <w:r w:rsidRPr="0020182A">
        <w:t>, where the market balances optimal participant outcomes with Scheme sustainability and value for money.</w:t>
      </w:r>
    </w:p>
    <w:p w:rsidR="006A71E3" w:rsidRPr="0020182A" w:rsidRDefault="00A1325C" w:rsidP="006A71E3">
      <w:pPr>
        <w:pStyle w:val="BodyText1"/>
      </w:pPr>
      <w:r w:rsidRPr="0020182A">
        <w:t>It needs to be noted that much of the information and evidence gathered in conducting the Review related to SDA generally rather than the SDA Pricing and Payments Framework specifically</w:t>
      </w:r>
      <w:r w:rsidR="003F2D39" w:rsidRPr="0020182A">
        <w:t>.  A</w:t>
      </w:r>
      <w:r w:rsidRPr="0020182A">
        <w:t xml:space="preserve"> number of issues and challenges identified </w:t>
      </w:r>
      <w:r w:rsidR="003F2D39" w:rsidRPr="0020182A">
        <w:t xml:space="preserve">in the Review </w:t>
      </w:r>
      <w:r w:rsidRPr="0020182A">
        <w:t xml:space="preserve">did not relate to the SDA Framework per se, but to the </w:t>
      </w:r>
      <w:r w:rsidR="00C15914" w:rsidRPr="0020182A">
        <w:t xml:space="preserve">SDA Rules, </w:t>
      </w:r>
      <w:r w:rsidR="003F2D39" w:rsidRPr="0020182A">
        <w:t xml:space="preserve">pricing arrangements, and other aspects of </w:t>
      </w:r>
      <w:r w:rsidR="00C15914" w:rsidRPr="0020182A">
        <w:t xml:space="preserve">SDA </w:t>
      </w:r>
      <w:r w:rsidRPr="0020182A">
        <w:t xml:space="preserve">implementation and </w:t>
      </w:r>
      <w:r w:rsidR="007A261E" w:rsidRPr="0020182A">
        <w:t>operationalization.</w:t>
      </w:r>
      <w:r w:rsidRPr="0020182A">
        <w:t xml:space="preserve"> Findings in relation to both the SDA Framework and broader findings relating to SDA generally have been included in the sections below for completeness. </w:t>
      </w:r>
    </w:p>
    <w:p w:rsidR="00C47443" w:rsidRPr="00C47443" w:rsidRDefault="00091980" w:rsidP="00516BB3">
      <w:pPr>
        <w:pStyle w:val="Heading2"/>
        <w:spacing w:before="0" w:after="160" w:line="259" w:lineRule="auto"/>
      </w:pPr>
      <w:bookmarkStart w:id="66" w:name="_Toc523122974"/>
      <w:bookmarkStart w:id="67" w:name="_Toc530648956"/>
      <w:r w:rsidRPr="0020182A">
        <w:lastRenderedPageBreak/>
        <w:t>Demand</w:t>
      </w:r>
      <w:bookmarkEnd w:id="66"/>
      <w:bookmarkEnd w:id="67"/>
    </w:p>
    <w:tbl>
      <w:tblPr>
        <w:tblStyle w:val="TableGrid"/>
        <w:tblW w:w="9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mmary of key findings in regards to demand"/>
        <w:tblDescription w:val="Key findings relate to the three categories of consumer choice, access and information."/>
      </w:tblPr>
      <w:tblGrid>
        <w:gridCol w:w="284"/>
        <w:gridCol w:w="8810"/>
      </w:tblGrid>
      <w:tr w:rsidR="00091980" w:rsidRPr="0020182A" w:rsidDel="002E0AA3" w:rsidTr="000602E5">
        <w:trPr>
          <w:trHeight w:val="2844"/>
          <w:tblHeader/>
        </w:trPr>
        <w:tc>
          <w:tcPr>
            <w:tcW w:w="284" w:type="dxa"/>
            <w:tcMar>
              <w:left w:w="0" w:type="dxa"/>
              <w:right w:w="0" w:type="dxa"/>
            </w:tcMar>
          </w:tcPr>
          <w:p w:rsidR="00091980" w:rsidRPr="0020182A" w:rsidDel="002E0AA3" w:rsidRDefault="00091980" w:rsidP="00413D7D">
            <w:pPr>
              <w:spacing w:before="0" w:after="0"/>
              <w:rPr>
                <w:color w:val="FFFFFF" w:themeColor="background1"/>
              </w:rPr>
            </w:pPr>
          </w:p>
        </w:tc>
        <w:tc>
          <w:tcPr>
            <w:tcW w:w="8810" w:type="dxa"/>
            <w:shd w:val="clear" w:color="auto" w:fill="0091DA" w:themeFill="accent2"/>
            <w:tcMar>
              <w:left w:w="255" w:type="dxa"/>
              <w:right w:w="255" w:type="dxa"/>
            </w:tcMar>
            <w:vAlign w:val="center"/>
          </w:tcPr>
          <w:p w:rsidR="00091980" w:rsidRPr="0020182A" w:rsidDel="002E0AA3" w:rsidRDefault="00091980" w:rsidP="00A1325C">
            <w:pPr>
              <w:pStyle w:val="Heading3"/>
              <w:spacing w:after="240"/>
              <w:outlineLvl w:val="2"/>
              <w:rPr>
                <w:color w:val="FFFFFF" w:themeColor="background1"/>
              </w:rPr>
            </w:pPr>
            <w:r w:rsidRPr="0020182A" w:rsidDel="002E0AA3">
              <w:rPr>
                <w:color w:val="FFFFFF" w:themeColor="background1"/>
              </w:rPr>
              <w:t>Summary of key findings</w:t>
            </w:r>
          </w:p>
          <w:p w:rsidR="00091980" w:rsidRPr="0020182A" w:rsidRDefault="00091980" w:rsidP="00A1325C">
            <w:pPr>
              <w:pStyle w:val="Bullet1stlevel"/>
              <w:ind w:left="340" w:hanging="340"/>
              <w:rPr>
                <w:b/>
                <w:i/>
                <w:color w:val="FFFFFF" w:themeColor="background1"/>
              </w:rPr>
            </w:pPr>
            <w:r w:rsidRPr="0020182A">
              <w:rPr>
                <w:b/>
                <w:i/>
                <w:color w:val="FFFFFF" w:themeColor="background1"/>
              </w:rPr>
              <w:t>Consumer choice</w:t>
            </w:r>
          </w:p>
          <w:p w:rsidR="00A1325C" w:rsidRPr="0020182A" w:rsidRDefault="00A1325C" w:rsidP="00F32FA2">
            <w:pPr>
              <w:pStyle w:val="Bullet1stlevel"/>
              <w:numPr>
                <w:ilvl w:val="0"/>
                <w:numId w:val="16"/>
              </w:numPr>
              <w:ind w:left="360"/>
              <w:rPr>
                <w:color w:val="FFFFFF" w:themeColor="background1"/>
              </w:rPr>
            </w:pPr>
            <w:r w:rsidRPr="0020182A">
              <w:rPr>
                <w:color w:val="FFFFFF" w:themeColor="background1"/>
              </w:rPr>
              <w:t xml:space="preserve">The concept of choice is articulated at a theoretical level in the SDA Framework, and the SDA Framework provides guidance to balance choice with reasonable and necessary requirements and cost effectiveness. However, the </w:t>
            </w:r>
            <w:r w:rsidR="00C47443">
              <w:rPr>
                <w:color w:val="FFFFFF" w:themeColor="background1"/>
              </w:rPr>
              <w:t xml:space="preserve">Rules, </w:t>
            </w:r>
            <w:r w:rsidRPr="0020182A">
              <w:rPr>
                <w:color w:val="FFFFFF" w:themeColor="background1"/>
              </w:rPr>
              <w:t>together with limited supply of SDA places, may be constraining choice.</w:t>
            </w:r>
          </w:p>
          <w:p w:rsidR="00A1325C" w:rsidRPr="0020182A" w:rsidDel="002E0AA3" w:rsidRDefault="00570FBF" w:rsidP="00F32FA2">
            <w:pPr>
              <w:pStyle w:val="Bullet1stlevel"/>
              <w:numPr>
                <w:ilvl w:val="0"/>
                <w:numId w:val="16"/>
              </w:numPr>
              <w:ind w:left="360"/>
              <w:rPr>
                <w:color w:val="FFFFFF" w:themeColor="background1"/>
              </w:rPr>
            </w:pPr>
            <w:r>
              <w:rPr>
                <w:color w:val="FFFFFF" w:themeColor="background1"/>
              </w:rPr>
              <w:t xml:space="preserve">The SDA Framework and Rules </w:t>
            </w:r>
            <w:r w:rsidR="00A1325C" w:rsidRPr="0020182A">
              <w:rPr>
                <w:color w:val="FFFFFF" w:themeColor="background1"/>
              </w:rPr>
              <w:t>do not fully consider the range of preferences being expressed by participants in relation to their living arrangements, and the market has not yet responded to the range of participant preferences. For this reason, a</w:t>
            </w:r>
            <w:r w:rsidR="00A1325C" w:rsidRPr="0020182A" w:rsidDel="002E0AA3">
              <w:rPr>
                <w:color w:val="FFFFFF" w:themeColor="background1"/>
              </w:rPr>
              <w:t>t this point in time, participants eligible for SDA have limited choice and are not always able to secure suitable SDA accommodation</w:t>
            </w:r>
            <w:r w:rsidR="00A1325C" w:rsidRPr="0020182A">
              <w:rPr>
                <w:color w:val="FFFFFF" w:themeColor="background1"/>
              </w:rPr>
              <w:t>.</w:t>
            </w:r>
            <w:r w:rsidR="00A1325C" w:rsidRPr="0020182A" w:rsidDel="002E0AA3">
              <w:rPr>
                <w:color w:val="FFFFFF" w:themeColor="background1"/>
              </w:rPr>
              <w:t xml:space="preserve"> </w:t>
            </w:r>
          </w:p>
          <w:p w:rsidR="00091980" w:rsidRPr="0020182A" w:rsidRDefault="00091980" w:rsidP="00A1325C">
            <w:pPr>
              <w:pStyle w:val="Bullet1stlevel"/>
              <w:rPr>
                <w:b/>
                <w:i/>
                <w:sz w:val="4"/>
                <w:szCs w:val="4"/>
              </w:rPr>
            </w:pPr>
            <w:r w:rsidRPr="0020182A">
              <w:rPr>
                <w:b/>
                <w:i/>
                <w:color w:val="FFFFFF" w:themeColor="background1"/>
              </w:rPr>
              <w:t>Access</w:t>
            </w:r>
          </w:p>
          <w:p w:rsidR="00A1325C" w:rsidRPr="0020182A" w:rsidRDefault="00A1325C" w:rsidP="00F32FA2">
            <w:pPr>
              <w:pStyle w:val="Bullet1stlevel"/>
              <w:numPr>
                <w:ilvl w:val="0"/>
                <w:numId w:val="16"/>
              </w:numPr>
              <w:ind w:left="360"/>
              <w:rPr>
                <w:color w:val="FFFFFF" w:themeColor="background1"/>
              </w:rPr>
            </w:pPr>
            <w:r w:rsidRPr="0020182A">
              <w:rPr>
                <w:color w:val="FFFFFF" w:themeColor="background1"/>
              </w:rPr>
              <w:t xml:space="preserve">The process for confirming eligibility for SDA and having SDA funding including in a participant’s plan is complex and delaying access to SDA. </w:t>
            </w:r>
          </w:p>
          <w:p w:rsidR="00A1325C" w:rsidRPr="00C47443" w:rsidRDefault="00A1325C" w:rsidP="00F32FA2">
            <w:pPr>
              <w:pStyle w:val="Bullet1stlevel"/>
              <w:numPr>
                <w:ilvl w:val="0"/>
                <w:numId w:val="16"/>
              </w:numPr>
              <w:ind w:left="360"/>
              <w:rPr>
                <w:b/>
                <w:i/>
                <w:sz w:val="4"/>
                <w:szCs w:val="4"/>
              </w:rPr>
            </w:pPr>
            <w:r w:rsidRPr="0020182A">
              <w:rPr>
                <w:color w:val="FFFFFF" w:themeColor="background1"/>
              </w:rPr>
              <w:t xml:space="preserve">Requiring participants to have identified a suitable SDA dwelling before granting them SDA funding limits the ability of SDA to be a demand-driven market. </w:t>
            </w:r>
          </w:p>
          <w:p w:rsidR="00C47443" w:rsidRPr="0020182A" w:rsidRDefault="00C47443" w:rsidP="00C47443">
            <w:pPr>
              <w:pStyle w:val="Bullet1stlevel"/>
              <w:spacing w:before="240"/>
              <w:rPr>
                <w:b/>
                <w:i/>
                <w:sz w:val="4"/>
                <w:szCs w:val="4"/>
              </w:rPr>
            </w:pPr>
            <w:r w:rsidRPr="0020182A">
              <w:rPr>
                <w:b/>
                <w:i/>
                <w:color w:val="FFFFFF" w:themeColor="background1"/>
              </w:rPr>
              <w:t xml:space="preserve">Information </w:t>
            </w:r>
          </w:p>
          <w:p w:rsidR="00C47443" w:rsidRPr="0020182A" w:rsidRDefault="00C47443" w:rsidP="00C47443">
            <w:pPr>
              <w:pStyle w:val="Bullet1stlevel"/>
              <w:numPr>
                <w:ilvl w:val="0"/>
                <w:numId w:val="16"/>
              </w:numPr>
              <w:ind w:left="360"/>
              <w:rPr>
                <w:color w:val="FFFFFF" w:themeColor="background1"/>
              </w:rPr>
            </w:pPr>
            <w:r w:rsidRPr="0020182A">
              <w:rPr>
                <w:color w:val="FFFFFF" w:themeColor="background1"/>
              </w:rPr>
              <w:t>Information about properties/vacancies is starting to emerge (website is new and not comprehensive), but at the moment participants/families find it difficult to find and connect with SDA providers with vacancies</w:t>
            </w:r>
          </w:p>
          <w:p w:rsidR="00C47443" w:rsidRPr="0020182A" w:rsidRDefault="00C47443" w:rsidP="00C47443">
            <w:pPr>
              <w:pStyle w:val="Bullet1stlevel"/>
              <w:numPr>
                <w:ilvl w:val="0"/>
                <w:numId w:val="16"/>
              </w:numPr>
              <w:ind w:left="360"/>
              <w:rPr>
                <w:b/>
                <w:i/>
                <w:sz w:val="4"/>
                <w:szCs w:val="4"/>
              </w:rPr>
            </w:pPr>
            <w:r w:rsidRPr="0020182A">
              <w:rPr>
                <w:color w:val="FFFFFF" w:themeColor="background1"/>
              </w:rPr>
              <w:t>Providers find it difficult to anticipate where SDA demand will be located, whereas participants find it difficult to connect with providers</w:t>
            </w:r>
            <w:r>
              <w:rPr>
                <w:color w:val="FFFFFF" w:themeColor="background1"/>
              </w:rPr>
              <w:t xml:space="preserve"> before the SDA has been constru</w:t>
            </w:r>
            <w:r w:rsidRPr="0020182A">
              <w:rPr>
                <w:color w:val="FFFFFF" w:themeColor="background1"/>
              </w:rPr>
              <w:t>cted.</w:t>
            </w:r>
          </w:p>
          <w:p w:rsidR="00091980" w:rsidRPr="0020182A" w:rsidDel="002E0AA3" w:rsidRDefault="00091980" w:rsidP="00C47443">
            <w:pPr>
              <w:pStyle w:val="Bullet1stlevel"/>
              <w:rPr>
                <w:sz w:val="4"/>
                <w:szCs w:val="4"/>
              </w:rPr>
            </w:pPr>
          </w:p>
        </w:tc>
      </w:tr>
    </w:tbl>
    <w:p w:rsidR="00091980" w:rsidRPr="0020182A" w:rsidRDefault="00091980" w:rsidP="00091980"/>
    <w:p w:rsidR="00091980" w:rsidRPr="0020182A" w:rsidRDefault="00091980" w:rsidP="00091980">
      <w:pPr>
        <w:pStyle w:val="Heading3"/>
      </w:pPr>
      <w:r w:rsidRPr="0020182A">
        <w:t>Context</w:t>
      </w:r>
      <w:r w:rsidR="00C47443" w:rsidRPr="00C47443" w:rsidDel="002E0AA3">
        <w:rPr>
          <w:noProof/>
          <w:color w:val="FFFFFF" w:themeColor="background1"/>
          <w:lang w:eastAsia="en-AU"/>
        </w:rPr>
        <w:t xml:space="preserve"> </w:t>
      </w:r>
    </w:p>
    <w:p w:rsidR="00A1325C" w:rsidRPr="0020182A" w:rsidRDefault="00A1325C" w:rsidP="00A1325C">
      <w:pPr>
        <w:pStyle w:val="BodyText1"/>
      </w:pPr>
      <w:r w:rsidRPr="0020182A">
        <w:t>In 2011, the Productivity Commission estimated that 28,000 participants would receive SDA funding at full Scheme.</w:t>
      </w:r>
    </w:p>
    <w:p w:rsidR="00A1325C" w:rsidRPr="0020182A" w:rsidRDefault="007C139C" w:rsidP="00A1325C">
      <w:pPr>
        <w:pStyle w:val="BodyText1"/>
      </w:pPr>
      <w:r>
        <w:t>G</w:t>
      </w:r>
      <w:r w:rsidR="00A1325C" w:rsidRPr="0020182A">
        <w:t xml:space="preserve">iven the NDIS is still rolling out across Australia, not all participants who will be eligible for SDA at full Scheme are currently NDIS participants.  As at </w:t>
      </w:r>
      <w:r w:rsidR="001A16F4">
        <w:t xml:space="preserve">end </w:t>
      </w:r>
      <w:r w:rsidR="00CB0B53">
        <w:t xml:space="preserve">September </w:t>
      </w:r>
      <w:r w:rsidR="00A1325C" w:rsidRPr="0020182A">
        <w:t xml:space="preserve">2018 there were </w:t>
      </w:r>
      <w:r w:rsidR="00CB0B53">
        <w:t>9,536</w:t>
      </w:r>
      <w:r w:rsidR="00A1325C" w:rsidRPr="0020182A">
        <w:t xml:space="preserve"> participants with SDA approved in their NDIS plans (</w:t>
      </w:r>
      <w:r w:rsidR="001A16F4">
        <w:t>or 4.8% of active participants</w:t>
      </w:r>
      <w:r w:rsidR="00A1325C" w:rsidRPr="0020182A">
        <w:t xml:space="preserve">), </w:t>
      </w:r>
      <w:r w:rsidR="00845FF7" w:rsidRPr="0020182A">
        <w:t>with</w:t>
      </w:r>
      <w:r w:rsidR="00A1325C" w:rsidRPr="0020182A">
        <w:t xml:space="preserve"> $</w:t>
      </w:r>
      <w:r w:rsidR="00CB0B53">
        <w:t>93.5</w:t>
      </w:r>
      <w:r w:rsidR="00A1325C" w:rsidRPr="0020182A">
        <w:t xml:space="preserve"> million </w:t>
      </w:r>
      <w:r w:rsidR="00845FF7" w:rsidRPr="0020182A">
        <w:t>in SDA funding allocated to participants</w:t>
      </w:r>
      <w:r w:rsidR="00A1325C" w:rsidRPr="0020182A">
        <w:t>. In the current SDA participant cohort:</w:t>
      </w:r>
    </w:p>
    <w:p w:rsidR="00A1325C" w:rsidRPr="0020182A" w:rsidRDefault="00A1325C" w:rsidP="009B671C">
      <w:pPr>
        <w:pStyle w:val="BodyText1"/>
        <w:numPr>
          <w:ilvl w:val="0"/>
          <w:numId w:val="31"/>
        </w:numPr>
      </w:pPr>
      <w:r w:rsidRPr="0020182A">
        <w:t>The majority of participants are located in NSW.</w:t>
      </w:r>
    </w:p>
    <w:p w:rsidR="00A1325C" w:rsidRPr="00C73B59" w:rsidRDefault="00A1325C" w:rsidP="009B671C">
      <w:pPr>
        <w:pStyle w:val="BodyText1"/>
        <w:numPr>
          <w:ilvl w:val="0"/>
          <w:numId w:val="31"/>
        </w:numPr>
      </w:pPr>
      <w:r w:rsidRPr="00C73B59">
        <w:t>The number of participants receiving SDA in-kind is relatively high</w:t>
      </w:r>
      <w:r w:rsidR="00C73B59" w:rsidRPr="00C73B59">
        <w:t>.</w:t>
      </w:r>
      <w:r w:rsidRPr="00C73B59">
        <w:t xml:space="preserve"> </w:t>
      </w:r>
    </w:p>
    <w:p w:rsidR="00A1325C" w:rsidRPr="0020182A" w:rsidRDefault="00A1325C" w:rsidP="009B671C">
      <w:pPr>
        <w:pStyle w:val="BodyText1"/>
        <w:numPr>
          <w:ilvl w:val="0"/>
          <w:numId w:val="31"/>
        </w:numPr>
      </w:pPr>
      <w:r w:rsidRPr="0020182A">
        <w:t>The majority of participants have been deemed to have a low level of function (</w:t>
      </w:r>
      <w:r w:rsidR="00CB0B53">
        <w:t>70</w:t>
      </w:r>
      <w:r w:rsidRPr="0020182A">
        <w:t>%).</w:t>
      </w:r>
    </w:p>
    <w:p w:rsidR="00091980" w:rsidRPr="0020182A" w:rsidRDefault="00091980" w:rsidP="00091980">
      <w:pPr>
        <w:pStyle w:val="BodyText1"/>
      </w:pPr>
      <w:r w:rsidRPr="0020182A">
        <w:t>This is</w:t>
      </w:r>
      <w:r w:rsidR="00945BC2" w:rsidRPr="0020182A">
        <w:t xml:space="preserve"> </w:t>
      </w:r>
      <w:r w:rsidRPr="0020182A">
        <w:t xml:space="preserve">influenced by the large number of participants who were already residents of supported accommodation upon entering the NDIS. </w:t>
      </w:r>
      <w:r w:rsidR="00C47443">
        <w:t xml:space="preserve"> T</w:t>
      </w:r>
      <w:r w:rsidRPr="0020182A">
        <w:t xml:space="preserve">his </w:t>
      </w:r>
      <w:r w:rsidR="00C47443">
        <w:t xml:space="preserve">also </w:t>
      </w:r>
      <w:r w:rsidRPr="0020182A">
        <w:t xml:space="preserve">reflects the stage of NDIS transition for each jurisdiction, as well as the bilateral agreements made between the NDIA and each jurisdiction. Further detail on these figures is discussed in Section </w:t>
      </w:r>
      <w:r w:rsidRPr="0020182A">
        <w:fldChar w:fldCharType="begin"/>
      </w:r>
      <w:r w:rsidRPr="0020182A">
        <w:instrText xml:space="preserve"> REF _Ref520538988 \r \h </w:instrText>
      </w:r>
      <w:r w:rsidR="00057F25" w:rsidRPr="0020182A">
        <w:instrText xml:space="preserve"> \* MERGEFORMAT </w:instrText>
      </w:r>
      <w:r w:rsidRPr="0020182A">
        <w:fldChar w:fldCharType="separate"/>
      </w:r>
      <w:r w:rsidR="00502D19">
        <w:t>3.3</w:t>
      </w:r>
      <w:r w:rsidRPr="0020182A">
        <w:fldChar w:fldCharType="end"/>
      </w:r>
      <w:r w:rsidRPr="0020182A">
        <w:t>).</w:t>
      </w:r>
    </w:p>
    <w:p w:rsidR="00091980" w:rsidRPr="0020182A" w:rsidRDefault="00091980" w:rsidP="00091980">
      <w:pPr>
        <w:pStyle w:val="BodyText1"/>
      </w:pPr>
      <w:r w:rsidRPr="0020182A">
        <w:t xml:space="preserve">For </w:t>
      </w:r>
      <w:r w:rsidR="009E423A" w:rsidRPr="0020182A">
        <w:t xml:space="preserve">participants </w:t>
      </w:r>
      <w:r w:rsidRPr="0020182A">
        <w:t xml:space="preserve">living in existing </w:t>
      </w:r>
      <w:r w:rsidR="009E423A" w:rsidRPr="0020182A">
        <w:t>supported accommodation</w:t>
      </w:r>
      <w:r w:rsidRPr="0020182A">
        <w:t>, the current planning model supports a continuation of these arrangements</w:t>
      </w:r>
      <w:r w:rsidR="00C40BAB" w:rsidRPr="0020182A">
        <w:t xml:space="preserve"> a</w:t>
      </w:r>
      <w:r w:rsidR="009E423A" w:rsidRPr="0020182A">
        <w:t>nd i</w:t>
      </w:r>
      <w:r w:rsidRPr="0020182A">
        <w:t xml:space="preserve">t is important to view the current demand profile in this light. It </w:t>
      </w:r>
      <w:r w:rsidRPr="0020182A">
        <w:lastRenderedPageBreak/>
        <w:t xml:space="preserve">is expected, that with the emergence of more options in the market and improved information and support for participants, demand will shift to more contemporary models of specialist accommodation. This means a move away from more traditional group home models to smaller homes, homes </w:t>
      </w:r>
      <w:r w:rsidR="007C139C">
        <w:t xml:space="preserve">that </w:t>
      </w:r>
      <w:r w:rsidRPr="0020182A">
        <w:t xml:space="preserve">provide a greater degree of independence and homes </w:t>
      </w:r>
      <w:r w:rsidR="007C139C">
        <w:t>that</w:t>
      </w:r>
      <w:r w:rsidR="007C139C" w:rsidRPr="0020182A">
        <w:t xml:space="preserve"> </w:t>
      </w:r>
      <w:r w:rsidRPr="0020182A">
        <w:t>maximise connections to communities in which people live. To do this, three key factors have been identified in relation to demand, and it is against these three factors that the findings and recommendations in this section are presented:</w:t>
      </w:r>
    </w:p>
    <w:p w:rsidR="00091980" w:rsidRPr="0020182A" w:rsidRDefault="00091980" w:rsidP="009B671C">
      <w:pPr>
        <w:pStyle w:val="BodyText1"/>
        <w:numPr>
          <w:ilvl w:val="0"/>
          <w:numId w:val="72"/>
        </w:numPr>
      </w:pPr>
      <w:r w:rsidRPr="0020182A">
        <w:rPr>
          <w:i/>
        </w:rPr>
        <w:t>Consumer choice</w:t>
      </w:r>
      <w:r w:rsidRPr="0020182A">
        <w:t xml:space="preserve"> </w:t>
      </w:r>
      <w:r w:rsidR="00AB24F3" w:rsidRPr="0020182A">
        <w:t>–</w:t>
      </w:r>
      <w:r w:rsidRPr="0020182A">
        <w:t xml:space="preserve"> Participants</w:t>
      </w:r>
      <w:r w:rsidR="00AB24F3" w:rsidRPr="0020182A">
        <w:t xml:space="preserve"> </w:t>
      </w:r>
      <w:r w:rsidRPr="0020182A">
        <w:t xml:space="preserve">are able to express their preferences to the market and influence the development and provision of SDA which </w:t>
      </w:r>
      <w:r w:rsidR="009E423A" w:rsidRPr="0020182A">
        <w:t xml:space="preserve">reflect </w:t>
      </w:r>
      <w:r w:rsidRPr="0020182A">
        <w:t>their preferences, consistent with the notion of choice and control.</w:t>
      </w:r>
    </w:p>
    <w:p w:rsidR="00091980" w:rsidRPr="0020182A" w:rsidRDefault="00091980" w:rsidP="009B671C">
      <w:pPr>
        <w:pStyle w:val="BodyText1"/>
        <w:numPr>
          <w:ilvl w:val="0"/>
          <w:numId w:val="72"/>
        </w:numPr>
      </w:pPr>
      <w:r w:rsidRPr="0020182A">
        <w:rPr>
          <w:i/>
        </w:rPr>
        <w:t>Access</w:t>
      </w:r>
      <w:r w:rsidRPr="0020182A">
        <w:t xml:space="preserve"> </w:t>
      </w:r>
      <w:r w:rsidR="00AB24F3" w:rsidRPr="0020182A">
        <w:t>–</w:t>
      </w:r>
      <w:r w:rsidRPr="0020182A">
        <w:t xml:space="preserve"> In a demand-regulated market, rules and processes for determining eligibility for SDA are clear</w:t>
      </w:r>
      <w:r w:rsidR="00E063C2" w:rsidRPr="0020182A">
        <w:t>,</w:t>
      </w:r>
      <w:r w:rsidRPr="0020182A">
        <w:t xml:space="preserve"> transparent and consistently applied and result in participants most in need and most likely to benefit gaining access to SDA.</w:t>
      </w:r>
    </w:p>
    <w:p w:rsidR="00091980" w:rsidRPr="0020182A" w:rsidRDefault="00091980" w:rsidP="009B671C">
      <w:pPr>
        <w:pStyle w:val="BodyText1"/>
        <w:numPr>
          <w:ilvl w:val="0"/>
          <w:numId w:val="72"/>
        </w:numPr>
      </w:pPr>
      <w:r w:rsidRPr="0020182A">
        <w:rPr>
          <w:i/>
        </w:rPr>
        <w:t>Information</w:t>
      </w:r>
      <w:r w:rsidRPr="0020182A">
        <w:t xml:space="preserve"> </w:t>
      </w:r>
      <w:r w:rsidR="00AB24F3" w:rsidRPr="0020182A">
        <w:t>–</w:t>
      </w:r>
      <w:r w:rsidRPr="0020182A">
        <w:t xml:space="preserve"> Participants have access to sufficient information on SDA supply and availability to enable them to exercise choice and control.</w:t>
      </w:r>
    </w:p>
    <w:p w:rsidR="00091980" w:rsidRPr="0020182A" w:rsidRDefault="00091980" w:rsidP="00091980">
      <w:pPr>
        <w:pStyle w:val="Heading3"/>
      </w:pPr>
      <w:r w:rsidRPr="0020182A">
        <w:t>1. Consumer choice</w:t>
      </w:r>
    </w:p>
    <w:p w:rsidR="00A1325C" w:rsidRPr="007942B3" w:rsidRDefault="00A1325C" w:rsidP="007942B3">
      <w:pPr>
        <w:pStyle w:val="BodyText2"/>
      </w:pPr>
      <w:r w:rsidRPr="007942B3">
        <w:t>In a well-functioning market, participants should be able to express their preferences to the market and influence the development and provision of SDA which meets their preferences, consistent with the notion of choice and control</w:t>
      </w:r>
      <w:r w:rsidR="00BF0315" w:rsidRPr="007942B3">
        <w:t xml:space="preserve"> and reasonable and necessary supports</w:t>
      </w:r>
      <w:r w:rsidRPr="007942B3">
        <w:t>.</w:t>
      </w:r>
    </w:p>
    <w:p w:rsidR="00A1325C" w:rsidRPr="0020182A" w:rsidRDefault="00A1325C" w:rsidP="00A1325C">
      <w:pPr>
        <w:pStyle w:val="BodyText1"/>
      </w:pPr>
      <w:r w:rsidRPr="0020182A">
        <w:t xml:space="preserve">SDA has the potential to provide more choice and people with disability and their families consistently reported that SDA was an essential element creating real choices for eligible participants who were previously excluded from the broader housing market. People seek to control the circumstances in which they live and SDA is seen as the avenue to this for many people eligible for specialist housing who are currently residing in institutional settings, nursing homes or living with parents who are ageing. </w:t>
      </w:r>
    </w:p>
    <w:p w:rsidR="00A1325C" w:rsidRPr="0020182A" w:rsidRDefault="006137C7" w:rsidP="00A1325C">
      <w:pPr>
        <w:pStyle w:val="BodyText1"/>
      </w:pPr>
      <w:r>
        <w:t>Participant preferences are</w:t>
      </w:r>
      <w:r w:rsidR="00A1325C" w:rsidRPr="0020182A">
        <w:t xml:space="preserve"> not just about the type of housing they </w:t>
      </w:r>
      <w:r>
        <w:t xml:space="preserve">would like to </w:t>
      </w:r>
      <w:r w:rsidR="00A1325C" w:rsidRPr="0020182A">
        <w:t xml:space="preserve">occupy, but also about who </w:t>
      </w:r>
      <w:r>
        <w:t xml:space="preserve">they would like to live </w:t>
      </w:r>
      <w:r w:rsidR="00A1325C" w:rsidRPr="0020182A">
        <w:t>with</w:t>
      </w:r>
      <w:r>
        <w:t xml:space="preserve"> – </w:t>
      </w:r>
      <w:r w:rsidR="00A1325C" w:rsidRPr="0020182A">
        <w:t xml:space="preserve">whether living alone, or with family, partners or children or with other people </w:t>
      </w:r>
      <w:r>
        <w:t xml:space="preserve">with </w:t>
      </w:r>
      <w:r w:rsidR="00A1325C" w:rsidRPr="0020182A">
        <w:t xml:space="preserve">SDA funding. Location of housing within the community, the size and standard of the home and how it is designed and tenancy and ownership arrangements are also </w:t>
      </w:r>
      <w:r>
        <w:t>important</w:t>
      </w:r>
      <w:r w:rsidR="00A1325C" w:rsidRPr="0020182A">
        <w:t>.</w:t>
      </w:r>
    </w:p>
    <w:p w:rsidR="00091980" w:rsidRPr="0020182A" w:rsidRDefault="00A1325C" w:rsidP="00091980">
      <w:pPr>
        <w:pStyle w:val="BodyText1"/>
      </w:pPr>
      <w:r w:rsidRPr="0020182A">
        <w:t xml:space="preserve">The concept of choice and control is articulated at a theoretical level in the SDA Framework, and the SDA Framework provides guidance to balance choice and control with reasonable and necessary requirements and cost effectiveness. However, the </w:t>
      </w:r>
      <w:r w:rsidR="00C47443">
        <w:t>Rules</w:t>
      </w:r>
      <w:r w:rsidRPr="0020182A">
        <w:t xml:space="preserve">, together with limited supply of SDA places, is limiting choice and creating barriers for participants to exercise choice and control. This is discussed further in relation to “Access” below. </w:t>
      </w:r>
    </w:p>
    <w:p w:rsidR="00091980" w:rsidRPr="00106279" w:rsidRDefault="00091980" w:rsidP="0072276D">
      <w:pPr>
        <w:pStyle w:val="BodyText2"/>
      </w:pPr>
      <w:r w:rsidRPr="00106279">
        <w:t xml:space="preserve">At this point in time, participants eligible for SDA have limited choice and are not always able to secure suitable SDA accommodation </w:t>
      </w:r>
    </w:p>
    <w:p w:rsidR="00A1325C" w:rsidRPr="0020182A" w:rsidRDefault="00A1325C" w:rsidP="00A1325C">
      <w:pPr>
        <w:pStyle w:val="BodyText1"/>
      </w:pPr>
      <w:r w:rsidRPr="0020182A">
        <w:t xml:space="preserve">The SDA Rules state that, even if a participant is eligible for SDA, funding will not be allocated to that participant unless an SDA dwelling is, or will very soon be, available. If a dwelling is not available, then consideration </w:t>
      </w:r>
      <w:r w:rsidR="00C15914" w:rsidRPr="0020182A">
        <w:t>is</w:t>
      </w:r>
      <w:r w:rsidRPr="0020182A">
        <w:t xml:space="preserve"> given to support coordination and other non-SDA supports for the participant. This is creating a </w:t>
      </w:r>
      <w:r w:rsidR="00BF0315">
        <w:t>“</w:t>
      </w:r>
      <w:r w:rsidRPr="0020182A">
        <w:t>catch 22</w:t>
      </w:r>
      <w:r w:rsidR="00BF0315">
        <w:t>”</w:t>
      </w:r>
      <w:r w:rsidRPr="0020182A">
        <w:t xml:space="preserve"> scenario where participants are unable to secure SDA funding without finding an SDA place, but an SDA provider is unwilling to make an offer without a guarantee of SDA funding. As a result, individuals are finding it difficult to secure SDA funding and developers are unable to commence projects until they secure demand from individuals with approved SDA budgets. This requirement is a particular barrier in areas with no existing supply and where a participant’s preferred or most suitable living arrangement is in housing which is yet to be constructed</w:t>
      </w:r>
      <w:r w:rsidR="0001098F" w:rsidRPr="0020182A">
        <w:t>.</w:t>
      </w:r>
      <w:r w:rsidRPr="0020182A">
        <w:t xml:space="preserve">  </w:t>
      </w:r>
    </w:p>
    <w:p w:rsidR="00A1325C" w:rsidRPr="0020182A" w:rsidRDefault="00A1325C" w:rsidP="00A1325C">
      <w:pPr>
        <w:pStyle w:val="BodyText1"/>
      </w:pPr>
      <w:r w:rsidRPr="0020182A">
        <w:t xml:space="preserve">At this point in time, there has not been a significant increase in supply of SDA (i.e. new builds), with only </w:t>
      </w:r>
      <w:r w:rsidR="00CB0B53">
        <w:t>273</w:t>
      </w:r>
      <w:r w:rsidR="00CB0B53" w:rsidRPr="0020182A">
        <w:t xml:space="preserve"> </w:t>
      </w:r>
      <w:r w:rsidRPr="0020182A">
        <w:t>new SDA dwellings</w:t>
      </w:r>
      <w:r w:rsidR="00CB0B53">
        <w:t xml:space="preserve"> </w:t>
      </w:r>
      <w:r w:rsidRPr="0020182A">
        <w:t xml:space="preserve">registered to end </w:t>
      </w:r>
      <w:r w:rsidR="00CB0B53">
        <w:t>September</w:t>
      </w:r>
      <w:r w:rsidR="00CB0B53" w:rsidRPr="0020182A">
        <w:t xml:space="preserve"> </w:t>
      </w:r>
      <w:r w:rsidRPr="0020182A">
        <w:t xml:space="preserve">2018.  </w:t>
      </w:r>
      <w:r w:rsidR="009F00C6" w:rsidRPr="0020182A">
        <w:t>Available s</w:t>
      </w:r>
      <w:r w:rsidRPr="0020182A">
        <w:t xml:space="preserve">upply data indicates that </w:t>
      </w:r>
      <w:r w:rsidR="00B0112B">
        <w:t>210 of these new SDA dwellings were for 1-3 residents (providing 321 new places), with only 63 larger 4-5 resident dwellings (providing 298 new places).</w:t>
      </w:r>
      <w:r w:rsidR="00B0112B">
        <w:rPr>
          <w:rStyle w:val="FootnoteReference"/>
        </w:rPr>
        <w:footnoteReference w:id="16"/>
      </w:r>
      <w:r w:rsidR="00B0112B">
        <w:t xml:space="preserve">  </w:t>
      </w:r>
      <w:r w:rsidRPr="0020182A">
        <w:t xml:space="preserve">As a result, many participants who have been deemed eligible for SDA and who are not already living in an existing SDA property have limited opportunity to access SDA or are potentially experiencing delay in securing, suitable accommodation. </w:t>
      </w:r>
    </w:p>
    <w:p w:rsidR="00A1325C" w:rsidRPr="0020182A" w:rsidRDefault="00A1325C" w:rsidP="00A1325C">
      <w:pPr>
        <w:pStyle w:val="BodyText1"/>
      </w:pPr>
      <w:r w:rsidRPr="0020182A">
        <w:lastRenderedPageBreak/>
        <w:t xml:space="preserve">Further, information provided as part of this </w:t>
      </w:r>
      <w:r w:rsidR="009F00C6" w:rsidRPr="0020182A">
        <w:t>R</w:t>
      </w:r>
      <w:r w:rsidRPr="0020182A">
        <w:t xml:space="preserve">eview indicates that where there are vacancies in SDA registered dwellings, these tend to be in larger group homes, and participants are not necessarily able to secure SDA in smaller settings or in settings consistent with their preferences. It should be noted that data on vacancies and placements was not available for consideration as part of this Review, and therefore conclusions in relation to placements have been made based on stakeholder feedback and anecdotal evidence. </w:t>
      </w:r>
    </w:p>
    <w:p w:rsidR="00091980" w:rsidRPr="0020182A" w:rsidRDefault="00A1325C" w:rsidP="00A1325C">
      <w:pPr>
        <w:pStyle w:val="BodyText1"/>
      </w:pPr>
      <w:r w:rsidRPr="0020182A">
        <w:t xml:space="preserve">As discussed further in section </w:t>
      </w:r>
      <w:r w:rsidRPr="0020182A">
        <w:fldChar w:fldCharType="begin"/>
      </w:r>
      <w:r w:rsidRPr="0020182A">
        <w:instrText xml:space="preserve"> REF _Ref520538988 \r \h  \* MERGEFORMAT </w:instrText>
      </w:r>
      <w:r w:rsidRPr="0020182A">
        <w:fldChar w:fldCharType="separate"/>
      </w:r>
      <w:r w:rsidR="00502D19">
        <w:t>3.3</w:t>
      </w:r>
      <w:r w:rsidRPr="0020182A">
        <w:fldChar w:fldCharType="end"/>
      </w:r>
      <w:r w:rsidRPr="0020182A">
        <w:t>, this is not unexpected at this point in Scheme implementation and supply increases will take some time to achieve. However, this relatively slow increase in supply will continue to have a negative impact on participant choice at least in the short term.</w:t>
      </w:r>
    </w:p>
    <w:p w:rsidR="00091980" w:rsidRPr="00106279" w:rsidRDefault="00091980" w:rsidP="0072276D">
      <w:pPr>
        <w:pStyle w:val="BodyText2"/>
      </w:pPr>
      <w:r w:rsidRPr="00106279">
        <w:t>Participants have a range of preferences with respect to SDA arrangements, though</w:t>
      </w:r>
      <w:r w:rsidR="00757D84" w:rsidRPr="00106279">
        <w:t xml:space="preserve"> the SDA Framework</w:t>
      </w:r>
      <w:r w:rsidRPr="00106279">
        <w:t xml:space="preserve"> has not fully considered these preferences</w:t>
      </w:r>
    </w:p>
    <w:p w:rsidR="009F00C6" w:rsidRPr="0020182A" w:rsidRDefault="00A1325C" w:rsidP="00A1325C">
      <w:pPr>
        <w:pStyle w:val="BodyText1"/>
      </w:pPr>
      <w:r w:rsidRPr="0020182A">
        <w:t>Choice and control where possible with increased independence and inclusion of participants</w:t>
      </w:r>
      <w:r w:rsidR="006137C7">
        <w:t>,</w:t>
      </w:r>
      <w:r w:rsidRPr="0020182A">
        <w:t xml:space="preserve"> are critical intentions of the NDIS. Participants want to be able to determine where they live, who they live with, and whether they live alone or with others. </w:t>
      </w:r>
    </w:p>
    <w:p w:rsidR="009F00C6" w:rsidRPr="0020182A" w:rsidRDefault="009F00C6" w:rsidP="009F00C6">
      <w:pPr>
        <w:pStyle w:val="BodyText1"/>
      </w:pPr>
      <w:r w:rsidRPr="0020182A">
        <w:t xml:space="preserve">People with disability and their families who engaged in the Review lived in a range of settings, including with family, in existing SDA dwellings and in residential aged care. Many of the people engaged indicated they were seeking arrangements where they can live with family, their children and/or partner. </w:t>
      </w:r>
    </w:p>
    <w:p w:rsidR="00A1325C" w:rsidRPr="0020182A" w:rsidRDefault="00A1325C" w:rsidP="00A1325C">
      <w:pPr>
        <w:pStyle w:val="BodyText1"/>
      </w:pPr>
      <w:r w:rsidRPr="0020182A">
        <w:t xml:space="preserve">The location of housing within the community, the size and standard of the home and how it is designed, and tenancy and ownership arrangements </w:t>
      </w:r>
      <w:r w:rsidR="009F00C6" w:rsidRPr="0020182A">
        <w:t xml:space="preserve">were seen as </w:t>
      </w:r>
      <w:r w:rsidRPr="0020182A">
        <w:t>part of the choice and control equation. People noted that this choice reflected community standards and broader considerations relating to housing affordability.</w:t>
      </w:r>
    </w:p>
    <w:p w:rsidR="00091980" w:rsidRPr="0020182A" w:rsidRDefault="00091980" w:rsidP="00091980">
      <w:pPr>
        <w:pStyle w:val="BodyText1"/>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ritten submission"/>
        <w:tblDescription w:val="&quot;The option of private and independent living was a key feature of the SDA framework policy intent which represented a significant and much applauded step away from institutional housing practices of the past and towards full freedom of choice and independent living opportunities&quot;."/>
      </w:tblPr>
      <w:tblGrid>
        <w:gridCol w:w="8072"/>
      </w:tblGrid>
      <w:tr w:rsidR="00612CC4" w:rsidRPr="0020182A" w:rsidTr="003F414A">
        <w:trPr>
          <w:tblHeader/>
        </w:trPr>
        <w:tc>
          <w:tcPr>
            <w:tcW w:w="8072" w:type="dxa"/>
          </w:tcPr>
          <w:p w:rsidR="00612CC4" w:rsidRPr="0020182A" w:rsidRDefault="00612CC4" w:rsidP="003F414A">
            <w:pPr>
              <w:pStyle w:val="BodyText"/>
              <w:spacing w:before="0"/>
            </w:pPr>
            <w:r>
              <w:t>“</w:t>
            </w:r>
            <w:r w:rsidRPr="0020182A">
              <w:t>The option of private and independent living was a key feature of the SDA framework policy intent which represented a significant and much applauded step away from institutional housing practices of the past and towards full freedom of choice and independent living opportunities</w:t>
            </w:r>
            <w:r>
              <w:t>.”</w:t>
            </w:r>
          </w:p>
          <w:p w:rsidR="00612CC4" w:rsidRPr="0020182A" w:rsidRDefault="00612CC4" w:rsidP="003F414A">
            <w:pPr>
              <w:pStyle w:val="BodyText"/>
              <w:spacing w:before="0"/>
              <w:jc w:val="right"/>
              <w:rPr>
                <w:sz w:val="16"/>
                <w:szCs w:val="16"/>
              </w:rPr>
            </w:pPr>
            <w:r w:rsidRPr="0020182A">
              <w:rPr>
                <w:sz w:val="16"/>
                <w:szCs w:val="16"/>
              </w:rPr>
              <w:t xml:space="preserve"> – Written Submission</w:t>
            </w:r>
          </w:p>
        </w:tc>
      </w:tr>
    </w:tbl>
    <w:p w:rsidR="00A1325C" w:rsidRPr="0020182A" w:rsidRDefault="003F414A" w:rsidP="00A1325C">
      <w:pPr>
        <w:pStyle w:val="BodyText1"/>
        <w:rPr>
          <w:noProof/>
          <w:szCs w:val="18"/>
          <w:lang w:eastAsia="en-AU"/>
        </w:rPr>
      </w:pPr>
      <w:r>
        <w:rPr>
          <w:noProof/>
          <w:szCs w:val="18"/>
          <w:lang w:eastAsia="en-AU"/>
        </w:rPr>
        <w:br w:type="textWrapping" w:clear="all"/>
      </w:r>
      <w:r w:rsidR="00A1325C" w:rsidRPr="0020182A">
        <w:rPr>
          <w:noProof/>
          <w:szCs w:val="18"/>
          <w:lang w:eastAsia="en-AU"/>
        </w:rPr>
        <w:t xml:space="preserve">Some participants and their families, and some existing SIL providers, </w:t>
      </w:r>
      <w:r w:rsidR="009F00C6" w:rsidRPr="0020182A">
        <w:rPr>
          <w:noProof/>
          <w:szCs w:val="18"/>
          <w:lang w:eastAsia="en-AU"/>
        </w:rPr>
        <w:t xml:space="preserve">appear to be </w:t>
      </w:r>
      <w:r w:rsidR="00A1325C" w:rsidRPr="0020182A">
        <w:rPr>
          <w:noProof/>
          <w:szCs w:val="18"/>
          <w:lang w:eastAsia="en-AU"/>
        </w:rPr>
        <w:t xml:space="preserve">more familiar and have a preference for traditional group home models (often without full knowledge of or experience with alternative housing options) and this could be influencing investment and development decisions. </w:t>
      </w:r>
    </w:p>
    <w:p w:rsidR="00A1325C" w:rsidRPr="0020182A" w:rsidRDefault="009F00C6" w:rsidP="00A1325C">
      <w:pPr>
        <w:pStyle w:val="BodyText1"/>
        <w:rPr>
          <w:noProof/>
          <w:szCs w:val="18"/>
          <w:lang w:eastAsia="en-AU"/>
        </w:rPr>
      </w:pPr>
      <w:r w:rsidRPr="0020182A">
        <w:rPr>
          <w:noProof/>
          <w:szCs w:val="18"/>
          <w:lang w:eastAsia="en-AU"/>
        </w:rPr>
        <w:t>P</w:t>
      </w:r>
      <w:r w:rsidR="00A1325C" w:rsidRPr="0020182A">
        <w:rPr>
          <w:noProof/>
          <w:szCs w:val="18"/>
          <w:lang w:eastAsia="en-AU"/>
        </w:rPr>
        <w:t xml:space="preserve">articipants </w:t>
      </w:r>
      <w:r w:rsidRPr="0020182A">
        <w:rPr>
          <w:noProof/>
          <w:szCs w:val="18"/>
          <w:lang w:eastAsia="en-AU"/>
        </w:rPr>
        <w:t xml:space="preserve">and families engaged in the Review stated that they </w:t>
      </w:r>
      <w:r w:rsidR="00A1325C" w:rsidRPr="0020182A">
        <w:rPr>
          <w:noProof/>
          <w:szCs w:val="18"/>
          <w:lang w:eastAsia="en-AU"/>
        </w:rPr>
        <w:t xml:space="preserve">have had </w:t>
      </w:r>
      <w:r w:rsidRPr="0020182A">
        <w:rPr>
          <w:noProof/>
          <w:szCs w:val="18"/>
          <w:lang w:eastAsia="en-AU"/>
        </w:rPr>
        <w:t xml:space="preserve">few </w:t>
      </w:r>
      <w:r w:rsidR="00A1325C" w:rsidRPr="0020182A">
        <w:rPr>
          <w:noProof/>
          <w:szCs w:val="18"/>
          <w:lang w:eastAsia="en-AU"/>
        </w:rPr>
        <w:t xml:space="preserve">opportunities to engage with providers and investors to express their preferences with respect to SDA design, and providers and investors have largely not sought this input to date. This is likely to be, at least in part, due to participants’ inability to secure SDA funding without being able to locate a dwelling. </w:t>
      </w:r>
    </w:p>
    <w:p w:rsidR="00091980" w:rsidRPr="0020182A" w:rsidRDefault="00A1325C" w:rsidP="00A1325C">
      <w:pPr>
        <w:pStyle w:val="BodyText1"/>
      </w:pPr>
      <w:r w:rsidRPr="0020182A">
        <w:rPr>
          <w:noProof/>
          <w:szCs w:val="18"/>
          <w:lang w:eastAsia="en-AU"/>
        </w:rPr>
        <w:t xml:space="preserve">Participants and other stakeholders engaged as part of the </w:t>
      </w:r>
      <w:r w:rsidR="009F00C6" w:rsidRPr="0020182A">
        <w:rPr>
          <w:noProof/>
          <w:szCs w:val="18"/>
          <w:lang w:eastAsia="en-AU"/>
        </w:rPr>
        <w:t>R</w:t>
      </w:r>
      <w:r w:rsidRPr="0020182A">
        <w:rPr>
          <w:noProof/>
          <w:szCs w:val="18"/>
          <w:lang w:eastAsia="en-AU"/>
        </w:rPr>
        <w:t xml:space="preserve">eview </w:t>
      </w:r>
      <w:r w:rsidR="009F00C6" w:rsidRPr="0020182A">
        <w:rPr>
          <w:noProof/>
          <w:szCs w:val="18"/>
          <w:lang w:eastAsia="en-AU"/>
        </w:rPr>
        <w:t xml:space="preserve">also </w:t>
      </w:r>
      <w:r w:rsidRPr="0020182A">
        <w:rPr>
          <w:noProof/>
          <w:szCs w:val="18"/>
          <w:lang w:eastAsia="en-AU"/>
        </w:rPr>
        <w:t>stated that being able to influence the design of new accommodation is critical to ensuring it meets their needs (and also contribute to longer term housing and support outcomes. It is noted that there are no limitations for providers and investors to directly engage with participants and that it would be sensible and beneficial to do so to ensure their SDA offerings meet the needs and preferences of SDA-eligible participants</w:t>
      </w:r>
      <w:r w:rsidR="00076585">
        <w:rPr>
          <w:noProof/>
          <w:szCs w:val="18"/>
          <w:lang w:eastAsia="en-AU"/>
        </w:rPr>
        <w:t>. Pr</w:t>
      </w:r>
      <w:r w:rsidRPr="0020182A">
        <w:rPr>
          <w:noProof/>
          <w:szCs w:val="18"/>
          <w:lang w:eastAsia="en-AU"/>
        </w:rPr>
        <w:t>oviders and investors support the involvement of participants in the early SDA design and concept development phase. There were, however, a number of issues identified relating to how the SDA Framework, SDA pricing and immaturity of the market was limiting participants’ ability to express their preferences and exercise choice and control. These are discussed in the following sections.</w:t>
      </w:r>
    </w:p>
    <w:p w:rsidR="00091980" w:rsidRPr="0072276D" w:rsidRDefault="00091980" w:rsidP="0072276D">
      <w:pPr>
        <w:pStyle w:val="BodyText2"/>
      </w:pPr>
      <w:r w:rsidRPr="0072276D">
        <w:t>Predominance of the group home model</w:t>
      </w:r>
    </w:p>
    <w:p w:rsidR="00091980" w:rsidRPr="0020182A" w:rsidRDefault="00091980" w:rsidP="00091980">
      <w:pPr>
        <w:pStyle w:val="Bullet1stlevel"/>
      </w:pPr>
      <w:r w:rsidRPr="0020182A">
        <w:t xml:space="preserve">Existing SDA supply largely reflects the traditional group home model utilised under </w:t>
      </w:r>
      <w:r w:rsidR="00F61B99">
        <w:t>s</w:t>
      </w:r>
      <w:r w:rsidRPr="0020182A">
        <w:t>tate/</w:t>
      </w:r>
      <w:r w:rsidR="00F61B99">
        <w:t>t</w:t>
      </w:r>
      <w:r w:rsidRPr="0020182A">
        <w:t>erritory based arrangements</w:t>
      </w:r>
      <w:r w:rsidR="00076585">
        <w:t>. W</w:t>
      </w:r>
      <w:r w:rsidRPr="0020182A">
        <w:t xml:space="preserve">hile </w:t>
      </w:r>
      <w:r w:rsidR="006A4EA8" w:rsidRPr="0020182A">
        <w:t xml:space="preserve">available data shows </w:t>
      </w:r>
      <w:r w:rsidRPr="0020182A">
        <w:t xml:space="preserve">some new, smaller (one-bedroom) SDA dwellings being developed there are also a number of new large five-bedroom group homes. </w:t>
      </w:r>
    </w:p>
    <w:p w:rsidR="00091980" w:rsidRPr="0020182A" w:rsidRDefault="00091980" w:rsidP="00091980">
      <w:pPr>
        <w:pStyle w:val="Bullet1stlevel"/>
      </w:pPr>
      <w:r w:rsidRPr="0020182A">
        <w:t xml:space="preserve">The group home model assumes participants with similar or complementary needs will live together.   This gives rise to issues around “matching” and concerns about choice (or lack of choice) of housemates and the sometimes rigid support routines. The group home model does not reflect the preferences of many participants – something explicitly recognised by the </w:t>
      </w:r>
      <w:r w:rsidR="00110956" w:rsidRPr="0020182A">
        <w:t xml:space="preserve">SDA </w:t>
      </w:r>
      <w:r w:rsidRPr="0020182A">
        <w:t>Framework and the NDIA.</w:t>
      </w:r>
    </w:p>
    <w:p w:rsidR="00091980" w:rsidRPr="0020182A" w:rsidRDefault="00091980" w:rsidP="00091980">
      <w:pPr>
        <w:pStyle w:val="Bullet1stlevel"/>
      </w:pPr>
    </w:p>
    <w:tbl>
      <w:tblPr>
        <w:tblStyle w:val="TableGrid"/>
        <w:tblW w:w="0" w:type="auto"/>
        <w:tblInd w:w="-5" w:type="dxa"/>
        <w:tblLook w:val="04A0" w:firstRow="1" w:lastRow="0" w:firstColumn="1" w:lastColumn="0" w:noHBand="0" w:noVBand="1"/>
        <w:tblCaption w:val="Quote from people with disability, families and carers Roundtable and written submission"/>
        <w:tblDescription w:val="Quote is &quot;To be eligible for a house I must be eligible for SDA – I have to live with a bunch of other people eligible for SDA – SDA is the only thing we have in common – what if I want to live with someone like me or a different person.&quot;&#10;&#10;The written submission states: &quot;The pricing arrangements in the SDA framework will see a perpetuation of the ‘group homes’ models where individuals have little or no choice over who they live with”.&#10;"/>
      </w:tblPr>
      <w:tblGrid>
        <w:gridCol w:w="7881"/>
      </w:tblGrid>
      <w:tr w:rsidR="00612CC4" w:rsidRPr="0020182A" w:rsidTr="00612CC4">
        <w:trPr>
          <w:tblHeader/>
        </w:trPr>
        <w:tc>
          <w:tcPr>
            <w:tcW w:w="7881" w:type="dxa"/>
            <w:tcBorders>
              <w:top w:val="nil"/>
              <w:left w:val="nil"/>
              <w:bottom w:val="nil"/>
              <w:right w:val="nil"/>
            </w:tcBorders>
          </w:tcPr>
          <w:p w:rsidR="00612CC4" w:rsidRPr="0020182A" w:rsidRDefault="00612CC4" w:rsidP="00413D7D">
            <w:pPr>
              <w:pStyle w:val="BodyText"/>
              <w:spacing w:before="0"/>
            </w:pPr>
            <w:r>
              <w:t>“</w:t>
            </w:r>
            <w:r w:rsidRPr="0020182A">
              <w:t>To be eligible for a house I must be eligible for SDA – I have to live with a bunch of other people eligible for SDA – SDA is the only thing we have in common – what if I want to live with someone like me or a different person</w:t>
            </w:r>
            <w:r>
              <w:t>.</w:t>
            </w:r>
            <w:r w:rsidRPr="0020182A">
              <w:t>”</w:t>
            </w:r>
          </w:p>
          <w:p w:rsidR="00612CC4" w:rsidRPr="0020182A" w:rsidRDefault="00612CC4" w:rsidP="00413D7D">
            <w:pPr>
              <w:pStyle w:val="BodyText"/>
              <w:spacing w:before="0"/>
              <w:jc w:val="right"/>
              <w:rPr>
                <w:sz w:val="16"/>
                <w:szCs w:val="16"/>
              </w:rPr>
            </w:pPr>
            <w:r w:rsidRPr="0020182A">
              <w:rPr>
                <w:sz w:val="16"/>
                <w:szCs w:val="16"/>
              </w:rPr>
              <w:t>– People with disability, families and carers Roundtable</w:t>
            </w:r>
          </w:p>
        </w:tc>
      </w:tr>
      <w:tr w:rsidR="00612CC4" w:rsidRPr="0020182A" w:rsidTr="00612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81" w:type="dxa"/>
          </w:tcPr>
          <w:p w:rsidR="00612CC4" w:rsidRPr="0020182A" w:rsidRDefault="00612CC4" w:rsidP="00413D7D">
            <w:pPr>
              <w:pStyle w:val="BodyText"/>
              <w:spacing w:before="0"/>
            </w:pPr>
            <w:r>
              <w:t>“</w:t>
            </w:r>
            <w:r w:rsidRPr="0020182A">
              <w:t>The pricing arrangements in the SDA framework will see a perpetuation of the ‘group homes’ models where individuals have little or no</w:t>
            </w:r>
            <w:r>
              <w:t xml:space="preserve"> choice over who they live with.”</w:t>
            </w:r>
          </w:p>
          <w:p w:rsidR="00612CC4" w:rsidRPr="0020182A" w:rsidRDefault="00612CC4" w:rsidP="00413D7D">
            <w:pPr>
              <w:pStyle w:val="BodyText"/>
              <w:spacing w:before="0"/>
              <w:jc w:val="right"/>
              <w:rPr>
                <w:sz w:val="16"/>
                <w:szCs w:val="16"/>
              </w:rPr>
            </w:pPr>
            <w:r w:rsidRPr="0020182A">
              <w:t xml:space="preserve"> </w:t>
            </w:r>
            <w:r w:rsidRPr="0020182A">
              <w:rPr>
                <w:sz w:val="16"/>
                <w:szCs w:val="16"/>
              </w:rPr>
              <w:t xml:space="preserve"> – Written submission</w:t>
            </w:r>
          </w:p>
        </w:tc>
      </w:tr>
    </w:tbl>
    <w:p w:rsidR="00091980" w:rsidRPr="008B3E84" w:rsidRDefault="00091980" w:rsidP="0072276D">
      <w:pPr>
        <w:pStyle w:val="BodyText2"/>
      </w:pPr>
      <w:r w:rsidRPr="008B3E84">
        <w:t>Limitations on living alone</w:t>
      </w:r>
    </w:p>
    <w:p w:rsidR="006A4EA8" w:rsidRPr="0020182A" w:rsidRDefault="00A1325C" w:rsidP="00091980">
      <w:pPr>
        <w:pStyle w:val="Bullet1stlevel"/>
      </w:pPr>
      <w:r w:rsidRPr="0020182A">
        <w:t xml:space="preserve">A number of participants engaged as part of the Review stated that they have preference for independent living – options </w:t>
      </w:r>
      <w:r w:rsidR="00076585">
        <w:t>that</w:t>
      </w:r>
      <w:r w:rsidR="00076585" w:rsidRPr="0020182A">
        <w:t xml:space="preserve"> </w:t>
      </w:r>
      <w:r w:rsidRPr="0020182A">
        <w:t xml:space="preserve">are supported by the SDA Framework and the Rules. </w:t>
      </w:r>
      <w:r w:rsidR="00076585">
        <w:t>“</w:t>
      </w:r>
      <w:r w:rsidRPr="0020182A">
        <w:t>Independent living</w:t>
      </w:r>
      <w:r w:rsidR="00076585">
        <w:t>”</w:t>
      </w:r>
      <w:r w:rsidRPr="0020182A">
        <w:t xml:space="preserve"> meant a number of things</w:t>
      </w:r>
      <w:r w:rsidR="006A4EA8" w:rsidRPr="0020182A">
        <w:t xml:space="preserve"> to participants:</w:t>
      </w:r>
      <w:r w:rsidRPr="0020182A">
        <w:t xml:space="preserve"> living </w:t>
      </w:r>
      <w:r w:rsidR="006A4EA8" w:rsidRPr="0020182A">
        <w:t>alone</w:t>
      </w:r>
      <w:r w:rsidRPr="0020182A">
        <w:t xml:space="preserve">, living with other people with disability who were not eligible for SDA and living with other people who did not have a disability (friends and family). </w:t>
      </w:r>
    </w:p>
    <w:p w:rsidR="00091980" w:rsidRPr="0020182A" w:rsidRDefault="00A1325C" w:rsidP="00091980">
      <w:pPr>
        <w:pStyle w:val="Bullet1stlevel"/>
      </w:pPr>
      <w:r w:rsidRPr="0020182A">
        <w:t>Th</w:t>
      </w:r>
      <w:r w:rsidR="006A4EA8" w:rsidRPr="0020182A">
        <w:t xml:space="preserve">e </w:t>
      </w:r>
      <w:r w:rsidRPr="0020182A">
        <w:t xml:space="preserve">option </w:t>
      </w:r>
      <w:r w:rsidR="006A4EA8" w:rsidRPr="0020182A">
        <w:t xml:space="preserve">for participants to live alone </w:t>
      </w:r>
      <w:r w:rsidRPr="0020182A">
        <w:t xml:space="preserve">is being constrained at this point in time by a lack of supply, but there </w:t>
      </w:r>
      <w:r w:rsidR="00C40BAB" w:rsidRPr="0020182A">
        <w:t>wa</w:t>
      </w:r>
      <w:r w:rsidRPr="0020182A">
        <w:t xml:space="preserve">s </w:t>
      </w:r>
      <w:r w:rsidR="00C40BAB" w:rsidRPr="0020182A">
        <w:t xml:space="preserve">also </w:t>
      </w:r>
      <w:r w:rsidRPr="0020182A">
        <w:t xml:space="preserve">a perception </w:t>
      </w:r>
      <w:r w:rsidR="006A4EA8" w:rsidRPr="0020182A">
        <w:t xml:space="preserve">among Review participants </w:t>
      </w:r>
      <w:r w:rsidRPr="0020182A">
        <w:t>that living alone is not an option supported by the NDIA other than in very limited circumstances.</w:t>
      </w:r>
    </w:p>
    <w:p w:rsidR="00AB24F3" w:rsidRPr="0020182A" w:rsidRDefault="00AB24F3" w:rsidP="00091980">
      <w:pPr>
        <w:pStyle w:val="Bullet1stlevel"/>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ritten submission"/>
        <w:tblDescription w:val="Written submission states &quot;In the eyes of the investor market, the statement has raised such significant doubt over the viability of single resident dwellings that the vast majority of investment proposals which rely on individual occupancy outcomes have now either been terminated or redesigned towards shared living concepts&quot;."/>
      </w:tblPr>
      <w:tblGrid>
        <w:gridCol w:w="8072"/>
      </w:tblGrid>
      <w:tr w:rsidR="00612CC4" w:rsidRPr="0020182A" w:rsidTr="00612CC4">
        <w:trPr>
          <w:tblHeader/>
        </w:trPr>
        <w:tc>
          <w:tcPr>
            <w:tcW w:w="8072" w:type="dxa"/>
          </w:tcPr>
          <w:p w:rsidR="00612CC4" w:rsidRPr="0020182A" w:rsidRDefault="00612CC4" w:rsidP="00413D7D">
            <w:pPr>
              <w:pStyle w:val="BodyText"/>
              <w:spacing w:before="0"/>
            </w:pPr>
            <w:r>
              <w:t>“</w:t>
            </w:r>
            <w:r w:rsidRPr="0020182A">
              <w:t>In the eyes of the investor market, the statement has raised such significant doubt over the viability of single resident dwellings that the vast majority of investment proposals which rely on individual occupancy outcomes have now either been terminated or redesigned towards shared living concepts</w:t>
            </w:r>
            <w:r>
              <w:t>.”</w:t>
            </w:r>
          </w:p>
          <w:p w:rsidR="00612CC4" w:rsidRPr="0020182A" w:rsidRDefault="00612CC4" w:rsidP="00413D7D">
            <w:pPr>
              <w:pStyle w:val="BodyText"/>
              <w:spacing w:before="0"/>
              <w:jc w:val="right"/>
              <w:rPr>
                <w:sz w:val="16"/>
                <w:szCs w:val="16"/>
              </w:rPr>
            </w:pPr>
            <w:r w:rsidRPr="0020182A">
              <w:rPr>
                <w:sz w:val="16"/>
                <w:szCs w:val="16"/>
              </w:rPr>
              <w:t xml:space="preserve"> – Written Submission</w:t>
            </w:r>
          </w:p>
        </w:tc>
      </w:tr>
    </w:tbl>
    <w:p w:rsidR="00091980" w:rsidRPr="0020182A" w:rsidRDefault="00091980" w:rsidP="0009198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ote from people with disability, families and carers roundtable"/>
        <w:tblDescription w:val="Quote is “The investor statement put many other factors ahead of choice and control – that will lead to a funnelling of people into far fewer options.” &#10;"/>
      </w:tblPr>
      <w:tblGrid>
        <w:gridCol w:w="8072"/>
      </w:tblGrid>
      <w:tr w:rsidR="00612CC4" w:rsidRPr="0020182A" w:rsidTr="00612CC4">
        <w:trPr>
          <w:tblHeader/>
        </w:trPr>
        <w:tc>
          <w:tcPr>
            <w:tcW w:w="8072" w:type="dxa"/>
          </w:tcPr>
          <w:p w:rsidR="00612CC4" w:rsidRPr="0020182A" w:rsidRDefault="00612CC4" w:rsidP="00413D7D">
            <w:pPr>
              <w:pStyle w:val="BodyText"/>
              <w:spacing w:before="0"/>
            </w:pPr>
            <w:r>
              <w:t>“</w:t>
            </w:r>
            <w:r w:rsidRPr="0020182A">
              <w:t>The investor statement put many other factors ahead of choice and control – that will lead to a funnelling o</w:t>
            </w:r>
            <w:r>
              <w:t>f people into far fewer options.</w:t>
            </w:r>
            <w:r w:rsidRPr="0020182A">
              <w:t xml:space="preserve">” </w:t>
            </w:r>
          </w:p>
          <w:p w:rsidR="00612CC4" w:rsidRPr="0020182A" w:rsidRDefault="00612CC4" w:rsidP="00413D7D">
            <w:pPr>
              <w:pStyle w:val="BodyText"/>
              <w:spacing w:before="0"/>
              <w:jc w:val="right"/>
              <w:rPr>
                <w:sz w:val="16"/>
                <w:szCs w:val="16"/>
              </w:rPr>
            </w:pPr>
            <w:r w:rsidRPr="0020182A">
              <w:rPr>
                <w:sz w:val="16"/>
                <w:szCs w:val="16"/>
              </w:rPr>
              <w:t xml:space="preserve"> – People with disability, families and carers Roundtable</w:t>
            </w:r>
          </w:p>
        </w:tc>
      </w:tr>
    </w:tbl>
    <w:p w:rsidR="00091980" w:rsidRDefault="00091980" w:rsidP="00091980"/>
    <w:p w:rsidR="006137C7" w:rsidRPr="0020182A" w:rsidRDefault="006137C7" w:rsidP="00091980">
      <w:r>
        <w:t xml:space="preserve">However, it is noted that the Rules </w:t>
      </w:r>
      <w:r w:rsidR="00152ADE">
        <w:t xml:space="preserve">state </w:t>
      </w:r>
      <w:r>
        <w:t xml:space="preserve">that the type of SDA </w:t>
      </w:r>
      <w:r w:rsidR="00152ADE">
        <w:t xml:space="preserve">dwelling </w:t>
      </w:r>
      <w:r>
        <w:t>is determined by a participant’s support need</w:t>
      </w:r>
      <w:r w:rsidR="00152ADE">
        <w:t>, and the nature of person’s support needs will limit their ability to live alone</w:t>
      </w:r>
      <w:r>
        <w:t xml:space="preserve"> (4.4, 4.6(d), 4.7</w:t>
      </w:r>
      <w:r w:rsidR="00152ADE">
        <w:t xml:space="preserve"> refer</w:t>
      </w:r>
      <w:r>
        <w:t>)</w:t>
      </w:r>
      <w:r w:rsidR="00152ADE">
        <w:t>.</w:t>
      </w:r>
    </w:p>
    <w:p w:rsidR="00091980" w:rsidRPr="008B3E84" w:rsidRDefault="00091980" w:rsidP="00251F6E">
      <w:pPr>
        <w:pStyle w:val="Heading4"/>
      </w:pPr>
      <w:r w:rsidRPr="008B3E84">
        <w:t>Limited options to live with family or others without disability</w:t>
      </w:r>
    </w:p>
    <w:p w:rsidR="00091980" w:rsidRPr="0020182A" w:rsidRDefault="00A1325C" w:rsidP="00091980">
      <w:pPr>
        <w:pStyle w:val="Bullet1stlevel"/>
      </w:pPr>
      <w:r w:rsidRPr="0020182A">
        <w:t xml:space="preserve">The SDA Framework does not adequately consider circumstances where </w:t>
      </w:r>
      <w:r w:rsidR="00076585">
        <w:t>p</w:t>
      </w:r>
      <w:r w:rsidRPr="0020182A">
        <w:t xml:space="preserve">articipants choose to live with others </w:t>
      </w:r>
      <w:r w:rsidR="00076585">
        <w:t>who</w:t>
      </w:r>
      <w:r w:rsidR="00076585" w:rsidRPr="0020182A">
        <w:t xml:space="preserve"> </w:t>
      </w:r>
      <w:r w:rsidRPr="0020182A">
        <w:t xml:space="preserve">do not attract SDA funding – including family members, partner or children, friends and others without disability – and the pricing and payment arrangements largely mean that living with others without disability are cost-prohibitive. Where a person without disability occupies a </w:t>
      </w:r>
      <w:r w:rsidR="00076585">
        <w:t>“</w:t>
      </w:r>
      <w:r w:rsidRPr="0020182A">
        <w:t>place</w:t>
      </w:r>
      <w:r w:rsidR="00076585">
        <w:t>”</w:t>
      </w:r>
      <w:r w:rsidRPr="0020182A">
        <w:t xml:space="preserve"> in an SDA dwelling, the provider does not attract SDA funding for that place and will </w:t>
      </w:r>
      <w:r w:rsidR="006A4EA8" w:rsidRPr="0020182A">
        <w:t xml:space="preserve">likely </w:t>
      </w:r>
      <w:r w:rsidRPr="0020182A">
        <w:t xml:space="preserve">seek to recoup </w:t>
      </w:r>
      <w:r w:rsidR="006A4EA8" w:rsidRPr="0020182A">
        <w:t xml:space="preserve">some or all of the </w:t>
      </w:r>
      <w:r w:rsidRPr="0020182A">
        <w:t>SDA revenue foregone by charging rent to the resident without disability. This “rent” c</w:t>
      </w:r>
      <w:r w:rsidR="006A4EA8" w:rsidRPr="0020182A">
        <w:t>ould</w:t>
      </w:r>
      <w:r w:rsidRPr="0020182A">
        <w:t xml:space="preserve"> be higher than the market rent for a</w:t>
      </w:r>
      <w:r w:rsidR="006A4EA8" w:rsidRPr="0020182A">
        <w:t>n equivalent</w:t>
      </w:r>
      <w:r w:rsidRPr="0020182A">
        <w:t xml:space="preserve"> non-SDA property</w:t>
      </w:r>
      <w:r w:rsidR="006A4EA8" w:rsidRPr="0020182A">
        <w:t>, and potentially unaffordable for the resident without disability</w:t>
      </w:r>
      <w:r w:rsidRPr="0020182A">
        <w:t>.</w:t>
      </w:r>
    </w:p>
    <w:p w:rsidR="00AB24F3" w:rsidRPr="0020182A" w:rsidRDefault="00AB24F3" w:rsidP="00091980">
      <w:pPr>
        <w:pStyle w:val="Bullet1stlevel"/>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ote from people with disability, families and carers roundtable"/>
        <w:tblDescription w:val="Quote is “I believe that we would be prime candidates for SDA, but in order to qualify, I would need to leave my family and move into shared accommodation, as payment to the SDA-accredited developer is cut by more than 60 percent if my family joins me. I have it in writing from a local developer that this disincentive is enough to reject my application out of hand. This is obviously not acceptable, fair or, arguably, value for money.” &#10;&#10;"/>
      </w:tblPr>
      <w:tblGrid>
        <w:gridCol w:w="8072"/>
      </w:tblGrid>
      <w:tr w:rsidR="00612CC4" w:rsidRPr="0020182A" w:rsidTr="00612CC4">
        <w:trPr>
          <w:tblHeader/>
        </w:trPr>
        <w:tc>
          <w:tcPr>
            <w:tcW w:w="8072" w:type="dxa"/>
          </w:tcPr>
          <w:p w:rsidR="00612CC4" w:rsidRPr="0020182A" w:rsidRDefault="00612CC4" w:rsidP="00413D7D">
            <w:pPr>
              <w:pStyle w:val="BodyText"/>
              <w:spacing w:before="0"/>
            </w:pPr>
            <w:r>
              <w:t>“</w:t>
            </w:r>
            <w:r w:rsidRPr="0020182A">
              <w:t xml:space="preserve">I believe that we would be prime candidates for SDA, but in order to qualify, I would need to leave my family and move into shared accommodation, as payment to the SDA-accredited developer is cut by more than 60 percent if my family joins me. I have it in writing from a local developer that this disincentive is enough to reject my application out of hand. This is obviously not acceptable, fair or, arguably, value for money.” </w:t>
            </w:r>
          </w:p>
          <w:p w:rsidR="00612CC4" w:rsidRPr="0020182A" w:rsidRDefault="00612CC4" w:rsidP="00413D7D">
            <w:pPr>
              <w:pStyle w:val="BodyText"/>
              <w:spacing w:before="0"/>
              <w:jc w:val="right"/>
              <w:rPr>
                <w:sz w:val="16"/>
                <w:szCs w:val="16"/>
              </w:rPr>
            </w:pPr>
            <w:r w:rsidRPr="0020182A">
              <w:rPr>
                <w:sz w:val="16"/>
                <w:szCs w:val="16"/>
              </w:rPr>
              <w:t xml:space="preserve"> – People with disability, families and carers Roundtable</w:t>
            </w:r>
          </w:p>
        </w:tc>
      </w:tr>
    </w:tbl>
    <w:p w:rsidR="00091980" w:rsidRPr="0020182A" w:rsidRDefault="00091980" w:rsidP="00091980">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ote from people with disability, families and carers Roundtable"/>
        <w:tblDescription w:val="Quote is &quot;A mother and her daughter could not live together under SDA, as funding for investors would be lower. This is not inclusive, makes it harder to get out of group home settings” &#10;&#10;  &#10;"/>
      </w:tblPr>
      <w:tblGrid>
        <w:gridCol w:w="8072"/>
      </w:tblGrid>
      <w:tr w:rsidR="00612CC4" w:rsidRPr="0020182A" w:rsidTr="00612CC4">
        <w:trPr>
          <w:tblHeader/>
        </w:trPr>
        <w:tc>
          <w:tcPr>
            <w:tcW w:w="8072" w:type="dxa"/>
          </w:tcPr>
          <w:p w:rsidR="00612CC4" w:rsidRPr="0020182A" w:rsidRDefault="00612CC4" w:rsidP="00413D7D">
            <w:pPr>
              <w:pStyle w:val="BodyText"/>
              <w:spacing w:before="0"/>
            </w:pPr>
            <w:r>
              <w:lastRenderedPageBreak/>
              <w:t>“</w:t>
            </w:r>
            <w:r w:rsidRPr="0020182A">
              <w:t xml:space="preserve">A mother and her daughter could not live together under SDA, as funding for investors would be lower. This is not inclusive, makes it harder to get out of group home settings” </w:t>
            </w:r>
          </w:p>
          <w:p w:rsidR="00612CC4" w:rsidRPr="0020182A" w:rsidRDefault="00612CC4" w:rsidP="00413D7D">
            <w:pPr>
              <w:pStyle w:val="BodyText"/>
              <w:spacing w:before="0"/>
              <w:jc w:val="right"/>
              <w:rPr>
                <w:sz w:val="16"/>
                <w:szCs w:val="16"/>
              </w:rPr>
            </w:pPr>
            <w:r w:rsidRPr="0020182A">
              <w:rPr>
                <w:sz w:val="16"/>
                <w:szCs w:val="16"/>
              </w:rPr>
              <w:t xml:space="preserve"> – People with disability, families and carers Roundtable</w:t>
            </w:r>
          </w:p>
        </w:tc>
      </w:tr>
    </w:tbl>
    <w:p w:rsidR="00091980" w:rsidRPr="0020182A" w:rsidRDefault="00091980" w:rsidP="00091980">
      <w:pPr>
        <w:pStyle w:val="Bullet1stlevel"/>
      </w:pPr>
    </w:p>
    <w:p w:rsidR="00091980" w:rsidRPr="008B3E84" w:rsidRDefault="00091980" w:rsidP="0072276D">
      <w:pPr>
        <w:pStyle w:val="Heading5"/>
      </w:pPr>
      <w:r w:rsidRPr="008B3E84">
        <w:t>The Framework conceptualises SDA in terms of a “rental model”</w:t>
      </w:r>
    </w:p>
    <w:p w:rsidR="00091980" w:rsidRPr="0020182A" w:rsidRDefault="00091980" w:rsidP="00091980">
      <w:pPr>
        <w:pStyle w:val="Bullet1stlevel"/>
      </w:pPr>
      <w:r w:rsidRPr="0020182A">
        <w:t xml:space="preserve">The SDA Framework largely conceptualises SDA in terms of a rental model and assumes that SDA will be provided “for rent” by a range of providers – that is, in a rental market. The language in the </w:t>
      </w:r>
      <w:r w:rsidR="00B5087A" w:rsidRPr="0020182A">
        <w:t xml:space="preserve">SDA </w:t>
      </w:r>
      <w:r w:rsidRPr="0020182A">
        <w:t xml:space="preserve">Framework focuses on tenancy and rental contributions and does not necessarily consider, or promote, other types of tenure outside of the traditional rental model, including models </w:t>
      </w:r>
      <w:r w:rsidR="00076585">
        <w:t>that</w:t>
      </w:r>
      <w:r w:rsidR="00076585" w:rsidRPr="0020182A">
        <w:t xml:space="preserve"> </w:t>
      </w:r>
      <w:r w:rsidRPr="0020182A">
        <w:t xml:space="preserve">support participants to achieve home ownership or shared equity models. There are a number of alternative ownership models that could be considered. Section 94 of the </w:t>
      </w:r>
      <w:r w:rsidR="00B5087A" w:rsidRPr="0020182A">
        <w:t xml:space="preserve">SDA </w:t>
      </w:r>
      <w:r w:rsidRPr="0020182A">
        <w:t xml:space="preserve">Framework supports the NDIA considering or including funding arrangements that may be needed, including where innovative financing arrangements are needed.  </w:t>
      </w:r>
    </w:p>
    <w:p w:rsidR="00091980" w:rsidRPr="0020182A" w:rsidRDefault="00091980" w:rsidP="00091980">
      <w:pPr>
        <w:pStyle w:val="Bullet1stlevel"/>
      </w:pPr>
      <w:r w:rsidRPr="0020182A">
        <w:t>An alternative is using SDA to support home ownership</w:t>
      </w:r>
      <w:r w:rsidR="00B5087A" w:rsidRPr="0020182A">
        <w:t>,</w:t>
      </w:r>
      <w:r w:rsidRPr="0020182A">
        <w:t xml:space="preserve"> includ</w:t>
      </w:r>
      <w:r w:rsidR="00B5087A" w:rsidRPr="0020182A">
        <w:t>ing</w:t>
      </w:r>
      <w:r w:rsidRPr="0020182A">
        <w:t>:</w:t>
      </w:r>
    </w:p>
    <w:p w:rsidR="00091980" w:rsidRPr="0020182A" w:rsidRDefault="00076585" w:rsidP="009B671C">
      <w:pPr>
        <w:pStyle w:val="Bullet2ndlevel"/>
        <w:numPr>
          <w:ilvl w:val="0"/>
          <w:numId w:val="34"/>
        </w:numPr>
      </w:pPr>
      <w:r>
        <w:t>s</w:t>
      </w:r>
      <w:r w:rsidRPr="0020182A">
        <w:t xml:space="preserve">hared </w:t>
      </w:r>
      <w:r w:rsidR="00091980" w:rsidRPr="0020182A">
        <w:t>equity arrangements allowing for multiple parties to hold equity in an SDA property</w:t>
      </w:r>
    </w:p>
    <w:p w:rsidR="00091980" w:rsidRPr="0020182A" w:rsidRDefault="00076585" w:rsidP="009B671C">
      <w:pPr>
        <w:pStyle w:val="Bullet2ndlevel"/>
        <w:numPr>
          <w:ilvl w:val="0"/>
          <w:numId w:val="34"/>
        </w:numPr>
      </w:pPr>
      <w:r>
        <w:t>r</w:t>
      </w:r>
      <w:r w:rsidRPr="0020182A">
        <w:t>ent</w:t>
      </w:r>
      <w:r w:rsidR="00091980" w:rsidRPr="0020182A">
        <w:t>-to-buy models where some of the rental contribution contributes towards longer-term ownership arrangements</w:t>
      </w:r>
    </w:p>
    <w:p w:rsidR="00091980" w:rsidRPr="0020182A" w:rsidRDefault="00076585" w:rsidP="009B671C">
      <w:pPr>
        <w:pStyle w:val="Bullet2ndlevel"/>
        <w:numPr>
          <w:ilvl w:val="0"/>
          <w:numId w:val="34"/>
        </w:numPr>
      </w:pPr>
      <w:r>
        <w:t>c</w:t>
      </w:r>
      <w:r w:rsidRPr="0020182A">
        <w:t xml:space="preserve">ontributing </w:t>
      </w:r>
      <w:r w:rsidR="00091980" w:rsidRPr="0020182A">
        <w:t>towards securing finance (e</w:t>
      </w:r>
      <w:r w:rsidR="00567DFA" w:rsidRPr="0020182A">
        <w:t>.</w:t>
      </w:r>
      <w:r w:rsidR="00091980" w:rsidRPr="0020182A">
        <w:t>g</w:t>
      </w:r>
      <w:r w:rsidR="00567DFA" w:rsidRPr="0020182A">
        <w:t>.</w:t>
      </w:r>
      <w:r w:rsidR="00091980" w:rsidRPr="0020182A">
        <w:t xml:space="preserve"> a private mortgage).</w:t>
      </w:r>
    </w:p>
    <w:p w:rsidR="00036D8C" w:rsidRPr="0020182A" w:rsidRDefault="00606E1C" w:rsidP="00091980">
      <w:r w:rsidRPr="0020182A">
        <w:t>Currently</w:t>
      </w:r>
      <w:r w:rsidR="00036D8C" w:rsidRPr="0020182A">
        <w:t xml:space="preserve"> it is possible for participants to access SDA </w:t>
      </w:r>
      <w:r w:rsidRPr="0020182A">
        <w:t xml:space="preserve">funding </w:t>
      </w:r>
      <w:r w:rsidR="00036D8C" w:rsidRPr="0020182A">
        <w:t>for a home they own, but this requires them to register to become their own SDA provider. In practice, this option has only been successfully pursued by a handful of people.  The current SDA arrangements have been designed to attract investment for the construction of new stock.  Consideration could be given to w</w:t>
      </w:r>
      <w:r w:rsidR="00C40BAB" w:rsidRPr="0020182A">
        <w:t>he</w:t>
      </w:r>
      <w:r w:rsidR="00036D8C" w:rsidRPr="0020182A">
        <w:t>ther the current requirement to become a registered SDA provider, and the design of payments as an ongoing subsidy is the most effective way to support the additional cost of capital for participants who chose to build or buy their own home.</w:t>
      </w:r>
    </w:p>
    <w:p w:rsidR="00091980" w:rsidRPr="0020182A" w:rsidRDefault="00091980" w:rsidP="00091980">
      <w:pPr>
        <w:pStyle w:val="Heading3"/>
      </w:pPr>
      <w:r w:rsidRPr="0020182A">
        <w:t>2.</w:t>
      </w:r>
      <w:r w:rsidR="00AB24F3" w:rsidRPr="0020182A">
        <w:t xml:space="preserve"> </w:t>
      </w:r>
      <w:r w:rsidRPr="0020182A">
        <w:t xml:space="preserve"> Access</w:t>
      </w:r>
    </w:p>
    <w:p w:rsidR="00091980" w:rsidRPr="0020182A" w:rsidRDefault="00091980" w:rsidP="00091980">
      <w:r w:rsidRPr="0020182A">
        <w:t>In a demand-regulated market, rules and processes for determining eligibility for SDA are clear and transparent and consistently applied, and result in participants most in need and most likely to benefit gaining access to SDA</w:t>
      </w:r>
      <w:r w:rsidR="00827CCA" w:rsidRPr="0020182A">
        <w:t>.</w:t>
      </w:r>
      <w:r w:rsidRPr="0020182A">
        <w:t xml:space="preserve"> </w:t>
      </w:r>
    </w:p>
    <w:p w:rsidR="00091980" w:rsidRPr="0020182A" w:rsidRDefault="00091980" w:rsidP="00091980">
      <w:pPr>
        <w:pStyle w:val="BodyText1"/>
      </w:pPr>
      <w:r w:rsidRPr="0020182A">
        <w:t xml:space="preserve">Having clear and timely access to SDA through transparent and consistent processes is critical to ensuring participants who are eligible for SDA can access it. Providing participants with greater certainty around access processes and likely decisions will also contribute to ensuring expected demand is flowing into the market. </w:t>
      </w:r>
    </w:p>
    <w:p w:rsidR="00091980" w:rsidRPr="00106279" w:rsidRDefault="00091980" w:rsidP="00106279">
      <w:pPr>
        <w:pStyle w:val="BodyText2"/>
        <w:rPr>
          <w:b/>
          <w:sz w:val="24"/>
        </w:rPr>
      </w:pPr>
      <w:r w:rsidRPr="00106279">
        <w:rPr>
          <w:b/>
          <w:sz w:val="24"/>
        </w:rPr>
        <w:t>The process for confirming eligibility for SDA and having SDA funding including in a participant’s plan is complex and delaying access to SDA</w:t>
      </w:r>
    </w:p>
    <w:p w:rsidR="00091980" w:rsidRPr="0020182A" w:rsidRDefault="00091980" w:rsidP="00091980">
      <w:pPr>
        <w:pStyle w:val="BodyText1"/>
      </w:pPr>
      <w:r w:rsidRPr="0020182A">
        <w:t xml:space="preserve">Eligibility criteria are reasonably clearly established within the </w:t>
      </w:r>
      <w:r w:rsidR="00A50415" w:rsidRPr="0020182A">
        <w:t xml:space="preserve">SDA </w:t>
      </w:r>
      <w:r w:rsidRPr="0020182A">
        <w:t>Framework, with additional clarity provided in the SDA Rules. Part 3 of the SDA Framework establishes “for whom” SDA will be funded and “in what circumstances</w:t>
      </w:r>
      <w:r w:rsidR="00A50415" w:rsidRPr="0020182A">
        <w:t>”</w:t>
      </w:r>
      <w:r w:rsidRPr="0020182A">
        <w:t>. Sections 60 to 62 describe the circumstances of “participants for whom specialist disability accommodation is reasonable and necessary</w:t>
      </w:r>
      <w:r w:rsidR="00A50415" w:rsidRPr="0020182A">
        <w:t>”</w:t>
      </w:r>
      <w:r w:rsidRPr="0020182A">
        <w:t xml:space="preserve">. Section 3 prioritises young people in residential aged care and people already deemed eligible </w:t>
      </w:r>
      <w:r w:rsidR="00606E1C" w:rsidRPr="0020182A">
        <w:t xml:space="preserve">and on </w:t>
      </w:r>
      <w:r w:rsidRPr="0020182A">
        <w:t>existing waiting lists.</w:t>
      </w:r>
      <w:r w:rsidR="00757D84" w:rsidRPr="0020182A">
        <w:t xml:space="preserve"> </w:t>
      </w:r>
      <w:r w:rsidR="00FC1E59" w:rsidRPr="0020182A">
        <w:t>The</w:t>
      </w:r>
      <w:r w:rsidR="00757D84" w:rsidRPr="0020182A">
        <w:t xml:space="preserve"> SDA Framework</w:t>
      </w:r>
      <w:r w:rsidRPr="0020182A">
        <w:t xml:space="preserve"> provides further clarity around how each criteria can be established in sections 65 to 80. This includes physical requirements, diagnoses, economies of scale in shared arrangements, safety risks, informal supports and cost effectiveness. This is further expanded on in the Rules. </w:t>
      </w:r>
    </w:p>
    <w:p w:rsidR="00091980" w:rsidRPr="0020182A" w:rsidRDefault="008B39E1" w:rsidP="00091980">
      <w:pPr>
        <w:pStyle w:val="TableBullet1"/>
        <w:numPr>
          <w:ilvl w:val="0"/>
          <w:numId w:val="0"/>
        </w:numPr>
        <w:spacing w:before="60" w:after="60"/>
        <w:contextualSpacing w:val="0"/>
      </w:pPr>
      <w:r>
        <w:t>T</w:t>
      </w:r>
      <w:r w:rsidR="00091980" w:rsidRPr="0020182A">
        <w:t>he Review found that the process for confirming eligibility for SDA and having SDA funding including in a participant’s plan is complex, and this was creating delays in accessing SDA. There were a number of operational issues identified:</w:t>
      </w:r>
    </w:p>
    <w:p w:rsidR="00091980" w:rsidRPr="0020182A" w:rsidRDefault="006750B3" w:rsidP="00F32FA2">
      <w:pPr>
        <w:pStyle w:val="BodyText"/>
        <w:numPr>
          <w:ilvl w:val="0"/>
          <w:numId w:val="13"/>
        </w:numPr>
      </w:pPr>
      <w:r>
        <w:t>Under the Rules p</w:t>
      </w:r>
      <w:r w:rsidR="00A1325C" w:rsidRPr="0020182A">
        <w:t xml:space="preserve">articipants who are likely to be eligible for SDA are required to seek alternative housing options first, before SDA will be considered. The requirements to exhaust all other options in the immediate lead-up to an SDA request is time-consuming, and may ignore the fact that non-SDA options may not be a suitable or appropriate option for the participant or not take into </w:t>
      </w:r>
      <w:r w:rsidR="00A1325C" w:rsidRPr="0020182A">
        <w:lastRenderedPageBreak/>
        <w:t>consideration the participant’s and their family’s previous history of attempts to secure housing. This is particularly an issue at this early stage of the Scheme where there are limited SDA options available.</w:t>
      </w:r>
    </w:p>
    <w:p w:rsidR="00091980" w:rsidRPr="0020182A" w:rsidRDefault="00A50415" w:rsidP="00F32FA2">
      <w:pPr>
        <w:pStyle w:val="BodyText"/>
        <w:numPr>
          <w:ilvl w:val="0"/>
          <w:numId w:val="13"/>
        </w:numPr>
      </w:pPr>
      <w:r w:rsidRPr="0020182A">
        <w:t>W</w:t>
      </w:r>
      <w:r w:rsidR="00091980" w:rsidRPr="0020182A">
        <w:t>here participants are likely to be SDA-eligible, the process</w:t>
      </w:r>
      <w:r w:rsidR="006750B3">
        <w:t xml:space="preserve"> specified in the Rules</w:t>
      </w:r>
      <w:r w:rsidR="00091980" w:rsidRPr="0020182A">
        <w:t xml:space="preserve"> for confirming eligibility and securing SDA funding can be lengthy and unclear for participants. When a participant has found a suitable SDA placement appropriate for their needs, they must ask for an urgent review of their plan which will only then involve the assessment of the person’s suitability for SDA. Stakeholders engaged as part of this review stated that this can mean participants and their families are spending significant amounts of time on finding an SDA place for which they may not be found eligible for.</w:t>
      </w:r>
      <w:r w:rsidR="00945BC2" w:rsidRPr="0020182A">
        <w:t xml:space="preserve"> </w:t>
      </w:r>
      <w:r w:rsidR="00091980" w:rsidRPr="0020182A">
        <w:t xml:space="preserve"> </w:t>
      </w:r>
      <w:r w:rsidR="00A1325C" w:rsidRPr="0020182A">
        <w:t>Further, the NDIA’s review processes may take a number of months to reach a decision.</w:t>
      </w:r>
    </w:p>
    <w:p w:rsidR="00091980" w:rsidRPr="0020182A" w:rsidRDefault="00A1325C" w:rsidP="00F32FA2">
      <w:pPr>
        <w:pStyle w:val="ListParagraph"/>
        <w:numPr>
          <w:ilvl w:val="0"/>
          <w:numId w:val="13"/>
        </w:numPr>
      </w:pPr>
      <w:r w:rsidRPr="0020182A">
        <w:t>Evidentiary requirements for participants to confirm eligibility are considered by some participants and providers to be confusing and unclear, and in some cases participants are required to submit multiple revised applications as instructions or requirements change. The Review heard that support coordinators, LACs and planners are not necessarily equipped with the necessary guidance or expertise to guide participants in successfully navigating these requirements.</w:t>
      </w:r>
      <w:r w:rsidR="00091980" w:rsidRPr="0020182A">
        <w:t xml:space="preserve"> </w:t>
      </w:r>
    </w:p>
    <w:p w:rsidR="00A1325C" w:rsidRPr="0020182A" w:rsidRDefault="00A1325C" w:rsidP="00A1325C">
      <w:pPr>
        <w:pStyle w:val="BodyText1"/>
      </w:pPr>
      <w:r w:rsidRPr="0020182A">
        <w:t>Delays in eligibility decisions and securing plan review meetings</w:t>
      </w:r>
      <w:r w:rsidR="00877267">
        <w:t xml:space="preserve"> </w:t>
      </w:r>
      <w:r w:rsidRPr="0020182A">
        <w:t xml:space="preserve">means that participants who are or </w:t>
      </w:r>
      <w:r w:rsidR="0020731A" w:rsidRPr="0020182A">
        <w:t xml:space="preserve">are </w:t>
      </w:r>
      <w:r w:rsidRPr="0020182A">
        <w:t xml:space="preserve">very likely to be eligible for SDA are not necessarily visible to the market and is impacting on how demand is being expressed in the market. Further, these delays are also having an adverse effect on market confidence as providers have </w:t>
      </w:r>
      <w:r w:rsidR="0020731A" w:rsidRPr="0020182A">
        <w:t xml:space="preserve">little </w:t>
      </w:r>
      <w:r w:rsidRPr="0020182A">
        <w:t>visibility over expected demand (discussed in section 4.3)</w:t>
      </w:r>
      <w:r w:rsidR="0008328C">
        <w:t>. This is seen to be</w:t>
      </w:r>
      <w:r w:rsidRPr="0020182A">
        <w:t xml:space="preserve"> contributing to provider and investor </w:t>
      </w:r>
      <w:r w:rsidR="0008328C" w:rsidRPr="0020182A">
        <w:t>hesitanc</w:t>
      </w:r>
      <w:r w:rsidR="0008328C">
        <w:t>e</w:t>
      </w:r>
      <w:r w:rsidR="0008328C" w:rsidRPr="0020182A">
        <w:t xml:space="preserve"> </w:t>
      </w:r>
      <w:r w:rsidRPr="0020182A">
        <w:t>around SDA investment decisions.</w:t>
      </w:r>
    </w:p>
    <w:p w:rsidR="00091980" w:rsidRPr="0020182A" w:rsidRDefault="00A1325C" w:rsidP="00A1325C">
      <w:pPr>
        <w:pStyle w:val="BodyText1"/>
      </w:pPr>
      <w:r w:rsidRPr="0020182A">
        <w:t>One of the consequences of these issues and delays is that some participants continue to live in unsuitable circumstances - for example, young people remaining in nursing homes despite their transition being a priority.</w:t>
      </w:r>
    </w:p>
    <w:p w:rsidR="00091980" w:rsidRPr="0020182A" w:rsidRDefault="00091980" w:rsidP="00091980">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ritten submission and quote from people with disability families and carers roundtable"/>
        <w:tblDescription w:val="Written submission states: Surely a participant can be approved as eligible for SDA, then be free to choose where (they want to live) based on the price guide and their own circumstances…the general population go out looking for a home and make a choice along the way about where to live and what kind of home and may change their minds along the way.&#10;&#10;Quote is: &quot;Currently a lot of hurdles and we have to provide a lot of evidence that they are eligible for SDA. I have mountains of paperwork prepared but I don’t know if it’s what they want.” &#10;"/>
      </w:tblPr>
      <w:tblGrid>
        <w:gridCol w:w="8072"/>
      </w:tblGrid>
      <w:tr w:rsidR="00612CC4" w:rsidRPr="0020182A" w:rsidTr="00612CC4">
        <w:trPr>
          <w:tblHeader/>
        </w:trPr>
        <w:tc>
          <w:tcPr>
            <w:tcW w:w="8072" w:type="dxa"/>
          </w:tcPr>
          <w:p w:rsidR="00612CC4" w:rsidRPr="0020182A" w:rsidRDefault="00612CC4" w:rsidP="00413D7D">
            <w:pPr>
              <w:pStyle w:val="BodyText"/>
              <w:spacing w:before="0"/>
            </w:pPr>
            <w:r>
              <w:t>“</w:t>
            </w:r>
            <w:r w:rsidRPr="0020182A">
              <w:t>Surely a participant can be approved as eligible for SDA, then be free to choose where (they want to live) based on the price guide and their own circumstances…the general population go out looking for a home and make a choice along the way about where to live and what kind of home and may change their minds along the way</w:t>
            </w:r>
            <w:r>
              <w:t>.</w:t>
            </w:r>
            <w:r w:rsidRPr="0020182A">
              <w:t xml:space="preserve">” </w:t>
            </w:r>
          </w:p>
          <w:p w:rsidR="00612CC4" w:rsidRPr="0020182A" w:rsidRDefault="00612CC4" w:rsidP="00413D7D">
            <w:pPr>
              <w:pStyle w:val="BodyText"/>
              <w:spacing w:before="0"/>
              <w:jc w:val="right"/>
              <w:rPr>
                <w:sz w:val="16"/>
                <w:szCs w:val="16"/>
              </w:rPr>
            </w:pPr>
            <w:r w:rsidRPr="0020182A">
              <w:rPr>
                <w:sz w:val="16"/>
                <w:szCs w:val="16"/>
              </w:rPr>
              <w:t xml:space="preserve"> – Written submission</w:t>
            </w:r>
          </w:p>
        </w:tc>
      </w:tr>
      <w:tr w:rsidR="00612CC4" w:rsidRPr="0020182A" w:rsidTr="00612CC4">
        <w:trPr>
          <w:tblHeader/>
        </w:trPr>
        <w:tc>
          <w:tcPr>
            <w:tcW w:w="8072" w:type="dxa"/>
          </w:tcPr>
          <w:p w:rsidR="00612CC4" w:rsidRPr="0020182A" w:rsidRDefault="00612CC4" w:rsidP="00413D7D">
            <w:pPr>
              <w:pStyle w:val="BodyText"/>
              <w:spacing w:before="0"/>
            </w:pPr>
            <w:r>
              <w:t>“</w:t>
            </w:r>
            <w:r w:rsidRPr="0020182A">
              <w:t xml:space="preserve">Currently a lot of hurdles and we have to provide a lot of evidence that they are eligible for SDA. I have mountains of paperwork prepared but I don’t know if it’s what they want.” </w:t>
            </w:r>
          </w:p>
          <w:p w:rsidR="00612CC4" w:rsidRPr="0020182A" w:rsidRDefault="00612CC4" w:rsidP="00413D7D">
            <w:pPr>
              <w:pStyle w:val="BodyText"/>
              <w:spacing w:before="0"/>
              <w:jc w:val="right"/>
              <w:rPr>
                <w:sz w:val="16"/>
                <w:szCs w:val="16"/>
              </w:rPr>
            </w:pPr>
            <w:r w:rsidRPr="0020182A">
              <w:rPr>
                <w:sz w:val="16"/>
                <w:szCs w:val="16"/>
              </w:rPr>
              <w:t xml:space="preserve"> – People with disability, families and carers Roundtable</w:t>
            </w:r>
          </w:p>
        </w:tc>
      </w:tr>
    </w:tbl>
    <w:p w:rsidR="00091980" w:rsidRPr="0020182A" w:rsidRDefault="00091980" w:rsidP="00091980">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ote rfom people with disabiity, families and carers roundtable"/>
        <w:tblDescription w:val="Quote is &quot;Currently housing needs to be built before SDA approval in the plan – however SDA planning should occur first to allow the developer to develop tailored properties. The risk is too large for them to invest without the guarantee of residents and rents. This is especially true where they may make the higher investment of building high physical support homes that have additional build costs.” &#10;"/>
      </w:tblPr>
      <w:tblGrid>
        <w:gridCol w:w="8072"/>
      </w:tblGrid>
      <w:tr w:rsidR="00612CC4" w:rsidRPr="0020182A" w:rsidTr="00612CC4">
        <w:trPr>
          <w:tblHeader/>
        </w:trPr>
        <w:tc>
          <w:tcPr>
            <w:tcW w:w="8072" w:type="dxa"/>
          </w:tcPr>
          <w:p w:rsidR="00612CC4" w:rsidRPr="0020182A" w:rsidRDefault="00612CC4" w:rsidP="00413D7D">
            <w:pPr>
              <w:pStyle w:val="BodyText"/>
              <w:spacing w:before="0"/>
            </w:pPr>
            <w:r w:rsidRPr="0020182A">
              <w:t xml:space="preserve">Currently housing needs to be built before SDA approval in the plan – however SDA planning should occur first to allow the developer to develop tailored properties. The risk is too large for them to invest without the guarantee of residents and rents. This is especially true where they may make the higher investment of building high physical support homes that have additional build costs.” </w:t>
            </w:r>
          </w:p>
          <w:p w:rsidR="00612CC4" w:rsidRPr="0020182A" w:rsidRDefault="00612CC4" w:rsidP="00413D7D">
            <w:pPr>
              <w:pStyle w:val="BodyText"/>
              <w:spacing w:before="0"/>
              <w:jc w:val="right"/>
              <w:rPr>
                <w:sz w:val="16"/>
                <w:szCs w:val="16"/>
              </w:rPr>
            </w:pPr>
            <w:r w:rsidRPr="0020182A">
              <w:rPr>
                <w:sz w:val="16"/>
                <w:szCs w:val="16"/>
              </w:rPr>
              <w:t xml:space="preserve"> – People with disability, families and carers Roundtable</w:t>
            </w:r>
          </w:p>
        </w:tc>
      </w:tr>
    </w:tbl>
    <w:p w:rsidR="00091980" w:rsidRPr="0020182A" w:rsidRDefault="00091980" w:rsidP="00091980">
      <w:pPr>
        <w:pStyle w:val="BodyText"/>
      </w:pPr>
    </w:p>
    <w:p w:rsidR="00091980" w:rsidRPr="0020182A" w:rsidRDefault="00091980" w:rsidP="00091980">
      <w:pPr>
        <w:pStyle w:val="Heading3"/>
      </w:pPr>
      <w:r w:rsidRPr="0020182A">
        <w:t>3.  Information</w:t>
      </w:r>
    </w:p>
    <w:p w:rsidR="00091980" w:rsidRPr="0020182A" w:rsidRDefault="00091980" w:rsidP="00091980">
      <w:r w:rsidRPr="0020182A">
        <w:t>In a well-functioning market, participants have access to sufficient information on SDA supply and availability to enable them to exercise choice and control</w:t>
      </w:r>
      <w:r w:rsidR="00E868D0">
        <w:t>.</w:t>
      </w:r>
    </w:p>
    <w:p w:rsidR="00091980" w:rsidRPr="0020182A" w:rsidRDefault="00091980" w:rsidP="00606E1C">
      <w:r w:rsidRPr="0020182A">
        <w:t>Access to information about potential vacancies and</w:t>
      </w:r>
      <w:r w:rsidR="009A016F">
        <w:t>/</w:t>
      </w:r>
      <w:r w:rsidRPr="0020182A">
        <w:t>or new SDA options, together with clear access processes and decisions, will ultimately provide participants with true purchasing power in the market. Armed with a clear decision about their eligibility and funding envelope</w:t>
      </w:r>
      <w:r w:rsidR="002839B9" w:rsidRPr="0020182A">
        <w:t>,</w:t>
      </w:r>
      <w:r w:rsidRPr="0020182A">
        <w:t xml:space="preserve"> participants will be able to</w:t>
      </w:r>
      <w:r w:rsidR="009A016F">
        <w:t>:</w:t>
      </w:r>
      <w:r w:rsidRPr="0020182A">
        <w:t xml:space="preserve"> approach the market through identified channels linking them to potential providers</w:t>
      </w:r>
      <w:r w:rsidR="009A016F">
        <w:t>;</w:t>
      </w:r>
      <w:r w:rsidR="00606E1C" w:rsidRPr="0020182A">
        <w:t xml:space="preserve"> </w:t>
      </w:r>
      <w:r w:rsidRPr="0020182A">
        <w:t>explore their options</w:t>
      </w:r>
      <w:r w:rsidR="009A016F">
        <w:t>;</w:t>
      </w:r>
      <w:r w:rsidRPr="0020182A">
        <w:t xml:space="preserve"> and enter into discussions and negotiations with potential providers. They will be able to make decisions about the area in which they want to live and the people they </w:t>
      </w:r>
      <w:r w:rsidR="00606E1C" w:rsidRPr="0020182A">
        <w:t xml:space="preserve">want </w:t>
      </w:r>
      <w:r w:rsidRPr="0020182A">
        <w:t>to live with.</w:t>
      </w:r>
    </w:p>
    <w:p w:rsidR="00091980" w:rsidRPr="00106279" w:rsidRDefault="00091980" w:rsidP="00106279">
      <w:pPr>
        <w:pStyle w:val="BodyText2"/>
        <w:rPr>
          <w:b/>
          <w:noProof/>
          <w:sz w:val="24"/>
          <w:lang w:eastAsia="en-AU"/>
        </w:rPr>
      </w:pPr>
      <w:r w:rsidRPr="00106279">
        <w:rPr>
          <w:b/>
          <w:noProof/>
          <w:sz w:val="24"/>
          <w:lang w:eastAsia="en-AU"/>
        </w:rPr>
        <w:lastRenderedPageBreak/>
        <w:t xml:space="preserve">There is little information for participants on SDA dwellings and SDA vancancies, and participants and their families find it difficult to find and connect with SDA providers </w:t>
      </w:r>
    </w:p>
    <w:p w:rsidR="000967AC" w:rsidRPr="0020182A" w:rsidRDefault="000967AC" w:rsidP="000967AC">
      <w:pPr>
        <w:pStyle w:val="BodyText1"/>
        <w:rPr>
          <w:noProof/>
          <w:lang w:eastAsia="en-AU"/>
        </w:rPr>
      </w:pPr>
      <w:r w:rsidRPr="0020182A">
        <w:rPr>
          <w:noProof/>
          <w:lang w:eastAsia="en-AU"/>
        </w:rPr>
        <w:t>The Review found that there is little information for participants on SDA dwellings and SDA vacancies, and as such participants and their families</w:t>
      </w:r>
      <w:r w:rsidR="009A016F">
        <w:rPr>
          <w:noProof/>
          <w:lang w:eastAsia="en-AU"/>
        </w:rPr>
        <w:t xml:space="preserve"> as well as </w:t>
      </w:r>
      <w:r w:rsidRPr="0020182A">
        <w:rPr>
          <w:noProof/>
          <w:lang w:eastAsia="en-AU"/>
        </w:rPr>
        <w:t xml:space="preserve">support coordinators, find it difficult to find and connect with SDA providers </w:t>
      </w:r>
      <w:r w:rsidR="009A016F">
        <w:rPr>
          <w:noProof/>
          <w:lang w:eastAsia="en-AU"/>
        </w:rPr>
        <w:t>that have</w:t>
      </w:r>
      <w:r w:rsidRPr="0020182A">
        <w:rPr>
          <w:noProof/>
          <w:lang w:eastAsia="en-AU"/>
        </w:rPr>
        <w:t xml:space="preserve"> vacancies. </w:t>
      </w:r>
      <w:r w:rsidR="009A016F">
        <w:rPr>
          <w:noProof/>
          <w:lang w:eastAsia="en-AU"/>
        </w:rPr>
        <w:t>T</w:t>
      </w:r>
      <w:r w:rsidRPr="0020182A">
        <w:rPr>
          <w:noProof/>
          <w:lang w:eastAsia="en-AU"/>
        </w:rPr>
        <w:t xml:space="preserve">he Review found that there are some emerging intitiaitves that are providing </w:t>
      </w:r>
      <w:r w:rsidR="00606E1C" w:rsidRPr="0020182A">
        <w:rPr>
          <w:noProof/>
          <w:lang w:eastAsia="en-AU"/>
        </w:rPr>
        <w:t xml:space="preserve">online </w:t>
      </w:r>
      <w:r w:rsidRPr="0020182A">
        <w:rPr>
          <w:noProof/>
          <w:lang w:eastAsia="en-AU"/>
        </w:rPr>
        <w:t>information about existing SDA dwellings</w:t>
      </w:r>
      <w:r w:rsidR="00606E1C" w:rsidRPr="0020182A">
        <w:rPr>
          <w:noProof/>
          <w:lang w:eastAsia="en-AU"/>
        </w:rPr>
        <w:t xml:space="preserve"> </w:t>
      </w:r>
      <w:r w:rsidRPr="0020182A">
        <w:rPr>
          <w:noProof/>
          <w:lang w:eastAsia="en-AU"/>
        </w:rPr>
        <w:t xml:space="preserve">– for example the ‘Nest’ </w:t>
      </w:r>
      <w:hyperlink r:id="rId53" w:history="1">
        <w:r w:rsidRPr="0020182A">
          <w:rPr>
            <w:rStyle w:val="Hyperlink"/>
            <w:noProof/>
            <w:sz w:val="20"/>
            <w:lang w:eastAsia="en-AU"/>
          </w:rPr>
          <w:t>gonest.com.au,</w:t>
        </w:r>
      </w:hyperlink>
      <w:r w:rsidRPr="0020182A">
        <w:rPr>
          <w:noProof/>
          <w:lang w:eastAsia="en-AU"/>
        </w:rPr>
        <w:t xml:space="preserve"> Housing Hub </w:t>
      </w:r>
      <w:hyperlink r:id="rId54" w:history="1">
        <w:r w:rsidRPr="0020182A">
          <w:rPr>
            <w:rStyle w:val="Hyperlink"/>
            <w:noProof/>
            <w:sz w:val="20"/>
            <w:lang w:eastAsia="en-AU"/>
          </w:rPr>
          <w:t>thehousinghub.org.au</w:t>
        </w:r>
      </w:hyperlink>
      <w:r w:rsidRPr="0020182A">
        <w:rPr>
          <w:noProof/>
          <w:lang w:eastAsia="en-AU"/>
        </w:rPr>
        <w:t xml:space="preserve"> and Disabiltiy Housing websites </w:t>
      </w:r>
      <w:hyperlink r:id="rId55" w:history="1">
        <w:r w:rsidRPr="0020182A">
          <w:rPr>
            <w:rStyle w:val="Hyperlink"/>
            <w:noProof/>
            <w:sz w:val="20"/>
            <w:lang w:eastAsia="en-AU"/>
          </w:rPr>
          <w:t>disabilityhousing.com.au</w:t>
        </w:r>
      </w:hyperlink>
      <w:r w:rsidR="00606E1C" w:rsidRPr="0020182A">
        <w:rPr>
          <w:noProof/>
          <w:lang w:eastAsia="en-AU"/>
        </w:rPr>
        <w:t xml:space="preserve"> – </w:t>
      </w:r>
      <w:r w:rsidRPr="0020182A">
        <w:rPr>
          <w:noProof/>
          <w:lang w:eastAsia="en-AU"/>
        </w:rPr>
        <w:t xml:space="preserve">where people with disability can find suitable housing that meets their support and funding requirements. </w:t>
      </w:r>
    </w:p>
    <w:p w:rsidR="00A1325C" w:rsidRPr="0020182A" w:rsidRDefault="00A1325C" w:rsidP="00A1325C">
      <w:pPr>
        <w:pStyle w:val="BodyText1"/>
        <w:rPr>
          <w:noProof/>
          <w:lang w:eastAsia="en-AU"/>
        </w:rPr>
      </w:pPr>
      <w:r w:rsidRPr="0020182A">
        <w:rPr>
          <w:noProof/>
          <w:lang w:eastAsia="en-AU"/>
        </w:rPr>
        <w:t>Participants and families also have access to the NDIA Provider Registration spreadsheet, which can be filtered by provider type to locate providers delivering a particular service type, including SDA. This does</w:t>
      </w:r>
      <w:r w:rsidR="009A016F">
        <w:rPr>
          <w:noProof/>
          <w:lang w:eastAsia="en-AU"/>
        </w:rPr>
        <w:t xml:space="preserve"> not </w:t>
      </w:r>
      <w:r w:rsidRPr="0020182A">
        <w:rPr>
          <w:noProof/>
          <w:lang w:eastAsia="en-AU"/>
        </w:rPr>
        <w:t xml:space="preserve">assist in identifying which providers are actively delivering or planning SDA, </w:t>
      </w:r>
      <w:r w:rsidR="009A016F">
        <w:rPr>
          <w:noProof/>
          <w:lang w:eastAsia="en-AU"/>
        </w:rPr>
        <w:t>n</w:t>
      </w:r>
      <w:r w:rsidRPr="0020182A">
        <w:rPr>
          <w:noProof/>
          <w:lang w:eastAsia="en-AU"/>
        </w:rPr>
        <w:t xml:space="preserve">or </w:t>
      </w:r>
      <w:r w:rsidR="009A016F">
        <w:rPr>
          <w:noProof/>
          <w:lang w:eastAsia="en-AU"/>
        </w:rPr>
        <w:t xml:space="preserve">does it provide </w:t>
      </w:r>
      <w:r w:rsidRPr="0020182A">
        <w:rPr>
          <w:noProof/>
          <w:lang w:eastAsia="en-AU"/>
        </w:rPr>
        <w:t xml:space="preserve">vacancy information. While this Review did not consider the planning and support coordination process at an operational level, information </w:t>
      </w:r>
      <w:r w:rsidR="00606E1C" w:rsidRPr="0020182A">
        <w:rPr>
          <w:noProof/>
          <w:lang w:eastAsia="en-AU"/>
        </w:rPr>
        <w:t xml:space="preserve">gathered </w:t>
      </w:r>
      <w:r w:rsidRPr="0020182A">
        <w:rPr>
          <w:noProof/>
          <w:lang w:eastAsia="en-AU"/>
        </w:rPr>
        <w:t>from consultation</w:t>
      </w:r>
      <w:r w:rsidR="00606E1C" w:rsidRPr="0020182A">
        <w:rPr>
          <w:noProof/>
          <w:lang w:eastAsia="en-AU"/>
        </w:rPr>
        <w:t>s conducted as part of this Review</w:t>
      </w:r>
      <w:r w:rsidRPr="0020182A">
        <w:rPr>
          <w:noProof/>
          <w:lang w:eastAsia="en-AU"/>
        </w:rPr>
        <w:t xml:space="preserve"> indicated that some information was available through the coordination of supports, but that intermediaries required access to more accurate, up-to-date data as part of this process.</w:t>
      </w:r>
    </w:p>
    <w:p w:rsidR="00725B07" w:rsidRPr="0020182A" w:rsidRDefault="00A1325C" w:rsidP="00A1325C">
      <w:pPr>
        <w:pStyle w:val="BodyText1"/>
        <w:rPr>
          <w:noProof/>
          <w:lang w:eastAsia="en-AU"/>
        </w:rPr>
      </w:pPr>
      <w:r w:rsidRPr="0020182A">
        <w:rPr>
          <w:noProof/>
          <w:lang w:eastAsia="en-AU"/>
        </w:rPr>
        <w:t>The release of information from the NDIA on newly approved and planned dwellings, combined with vacancy information from providers, would greatly improve the utility of emerging web-applications and provide participants and families with the information they need to consider options and make decisions about providers and placements.</w:t>
      </w:r>
    </w:p>
    <w:p w:rsidR="00091980" w:rsidRPr="0020182A" w:rsidRDefault="00091980" w:rsidP="00091980">
      <w:pPr>
        <w:pStyle w:val="Heading3"/>
      </w:pPr>
      <w:r w:rsidRPr="0020182A">
        <w:t>SDA market maturity:</w:t>
      </w:r>
      <w:r w:rsidR="00945BC2" w:rsidRPr="0020182A">
        <w:t xml:space="preserve"> </w:t>
      </w:r>
      <w:r w:rsidRPr="0020182A">
        <w:t xml:space="preserve">Demand </w:t>
      </w:r>
    </w:p>
    <w:p w:rsidR="00091980" w:rsidRPr="0020182A" w:rsidRDefault="00091980" w:rsidP="00091980">
      <w:r w:rsidRPr="0020182A">
        <w:t>The table below provides an overview of the current state of the SDA market in relation to key demand market elements discussed above</w:t>
      </w:r>
    </w:p>
    <w:p w:rsidR="00091980" w:rsidRPr="0020182A" w:rsidRDefault="00091980" w:rsidP="00091980">
      <w:pPr>
        <w:pStyle w:val="Caption"/>
        <w:keepNext/>
      </w:pPr>
      <w:r w:rsidRPr="0020182A">
        <w:lastRenderedPageBreak/>
        <w:t xml:space="preserve">Table </w:t>
      </w:r>
      <w:r w:rsidRPr="0020182A">
        <w:rPr>
          <w:noProof/>
        </w:rPr>
        <w:fldChar w:fldCharType="begin"/>
      </w:r>
      <w:r w:rsidRPr="0020182A">
        <w:rPr>
          <w:noProof/>
        </w:rPr>
        <w:instrText xml:space="preserve"> SEQ Table \* ARABIC </w:instrText>
      </w:r>
      <w:r w:rsidRPr="0020182A">
        <w:rPr>
          <w:noProof/>
        </w:rPr>
        <w:fldChar w:fldCharType="separate"/>
      </w:r>
      <w:r w:rsidR="00502D19">
        <w:rPr>
          <w:noProof/>
        </w:rPr>
        <w:t>3</w:t>
      </w:r>
      <w:r w:rsidRPr="0020182A">
        <w:rPr>
          <w:noProof/>
        </w:rPr>
        <w:fldChar w:fldCharType="end"/>
      </w:r>
      <w:r w:rsidRPr="0020182A">
        <w:t xml:space="preserve"> Assessment of current level of maturity of the SDA market in relation to demand elements</w:t>
      </w:r>
    </w:p>
    <w:tbl>
      <w:tblPr>
        <w:tblStyle w:val="TableGrid"/>
        <w:tblW w:w="8075" w:type="dxa"/>
        <w:tblInd w:w="-5" w:type="dxa"/>
        <w:tblBorders>
          <w:top w:val="single" w:sz="4" w:space="0" w:color="0091DA" w:themeColor="accent2"/>
          <w:left w:val="none" w:sz="0" w:space="0" w:color="auto"/>
          <w:bottom w:val="single" w:sz="4" w:space="0" w:color="0091DA" w:themeColor="accent2"/>
          <w:right w:val="none" w:sz="0" w:space="0" w:color="auto"/>
          <w:insideH w:val="single" w:sz="4" w:space="0" w:color="0091DA" w:themeColor="accent2"/>
          <w:insideV w:val="none" w:sz="0" w:space="0" w:color="auto"/>
        </w:tblBorders>
        <w:tblLook w:val="04A0" w:firstRow="1" w:lastRow="0" w:firstColumn="1" w:lastColumn="0" w:noHBand="0" w:noVBand="1"/>
        <w:tblCaption w:val="Table 3: Assessment of current level of maturity of the SDA market in relation to demand elements"/>
        <w:tblDescription w:val="Assessment of curernt level of maturity of the SDA market in relation to the demand elements: consumer choice, access and information."/>
      </w:tblPr>
      <w:tblGrid>
        <w:gridCol w:w="8075"/>
      </w:tblGrid>
      <w:tr w:rsidR="003D0F4D" w:rsidRPr="0020182A" w:rsidTr="003D0F4D">
        <w:trPr>
          <w:trHeight w:val="1402"/>
          <w:tblHeader/>
        </w:trPr>
        <w:tc>
          <w:tcPr>
            <w:tcW w:w="8075" w:type="dxa"/>
          </w:tcPr>
          <w:p w:rsidR="003D0F4D" w:rsidRPr="0020182A" w:rsidRDefault="003D0F4D" w:rsidP="00413D7D">
            <w:pPr>
              <w:rPr>
                <w:i/>
                <w:color w:val="0091DA" w:themeColor="accent2"/>
              </w:rPr>
            </w:pPr>
            <w:r w:rsidRPr="0020182A">
              <w:rPr>
                <w:b/>
                <w:i/>
                <w:color w:val="0091DA" w:themeColor="accent2"/>
              </w:rPr>
              <w:t>Consumer choice</w:t>
            </w:r>
            <w:r w:rsidRPr="0020182A">
              <w:rPr>
                <w:i/>
                <w:color w:val="0091DA" w:themeColor="accent2"/>
              </w:rPr>
              <w:t xml:space="preserve">: </w:t>
            </w:r>
          </w:p>
          <w:p w:rsidR="003D0F4D" w:rsidRPr="0020182A" w:rsidRDefault="003D0F4D" w:rsidP="00B32194">
            <w:pPr>
              <w:pStyle w:val="Heading5"/>
              <w:outlineLvl w:val="4"/>
            </w:pPr>
            <w:r w:rsidRPr="0020182A">
              <w:t>In a well-functioning SDA market, participants should be able to express their preferences to the market and influence the development and provision of SDA which meets their preferences, consistent with the notion</w:t>
            </w:r>
            <w:r>
              <w:t>s</w:t>
            </w:r>
            <w:r w:rsidRPr="0020182A">
              <w:t xml:space="preserve"> of choice and control</w:t>
            </w:r>
            <w:r>
              <w:t xml:space="preserve"> and reasonable and necessary supports</w:t>
            </w:r>
          </w:p>
          <w:p w:rsidR="003D0F4D" w:rsidRPr="0020182A" w:rsidRDefault="003D0F4D" w:rsidP="00B32194">
            <w:pPr>
              <w:pStyle w:val="TableBullet1"/>
              <w:numPr>
                <w:ilvl w:val="0"/>
                <w:numId w:val="0"/>
              </w:numPr>
              <w:spacing w:before="80" w:after="80"/>
              <w:contextualSpacing w:val="0"/>
              <w:rPr>
                <w:rFonts w:cs="Arial"/>
                <w:szCs w:val="20"/>
              </w:rPr>
            </w:pPr>
            <w:r w:rsidRPr="0020182A">
              <w:rPr>
                <w:rFonts w:cs="Arial"/>
                <w:szCs w:val="20"/>
              </w:rPr>
              <w:t>The concept of choice is articulated at a theoretical level in the SDA Framework</w:t>
            </w:r>
            <w:r>
              <w:rPr>
                <w:rFonts w:cs="Arial"/>
                <w:szCs w:val="20"/>
              </w:rPr>
              <w:t>. T</w:t>
            </w:r>
            <w:r w:rsidRPr="0020182A">
              <w:rPr>
                <w:rFonts w:cs="Arial"/>
                <w:szCs w:val="20"/>
              </w:rPr>
              <w:t>he SDA Framework provides guidance to balance choice with reasonable and necessary requirements and cost effectiveness.  However, in practice participants eligible for SDA, and in particular those who are not already living in an existing SDA property, have limited choice due to a lack of SDA dwellings and vacancies.  Further, the Rules mean that the SDA participant planning process is relatively complex, and does not facilitate a discussion about options and possible funding trade-offs in decisions around SDA and other supports.</w:t>
            </w:r>
          </w:p>
          <w:p w:rsidR="003D0F4D" w:rsidRPr="0020182A" w:rsidRDefault="003D0F4D" w:rsidP="00B32194">
            <w:pPr>
              <w:pStyle w:val="TableBullet1"/>
              <w:numPr>
                <w:ilvl w:val="0"/>
                <w:numId w:val="0"/>
              </w:numPr>
              <w:spacing w:before="120" w:after="80"/>
              <w:contextualSpacing w:val="0"/>
              <w:rPr>
                <w:rFonts w:cs="Arial"/>
                <w:szCs w:val="20"/>
              </w:rPr>
            </w:pPr>
            <w:r w:rsidRPr="0020182A">
              <w:rPr>
                <w:rFonts w:cs="Arial"/>
                <w:szCs w:val="20"/>
              </w:rPr>
              <w:t>The SDA Framework</w:t>
            </w:r>
            <w:r>
              <w:rPr>
                <w:rFonts w:cs="Arial"/>
                <w:szCs w:val="20"/>
              </w:rPr>
              <w:t xml:space="preserve"> and</w:t>
            </w:r>
            <w:r w:rsidRPr="0020182A">
              <w:rPr>
                <w:rFonts w:cs="Arial"/>
                <w:szCs w:val="20"/>
              </w:rPr>
              <w:t xml:space="preserve"> Rules do not fully consider the range of preferences being expressed by participants in relation to their living arrangements, and the market has not yet responded to the range of participant preferences.  At this stage of market development, there is still a predominance of the group home model, reflecting the fact that most existing and legacy stock are group homes.  </w:t>
            </w:r>
            <w:r>
              <w:rPr>
                <w:rFonts w:cs="Arial"/>
                <w:szCs w:val="20"/>
              </w:rPr>
              <w:t>I</w:t>
            </w:r>
            <w:r w:rsidRPr="0020182A">
              <w:rPr>
                <w:rFonts w:cs="Arial"/>
                <w:szCs w:val="20"/>
              </w:rPr>
              <w:t xml:space="preserve">t is expected that the market will respond over time to meet a broader range of participant preferences, </w:t>
            </w:r>
            <w:r>
              <w:rPr>
                <w:rFonts w:cs="Arial"/>
                <w:szCs w:val="20"/>
              </w:rPr>
              <w:t xml:space="preserve">and </w:t>
            </w:r>
            <w:r w:rsidRPr="0020182A">
              <w:rPr>
                <w:rFonts w:cs="Arial"/>
                <w:szCs w:val="20"/>
              </w:rPr>
              <w:t>there is some early evidence that the</w:t>
            </w:r>
            <w:r>
              <w:rPr>
                <w:rFonts w:cs="Arial"/>
                <w:szCs w:val="20"/>
              </w:rPr>
              <w:t>re</w:t>
            </w:r>
            <w:r w:rsidRPr="0020182A">
              <w:rPr>
                <w:rFonts w:cs="Arial"/>
                <w:szCs w:val="20"/>
              </w:rPr>
              <w:t xml:space="preserve"> </w:t>
            </w:r>
            <w:r>
              <w:rPr>
                <w:rFonts w:cs="Arial"/>
                <w:szCs w:val="20"/>
              </w:rPr>
              <w:t xml:space="preserve">have been a number of new, smaller SDA dwellings (1-3 residents) enrolled.  </w:t>
            </w:r>
          </w:p>
          <w:p w:rsidR="003D0F4D" w:rsidRPr="0020182A" w:rsidRDefault="003D0F4D" w:rsidP="00152ADE">
            <w:pPr>
              <w:rPr>
                <w:rFonts w:cs="Arial"/>
                <w:szCs w:val="20"/>
              </w:rPr>
            </w:pPr>
            <w:r w:rsidRPr="0020182A">
              <w:rPr>
                <w:rFonts w:cs="Arial"/>
                <w:szCs w:val="20"/>
              </w:rPr>
              <w:t>Further, some participants would like to live alone or with people without disability (such as partners, family</w:t>
            </w:r>
            <w:r>
              <w:rPr>
                <w:rFonts w:cs="Arial"/>
                <w:szCs w:val="20"/>
              </w:rPr>
              <w:t xml:space="preserve"> or friends)</w:t>
            </w:r>
            <w:r w:rsidRPr="0020182A">
              <w:rPr>
                <w:rFonts w:cs="Arial"/>
                <w:szCs w:val="20"/>
              </w:rPr>
              <w:t>.  Despite early market interest and activity in developing single-person SDA dwellings</w:t>
            </w:r>
            <w:r>
              <w:rPr>
                <w:rFonts w:cs="Arial"/>
                <w:szCs w:val="20"/>
              </w:rPr>
              <w:t xml:space="preserve">, </w:t>
            </w:r>
            <w:r>
              <w:t xml:space="preserve">that the Rules state that the ability for a participant to live alone is determined by their support need (4.4, 4.6(d), 4.7 refer),and there have been subsequent </w:t>
            </w:r>
            <w:r w:rsidRPr="0020182A">
              <w:rPr>
                <w:rFonts w:cs="Arial"/>
                <w:szCs w:val="20"/>
              </w:rPr>
              <w:t>signals from the NDIA that only a limited number of SDA-eligible participants will be able to live alone</w:t>
            </w:r>
            <w:r>
              <w:rPr>
                <w:rFonts w:cs="Arial"/>
                <w:szCs w:val="20"/>
              </w:rPr>
              <w:t>.  P</w:t>
            </w:r>
            <w:r w:rsidRPr="0020182A">
              <w:rPr>
                <w:rFonts w:cs="Arial"/>
                <w:szCs w:val="20"/>
              </w:rPr>
              <w:t>ricing arrangements mean that the market has shown little interest to date in developing SDA dwellings which can accommodate both SDA-eligible participants and others without disability given the lower returns this will generate.</w:t>
            </w:r>
          </w:p>
        </w:tc>
      </w:tr>
      <w:tr w:rsidR="003D0F4D" w:rsidRPr="0020182A" w:rsidTr="003D0F4D">
        <w:tc>
          <w:tcPr>
            <w:tcW w:w="8075" w:type="dxa"/>
          </w:tcPr>
          <w:p w:rsidR="003D0F4D" w:rsidRPr="0020182A" w:rsidRDefault="003D0F4D" w:rsidP="00413D7D">
            <w:pPr>
              <w:rPr>
                <w:i/>
                <w:color w:val="0091DA" w:themeColor="accent2"/>
              </w:rPr>
            </w:pPr>
            <w:r w:rsidRPr="0020182A">
              <w:rPr>
                <w:b/>
                <w:i/>
                <w:color w:val="0091DA" w:themeColor="accent2"/>
              </w:rPr>
              <w:t>Access</w:t>
            </w:r>
            <w:r w:rsidRPr="0020182A">
              <w:rPr>
                <w:i/>
                <w:color w:val="0091DA" w:themeColor="accent2"/>
              </w:rPr>
              <w:t xml:space="preserve">: </w:t>
            </w:r>
          </w:p>
          <w:p w:rsidR="003D0F4D" w:rsidRPr="00DD5D11" w:rsidRDefault="003D0F4D" w:rsidP="007942B3">
            <w:pPr>
              <w:pStyle w:val="Heading5"/>
              <w:numPr>
                <w:ilvl w:val="0"/>
                <w:numId w:val="0"/>
              </w:numPr>
              <w:spacing w:before="80" w:after="80"/>
              <w:outlineLvl w:val="4"/>
              <w:rPr>
                <w:rFonts w:cs="Arial"/>
                <w:szCs w:val="20"/>
              </w:rPr>
            </w:pPr>
            <w:r w:rsidRPr="0020182A">
              <w:t>In a well-functioning, demand-regulated SDA market, rules and processes for determining eligibility for SDA should be clear and transparent and consistently applied, and result in participants most in need and most likely to benefit gaining access to SDA</w:t>
            </w:r>
            <w:r w:rsidRPr="00DD5D11">
              <w:rPr>
                <w:rFonts w:cs="Arial"/>
                <w:szCs w:val="20"/>
              </w:rPr>
              <w:t xml:space="preserve">The process for confirming eligibility for SDA and having SDA funding including in a participant’s plan is complex and delaying access to SDA. </w:t>
            </w:r>
          </w:p>
          <w:p w:rsidR="003D0F4D" w:rsidRPr="0020182A" w:rsidRDefault="003D0F4D" w:rsidP="00B32194">
            <w:pPr>
              <w:pStyle w:val="BodyText1"/>
              <w:rPr>
                <w:rFonts w:cs="Arial"/>
                <w:szCs w:val="20"/>
              </w:rPr>
            </w:pPr>
            <w:r w:rsidRPr="0020182A">
              <w:t xml:space="preserve">Eligibility criteria are clearly established within the SDA Framework, with additional clarity provided in the SDA Rules. </w:t>
            </w:r>
            <w:r>
              <w:t>T</w:t>
            </w:r>
            <w:r w:rsidRPr="0020182A">
              <w:t xml:space="preserve">he Review found that the process for confirming eligibility for SDA and having SDA funding including in a participant’s plan is complex, and this was creating delays in accessing SDA. </w:t>
            </w:r>
            <w:r w:rsidRPr="0020182A">
              <w:rPr>
                <w:rFonts w:cs="Arial"/>
                <w:szCs w:val="20"/>
              </w:rPr>
              <w:t xml:space="preserve"> </w:t>
            </w:r>
          </w:p>
          <w:p w:rsidR="003D0F4D" w:rsidRPr="0020182A" w:rsidRDefault="003D0F4D" w:rsidP="00A1325C">
            <w:pPr>
              <w:pStyle w:val="Heading5"/>
              <w:outlineLvl w:val="4"/>
              <w:rPr>
                <w:color w:val="auto"/>
              </w:rPr>
            </w:pPr>
            <w:r w:rsidRPr="0020182A">
              <w:rPr>
                <w:color w:val="auto"/>
              </w:rPr>
              <w:t xml:space="preserve">In particular, there is </w:t>
            </w:r>
            <w:r>
              <w:rPr>
                <w:color w:val="auto"/>
              </w:rPr>
              <w:t xml:space="preserve">a </w:t>
            </w:r>
            <w:r w:rsidRPr="0020182A">
              <w:rPr>
                <w:color w:val="auto"/>
              </w:rPr>
              <w:t>requirement in the Rules which state</w:t>
            </w:r>
            <w:r>
              <w:rPr>
                <w:color w:val="auto"/>
              </w:rPr>
              <w:t>s</w:t>
            </w:r>
            <w:r w:rsidRPr="0020182A">
              <w:rPr>
                <w:color w:val="auto"/>
              </w:rPr>
              <w:t xml:space="preserve"> that, even if a participant is eligible for SDA, funding will not be allocated to that participant unless an SDA dwelling is, or will very soon be, available.  In reality this means that participants are unable to secure SDA funding without finding an SDA place, but an SDA provider is unwilling to make an offer without a guarantee of SDA funding.</w:t>
            </w:r>
          </w:p>
        </w:tc>
      </w:tr>
      <w:tr w:rsidR="003D0F4D" w:rsidRPr="0020182A" w:rsidTr="003D0F4D">
        <w:tc>
          <w:tcPr>
            <w:tcW w:w="8075" w:type="dxa"/>
          </w:tcPr>
          <w:p w:rsidR="003D0F4D" w:rsidRPr="0020182A" w:rsidRDefault="003D0F4D" w:rsidP="00413D7D">
            <w:pPr>
              <w:rPr>
                <w:i/>
                <w:color w:val="0091DA" w:themeColor="accent2"/>
              </w:rPr>
            </w:pPr>
            <w:r w:rsidRPr="0020182A">
              <w:rPr>
                <w:b/>
                <w:i/>
                <w:color w:val="0091DA" w:themeColor="accent2"/>
              </w:rPr>
              <w:t>Information</w:t>
            </w:r>
            <w:r w:rsidRPr="0020182A">
              <w:rPr>
                <w:i/>
                <w:color w:val="0091DA" w:themeColor="accent2"/>
              </w:rPr>
              <w:t xml:space="preserve">: </w:t>
            </w:r>
          </w:p>
          <w:p w:rsidR="003D0F4D" w:rsidRPr="0020182A" w:rsidRDefault="003D0F4D" w:rsidP="00B32194">
            <w:pPr>
              <w:pStyle w:val="Heading5"/>
              <w:outlineLvl w:val="4"/>
            </w:pPr>
            <w:r w:rsidRPr="0020182A">
              <w:t>In a well-functioning SDA market, participants should have access to sufficient information on SDA supply and availability to</w:t>
            </w:r>
            <w:r w:rsidRPr="0020182A">
              <w:rPr>
                <w:color w:val="auto"/>
              </w:rPr>
              <w:t xml:space="preserve"> </w:t>
            </w:r>
            <w:r w:rsidRPr="0020182A">
              <w:t>enable them to exercise choice and control</w:t>
            </w:r>
          </w:p>
          <w:p w:rsidR="003D0F4D" w:rsidRPr="0020182A" w:rsidRDefault="003D0F4D" w:rsidP="00B32194">
            <w:pPr>
              <w:spacing w:before="80" w:after="80"/>
              <w:rPr>
                <w:rFonts w:cs="Arial"/>
                <w:noProof/>
                <w:szCs w:val="20"/>
                <w:lang w:eastAsia="en-AU"/>
              </w:rPr>
            </w:pPr>
            <w:r w:rsidRPr="0020182A">
              <w:rPr>
                <w:rFonts w:cs="Arial"/>
                <w:noProof/>
                <w:szCs w:val="20"/>
                <w:lang w:eastAsia="en-AU"/>
              </w:rPr>
              <w:t xml:space="preserve">Information about SDA properties and vacancies is starting to emerge, but currently participants and families are finding it difficult to find and connect with SDA providers with vacancies.  However, there is a lack of information available on existing and planned SDA dwellings and SDA vancancies, though the Review noted that there are a </w:t>
            </w:r>
            <w:r w:rsidRPr="0020182A">
              <w:rPr>
                <w:rFonts w:cs="Arial"/>
                <w:noProof/>
                <w:szCs w:val="20"/>
                <w:lang w:eastAsia="en-AU"/>
              </w:rPr>
              <w:lastRenderedPageBreak/>
              <w:t xml:space="preserve">number of web-based platforms that are  emerging that will provide this information (for example the ‘Nest’ and ’Housing Hub’ platforms). These platforms would benefit from the inclusion of information held by Government and providers in relation to SDA provider registrations, and enrolled and planned dwellings. </w:t>
            </w:r>
          </w:p>
          <w:p w:rsidR="003D0F4D" w:rsidRPr="0020182A" w:rsidRDefault="003D0F4D" w:rsidP="00B32194">
            <w:pPr>
              <w:spacing w:before="80" w:after="80"/>
              <w:rPr>
                <w:rFonts w:cs="Arial"/>
                <w:noProof/>
                <w:szCs w:val="20"/>
                <w:lang w:eastAsia="en-AU"/>
              </w:rPr>
            </w:pPr>
            <w:r w:rsidRPr="0020182A">
              <w:rPr>
                <w:rFonts w:cs="Arial"/>
                <w:noProof/>
                <w:szCs w:val="20"/>
                <w:lang w:eastAsia="en-AU"/>
              </w:rPr>
              <w:t>The Review also found that, to date, only a small number of participants have had the opportunity to engage with providers and investors to express their preferences with respect to SDA design.</w:t>
            </w:r>
          </w:p>
        </w:tc>
      </w:tr>
    </w:tbl>
    <w:p w:rsidR="00091980" w:rsidRPr="0020182A" w:rsidRDefault="00091980" w:rsidP="00091980"/>
    <w:p w:rsidR="00AB24F3" w:rsidRPr="0020182A" w:rsidRDefault="00AB24F3">
      <w:r w:rsidRPr="0020182A">
        <w:br w:type="page"/>
      </w: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ecommendations - demand"/>
        <w:tblDescription w:val="Includes three recommendation categories. The first category is enhancing participant choice and control. The second category is simplifying the process for participants to access SDA. The third category is improving information for participants."/>
      </w:tblPr>
      <w:tblGrid>
        <w:gridCol w:w="989"/>
        <w:gridCol w:w="8083"/>
      </w:tblGrid>
      <w:tr w:rsidR="00091980" w:rsidRPr="0020182A" w:rsidTr="00612CC4">
        <w:trPr>
          <w:tblHeader/>
        </w:trPr>
        <w:tc>
          <w:tcPr>
            <w:tcW w:w="989" w:type="dxa"/>
          </w:tcPr>
          <w:p w:rsidR="00091980" w:rsidRPr="0020182A" w:rsidRDefault="00091980" w:rsidP="00413D7D">
            <w:pPr>
              <w:pStyle w:val="BodyText"/>
              <w:rPr>
                <w:color w:val="00A3A1" w:themeColor="accent6"/>
              </w:rPr>
            </w:pPr>
          </w:p>
        </w:tc>
        <w:tc>
          <w:tcPr>
            <w:tcW w:w="8083" w:type="dxa"/>
            <w:vAlign w:val="center"/>
          </w:tcPr>
          <w:p w:rsidR="00091980" w:rsidRPr="0020182A" w:rsidRDefault="00091980" w:rsidP="00413D7D">
            <w:pPr>
              <w:pStyle w:val="Heading3"/>
              <w:outlineLvl w:val="2"/>
              <w:rPr>
                <w:color w:val="00A3A1" w:themeColor="accent6"/>
              </w:rPr>
            </w:pPr>
            <w:r w:rsidRPr="0020182A">
              <w:rPr>
                <w:color w:val="00A3A1" w:themeColor="accent6"/>
              </w:rPr>
              <w:t xml:space="preserve">Recommendations </w:t>
            </w:r>
            <w:r w:rsidR="00C929DC">
              <w:rPr>
                <w:color w:val="00A3A1" w:themeColor="accent6"/>
              </w:rPr>
              <w:t xml:space="preserve">– demand </w:t>
            </w:r>
          </w:p>
        </w:tc>
      </w:tr>
    </w:tbl>
    <w:p w:rsidR="00B32194" w:rsidRPr="0020182A" w:rsidRDefault="00B32194" w:rsidP="00B32194">
      <w:pPr>
        <w:pStyle w:val="Heading3"/>
      </w:pPr>
      <w:bookmarkStart w:id="68" w:name="_Toc523122976"/>
      <w:r w:rsidRPr="0020182A">
        <w:t>Enhancing participant choice and control</w:t>
      </w:r>
    </w:p>
    <w:p w:rsidR="009A016F" w:rsidRPr="00106279" w:rsidRDefault="009A016F" w:rsidP="00106279">
      <w:pPr>
        <w:pStyle w:val="BodyText2"/>
        <w:rPr>
          <w:sz w:val="20"/>
        </w:rPr>
      </w:pPr>
      <w:r w:rsidRPr="00106279">
        <w:rPr>
          <w:sz w:val="20"/>
        </w:rPr>
        <w:t xml:space="preserve">Recommendation 1: Clearly articulate how participant preferences will be taken into account in determining </w:t>
      </w:r>
      <w:r w:rsidR="00C93446" w:rsidRPr="00106279">
        <w:rPr>
          <w:sz w:val="20"/>
        </w:rPr>
        <w:t>their SIL and SDA arrangements</w:t>
      </w:r>
      <w:r w:rsidRPr="00106279">
        <w:rPr>
          <w:sz w:val="20"/>
        </w:rPr>
        <w:t xml:space="preserve">. </w:t>
      </w:r>
    </w:p>
    <w:p w:rsidR="009A016F" w:rsidRPr="0020182A" w:rsidRDefault="009A016F" w:rsidP="009A016F">
      <w:pPr>
        <w:spacing w:before="80" w:after="80"/>
        <w:rPr>
          <w:rFonts w:cs="Arial"/>
          <w:szCs w:val="20"/>
        </w:rPr>
      </w:pPr>
      <w:r w:rsidRPr="0020182A">
        <w:rPr>
          <w:rFonts w:cs="Arial"/>
          <w:szCs w:val="20"/>
        </w:rPr>
        <w:t>This includes clarity on:</w:t>
      </w:r>
    </w:p>
    <w:p w:rsidR="00C93446" w:rsidRDefault="00C93446" w:rsidP="00C93446">
      <w:pPr>
        <w:pStyle w:val="BodyText1"/>
        <w:numPr>
          <w:ilvl w:val="0"/>
          <w:numId w:val="52"/>
        </w:numPr>
        <w:tabs>
          <w:tab w:val="clear" w:pos="340"/>
          <w:tab w:val="num" w:pos="374"/>
        </w:tabs>
        <w:spacing w:before="80" w:after="80"/>
        <w:ind w:left="374"/>
        <w:rPr>
          <w:rFonts w:cs="Arial"/>
          <w:b/>
          <w:szCs w:val="20"/>
        </w:rPr>
      </w:pPr>
      <w:r>
        <w:rPr>
          <w:rFonts w:cs="Arial"/>
          <w:szCs w:val="20"/>
        </w:rPr>
        <w:t xml:space="preserve">How participant preferences relating to </w:t>
      </w:r>
      <w:r w:rsidR="009A016F" w:rsidRPr="0020182A">
        <w:rPr>
          <w:rFonts w:cs="Arial"/>
          <w:i/>
          <w:szCs w:val="20"/>
        </w:rPr>
        <w:t>where</w:t>
      </w:r>
      <w:r w:rsidR="009A016F" w:rsidRPr="0020182A">
        <w:rPr>
          <w:rFonts w:cs="Arial"/>
          <w:szCs w:val="20"/>
        </w:rPr>
        <w:t xml:space="preserve"> they want to live, </w:t>
      </w:r>
      <w:r w:rsidR="009A016F" w:rsidRPr="0020182A">
        <w:rPr>
          <w:rFonts w:cs="Arial"/>
          <w:i/>
          <w:szCs w:val="20"/>
        </w:rPr>
        <w:t>who</w:t>
      </w:r>
      <w:r w:rsidR="009A016F" w:rsidRPr="0020182A">
        <w:rPr>
          <w:rFonts w:cs="Arial"/>
          <w:szCs w:val="20"/>
        </w:rPr>
        <w:t xml:space="preserve"> they want to live with, and the </w:t>
      </w:r>
      <w:r w:rsidR="009A016F" w:rsidRPr="0020182A">
        <w:rPr>
          <w:rFonts w:cs="Arial"/>
          <w:i/>
          <w:szCs w:val="20"/>
        </w:rPr>
        <w:t>type of dwelling</w:t>
      </w:r>
      <w:r w:rsidR="009A016F" w:rsidRPr="0020182A">
        <w:rPr>
          <w:rFonts w:cs="Arial"/>
          <w:szCs w:val="20"/>
        </w:rPr>
        <w:t xml:space="preserve"> they want to live in</w:t>
      </w:r>
      <w:r>
        <w:rPr>
          <w:rFonts w:cs="Arial"/>
          <w:szCs w:val="20"/>
        </w:rPr>
        <w:t xml:space="preserve">, will be taken into consideration in the </w:t>
      </w:r>
      <w:r w:rsidR="003245E8">
        <w:rPr>
          <w:rFonts w:cs="Arial"/>
          <w:szCs w:val="20"/>
        </w:rPr>
        <w:t>determination of ‘reasonable and necessary’</w:t>
      </w:r>
      <w:r w:rsidR="003245E8">
        <w:rPr>
          <w:rFonts w:cs="Arial"/>
          <w:b/>
          <w:szCs w:val="20"/>
        </w:rPr>
        <w:t>.</w:t>
      </w:r>
    </w:p>
    <w:p w:rsidR="00C93446" w:rsidRPr="00C93446" w:rsidRDefault="003245E8" w:rsidP="00C93446">
      <w:pPr>
        <w:pStyle w:val="BodyText1"/>
        <w:numPr>
          <w:ilvl w:val="0"/>
          <w:numId w:val="52"/>
        </w:numPr>
        <w:tabs>
          <w:tab w:val="clear" w:pos="340"/>
          <w:tab w:val="num" w:pos="374"/>
        </w:tabs>
        <w:spacing w:before="80" w:after="80"/>
        <w:ind w:left="374"/>
        <w:rPr>
          <w:rFonts w:cs="Arial"/>
          <w:b/>
          <w:szCs w:val="20"/>
        </w:rPr>
      </w:pPr>
      <w:r>
        <w:rPr>
          <w:rFonts w:cs="Arial"/>
          <w:szCs w:val="20"/>
        </w:rPr>
        <w:t xml:space="preserve">Communicating more clearly to participants and families, and the market more broadly, </w:t>
      </w:r>
      <w:r w:rsidR="00C93446" w:rsidRPr="00C93446">
        <w:rPr>
          <w:rFonts w:cs="Arial"/>
          <w:szCs w:val="20"/>
        </w:rPr>
        <w:t xml:space="preserve">the </w:t>
      </w:r>
      <w:r w:rsidR="009A016F" w:rsidRPr="00C93446">
        <w:rPr>
          <w:rFonts w:cs="Arial"/>
          <w:szCs w:val="20"/>
        </w:rPr>
        <w:t xml:space="preserve">circumstances </w:t>
      </w:r>
      <w:r w:rsidR="00C93446">
        <w:rPr>
          <w:rFonts w:cs="Arial"/>
          <w:szCs w:val="20"/>
        </w:rPr>
        <w:t xml:space="preserve">in which </w:t>
      </w:r>
      <w:r w:rsidR="00C93446" w:rsidRPr="00C93446">
        <w:rPr>
          <w:rFonts w:cs="Arial"/>
          <w:szCs w:val="20"/>
        </w:rPr>
        <w:t>a participant may be able to live alone</w:t>
      </w:r>
      <w:r>
        <w:rPr>
          <w:rFonts w:cs="Arial"/>
          <w:szCs w:val="20"/>
        </w:rPr>
        <w:t xml:space="preserve"> (as per the Rules).</w:t>
      </w:r>
    </w:p>
    <w:p w:rsidR="009B43EC" w:rsidRDefault="009B43EC" w:rsidP="009B43EC">
      <w:pPr>
        <w:pStyle w:val="BodyText1"/>
        <w:numPr>
          <w:ilvl w:val="0"/>
          <w:numId w:val="53"/>
        </w:numPr>
        <w:spacing w:before="80" w:after="80"/>
        <w:rPr>
          <w:rFonts w:cs="Arial"/>
          <w:szCs w:val="20"/>
        </w:rPr>
      </w:pPr>
      <w:r w:rsidRPr="009B43EC">
        <w:rPr>
          <w:rFonts w:cs="Arial"/>
          <w:szCs w:val="20"/>
        </w:rPr>
        <w:t xml:space="preserve">How participants can use their SDA funding more flexibly than present, including </w:t>
      </w:r>
      <w:r>
        <w:rPr>
          <w:rFonts w:cs="Arial"/>
          <w:szCs w:val="20"/>
        </w:rPr>
        <w:t xml:space="preserve">how </w:t>
      </w:r>
      <w:r w:rsidRPr="009B43EC">
        <w:rPr>
          <w:rFonts w:cs="Arial"/>
          <w:szCs w:val="20"/>
        </w:rPr>
        <w:t xml:space="preserve">participants </w:t>
      </w:r>
      <w:r>
        <w:rPr>
          <w:rFonts w:cs="Arial"/>
          <w:szCs w:val="20"/>
        </w:rPr>
        <w:t xml:space="preserve">can be engaged </w:t>
      </w:r>
      <w:r w:rsidRPr="009B43EC">
        <w:rPr>
          <w:rFonts w:cs="Arial"/>
          <w:szCs w:val="20"/>
        </w:rPr>
        <w:t>in decision making about different combinations of SDA and other support funding t</w:t>
      </w:r>
      <w:r>
        <w:rPr>
          <w:rFonts w:cs="Arial"/>
          <w:szCs w:val="20"/>
        </w:rPr>
        <w:t>o</w:t>
      </w:r>
      <w:r w:rsidRPr="009B43EC">
        <w:rPr>
          <w:rFonts w:cs="Arial"/>
          <w:szCs w:val="20"/>
        </w:rPr>
        <w:t xml:space="preserve"> them meet their long-term goals</w:t>
      </w:r>
      <w:r>
        <w:rPr>
          <w:rFonts w:cs="Arial"/>
          <w:szCs w:val="20"/>
        </w:rPr>
        <w:t>.</w:t>
      </w:r>
    </w:p>
    <w:p w:rsidR="009A016F" w:rsidRPr="0020182A" w:rsidRDefault="009A016F" w:rsidP="009A016F">
      <w:pPr>
        <w:pStyle w:val="BodyText1"/>
        <w:spacing w:before="80" w:after="80"/>
        <w:rPr>
          <w:rFonts w:cs="Arial"/>
          <w:szCs w:val="20"/>
        </w:rPr>
      </w:pPr>
      <w:r w:rsidRPr="0020182A">
        <w:rPr>
          <w:rFonts w:cs="Arial"/>
          <w:szCs w:val="20"/>
        </w:rPr>
        <w:t>The publication of precedents or case studies could be used to improve clarity, and these can be used to provide guidance and training to those responsible for determining eligibility and the provision of SDA funding.</w:t>
      </w:r>
    </w:p>
    <w:p w:rsidR="009A016F" w:rsidRPr="00106279" w:rsidRDefault="009A016F" w:rsidP="00106279">
      <w:pPr>
        <w:pStyle w:val="BodyText2"/>
        <w:rPr>
          <w:sz w:val="20"/>
        </w:rPr>
      </w:pPr>
      <w:r w:rsidRPr="00106279">
        <w:rPr>
          <w:sz w:val="20"/>
        </w:rPr>
        <w:t>Recommendation 2: Make changes to the Framework, Rules and Price Guide to remove restrictions for participants to live in SDA dwellings with people who are not eligible for SDA (such as their partner, children, other family and friends).</w:t>
      </w:r>
    </w:p>
    <w:p w:rsidR="009A016F" w:rsidRPr="0020182A" w:rsidRDefault="009A016F" w:rsidP="009A016F">
      <w:pPr>
        <w:spacing w:before="80" w:after="80"/>
        <w:rPr>
          <w:rFonts w:cs="Arial"/>
          <w:szCs w:val="20"/>
        </w:rPr>
      </w:pPr>
      <w:r w:rsidRPr="0020182A">
        <w:rPr>
          <w:rFonts w:cs="Arial"/>
          <w:szCs w:val="20"/>
        </w:rPr>
        <w:t>This should include:</w:t>
      </w:r>
    </w:p>
    <w:p w:rsidR="009A016F" w:rsidRPr="0020182A" w:rsidRDefault="009A016F" w:rsidP="009A016F">
      <w:pPr>
        <w:pStyle w:val="ListParagraph"/>
        <w:numPr>
          <w:ilvl w:val="0"/>
          <w:numId w:val="83"/>
        </w:numPr>
        <w:spacing w:before="80" w:after="80"/>
        <w:rPr>
          <w:rFonts w:cs="Arial"/>
          <w:szCs w:val="20"/>
        </w:rPr>
      </w:pPr>
      <w:r w:rsidRPr="0020182A">
        <w:rPr>
          <w:rFonts w:cs="Arial"/>
          <w:szCs w:val="20"/>
        </w:rPr>
        <w:t>Changing the Rules (and subsequently the Framework and other supporting documentation) to:</w:t>
      </w:r>
    </w:p>
    <w:p w:rsidR="009A016F" w:rsidRPr="0020182A" w:rsidRDefault="009A016F" w:rsidP="009A016F">
      <w:pPr>
        <w:pStyle w:val="BodyText1"/>
        <w:numPr>
          <w:ilvl w:val="0"/>
          <w:numId w:val="84"/>
        </w:numPr>
        <w:spacing w:before="80" w:after="80"/>
        <w:rPr>
          <w:rFonts w:cs="Arial"/>
          <w:szCs w:val="20"/>
        </w:rPr>
      </w:pPr>
      <w:r w:rsidRPr="0020182A">
        <w:rPr>
          <w:rFonts w:cs="Arial"/>
          <w:szCs w:val="20"/>
        </w:rPr>
        <w:t xml:space="preserve">remove the rule for dwelling enrolment that requires the majority of bedrooms in a house to be SDA-compliant </w:t>
      </w:r>
    </w:p>
    <w:p w:rsidR="009A016F" w:rsidRPr="0020182A" w:rsidRDefault="009A016F" w:rsidP="009A016F">
      <w:pPr>
        <w:pStyle w:val="BodyText1"/>
        <w:numPr>
          <w:ilvl w:val="0"/>
          <w:numId w:val="84"/>
        </w:numPr>
        <w:spacing w:before="80" w:after="80"/>
        <w:rPr>
          <w:rFonts w:cs="Arial"/>
          <w:szCs w:val="20"/>
        </w:rPr>
      </w:pPr>
      <w:r w:rsidRPr="0020182A">
        <w:rPr>
          <w:rFonts w:cs="Arial"/>
          <w:szCs w:val="20"/>
        </w:rPr>
        <w:t>revise the rule that requires a bedroom for every resident in the house to remove this requirement for couples, participants with children and participants in other limited circumstances where a separate bedroom-like room is not required, while also ensuring sufficient safeguards are in place.</w:t>
      </w:r>
    </w:p>
    <w:p w:rsidR="009A016F" w:rsidRPr="0020182A" w:rsidRDefault="009A016F" w:rsidP="009A016F">
      <w:pPr>
        <w:pStyle w:val="BodyText1"/>
        <w:numPr>
          <w:ilvl w:val="0"/>
          <w:numId w:val="79"/>
        </w:numPr>
        <w:spacing w:before="80" w:after="80"/>
        <w:rPr>
          <w:rFonts w:cs="Arial"/>
          <w:szCs w:val="20"/>
        </w:rPr>
      </w:pPr>
      <w:r w:rsidRPr="0020182A">
        <w:rPr>
          <w:rFonts w:cs="Arial"/>
          <w:szCs w:val="20"/>
        </w:rPr>
        <w:t xml:space="preserve">Examining disincentives for providers </w:t>
      </w:r>
      <w:r>
        <w:rPr>
          <w:rFonts w:cs="Arial"/>
          <w:szCs w:val="20"/>
        </w:rPr>
        <w:t>that</w:t>
      </w:r>
      <w:r w:rsidRPr="0020182A">
        <w:rPr>
          <w:rFonts w:cs="Arial"/>
          <w:szCs w:val="20"/>
        </w:rPr>
        <w:t xml:space="preserve"> limit a participant’s ability to live with others without disability (noting that the NDIS does not fund or subsidise living arrangements for people without disability).</w:t>
      </w:r>
    </w:p>
    <w:p w:rsidR="00B32194" w:rsidRPr="0020182A" w:rsidRDefault="00B32194" w:rsidP="00B32194">
      <w:pPr>
        <w:pStyle w:val="Heading3"/>
      </w:pPr>
      <w:r w:rsidRPr="0020182A">
        <w:t xml:space="preserve">Simplifying the process for participants to access SDA </w:t>
      </w:r>
    </w:p>
    <w:p w:rsidR="009A016F" w:rsidRPr="00106279" w:rsidRDefault="009A016F" w:rsidP="00106279">
      <w:pPr>
        <w:pStyle w:val="BodyText2"/>
        <w:rPr>
          <w:sz w:val="20"/>
        </w:rPr>
      </w:pPr>
      <w:r w:rsidRPr="00106279">
        <w:rPr>
          <w:sz w:val="20"/>
        </w:rPr>
        <w:t>Recommendation 3: Improve and streamline the SDA planning process and participant journey to ensure that the process is efficient, easy to navigate, and does not unduly burden participants and their families or SDA providers.</w:t>
      </w:r>
    </w:p>
    <w:p w:rsidR="009A016F" w:rsidRPr="0020182A" w:rsidRDefault="009A016F" w:rsidP="009A016F">
      <w:pPr>
        <w:pStyle w:val="BodyText1"/>
        <w:spacing w:before="80" w:after="80"/>
        <w:rPr>
          <w:rFonts w:cs="Arial"/>
          <w:szCs w:val="20"/>
        </w:rPr>
      </w:pPr>
      <w:r w:rsidRPr="0020182A">
        <w:rPr>
          <w:rFonts w:cs="Arial"/>
          <w:szCs w:val="20"/>
        </w:rPr>
        <w:t>This should include:</w:t>
      </w:r>
    </w:p>
    <w:p w:rsidR="009A016F" w:rsidRPr="0020182A" w:rsidRDefault="009A016F" w:rsidP="009A016F">
      <w:pPr>
        <w:pStyle w:val="BodyText1"/>
        <w:numPr>
          <w:ilvl w:val="0"/>
          <w:numId w:val="81"/>
        </w:numPr>
        <w:spacing w:before="80" w:after="80"/>
        <w:rPr>
          <w:rFonts w:cs="Arial"/>
          <w:szCs w:val="20"/>
        </w:rPr>
      </w:pPr>
      <w:r w:rsidRPr="0020182A">
        <w:rPr>
          <w:rFonts w:cs="Arial"/>
          <w:szCs w:val="20"/>
        </w:rPr>
        <w:t xml:space="preserve">Examining the Rules and NDIS processes to identify barriers or constraints </w:t>
      </w:r>
      <w:r>
        <w:rPr>
          <w:rFonts w:cs="Arial"/>
          <w:szCs w:val="20"/>
        </w:rPr>
        <w:t>that</w:t>
      </w:r>
      <w:r w:rsidRPr="0020182A">
        <w:rPr>
          <w:rFonts w:cs="Arial"/>
          <w:szCs w:val="20"/>
        </w:rPr>
        <w:t xml:space="preserve"> make the participant planning process overly complex – such as:</w:t>
      </w:r>
    </w:p>
    <w:p w:rsidR="009A016F" w:rsidRPr="0020182A" w:rsidRDefault="009A016F" w:rsidP="009A016F">
      <w:pPr>
        <w:pStyle w:val="BodyText1"/>
        <w:numPr>
          <w:ilvl w:val="0"/>
          <w:numId w:val="80"/>
        </w:numPr>
        <w:spacing w:before="80" w:after="80"/>
        <w:rPr>
          <w:rFonts w:cs="Arial"/>
          <w:szCs w:val="20"/>
        </w:rPr>
      </w:pPr>
      <w:r>
        <w:rPr>
          <w:rFonts w:cs="Arial"/>
          <w:szCs w:val="20"/>
        </w:rPr>
        <w:t>T</w:t>
      </w:r>
      <w:r w:rsidRPr="0020182A">
        <w:rPr>
          <w:rFonts w:cs="Arial"/>
          <w:szCs w:val="20"/>
        </w:rPr>
        <w:t xml:space="preserve">he steps in the SDA process to allow clear decisions on SDA eligibility and funding to be made </w:t>
      </w:r>
      <w:r w:rsidRPr="0020182A">
        <w:rPr>
          <w:rFonts w:cs="Arial"/>
          <w:i/>
          <w:szCs w:val="20"/>
        </w:rPr>
        <w:t>prior to</w:t>
      </w:r>
      <w:r w:rsidRPr="0020182A">
        <w:rPr>
          <w:rFonts w:cs="Arial"/>
          <w:szCs w:val="20"/>
        </w:rPr>
        <w:t xml:space="preserve"> the participant being required to identify a potential SDA dwelling. This will require amendment to the SDA Rule that requires a property to be available or very soon available before an SDA eligibility decision can be made.</w:t>
      </w:r>
    </w:p>
    <w:p w:rsidR="009A016F" w:rsidRPr="0020182A" w:rsidRDefault="009A016F" w:rsidP="009A016F">
      <w:pPr>
        <w:pStyle w:val="BodyText1"/>
        <w:numPr>
          <w:ilvl w:val="0"/>
          <w:numId w:val="80"/>
        </w:numPr>
        <w:spacing w:before="80" w:after="80"/>
        <w:rPr>
          <w:rFonts w:cs="Arial"/>
          <w:szCs w:val="20"/>
        </w:rPr>
      </w:pPr>
      <w:r>
        <w:rPr>
          <w:rFonts w:cs="Arial"/>
          <w:szCs w:val="20"/>
        </w:rPr>
        <w:t>R</w:t>
      </w:r>
      <w:r w:rsidRPr="0020182A">
        <w:rPr>
          <w:rFonts w:cs="Arial"/>
          <w:szCs w:val="20"/>
        </w:rPr>
        <w:t>emoving requirements to demonstrate other housing options are not suitable before a decision is made on eligibility, particularly where participants are already residing in unsuitable accommodation, as by definition, a person who is eligible for SDA has their needs best met by SDA</w:t>
      </w:r>
      <w:r>
        <w:rPr>
          <w:rFonts w:cs="Arial"/>
          <w:szCs w:val="20"/>
        </w:rPr>
        <w:t>.</w:t>
      </w:r>
    </w:p>
    <w:p w:rsidR="009A016F" w:rsidRPr="0020182A" w:rsidRDefault="009A016F" w:rsidP="009A016F">
      <w:pPr>
        <w:pStyle w:val="TableBullet1"/>
        <w:numPr>
          <w:ilvl w:val="0"/>
          <w:numId w:val="55"/>
        </w:numPr>
        <w:spacing w:before="80" w:after="80"/>
        <w:contextualSpacing w:val="0"/>
        <w:rPr>
          <w:rFonts w:cs="Arial"/>
          <w:szCs w:val="20"/>
        </w:rPr>
      </w:pPr>
      <w:r w:rsidRPr="0020182A">
        <w:rPr>
          <w:rFonts w:cs="Arial"/>
          <w:szCs w:val="20"/>
        </w:rPr>
        <w:t xml:space="preserve">Developing a SDA planning framework or guidelines that articulates how interdependent factors should be considered in determining SDA eligibility and the participant planning process (such as </w:t>
      </w:r>
      <w:r w:rsidRPr="0020182A">
        <w:rPr>
          <w:rFonts w:cs="Arial"/>
          <w:szCs w:val="20"/>
        </w:rPr>
        <w:lastRenderedPageBreak/>
        <w:t xml:space="preserve">building design, ownership status, decision-making authority on any co-tenants, other disability supports and the day-to-day management of supports that are required to be in place for a person to live in SDA). </w:t>
      </w:r>
    </w:p>
    <w:p w:rsidR="009A016F" w:rsidRPr="0020182A" w:rsidRDefault="009A016F" w:rsidP="009A016F">
      <w:pPr>
        <w:pStyle w:val="BodyText1"/>
        <w:numPr>
          <w:ilvl w:val="0"/>
          <w:numId w:val="55"/>
        </w:numPr>
        <w:spacing w:before="80" w:after="80"/>
        <w:rPr>
          <w:rFonts w:cs="Arial"/>
          <w:szCs w:val="20"/>
        </w:rPr>
      </w:pPr>
      <w:r w:rsidRPr="0020182A">
        <w:rPr>
          <w:rFonts w:cs="Arial"/>
          <w:szCs w:val="20"/>
        </w:rPr>
        <w:t>Consider</w:t>
      </w:r>
      <w:r>
        <w:rPr>
          <w:rFonts w:cs="Arial"/>
          <w:szCs w:val="20"/>
        </w:rPr>
        <w:t>ing</w:t>
      </w:r>
      <w:r w:rsidRPr="0020182A">
        <w:rPr>
          <w:rFonts w:cs="Arial"/>
          <w:szCs w:val="20"/>
        </w:rPr>
        <w:t xml:space="preserve"> ways to escalate or prioritise plan review meetings where a vacancy is available or where existing accommodation is unsuitable (in accordance with the commitment in the Framework to prioritising Young People in Nursing Homes and other participants in unsuitable accommodation)</w:t>
      </w:r>
      <w:r>
        <w:rPr>
          <w:rFonts w:cs="Arial"/>
          <w:szCs w:val="20"/>
        </w:rPr>
        <w:t>.</w:t>
      </w:r>
    </w:p>
    <w:p w:rsidR="009A016F" w:rsidRPr="0020182A" w:rsidRDefault="009A016F" w:rsidP="009A016F">
      <w:pPr>
        <w:pStyle w:val="BodyText1"/>
        <w:numPr>
          <w:ilvl w:val="0"/>
          <w:numId w:val="55"/>
        </w:numPr>
        <w:spacing w:before="80" w:after="80"/>
        <w:rPr>
          <w:rFonts w:cs="Arial"/>
          <w:szCs w:val="20"/>
        </w:rPr>
      </w:pPr>
      <w:r w:rsidRPr="0020182A">
        <w:rPr>
          <w:rFonts w:cs="Arial"/>
          <w:szCs w:val="20"/>
        </w:rPr>
        <w:t>Communicating the reasons for eligibility determinations to participants in a way they can easily understand, especially where participants have been deemed ineligible, to assist participants to understand the reasons and considerations underpinning the eligibility deci</w:t>
      </w:r>
      <w:r w:rsidR="000D2032">
        <w:rPr>
          <w:rFonts w:cs="Arial"/>
          <w:szCs w:val="20"/>
        </w:rPr>
        <w:t>sion</w:t>
      </w:r>
      <w:r>
        <w:rPr>
          <w:rFonts w:cs="Arial"/>
          <w:szCs w:val="20"/>
        </w:rPr>
        <w:t>.</w:t>
      </w:r>
    </w:p>
    <w:p w:rsidR="009A016F" w:rsidRPr="0020182A" w:rsidRDefault="009A016F" w:rsidP="009A016F">
      <w:pPr>
        <w:pStyle w:val="BodyText1"/>
        <w:numPr>
          <w:ilvl w:val="0"/>
          <w:numId w:val="55"/>
        </w:numPr>
        <w:spacing w:before="80" w:after="80"/>
        <w:rPr>
          <w:rFonts w:cs="Arial"/>
          <w:szCs w:val="20"/>
        </w:rPr>
      </w:pPr>
      <w:r w:rsidRPr="0020182A">
        <w:rPr>
          <w:rFonts w:cs="Arial"/>
          <w:szCs w:val="20"/>
        </w:rPr>
        <w:t>Publishing indicative timeframes for eligibility decision-making, based on the type of application and participant characteristics, and examples of circumstances that would impact on the length of time take to make an eligibility determination (including guidance to participants around supporting documentation and evidence that could be improve timeliness of decision making in these circumstances)</w:t>
      </w:r>
      <w:r>
        <w:rPr>
          <w:rFonts w:cs="Arial"/>
          <w:szCs w:val="20"/>
        </w:rPr>
        <w:t>.</w:t>
      </w:r>
    </w:p>
    <w:p w:rsidR="009A016F" w:rsidRPr="0020182A" w:rsidRDefault="009A016F" w:rsidP="009A016F">
      <w:pPr>
        <w:pStyle w:val="BodyText1"/>
        <w:numPr>
          <w:ilvl w:val="0"/>
          <w:numId w:val="55"/>
        </w:numPr>
        <w:spacing w:before="80" w:after="80"/>
        <w:rPr>
          <w:rFonts w:cs="Arial"/>
          <w:szCs w:val="20"/>
        </w:rPr>
      </w:pPr>
      <w:r w:rsidRPr="0020182A">
        <w:rPr>
          <w:rFonts w:cs="Arial"/>
          <w:szCs w:val="20"/>
        </w:rPr>
        <w:t xml:space="preserve">Tracking timeliness of SDA eligibility decisions by capturing when participants first apply for SDA compared to when eligibility is determined and reporting on the </w:t>
      </w:r>
      <w:r>
        <w:rPr>
          <w:rFonts w:cs="Arial"/>
          <w:szCs w:val="20"/>
        </w:rPr>
        <w:t xml:space="preserve">average </w:t>
      </w:r>
      <w:r w:rsidRPr="0020182A">
        <w:rPr>
          <w:rFonts w:cs="Arial"/>
          <w:szCs w:val="20"/>
        </w:rPr>
        <w:t>time taken to progress through each stage</w:t>
      </w:r>
      <w:r>
        <w:rPr>
          <w:rFonts w:cs="Arial"/>
          <w:szCs w:val="20"/>
        </w:rPr>
        <w:t>.</w:t>
      </w:r>
    </w:p>
    <w:p w:rsidR="009A016F" w:rsidRPr="0020182A" w:rsidRDefault="009A016F" w:rsidP="009A016F">
      <w:pPr>
        <w:pStyle w:val="BodyText1"/>
        <w:numPr>
          <w:ilvl w:val="0"/>
          <w:numId w:val="55"/>
        </w:numPr>
        <w:spacing w:before="80" w:after="80"/>
        <w:rPr>
          <w:rFonts w:cs="Arial"/>
          <w:szCs w:val="20"/>
        </w:rPr>
      </w:pPr>
      <w:r w:rsidRPr="0020182A">
        <w:rPr>
          <w:rFonts w:cs="Arial"/>
          <w:szCs w:val="20"/>
        </w:rPr>
        <w:t>Reporting regularly on the number of SDA decisions, the number of people with SDA in plans, and the number of days SDA places remain vacant, to indicate progress in SDA access.</w:t>
      </w:r>
    </w:p>
    <w:p w:rsidR="009A016F" w:rsidRPr="0020182A" w:rsidRDefault="009A016F" w:rsidP="009A016F">
      <w:pPr>
        <w:pStyle w:val="BodyText1"/>
        <w:spacing w:before="80" w:after="80"/>
        <w:rPr>
          <w:rFonts w:cs="Arial"/>
          <w:szCs w:val="20"/>
        </w:rPr>
      </w:pPr>
      <w:r w:rsidRPr="0020182A">
        <w:rPr>
          <w:rFonts w:cs="Arial"/>
          <w:szCs w:val="20"/>
        </w:rPr>
        <w:t xml:space="preserve">Once the above mechanisms are in place, specific timeframes should be established within the Agency for decision-making, including Key Performance Indicators (KPIs). For example, a percentage of eligibility decisions made within committed timeframes or the number of participants with SDA in their plans at particular timing intervals. </w:t>
      </w:r>
    </w:p>
    <w:p w:rsidR="009A016F" w:rsidRPr="0020182A" w:rsidRDefault="009A016F" w:rsidP="009A016F">
      <w:pPr>
        <w:pStyle w:val="BodyText1"/>
        <w:spacing w:before="80" w:after="80"/>
        <w:rPr>
          <w:rFonts w:cs="Arial"/>
          <w:szCs w:val="20"/>
        </w:rPr>
      </w:pPr>
      <w:r w:rsidRPr="0020182A">
        <w:rPr>
          <w:rFonts w:cs="Arial"/>
          <w:szCs w:val="20"/>
        </w:rPr>
        <w:t xml:space="preserve">The ultimate objective of refining the process is to achieve an outcome where a participant can confidently participate in the market, and the vendor can have confidence of the certainty around the participants funding stream and options to seriously negotiate with the participant. </w:t>
      </w:r>
    </w:p>
    <w:p w:rsidR="009A016F" w:rsidRPr="00106279" w:rsidRDefault="009A016F" w:rsidP="00106279">
      <w:pPr>
        <w:pStyle w:val="BodyText2"/>
        <w:rPr>
          <w:sz w:val="20"/>
        </w:rPr>
      </w:pPr>
      <w:r w:rsidRPr="00106279">
        <w:rPr>
          <w:sz w:val="20"/>
        </w:rPr>
        <w:t xml:space="preserve">Recommendation 4: Based on the clarification of the process in Recommendation 3, provide greater clarity to participants on the SDA process through guidance for participants and families. </w:t>
      </w:r>
    </w:p>
    <w:p w:rsidR="009A016F" w:rsidRPr="0020182A" w:rsidRDefault="009A016F" w:rsidP="009A016F">
      <w:pPr>
        <w:pStyle w:val="BodyText1"/>
        <w:spacing w:before="80" w:after="80"/>
        <w:rPr>
          <w:rFonts w:cs="Arial"/>
          <w:szCs w:val="20"/>
        </w:rPr>
      </w:pPr>
      <w:r w:rsidRPr="0020182A">
        <w:rPr>
          <w:rFonts w:cs="Arial"/>
          <w:szCs w:val="20"/>
        </w:rPr>
        <w:t>This guidance should clearly set out</w:t>
      </w:r>
      <w:r>
        <w:rPr>
          <w:rFonts w:cs="Arial"/>
          <w:szCs w:val="20"/>
        </w:rPr>
        <w:t xml:space="preserve"> the</w:t>
      </w:r>
      <w:r w:rsidRPr="0020182A">
        <w:rPr>
          <w:rFonts w:cs="Arial"/>
          <w:szCs w:val="20"/>
        </w:rPr>
        <w:t>:</w:t>
      </w:r>
    </w:p>
    <w:p w:rsidR="009A016F" w:rsidRPr="0020182A" w:rsidRDefault="009A016F" w:rsidP="009A016F">
      <w:pPr>
        <w:pStyle w:val="BodyText1"/>
        <w:numPr>
          <w:ilvl w:val="0"/>
          <w:numId w:val="56"/>
        </w:numPr>
        <w:tabs>
          <w:tab w:val="clear" w:pos="340"/>
          <w:tab w:val="num" w:pos="723"/>
        </w:tabs>
        <w:spacing w:before="80" w:after="80"/>
        <w:rPr>
          <w:rFonts w:cs="Arial"/>
          <w:szCs w:val="20"/>
        </w:rPr>
      </w:pPr>
      <w:r w:rsidRPr="0020182A">
        <w:rPr>
          <w:rFonts w:cs="Arial"/>
          <w:szCs w:val="20"/>
        </w:rPr>
        <w:t>pathway to SDA, from decision-making through to identifying appropriate accommodation options</w:t>
      </w:r>
    </w:p>
    <w:p w:rsidR="009A016F" w:rsidRPr="0020182A" w:rsidRDefault="009A016F" w:rsidP="009A016F">
      <w:pPr>
        <w:pStyle w:val="BodyText1"/>
        <w:numPr>
          <w:ilvl w:val="0"/>
          <w:numId w:val="56"/>
        </w:numPr>
        <w:tabs>
          <w:tab w:val="clear" w:pos="340"/>
          <w:tab w:val="num" w:pos="723"/>
        </w:tabs>
        <w:spacing w:before="80" w:after="80"/>
        <w:rPr>
          <w:rFonts w:cs="Arial"/>
          <w:szCs w:val="20"/>
        </w:rPr>
      </w:pPr>
      <w:r w:rsidRPr="0020182A">
        <w:rPr>
          <w:rFonts w:cs="Arial"/>
          <w:szCs w:val="20"/>
        </w:rPr>
        <w:t xml:space="preserve">supporting documentation necessary to meet evidentiary requirements. </w:t>
      </w:r>
    </w:p>
    <w:p w:rsidR="009A016F" w:rsidRPr="0020182A" w:rsidRDefault="009A016F" w:rsidP="009A016F">
      <w:pPr>
        <w:pStyle w:val="BodyText1"/>
        <w:spacing w:before="80" w:after="80"/>
        <w:rPr>
          <w:rFonts w:cs="Arial"/>
          <w:szCs w:val="20"/>
        </w:rPr>
      </w:pPr>
      <w:r w:rsidRPr="0020182A">
        <w:rPr>
          <w:rFonts w:cs="Arial"/>
          <w:szCs w:val="20"/>
        </w:rPr>
        <w:t>Ultimately, guidance should prepare the participant, family and/or carer to participate in SDA eligibility and planning discussions.</w:t>
      </w:r>
    </w:p>
    <w:p w:rsidR="00B32194" w:rsidRPr="0020182A" w:rsidRDefault="00B32194" w:rsidP="00B32194">
      <w:pPr>
        <w:pStyle w:val="Heading3"/>
      </w:pPr>
      <w:r w:rsidRPr="0020182A">
        <w:t xml:space="preserve">Improving information for participants </w:t>
      </w:r>
    </w:p>
    <w:p w:rsidR="009A016F" w:rsidRPr="00106279" w:rsidRDefault="009A016F" w:rsidP="00106279">
      <w:pPr>
        <w:pStyle w:val="BodyText2"/>
        <w:rPr>
          <w:sz w:val="20"/>
        </w:rPr>
      </w:pPr>
      <w:r w:rsidRPr="00106279">
        <w:rPr>
          <w:sz w:val="20"/>
        </w:rPr>
        <w:t xml:space="preserve">Recommendation 5: Enable the provisional approval of SDA dwellings earlier in the build process to assist in enabling participants to link up with providers and potential new accommodation options earlier in the process and give greater visibility of upcoming SDA builds. </w:t>
      </w:r>
    </w:p>
    <w:p w:rsidR="009A016F" w:rsidRPr="0020182A" w:rsidRDefault="009A016F" w:rsidP="009A016F">
      <w:pPr>
        <w:pStyle w:val="BodyText1"/>
        <w:spacing w:before="80" w:after="80"/>
        <w:rPr>
          <w:rFonts w:eastAsiaTheme="majorEastAsia" w:cs="Arial"/>
          <w:iCs/>
          <w:szCs w:val="20"/>
        </w:rPr>
      </w:pPr>
      <w:r w:rsidRPr="0020182A">
        <w:rPr>
          <w:rFonts w:eastAsiaTheme="majorEastAsia" w:cs="Arial"/>
          <w:iCs/>
          <w:szCs w:val="20"/>
        </w:rPr>
        <w:t>This could be achieved via one of two mechanisms:</w:t>
      </w:r>
    </w:p>
    <w:p w:rsidR="009A016F" w:rsidRPr="0020182A" w:rsidRDefault="009A016F" w:rsidP="009A016F">
      <w:pPr>
        <w:pStyle w:val="BodyText1"/>
        <w:numPr>
          <w:ilvl w:val="0"/>
          <w:numId w:val="57"/>
        </w:numPr>
        <w:spacing w:before="80" w:after="80"/>
        <w:rPr>
          <w:rFonts w:eastAsiaTheme="majorEastAsia" w:cs="Arial"/>
          <w:iCs/>
          <w:szCs w:val="20"/>
        </w:rPr>
      </w:pPr>
      <w:r w:rsidRPr="0020182A">
        <w:rPr>
          <w:rFonts w:eastAsiaTheme="majorEastAsia" w:cs="Arial"/>
          <w:iCs/>
          <w:szCs w:val="20"/>
        </w:rPr>
        <w:t xml:space="preserve">A change to the Rules to allow for a provisional certification of a dwelling based on a number of key criteria to be demonstrated in building plans, with a final certificate of occupancy required prior to a participant moving into the dwelling. In the absence of changes to decouple SDA funding decisions from the availability of an SDA dwelling, a participant could be allocated SDA funding for a dwelling based on the provisional certification. </w:t>
      </w:r>
    </w:p>
    <w:p w:rsidR="009A016F" w:rsidRPr="0020182A" w:rsidRDefault="009A016F" w:rsidP="009A016F">
      <w:pPr>
        <w:pStyle w:val="BodyText1"/>
        <w:numPr>
          <w:ilvl w:val="0"/>
          <w:numId w:val="57"/>
        </w:numPr>
        <w:spacing w:before="80" w:after="80"/>
        <w:rPr>
          <w:rFonts w:eastAsiaTheme="majorEastAsia" w:cs="Arial"/>
          <w:iCs/>
          <w:szCs w:val="20"/>
        </w:rPr>
      </w:pPr>
      <w:r w:rsidRPr="0020182A">
        <w:rPr>
          <w:rFonts w:eastAsiaTheme="majorEastAsia" w:cs="Arial"/>
          <w:iCs/>
          <w:szCs w:val="20"/>
        </w:rPr>
        <w:t>An independent certification process undertaken by a certification or building assessment body according to criteria agreed with the body responsible for enrolment. This would include working with the independent body to develop the training curriculum for independent certifiers and empower the certification body to certify dwellings based on dwelling plans. The certification body would be required to keep a register of certified dwellings.</w:t>
      </w:r>
      <w:r w:rsidR="003245E8">
        <w:rPr>
          <w:rFonts w:eastAsiaTheme="majorEastAsia" w:cs="Arial"/>
          <w:iCs/>
          <w:szCs w:val="20"/>
        </w:rPr>
        <w:t xml:space="preserve"> (It is understood that this process is being developed currently).</w:t>
      </w:r>
    </w:p>
    <w:p w:rsidR="009A016F" w:rsidRPr="0020182A" w:rsidRDefault="009A016F" w:rsidP="009A016F">
      <w:pPr>
        <w:pStyle w:val="BodyText1"/>
        <w:spacing w:before="80" w:after="80"/>
        <w:ind w:left="360"/>
        <w:rPr>
          <w:rFonts w:eastAsiaTheme="majorEastAsia" w:cs="Arial"/>
          <w:iCs/>
          <w:szCs w:val="20"/>
        </w:rPr>
      </w:pPr>
      <w:r w:rsidRPr="0020182A">
        <w:rPr>
          <w:rFonts w:eastAsiaTheme="majorEastAsia" w:cs="Arial"/>
          <w:iCs/>
          <w:szCs w:val="20"/>
        </w:rPr>
        <w:lastRenderedPageBreak/>
        <w:t xml:space="preserve">It is important that any process in this regard is aligns with the quality and safeguarding arrangements implemented by the Commission. </w:t>
      </w:r>
    </w:p>
    <w:p w:rsidR="009A016F" w:rsidRPr="00106279" w:rsidRDefault="009A016F" w:rsidP="00106279">
      <w:pPr>
        <w:pStyle w:val="BodyText2"/>
        <w:rPr>
          <w:sz w:val="20"/>
        </w:rPr>
      </w:pPr>
      <w:r w:rsidRPr="00106279">
        <w:rPr>
          <w:sz w:val="20"/>
        </w:rPr>
        <w:t>Recommendation 6: Support the further development of an SDA e-market by publishing real time dwelling enrolment information, in addition to the existing requirements for the NDIS Commission to publish dwelling registration information</w:t>
      </w:r>
    </w:p>
    <w:p w:rsidR="009A016F" w:rsidRPr="00106279" w:rsidRDefault="009A016F" w:rsidP="00106279">
      <w:pPr>
        <w:pStyle w:val="BodyText2"/>
        <w:rPr>
          <w:rFonts w:eastAsiaTheme="majorEastAsia" w:cs="Arial"/>
          <w:iCs/>
          <w:sz w:val="20"/>
        </w:rPr>
      </w:pPr>
      <w:r w:rsidRPr="00106279">
        <w:rPr>
          <w:rFonts w:eastAsiaTheme="majorEastAsia" w:cs="Arial"/>
          <w:iCs/>
          <w:sz w:val="20"/>
        </w:rPr>
        <w:t>This includes information on:</w:t>
      </w:r>
    </w:p>
    <w:p w:rsidR="009A016F" w:rsidRPr="0020182A" w:rsidRDefault="009A016F" w:rsidP="009A016F">
      <w:pPr>
        <w:pStyle w:val="BodyText1"/>
        <w:numPr>
          <w:ilvl w:val="0"/>
          <w:numId w:val="58"/>
        </w:numPr>
        <w:tabs>
          <w:tab w:val="clear" w:pos="340"/>
          <w:tab w:val="num" w:pos="700"/>
        </w:tabs>
        <w:spacing w:before="80" w:after="80"/>
        <w:rPr>
          <w:rFonts w:eastAsiaTheme="majorEastAsia" w:cs="Arial"/>
          <w:iCs/>
          <w:szCs w:val="20"/>
        </w:rPr>
      </w:pPr>
      <w:r w:rsidRPr="0020182A">
        <w:rPr>
          <w:rFonts w:eastAsiaTheme="majorEastAsia" w:cs="Arial"/>
          <w:iCs/>
          <w:szCs w:val="20"/>
        </w:rPr>
        <w:t xml:space="preserve">existing SDA dwellings (this should be supplemented by information provided by accommodation providers/managers on vacancies) </w:t>
      </w:r>
    </w:p>
    <w:p w:rsidR="009A016F" w:rsidRPr="0020182A" w:rsidRDefault="009A016F" w:rsidP="009A016F">
      <w:pPr>
        <w:pStyle w:val="BodyText1"/>
        <w:numPr>
          <w:ilvl w:val="0"/>
          <w:numId w:val="58"/>
        </w:numPr>
        <w:tabs>
          <w:tab w:val="clear" w:pos="340"/>
          <w:tab w:val="num" w:pos="700"/>
        </w:tabs>
        <w:spacing w:before="80" w:after="80"/>
        <w:rPr>
          <w:rFonts w:eastAsiaTheme="majorEastAsia" w:cs="Arial"/>
          <w:iCs/>
          <w:szCs w:val="20"/>
        </w:rPr>
      </w:pPr>
      <w:r w:rsidRPr="0020182A">
        <w:rPr>
          <w:rFonts w:eastAsiaTheme="majorEastAsia" w:cs="Arial"/>
          <w:iCs/>
          <w:szCs w:val="20"/>
        </w:rPr>
        <w:t xml:space="preserve">registered SDA providers </w:t>
      </w:r>
    </w:p>
    <w:p w:rsidR="009A016F" w:rsidRPr="0020182A" w:rsidRDefault="009A016F" w:rsidP="009A016F">
      <w:pPr>
        <w:pStyle w:val="BodyText1"/>
        <w:numPr>
          <w:ilvl w:val="0"/>
          <w:numId w:val="58"/>
        </w:numPr>
        <w:tabs>
          <w:tab w:val="clear" w:pos="340"/>
          <w:tab w:val="num" w:pos="700"/>
        </w:tabs>
        <w:spacing w:before="80" w:after="80"/>
        <w:rPr>
          <w:rFonts w:eastAsiaTheme="majorEastAsia" w:cs="Arial"/>
          <w:b/>
          <w:iCs/>
          <w:szCs w:val="20"/>
        </w:rPr>
      </w:pPr>
      <w:r w:rsidRPr="0020182A">
        <w:rPr>
          <w:rFonts w:eastAsiaTheme="majorEastAsia" w:cs="Arial"/>
          <w:iCs/>
          <w:szCs w:val="20"/>
        </w:rPr>
        <w:t>planned and provisionally approved dwellings (made available through the recommended provisional enrolment process)</w:t>
      </w:r>
      <w:r w:rsidRPr="0020182A">
        <w:rPr>
          <w:rFonts w:eastAsiaTheme="majorEastAsia" w:cs="Arial"/>
          <w:b/>
          <w:iCs/>
          <w:szCs w:val="20"/>
        </w:rPr>
        <w:t>.</w:t>
      </w:r>
    </w:p>
    <w:p w:rsidR="009A016F" w:rsidRPr="0020182A" w:rsidRDefault="009A016F" w:rsidP="009A016F">
      <w:pPr>
        <w:pStyle w:val="BodyText1"/>
        <w:spacing w:before="80" w:after="80"/>
        <w:rPr>
          <w:rFonts w:eastAsiaTheme="majorEastAsia" w:cs="Arial"/>
          <w:iCs/>
          <w:szCs w:val="20"/>
        </w:rPr>
      </w:pPr>
      <w:r w:rsidRPr="0020182A">
        <w:rPr>
          <w:rFonts w:eastAsiaTheme="majorEastAsia" w:cs="Arial"/>
          <w:iCs/>
          <w:szCs w:val="20"/>
        </w:rPr>
        <w:t>This information will inform existing e-market mechanisms</w:t>
      </w:r>
      <w:r>
        <w:rPr>
          <w:rFonts w:eastAsiaTheme="majorEastAsia" w:cs="Arial"/>
          <w:iCs/>
          <w:szCs w:val="20"/>
        </w:rPr>
        <w:t xml:space="preserve"> that are</w:t>
      </w:r>
      <w:r w:rsidRPr="0020182A">
        <w:rPr>
          <w:rFonts w:eastAsiaTheme="majorEastAsia" w:cs="Arial"/>
          <w:iCs/>
          <w:szCs w:val="20"/>
        </w:rPr>
        <w:t xml:space="preserve"> already available and developing in the market (such as Nest and The Housing Hub) which allow participants to access information on existing SDA dwellings and SDA vacancies </w:t>
      </w:r>
      <w:r>
        <w:rPr>
          <w:rFonts w:eastAsiaTheme="majorEastAsia" w:cs="Arial"/>
          <w:iCs/>
          <w:szCs w:val="20"/>
        </w:rPr>
        <w:t>that</w:t>
      </w:r>
      <w:r w:rsidRPr="0020182A">
        <w:rPr>
          <w:rFonts w:eastAsiaTheme="majorEastAsia" w:cs="Arial"/>
          <w:iCs/>
          <w:szCs w:val="20"/>
        </w:rPr>
        <w:t xml:space="preserve"> meet their needs and preferences, and </w:t>
      </w:r>
      <w:r>
        <w:rPr>
          <w:rFonts w:eastAsiaTheme="majorEastAsia" w:cs="Arial"/>
          <w:iCs/>
          <w:szCs w:val="20"/>
        </w:rPr>
        <w:t>that</w:t>
      </w:r>
      <w:r w:rsidRPr="0020182A">
        <w:rPr>
          <w:rFonts w:eastAsiaTheme="majorEastAsia" w:cs="Arial"/>
          <w:iCs/>
          <w:szCs w:val="20"/>
        </w:rPr>
        <w:t xml:space="preserve"> link participants to SDA providers. This will provide opportunities for participants and their representatives and providers/investors to meet to influence the design and development of new SDA dwellings.</w:t>
      </w:r>
    </w:p>
    <w:p w:rsidR="009A016F" w:rsidRPr="009C5B66" w:rsidRDefault="009A016F" w:rsidP="009C5B66">
      <w:pPr>
        <w:pStyle w:val="BodyText2"/>
        <w:rPr>
          <w:sz w:val="20"/>
        </w:rPr>
      </w:pPr>
      <w:r w:rsidRPr="009C5B66">
        <w:rPr>
          <w:sz w:val="20"/>
        </w:rPr>
        <w:t>Recommendation 7: Develop and publish clear, accessible information for participants and investors about the SDA Rules, Framework, and Price Guide.</w:t>
      </w:r>
    </w:p>
    <w:p w:rsidR="009A016F" w:rsidRPr="0020182A" w:rsidRDefault="009A016F" w:rsidP="009A016F">
      <w:pPr>
        <w:pStyle w:val="BodyText1"/>
        <w:spacing w:before="80" w:after="80"/>
        <w:rPr>
          <w:rFonts w:eastAsiaTheme="majorEastAsia" w:cs="Arial"/>
          <w:iCs/>
          <w:szCs w:val="20"/>
        </w:rPr>
      </w:pPr>
      <w:r w:rsidRPr="0020182A">
        <w:rPr>
          <w:rFonts w:eastAsiaTheme="majorEastAsia" w:cs="Arial"/>
          <w:iCs/>
          <w:szCs w:val="20"/>
        </w:rPr>
        <w:t>It is recommended that multiple channels be considered, including the release of plain English documents for distribution by planners, L</w:t>
      </w:r>
      <w:r>
        <w:rPr>
          <w:rFonts w:eastAsiaTheme="majorEastAsia" w:cs="Arial"/>
          <w:iCs/>
          <w:szCs w:val="20"/>
        </w:rPr>
        <w:t>ocal Area Coordinators (L</w:t>
      </w:r>
      <w:r w:rsidRPr="0020182A">
        <w:rPr>
          <w:rFonts w:eastAsiaTheme="majorEastAsia" w:cs="Arial"/>
          <w:iCs/>
          <w:szCs w:val="20"/>
        </w:rPr>
        <w:t>ACs</w:t>
      </w:r>
      <w:r>
        <w:rPr>
          <w:rFonts w:eastAsiaTheme="majorEastAsia" w:cs="Arial"/>
          <w:iCs/>
          <w:szCs w:val="20"/>
        </w:rPr>
        <w:t>)</w:t>
      </w:r>
      <w:r w:rsidRPr="0020182A">
        <w:rPr>
          <w:rFonts w:eastAsiaTheme="majorEastAsia" w:cs="Arial"/>
          <w:iCs/>
          <w:szCs w:val="20"/>
        </w:rPr>
        <w:t xml:space="preserve"> and providers; participant and investor information sessions; and web-based information. This would promote understanding amongst all stakeholders about the operation of SDA, and the roles, responsibilities, options and requirements for all stakeholders.</w:t>
      </w:r>
    </w:p>
    <w:p w:rsidR="006A71E3" w:rsidRPr="0020182A" w:rsidRDefault="006A71E3" w:rsidP="006A71E3">
      <w:pPr>
        <w:pStyle w:val="Heading2"/>
      </w:pPr>
      <w:bookmarkStart w:id="69" w:name="_Toc530648957"/>
      <w:r w:rsidRPr="0020182A">
        <w:lastRenderedPageBreak/>
        <w:t>Supply</w:t>
      </w:r>
      <w:bookmarkEnd w:id="68"/>
      <w:bookmarkEnd w:id="69"/>
    </w:p>
    <w:tbl>
      <w:tblPr>
        <w:tblStyle w:val="TableGrid"/>
        <w:tblW w:w="9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mmary of key findings in regards to Supply"/>
        <w:tblDescription w:val="Key findings relate to the categories of market confidence, information, pricing, risks, quality and innovation."/>
      </w:tblPr>
      <w:tblGrid>
        <w:gridCol w:w="284"/>
        <w:gridCol w:w="8810"/>
      </w:tblGrid>
      <w:tr w:rsidR="006A71E3" w:rsidRPr="0020182A" w:rsidTr="00612CC4">
        <w:trPr>
          <w:trHeight w:val="1710"/>
          <w:tblHeader/>
        </w:trPr>
        <w:tc>
          <w:tcPr>
            <w:tcW w:w="284" w:type="dxa"/>
            <w:tcMar>
              <w:left w:w="0" w:type="dxa"/>
              <w:right w:w="0" w:type="dxa"/>
            </w:tcMar>
          </w:tcPr>
          <w:p w:rsidR="006A71E3" w:rsidRPr="0020182A" w:rsidRDefault="006A71E3" w:rsidP="00F7662C">
            <w:pPr>
              <w:spacing w:before="0" w:after="0"/>
              <w:rPr>
                <w:color w:val="FFFFFF" w:themeColor="background1"/>
              </w:rPr>
            </w:pPr>
          </w:p>
        </w:tc>
        <w:tc>
          <w:tcPr>
            <w:tcW w:w="8810" w:type="dxa"/>
            <w:shd w:val="clear" w:color="auto" w:fill="0091DA" w:themeFill="accent2"/>
            <w:tcMar>
              <w:left w:w="255" w:type="dxa"/>
              <w:right w:w="255" w:type="dxa"/>
            </w:tcMar>
            <w:vAlign w:val="center"/>
          </w:tcPr>
          <w:p w:rsidR="006A71E3" w:rsidRPr="0020182A" w:rsidRDefault="006A71E3" w:rsidP="00F7662C">
            <w:pPr>
              <w:pStyle w:val="Heading3"/>
              <w:spacing w:after="240"/>
              <w:outlineLvl w:val="2"/>
              <w:rPr>
                <w:color w:val="FFFFFF" w:themeColor="background1"/>
              </w:rPr>
            </w:pPr>
            <w:r w:rsidRPr="0020182A">
              <w:rPr>
                <w:color w:val="FFFFFF" w:themeColor="background1"/>
              </w:rPr>
              <w:t>Summary of key findings</w:t>
            </w:r>
          </w:p>
          <w:p w:rsidR="006A71E3" w:rsidRPr="0020182A" w:rsidRDefault="004C3103" w:rsidP="00F7662C">
            <w:pPr>
              <w:pStyle w:val="Numberbullet1stlevel"/>
              <w:numPr>
                <w:ilvl w:val="0"/>
                <w:numId w:val="0"/>
              </w:numPr>
              <w:ind w:left="340" w:hanging="340"/>
              <w:rPr>
                <w:rStyle w:val="White"/>
                <w:b/>
                <w:i/>
              </w:rPr>
            </w:pPr>
            <w:r w:rsidRPr="0020182A">
              <w:rPr>
                <w:rStyle w:val="White"/>
                <w:b/>
                <w:i/>
              </w:rPr>
              <w:t>Market c</w:t>
            </w:r>
            <w:r w:rsidR="006A71E3" w:rsidRPr="0020182A">
              <w:rPr>
                <w:rStyle w:val="White"/>
                <w:b/>
                <w:i/>
              </w:rPr>
              <w:t>onfidence</w:t>
            </w:r>
          </w:p>
          <w:p w:rsidR="006A71E3" w:rsidRPr="0020182A" w:rsidRDefault="006A71E3" w:rsidP="006A71E3">
            <w:pPr>
              <w:pStyle w:val="Numberbullet1stlevel"/>
              <w:rPr>
                <w:rStyle w:val="White"/>
              </w:rPr>
            </w:pPr>
            <w:r w:rsidRPr="0020182A">
              <w:rPr>
                <w:rStyle w:val="White"/>
              </w:rPr>
              <w:t xml:space="preserve">There is substantial amount of interest in SDA from providers and investors, </w:t>
            </w:r>
            <w:r w:rsidR="000C20AC">
              <w:rPr>
                <w:rStyle w:val="White"/>
              </w:rPr>
              <w:t xml:space="preserve">and while there has been some new investment, </w:t>
            </w:r>
            <w:r w:rsidRPr="0020182A">
              <w:rPr>
                <w:rStyle w:val="White"/>
              </w:rPr>
              <w:t>this has not yet translated into significant levels of new investment or supply</w:t>
            </w:r>
            <w:r w:rsidR="005C574C" w:rsidRPr="0020182A">
              <w:rPr>
                <w:rStyle w:val="White"/>
              </w:rPr>
              <w:t>.</w:t>
            </w:r>
            <w:r w:rsidRPr="0020182A">
              <w:rPr>
                <w:rStyle w:val="White"/>
              </w:rPr>
              <w:t xml:space="preserve"> </w:t>
            </w:r>
          </w:p>
          <w:p w:rsidR="006A71E3" w:rsidRPr="0020182A" w:rsidRDefault="006A71E3" w:rsidP="00F7662C">
            <w:pPr>
              <w:pStyle w:val="Numberbullet1stlevel"/>
              <w:numPr>
                <w:ilvl w:val="0"/>
                <w:numId w:val="0"/>
              </w:numPr>
              <w:rPr>
                <w:rStyle w:val="White"/>
                <w:b/>
                <w:i/>
              </w:rPr>
            </w:pPr>
            <w:r w:rsidRPr="0020182A">
              <w:rPr>
                <w:rStyle w:val="White"/>
                <w:b/>
                <w:i/>
              </w:rPr>
              <w:t>Information</w:t>
            </w:r>
          </w:p>
          <w:p w:rsidR="006A71E3" w:rsidRPr="0020182A" w:rsidRDefault="006A71E3" w:rsidP="00F7662C">
            <w:pPr>
              <w:pStyle w:val="Numberbullet1stlevel"/>
              <w:rPr>
                <w:rStyle w:val="White"/>
              </w:rPr>
            </w:pPr>
            <w:r w:rsidRPr="0020182A">
              <w:rPr>
                <w:rStyle w:val="White"/>
              </w:rPr>
              <w:t>Lack of market information is having a detrimental impact on organisations’ willingness to invest in SDA</w:t>
            </w:r>
            <w:r w:rsidR="005C574C" w:rsidRPr="0020182A">
              <w:rPr>
                <w:rStyle w:val="White"/>
              </w:rPr>
              <w:t>.</w:t>
            </w:r>
          </w:p>
          <w:p w:rsidR="006A71E3" w:rsidRPr="0020182A" w:rsidRDefault="006A71E3" w:rsidP="00F7662C">
            <w:pPr>
              <w:pStyle w:val="Numberbullet1stlevel"/>
              <w:numPr>
                <w:ilvl w:val="0"/>
                <w:numId w:val="0"/>
              </w:numPr>
              <w:rPr>
                <w:rStyle w:val="White"/>
                <w:b/>
                <w:i/>
              </w:rPr>
            </w:pPr>
            <w:r w:rsidRPr="0020182A">
              <w:rPr>
                <w:rStyle w:val="White"/>
                <w:b/>
                <w:i/>
              </w:rPr>
              <w:t>Pricing</w:t>
            </w:r>
          </w:p>
          <w:p w:rsidR="00A1325C" w:rsidRPr="0020182A" w:rsidRDefault="00A1325C" w:rsidP="00A1325C">
            <w:pPr>
              <w:pStyle w:val="Numberbullet1stlevel"/>
              <w:rPr>
                <w:rStyle w:val="White"/>
              </w:rPr>
            </w:pPr>
            <w:r w:rsidRPr="0020182A">
              <w:rPr>
                <w:rStyle w:val="White"/>
              </w:rPr>
              <w:t xml:space="preserve">The form and components for establishing benchmark prices were found to be appropriate for setting prices, though </w:t>
            </w:r>
            <w:r w:rsidR="003245E8">
              <w:rPr>
                <w:rStyle w:val="White"/>
              </w:rPr>
              <w:t xml:space="preserve">stakeholders consulted during the Review stated that </w:t>
            </w:r>
            <w:r w:rsidRPr="0020182A">
              <w:rPr>
                <w:rStyle w:val="White"/>
              </w:rPr>
              <w:t xml:space="preserve">some of the underpinning assumptions for each of these components may not reflect actual values or costs. </w:t>
            </w:r>
          </w:p>
          <w:p w:rsidR="00A1325C" w:rsidRPr="0020182A" w:rsidRDefault="00A1325C" w:rsidP="00A1325C">
            <w:pPr>
              <w:pStyle w:val="Numberbullet1stlevel"/>
              <w:rPr>
                <w:rStyle w:val="White"/>
              </w:rPr>
            </w:pPr>
            <w:r w:rsidRPr="0020182A">
              <w:rPr>
                <w:rStyle w:val="White"/>
              </w:rPr>
              <w:t xml:space="preserve">Current </w:t>
            </w:r>
            <w:r w:rsidR="00570FBF">
              <w:rPr>
                <w:rStyle w:val="White"/>
              </w:rPr>
              <w:t>prices</w:t>
            </w:r>
            <w:r w:rsidRPr="0020182A">
              <w:rPr>
                <w:rStyle w:val="White"/>
              </w:rPr>
              <w:t xml:space="preserve"> are contributing to a risk that future growth in supply may not result in an optimal supply mix.</w:t>
            </w:r>
          </w:p>
          <w:p w:rsidR="00A1325C" w:rsidRPr="0020182A" w:rsidRDefault="00A1325C" w:rsidP="00A1325C">
            <w:pPr>
              <w:pStyle w:val="Numberbullet1stlevel"/>
              <w:rPr>
                <w:rStyle w:val="White"/>
              </w:rPr>
            </w:pPr>
            <w:r w:rsidRPr="0020182A">
              <w:rPr>
                <w:rStyle w:val="White"/>
              </w:rPr>
              <w:t>Investors have a strong preference for certainty regarding return on their investment over the life of the investment</w:t>
            </w:r>
          </w:p>
          <w:p w:rsidR="006A71E3" w:rsidRPr="0020182A" w:rsidRDefault="006A71E3" w:rsidP="00F7662C">
            <w:pPr>
              <w:pStyle w:val="Numberbullet1stlevel"/>
              <w:numPr>
                <w:ilvl w:val="0"/>
                <w:numId w:val="0"/>
              </w:numPr>
              <w:rPr>
                <w:rStyle w:val="White"/>
                <w:b/>
                <w:i/>
              </w:rPr>
            </w:pPr>
            <w:r w:rsidRPr="0020182A">
              <w:rPr>
                <w:rStyle w:val="White"/>
                <w:b/>
                <w:i/>
              </w:rPr>
              <w:t>Risks</w:t>
            </w:r>
          </w:p>
          <w:p w:rsidR="006A71E3" w:rsidRPr="0020182A" w:rsidRDefault="006A71E3" w:rsidP="00F7662C">
            <w:pPr>
              <w:pStyle w:val="Numberbullet1stlevel"/>
              <w:rPr>
                <w:rStyle w:val="White"/>
              </w:rPr>
            </w:pPr>
            <w:r w:rsidRPr="0020182A">
              <w:rPr>
                <w:rStyle w:val="White"/>
              </w:rPr>
              <w:t xml:space="preserve">There are a range of risks and uncertainties that </w:t>
            </w:r>
            <w:r w:rsidR="00A1325C" w:rsidRPr="0020182A">
              <w:rPr>
                <w:rStyle w:val="White"/>
              </w:rPr>
              <w:t>contribute to a reluctance to invest and could slow future supply growth</w:t>
            </w:r>
            <w:r w:rsidR="005C574C" w:rsidRPr="0020182A">
              <w:rPr>
                <w:rStyle w:val="White"/>
              </w:rPr>
              <w:t>.</w:t>
            </w:r>
          </w:p>
          <w:p w:rsidR="006A71E3" w:rsidRPr="0020182A" w:rsidRDefault="006A71E3" w:rsidP="00F7662C">
            <w:pPr>
              <w:pStyle w:val="Numberbullet1stlevel"/>
              <w:numPr>
                <w:ilvl w:val="0"/>
                <w:numId w:val="0"/>
              </w:numPr>
              <w:rPr>
                <w:rStyle w:val="White"/>
                <w:b/>
                <w:i/>
              </w:rPr>
            </w:pPr>
            <w:r w:rsidRPr="0020182A">
              <w:rPr>
                <w:rStyle w:val="White"/>
                <w:b/>
                <w:i/>
              </w:rPr>
              <w:t>Quality</w:t>
            </w:r>
          </w:p>
          <w:p w:rsidR="006A71E3" w:rsidRPr="0020182A" w:rsidRDefault="006A71E3" w:rsidP="00F7662C">
            <w:pPr>
              <w:pStyle w:val="Numberbullet1stlevel"/>
              <w:rPr>
                <w:rStyle w:val="White"/>
              </w:rPr>
            </w:pPr>
            <w:r w:rsidRPr="0020182A">
              <w:rPr>
                <w:rStyle w:val="White"/>
              </w:rPr>
              <w:t>While the design guidelines used for SDA promote quality building and design, it is too early to determine whether this is being achieved</w:t>
            </w:r>
            <w:r w:rsidR="005C574C" w:rsidRPr="0020182A">
              <w:rPr>
                <w:rStyle w:val="White"/>
              </w:rPr>
              <w:t>.</w:t>
            </w:r>
          </w:p>
          <w:p w:rsidR="006A71E3" w:rsidRPr="0020182A" w:rsidRDefault="006A71E3" w:rsidP="00F7662C">
            <w:pPr>
              <w:pStyle w:val="Numberbullet1stlevel"/>
              <w:rPr>
                <w:rStyle w:val="White"/>
              </w:rPr>
            </w:pPr>
            <w:r w:rsidRPr="0020182A">
              <w:rPr>
                <w:rStyle w:val="White"/>
              </w:rPr>
              <w:t>There is a lack of clarity relating to the role and requirements of the NDIS Commission with respect to SDA, and uncertainty around any cost implications of new quality requirements</w:t>
            </w:r>
            <w:r w:rsidR="005C574C" w:rsidRPr="0020182A">
              <w:rPr>
                <w:rStyle w:val="White"/>
              </w:rPr>
              <w:t>.</w:t>
            </w:r>
          </w:p>
          <w:p w:rsidR="006A71E3" w:rsidRPr="0020182A" w:rsidRDefault="006A71E3" w:rsidP="00F7662C">
            <w:pPr>
              <w:pStyle w:val="Numberbullet1stlevel"/>
              <w:numPr>
                <w:ilvl w:val="0"/>
                <w:numId w:val="0"/>
              </w:numPr>
              <w:rPr>
                <w:rStyle w:val="White"/>
                <w:b/>
                <w:i/>
              </w:rPr>
            </w:pPr>
            <w:r w:rsidRPr="0020182A">
              <w:rPr>
                <w:rStyle w:val="White"/>
                <w:b/>
                <w:i/>
              </w:rPr>
              <w:t xml:space="preserve">Innovation </w:t>
            </w:r>
          </w:p>
          <w:p w:rsidR="00A1325C" w:rsidRPr="0020182A" w:rsidRDefault="00A1325C" w:rsidP="00A1325C">
            <w:pPr>
              <w:pStyle w:val="Numberbullet1stlevel"/>
              <w:rPr>
                <w:rStyle w:val="White"/>
              </w:rPr>
            </w:pPr>
            <w:r w:rsidRPr="0020182A">
              <w:rPr>
                <w:rStyle w:val="White"/>
              </w:rPr>
              <w:t>The immaturity of the SDA market means that the notions of innovation are still being determined.</w:t>
            </w:r>
          </w:p>
          <w:p w:rsidR="00ED5E52" w:rsidRDefault="00A1325C" w:rsidP="00ED5E52">
            <w:pPr>
              <w:pStyle w:val="Numberbullet1stlevel"/>
              <w:rPr>
                <w:rStyle w:val="White"/>
              </w:rPr>
            </w:pPr>
            <w:r w:rsidRPr="0020182A">
              <w:rPr>
                <w:rStyle w:val="White"/>
              </w:rPr>
              <w:t xml:space="preserve">Participants are limited in their ability to drive the development of innovative SDA designs. </w:t>
            </w:r>
          </w:p>
          <w:p w:rsidR="00ED5E52" w:rsidRPr="00ED5E52" w:rsidRDefault="00ED5E52" w:rsidP="00ED5E52">
            <w:pPr>
              <w:pStyle w:val="Numberbullet1stlevel"/>
              <w:rPr>
                <w:rStyle w:val="White"/>
              </w:rPr>
            </w:pPr>
            <w:r w:rsidRPr="00ED5E52">
              <w:rPr>
                <w:rStyle w:val="White"/>
              </w:rPr>
              <w:t>There are som</w:t>
            </w:r>
            <w:r w:rsidR="00A97A7B">
              <w:rPr>
                <w:rStyle w:val="White"/>
              </w:rPr>
              <w:t xml:space="preserve">e aspects of the SDA Framework and </w:t>
            </w:r>
            <w:r w:rsidRPr="00ED5E52">
              <w:rPr>
                <w:rStyle w:val="White"/>
              </w:rPr>
              <w:t xml:space="preserve">Rules that are creating some barriers to achieving innovation </w:t>
            </w:r>
          </w:p>
          <w:p w:rsidR="006A71E3" w:rsidRPr="0020182A" w:rsidRDefault="006A71E3" w:rsidP="00F7662C">
            <w:pPr>
              <w:pStyle w:val="ListNumber"/>
              <w:tabs>
                <w:tab w:val="clear" w:pos="360"/>
              </w:tabs>
              <w:ind w:left="0" w:firstLine="0"/>
              <w:rPr>
                <w:sz w:val="2"/>
                <w:szCs w:val="2"/>
              </w:rPr>
            </w:pPr>
          </w:p>
        </w:tc>
      </w:tr>
    </w:tbl>
    <w:p w:rsidR="006A71E3" w:rsidRPr="0020182A" w:rsidRDefault="006A71E3" w:rsidP="006A71E3">
      <w:pPr>
        <w:pStyle w:val="Heading3"/>
      </w:pPr>
      <w:r w:rsidRPr="0020182A">
        <w:t>Context</w:t>
      </w:r>
    </w:p>
    <w:p w:rsidR="00A1325C" w:rsidRPr="0020182A" w:rsidRDefault="00A1325C" w:rsidP="00A1325C">
      <w:pPr>
        <w:pStyle w:val="BodyText1"/>
      </w:pPr>
      <w:r w:rsidRPr="0020182A">
        <w:t xml:space="preserve">The Productivity Commission estimated that approximately six percent of Scheme participants will require SDA – approximately 28,000 at full Scheme – a significant increase on the 15,700 people estimated to be accessing various types of supported accommodation funded or provided through </w:t>
      </w:r>
      <w:r w:rsidR="00F61B99">
        <w:t>s</w:t>
      </w:r>
      <w:r w:rsidRPr="0020182A">
        <w:t>tate/</w:t>
      </w:r>
      <w:r w:rsidR="00F61B99">
        <w:t>t</w:t>
      </w:r>
      <w:r w:rsidRPr="0020182A">
        <w:t xml:space="preserve">erritory disability service systems. </w:t>
      </w:r>
      <w:r w:rsidR="00606E1C" w:rsidRPr="0020182A">
        <w:t xml:space="preserve"> New </w:t>
      </w:r>
      <w:r w:rsidRPr="0020182A">
        <w:t>SDA dwellings for 12,300 participants will be required.</w:t>
      </w:r>
    </w:p>
    <w:p w:rsidR="00A1325C" w:rsidRPr="0020182A" w:rsidRDefault="00606E1C" w:rsidP="00A1325C">
      <w:pPr>
        <w:pStyle w:val="BodyText1"/>
      </w:pPr>
      <w:r w:rsidRPr="0020182A">
        <w:t>M</w:t>
      </w:r>
      <w:r w:rsidR="00A1325C" w:rsidRPr="0020182A">
        <w:t xml:space="preserve">ore contemporary models of providing specialist accommodation support to people with disability are required to facilitate better outcomes for </w:t>
      </w:r>
      <w:r w:rsidRPr="0020182A">
        <w:t>participants</w:t>
      </w:r>
      <w:r w:rsidR="00A1325C" w:rsidRPr="0020182A">
        <w:t xml:space="preserve"> and to better meet the needs and preferences of people with disability who require SDA. This means a move away from more traditional group home </w:t>
      </w:r>
      <w:r w:rsidR="00A1325C" w:rsidRPr="0020182A">
        <w:lastRenderedPageBreak/>
        <w:t>models towards smaller homes, homes</w:t>
      </w:r>
      <w:r w:rsidR="009A016F">
        <w:t xml:space="preserve"> that</w:t>
      </w:r>
      <w:r w:rsidR="00A1325C" w:rsidRPr="0020182A">
        <w:t xml:space="preserve"> provide a greater degree of independence, and homes </w:t>
      </w:r>
      <w:r w:rsidR="009A016F">
        <w:t>that</w:t>
      </w:r>
      <w:r w:rsidR="009A016F" w:rsidRPr="0020182A">
        <w:t xml:space="preserve"> </w:t>
      </w:r>
      <w:r w:rsidR="00A1325C" w:rsidRPr="0020182A">
        <w:t xml:space="preserve">maximise connections to communities in which people live. </w:t>
      </w:r>
    </w:p>
    <w:p w:rsidR="00A1325C" w:rsidRPr="0020182A" w:rsidRDefault="00A1325C" w:rsidP="00A1325C">
      <w:pPr>
        <w:pStyle w:val="BodyText1"/>
      </w:pPr>
      <w:r w:rsidRPr="0020182A">
        <w:t xml:space="preserve">Increase in supply, and greater diversity in supply, can only be achieved through significant additional investment in SDA – both through developing new SDA properties, and redeveloping or refurbishing existing SDA properties to meet new SDA standards. </w:t>
      </w:r>
    </w:p>
    <w:p w:rsidR="006A71E3" w:rsidRPr="0020182A" w:rsidRDefault="00A1325C" w:rsidP="00A1325C">
      <w:pPr>
        <w:pStyle w:val="BodyText1"/>
      </w:pPr>
      <w:r w:rsidRPr="0020182A">
        <w:t xml:space="preserve">One of the key aims of the SDA Framework </w:t>
      </w:r>
      <w:r w:rsidR="009A016F">
        <w:t>i</w:t>
      </w:r>
      <w:r w:rsidRPr="0020182A">
        <w:t xml:space="preserve">s to generate investor and provider interest in SDA, and specifically to encourage and facilitate investment in quality SDA. Evidence presented to this Review suggests that </w:t>
      </w:r>
      <w:r w:rsidR="0075797B">
        <w:t xml:space="preserve">while there has been considerable interest in SDA to date, investment has been more limited, </w:t>
      </w:r>
      <w:r w:rsidRPr="0020182A">
        <w:t>and changes to the SDA Framework, Rules, policies and implementation to increase investor confidence need to be considered. The Review identifies key findings with respect to achieving optimal supply and supply mix, along with suggested solutions, are discussed below. These findings are presented against each of the key elements of a well-functioning market described in Section 2 and 3, that is</w:t>
      </w:r>
      <w:r w:rsidR="006A71E3" w:rsidRPr="0020182A">
        <w:t>:</w:t>
      </w:r>
    </w:p>
    <w:p w:rsidR="006A71E3" w:rsidRPr="0020182A" w:rsidRDefault="00AB24F3" w:rsidP="009B671C">
      <w:pPr>
        <w:pStyle w:val="BodyText1"/>
        <w:numPr>
          <w:ilvl w:val="0"/>
          <w:numId w:val="73"/>
        </w:numPr>
      </w:pPr>
      <w:r w:rsidRPr="0020182A">
        <w:t>Market c</w:t>
      </w:r>
      <w:r w:rsidR="006A71E3" w:rsidRPr="0020182A">
        <w:t>onfidence</w:t>
      </w:r>
    </w:p>
    <w:p w:rsidR="006A71E3" w:rsidRPr="0020182A" w:rsidRDefault="006A71E3" w:rsidP="009B671C">
      <w:pPr>
        <w:pStyle w:val="BodyText1"/>
        <w:numPr>
          <w:ilvl w:val="0"/>
          <w:numId w:val="73"/>
        </w:numPr>
      </w:pPr>
      <w:r w:rsidRPr="0020182A">
        <w:t>Information</w:t>
      </w:r>
    </w:p>
    <w:p w:rsidR="006A71E3" w:rsidRPr="0020182A" w:rsidRDefault="006A71E3" w:rsidP="009B671C">
      <w:pPr>
        <w:pStyle w:val="BodyText1"/>
        <w:numPr>
          <w:ilvl w:val="0"/>
          <w:numId w:val="73"/>
        </w:numPr>
      </w:pPr>
      <w:r w:rsidRPr="0020182A">
        <w:t>Pricing</w:t>
      </w:r>
    </w:p>
    <w:p w:rsidR="006A71E3" w:rsidRPr="0020182A" w:rsidRDefault="006A71E3" w:rsidP="009B671C">
      <w:pPr>
        <w:pStyle w:val="BodyText1"/>
        <w:numPr>
          <w:ilvl w:val="0"/>
          <w:numId w:val="73"/>
        </w:numPr>
      </w:pPr>
      <w:r w:rsidRPr="0020182A">
        <w:t>Risk</w:t>
      </w:r>
    </w:p>
    <w:p w:rsidR="006A71E3" w:rsidRPr="0020182A" w:rsidRDefault="006A71E3" w:rsidP="009B671C">
      <w:pPr>
        <w:pStyle w:val="BodyText1"/>
        <w:numPr>
          <w:ilvl w:val="0"/>
          <w:numId w:val="73"/>
        </w:numPr>
      </w:pPr>
      <w:r w:rsidRPr="0020182A">
        <w:t>Quality</w:t>
      </w:r>
    </w:p>
    <w:p w:rsidR="006A71E3" w:rsidRPr="0020182A" w:rsidRDefault="006A71E3" w:rsidP="009B671C">
      <w:pPr>
        <w:pStyle w:val="BodyText1"/>
        <w:numPr>
          <w:ilvl w:val="0"/>
          <w:numId w:val="73"/>
        </w:numPr>
      </w:pPr>
      <w:r w:rsidRPr="0020182A">
        <w:t>Innovation</w:t>
      </w:r>
      <w:r w:rsidR="009E0A81" w:rsidRPr="0020182A">
        <w:t>.</w:t>
      </w:r>
    </w:p>
    <w:p w:rsidR="006A71E3" w:rsidRPr="0020182A" w:rsidRDefault="006A71E3" w:rsidP="006A71E3">
      <w:pPr>
        <w:pStyle w:val="Heading3"/>
      </w:pPr>
      <w:r w:rsidRPr="0020182A">
        <w:t>1. Market confidence</w:t>
      </w:r>
    </w:p>
    <w:p w:rsidR="00A1325C" w:rsidRPr="0020182A" w:rsidRDefault="00A1325C" w:rsidP="00A1325C">
      <w:r w:rsidRPr="0020182A">
        <w:t xml:space="preserve">In a well-developed market, current and potential market players should have sufficient confidence in the market and policy settings to generate interest and investment to ensure optimal supply. </w:t>
      </w:r>
    </w:p>
    <w:p w:rsidR="00D401E4" w:rsidRPr="0020182A" w:rsidRDefault="00A1325C" w:rsidP="00A1325C">
      <w:r w:rsidRPr="0020182A">
        <w:t>While it does not set out any specific points relating to confidence in the market, the parameters set within the SDA Framework and the way it is implemented must support confidence within the market in order to boost the level of supply of SDA and meet the needs of SDA participants.</w:t>
      </w:r>
    </w:p>
    <w:p w:rsidR="006A71E3" w:rsidRPr="000E758D" w:rsidRDefault="006A71E3" w:rsidP="000E758D">
      <w:pPr>
        <w:pStyle w:val="BodyText2"/>
        <w:rPr>
          <w:b/>
          <w:sz w:val="24"/>
        </w:rPr>
      </w:pPr>
      <w:r w:rsidRPr="000E758D">
        <w:rPr>
          <w:b/>
          <w:sz w:val="24"/>
        </w:rPr>
        <w:t xml:space="preserve">There is substantial amount of interest in SDA from providers and investors, though this has not yet translated into significant levels of new investment or supply </w:t>
      </w:r>
    </w:p>
    <w:p w:rsidR="00A1325C" w:rsidRPr="0020182A" w:rsidRDefault="00A1325C" w:rsidP="00A1325C">
      <w:pPr>
        <w:pStyle w:val="BodyText1"/>
      </w:pPr>
      <w:r w:rsidRPr="0020182A">
        <w:t xml:space="preserve">There is substantial qualitative evidence that the SDA Framework, SDA Rules and other associated policy and pricing documentation (i.e. Decision Paper, SDA Price Guide), have stimulated interest from a range of providers and investors in SDA. This includes interest from existing disability service providers, newly-formed disability support organisations, community housing providers, as well as private and institutional investors. Notably, there is evidence of interest from outside the “traditional” disability and community housing sectors from investors and lenders attracted by the potential returns SDA could provide and the broader benefits for their organisations of investing in important social infrastructure. </w:t>
      </w:r>
    </w:p>
    <w:p w:rsidR="00A1325C" w:rsidRPr="0020182A" w:rsidRDefault="00A1325C" w:rsidP="00A1325C">
      <w:pPr>
        <w:pStyle w:val="BodyText1"/>
      </w:pPr>
      <w:r w:rsidRPr="0020182A">
        <w:t>Further, there is evidence that organisations are forming partnerships which bring together the range of knowledge and capability required to provide SDA (i.e. experience and understanding of the specific needs of people with significant disability requiring an SDA response, experience in designing and developing properties for people with disability, and experience in managing large property portfolios) with access to the significant amounts of capital and ability to secure debt finance required to achieve large scale growth in supply. Various partnership models are emerging:</w:t>
      </w:r>
    </w:p>
    <w:p w:rsidR="00A1325C" w:rsidRPr="0020182A" w:rsidRDefault="00A1325C" w:rsidP="009B671C">
      <w:pPr>
        <w:pStyle w:val="BodyText1"/>
        <w:numPr>
          <w:ilvl w:val="0"/>
          <w:numId w:val="44"/>
        </w:numPr>
      </w:pPr>
      <w:r w:rsidRPr="0020182A">
        <w:t>Existing or newly formed disability support provider</w:t>
      </w:r>
      <w:r w:rsidR="00DC5926">
        <w:t>s</w:t>
      </w:r>
      <w:r w:rsidRPr="0020182A">
        <w:t xml:space="preserve"> partnering with a community housing provider to design, develop and manage specific SDA developments – typically smaller scale and targeted towards specific cohort groups.</w:t>
      </w:r>
    </w:p>
    <w:p w:rsidR="00A1325C" w:rsidRPr="0020182A" w:rsidRDefault="00A1325C" w:rsidP="009B671C">
      <w:pPr>
        <w:pStyle w:val="BodyText1"/>
        <w:numPr>
          <w:ilvl w:val="0"/>
          <w:numId w:val="44"/>
        </w:numPr>
      </w:pPr>
      <w:r w:rsidRPr="0020182A">
        <w:t>An investor partnering with a disability housing provider and/or community housing provider to design, develop and manage a number of SDA developments over time (i.e. larger scale).</w:t>
      </w:r>
    </w:p>
    <w:p w:rsidR="00A1325C" w:rsidRPr="0020182A" w:rsidRDefault="00A1325C" w:rsidP="009B671C">
      <w:pPr>
        <w:pStyle w:val="BodyText1"/>
        <w:numPr>
          <w:ilvl w:val="0"/>
          <w:numId w:val="44"/>
        </w:numPr>
      </w:pPr>
      <w:r w:rsidRPr="0020182A">
        <w:t>Disability support providers forming long-term partnerships with investors/lenders to access finance.</w:t>
      </w:r>
    </w:p>
    <w:p w:rsidR="006A71E3" w:rsidRPr="0020182A" w:rsidRDefault="007130A7" w:rsidP="00A1325C">
      <w:pPr>
        <w:pStyle w:val="BodyText1"/>
      </w:pPr>
      <w:r w:rsidRPr="0020182A">
        <w:lastRenderedPageBreak/>
        <w:t>D</w:t>
      </w:r>
      <w:r w:rsidR="00A1325C" w:rsidRPr="0020182A">
        <w:t>espite considerable interest in SDA overall, there is limited evidence of substantial investments being made in SDA to date or of significant increase in SDA supply</w:t>
      </w:r>
      <w:r w:rsidR="00DC5926">
        <w:t>. A</w:t>
      </w:r>
      <w:r w:rsidR="008C479C" w:rsidRPr="0020182A">
        <w:t xml:space="preserve">vailable </w:t>
      </w:r>
      <w:r w:rsidR="00A1325C" w:rsidRPr="0020182A">
        <w:t>data provided by the NDIA</w:t>
      </w:r>
      <w:r w:rsidR="008C479C" w:rsidRPr="0020182A">
        <w:t xml:space="preserve"> indicates that </w:t>
      </w:r>
      <w:r w:rsidR="00A1325C" w:rsidRPr="0020182A">
        <w:t xml:space="preserve">there have been </w:t>
      </w:r>
      <w:r w:rsidR="00CB0B53">
        <w:t>273</w:t>
      </w:r>
      <w:r w:rsidR="00CB0B53" w:rsidRPr="0020182A">
        <w:t xml:space="preserve"> </w:t>
      </w:r>
      <w:r w:rsidR="00A1325C" w:rsidRPr="0020182A">
        <w:t>new SDA dwellings registered</w:t>
      </w:r>
      <w:r w:rsidRPr="0020182A">
        <w:t xml:space="preserve"> as at </w:t>
      </w:r>
      <w:r w:rsidR="00CB0B53">
        <w:t xml:space="preserve">September </w:t>
      </w:r>
      <w:r w:rsidRPr="0020182A">
        <w:t>2018</w:t>
      </w:r>
      <w:r w:rsidR="00A1325C" w:rsidRPr="0020182A">
        <w:t xml:space="preserve">, representing approximately </w:t>
      </w:r>
      <w:r w:rsidR="00CB0B53" w:rsidRPr="0020182A">
        <w:t>5</w:t>
      </w:r>
      <w:r w:rsidR="00CB0B53">
        <w:t>91</w:t>
      </w:r>
      <w:r w:rsidR="00CB0B53" w:rsidRPr="0020182A">
        <w:t xml:space="preserve"> </w:t>
      </w:r>
      <w:r w:rsidR="00A1325C" w:rsidRPr="0020182A">
        <w:t xml:space="preserve">additional SDA places. </w:t>
      </w:r>
      <w:r w:rsidRPr="0020182A">
        <w:t xml:space="preserve"> I</w:t>
      </w:r>
      <w:r w:rsidR="00A1325C" w:rsidRPr="0020182A">
        <w:t>t would be unreasonable to expect that at this stage of the Scheme</w:t>
      </w:r>
      <w:r w:rsidR="00DC5926">
        <w:t>’s</w:t>
      </w:r>
      <w:r w:rsidR="00A1325C" w:rsidRPr="0020182A">
        <w:t xml:space="preserve"> implementation there would have been significant increases in supply – particularly given there are long lead times for developing new properties (up to two years). </w:t>
      </w:r>
      <w:r w:rsidRPr="0020182A">
        <w:t xml:space="preserve"> </w:t>
      </w:r>
      <w:r w:rsidR="00A1325C" w:rsidRPr="0020182A">
        <w:t>In addition, the Scheme is relatively new and the SDA market still largely untested</w:t>
      </w:r>
      <w:r w:rsidR="00DC5926">
        <w:t>. T</w:t>
      </w:r>
      <w:r w:rsidR="00A1325C" w:rsidRPr="0020182A">
        <w:t xml:space="preserve">here </w:t>
      </w:r>
      <w:r w:rsidRPr="0020182A">
        <w:t xml:space="preserve">remains </w:t>
      </w:r>
      <w:r w:rsidR="00A1325C" w:rsidRPr="0020182A">
        <w:t>a degree of hesitanc</w:t>
      </w:r>
      <w:r w:rsidR="00DC5926">
        <w:t>e</w:t>
      </w:r>
      <w:r w:rsidR="00A1325C" w:rsidRPr="0020182A">
        <w:t xml:space="preserve"> in making large scale investment in SDA at this point in time </w:t>
      </w:r>
      <w:r w:rsidRPr="0020182A">
        <w:t>(</w:t>
      </w:r>
      <w:r w:rsidR="00A1325C" w:rsidRPr="0020182A">
        <w:t xml:space="preserve">discussed in detail </w:t>
      </w:r>
      <w:r w:rsidRPr="0020182A">
        <w:t>in a previous section)</w:t>
      </w:r>
      <w:r w:rsidR="00A1325C" w:rsidRPr="0020182A">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ritten submission"/>
        <w:tblDescription w:val="Written submission states “Since its inception, the potential SDA market has generated a significant amount of energy, interest, activity and goodwill. However, the willingness of investors and financiers to invest…has been significantly thwarted by the lack of certainty and clarity associated with the framework…and administration of SDA.”"/>
      </w:tblPr>
      <w:tblGrid>
        <w:gridCol w:w="8072"/>
      </w:tblGrid>
      <w:tr w:rsidR="00612CC4" w:rsidRPr="0020182A" w:rsidTr="00612CC4">
        <w:trPr>
          <w:tblHeader/>
        </w:trPr>
        <w:tc>
          <w:tcPr>
            <w:tcW w:w="8072" w:type="dxa"/>
          </w:tcPr>
          <w:p w:rsidR="00612CC4" w:rsidRPr="0020182A" w:rsidRDefault="00612CC4" w:rsidP="00F7662C">
            <w:pPr>
              <w:pStyle w:val="BodyText"/>
              <w:spacing w:after="0"/>
            </w:pPr>
            <w:r>
              <w:t>“</w:t>
            </w:r>
            <w:r w:rsidRPr="0020182A">
              <w:t>Since its inception, the potential SDA market has generated a significant amount of energy, interest, activity and goodwill. However, the willingness of investors and financiers to invest…has been significantly thwarted by the lack of certainty and clarity associated with the framework…and administration of SDA</w:t>
            </w:r>
            <w:r>
              <w:t>.</w:t>
            </w:r>
            <w:r w:rsidRPr="0020182A">
              <w:t>”</w:t>
            </w:r>
          </w:p>
          <w:p w:rsidR="00612CC4" w:rsidRPr="0020182A" w:rsidRDefault="00612CC4" w:rsidP="00F7662C">
            <w:pPr>
              <w:pStyle w:val="BodyText"/>
              <w:spacing w:before="0"/>
              <w:jc w:val="right"/>
              <w:rPr>
                <w:sz w:val="16"/>
                <w:szCs w:val="16"/>
              </w:rPr>
            </w:pPr>
            <w:r w:rsidRPr="0020182A">
              <w:rPr>
                <w:sz w:val="16"/>
                <w:szCs w:val="16"/>
              </w:rPr>
              <w:t>– Written submission</w:t>
            </w:r>
          </w:p>
        </w:tc>
      </w:tr>
    </w:tbl>
    <w:p w:rsidR="006A71E3" w:rsidRPr="0020182A" w:rsidRDefault="006A71E3" w:rsidP="006A71E3">
      <w:pPr>
        <w:pStyle w:val="BodyText1"/>
      </w:pPr>
    </w:p>
    <w:p w:rsidR="006A71E3" w:rsidRPr="008B3E84" w:rsidRDefault="006A71E3" w:rsidP="008B3E84">
      <w:pPr>
        <w:pStyle w:val="BodyText2"/>
        <w:rPr>
          <w:rStyle w:val="Heading6Char"/>
          <w:i w:val="0"/>
        </w:rPr>
      </w:pPr>
      <w:r w:rsidRPr="008B3E84">
        <w:rPr>
          <w:sz w:val="20"/>
        </w:rPr>
        <w:t>I</w:t>
      </w:r>
      <w:r w:rsidRPr="008B3E84">
        <w:rPr>
          <w:rStyle w:val="Heading6Char"/>
          <w:i w:val="0"/>
        </w:rPr>
        <w:t xml:space="preserve">ncreases in SDA supply – evidence </w:t>
      </w:r>
    </w:p>
    <w:p w:rsidR="00CB0B53" w:rsidRPr="00204436" w:rsidRDefault="00CB0B53" w:rsidP="00CB0B53">
      <w:pPr>
        <w:pStyle w:val="BodyText1"/>
      </w:pPr>
      <w:r w:rsidRPr="00204436">
        <w:t xml:space="preserve">The NDIA has a range of data available relating to SDA providers and dwellings registered and enrolled by the NDIA. </w:t>
      </w:r>
      <w:r>
        <w:t xml:space="preserve"> </w:t>
      </w:r>
      <w:r w:rsidRPr="00204436">
        <w:t>While there are some limitations with this data set</w:t>
      </w:r>
      <w:r w:rsidRPr="00204436">
        <w:rPr>
          <w:rStyle w:val="FootnoteReference"/>
        </w:rPr>
        <w:footnoteReference w:id="17"/>
      </w:r>
      <w:r w:rsidRPr="00204436">
        <w:t>, it the best source of data relating to SDA supply</w:t>
      </w:r>
      <w:r>
        <w:t xml:space="preserve"> </w:t>
      </w:r>
      <w:r w:rsidRPr="00204436">
        <w:t>and increase</w:t>
      </w:r>
      <w:r>
        <w:t>s</w:t>
      </w:r>
      <w:r w:rsidRPr="00204436">
        <w:t xml:space="preserve"> in SDA supply. An overview of the SDA supply, based on detailed data provided by the NDIA in July 2018, is described in section </w:t>
      </w:r>
      <w:r w:rsidRPr="00204436">
        <w:fldChar w:fldCharType="begin"/>
      </w:r>
      <w:r w:rsidRPr="00204436">
        <w:instrText xml:space="preserve"> REF _Ref520538988 \r \h  \* MERGEFORMAT </w:instrText>
      </w:r>
      <w:r w:rsidRPr="00204436">
        <w:fldChar w:fldCharType="separate"/>
      </w:r>
      <w:r w:rsidR="00502D19">
        <w:t>3.3</w:t>
      </w:r>
      <w:r w:rsidRPr="00204436">
        <w:fldChar w:fldCharType="end"/>
      </w:r>
      <w:r w:rsidRPr="00204436">
        <w:t xml:space="preserve">, and the data below relates only to new SDA dwellings (or “new builds”).  </w:t>
      </w:r>
    </w:p>
    <w:p w:rsidR="00CB0B53" w:rsidRDefault="00CB0B53" w:rsidP="00CB0B53">
      <w:pPr>
        <w:pStyle w:val="BodyText1"/>
      </w:pPr>
      <w:r>
        <w:t>T</w:t>
      </w:r>
      <w:r w:rsidRPr="00204436">
        <w:t xml:space="preserve">here have been </w:t>
      </w:r>
      <w:r>
        <w:t xml:space="preserve">273 </w:t>
      </w:r>
      <w:r w:rsidRPr="00204436">
        <w:t>new SDA dwellings registered with the NDIA</w:t>
      </w:r>
      <w:r>
        <w:t xml:space="preserve"> in the period to </w:t>
      </w:r>
      <w:r w:rsidR="001F7190">
        <w:t>September</w:t>
      </w:r>
      <w:r>
        <w:t xml:space="preserve"> 2018</w:t>
      </w:r>
      <w:r w:rsidRPr="00204436">
        <w:t xml:space="preserve">, representing approximately </w:t>
      </w:r>
      <w:r w:rsidR="000902A5">
        <w:t>619</w:t>
      </w:r>
      <w:r w:rsidRPr="00204436">
        <w:t xml:space="preserve"> additional SDA places. This represents a small proportion of the </w:t>
      </w:r>
      <w:r>
        <w:t>2,243</w:t>
      </w:r>
      <w:r w:rsidRPr="00204436">
        <w:t xml:space="preserve"> SDA dwellings registered in total. </w:t>
      </w:r>
      <w:r>
        <w:t>T</w:t>
      </w:r>
      <w:r w:rsidRPr="00204436">
        <w:t xml:space="preserve">he majority of registered SDA dwellings are classified as ‘existing’ or ‘legacy’ stock – as illustrated in </w:t>
      </w:r>
      <w:r w:rsidRPr="00204436">
        <w:fldChar w:fldCharType="begin"/>
      </w:r>
      <w:r w:rsidRPr="00204436">
        <w:instrText xml:space="preserve"> REF _Ref523238883 \h  \* MERGEFORMAT </w:instrText>
      </w:r>
      <w:r w:rsidRPr="00204436">
        <w:fldChar w:fldCharType="separate"/>
      </w:r>
      <w:r w:rsidR="00502D19" w:rsidRPr="00204436">
        <w:t xml:space="preserve">Figure </w:t>
      </w:r>
      <w:r w:rsidR="00502D19">
        <w:rPr>
          <w:noProof/>
        </w:rPr>
        <w:t>16</w:t>
      </w:r>
      <w:r w:rsidRPr="00204436">
        <w:fldChar w:fldCharType="end"/>
      </w:r>
      <w:r w:rsidRPr="00204436">
        <w:t>.</w:t>
      </w:r>
    </w:p>
    <w:p w:rsidR="00CB0B53" w:rsidRDefault="00CB0B53" w:rsidP="00F06A5B">
      <w:pPr>
        <w:pStyle w:val="Caption"/>
        <w:keepNext/>
      </w:pPr>
      <w:bookmarkStart w:id="70" w:name="_Ref523238883"/>
      <w:bookmarkStart w:id="71" w:name="_Ref523238862"/>
      <w:r w:rsidRPr="00764FE9">
        <w:t xml:space="preserve">Figure </w:t>
      </w:r>
      <w:r w:rsidR="003A6A6C">
        <w:fldChar w:fldCharType="begin"/>
      </w:r>
      <w:r w:rsidR="003A6A6C">
        <w:instrText xml:space="preserve"> SEQ Figure \* ARABIC </w:instrText>
      </w:r>
      <w:r w:rsidR="003A6A6C">
        <w:fldChar w:fldCharType="separate"/>
      </w:r>
      <w:r w:rsidR="00502D19" w:rsidRPr="00764FE9">
        <w:t>16</w:t>
      </w:r>
      <w:r w:rsidR="003A6A6C">
        <w:fldChar w:fldCharType="end"/>
      </w:r>
      <w:bookmarkEnd w:id="70"/>
      <w:r w:rsidRPr="00764FE9">
        <w:t>: Number of registered SDA dwellings and places, September 2018</w:t>
      </w:r>
      <w:r w:rsidRPr="00204436">
        <w:rPr>
          <w:rStyle w:val="FootnoteReference"/>
          <w:color w:val="auto"/>
        </w:rPr>
        <w:footnoteReference w:id="18"/>
      </w:r>
      <w:bookmarkEnd w:id="71"/>
    </w:p>
    <w:p w:rsidR="005F6C8C" w:rsidRPr="005F6C8C" w:rsidRDefault="000A7D0B" w:rsidP="005F6C8C">
      <w:r>
        <w:rPr>
          <w:noProof/>
          <w:lang w:eastAsia="en-AU"/>
        </w:rPr>
        <w:drawing>
          <wp:inline distT="0" distB="0" distL="0" distR="0" wp14:anchorId="38420DD5">
            <wp:extent cx="4450715" cy="2670175"/>
            <wp:effectExtent l="0" t="0" r="0" b="0"/>
            <wp:docPr id="11" name="Picture 11" descr="The number of dwellings is highest for existing stock, with minimal new build and legacy stock. The number of places is highest for existing stock, followed by legacy stock and new builds. " title="Number of registered SDA dwelligns and places as at September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450715" cy="2670175"/>
                    </a:xfrm>
                    <a:prstGeom prst="rect">
                      <a:avLst/>
                    </a:prstGeom>
                    <a:noFill/>
                  </pic:spPr>
                </pic:pic>
              </a:graphicData>
            </a:graphic>
          </wp:inline>
        </w:drawing>
      </w:r>
    </w:p>
    <w:p w:rsidR="00CB0B53" w:rsidRPr="00204436" w:rsidRDefault="00CB0B53" w:rsidP="000902A5">
      <w:pPr>
        <w:pStyle w:val="Caption"/>
      </w:pPr>
      <w:r w:rsidRPr="00204436">
        <w:t xml:space="preserve">Source: NDIA enrolled dwelling data, </w:t>
      </w:r>
      <w:r>
        <w:t>September</w:t>
      </w:r>
      <w:r w:rsidRPr="00204436">
        <w:t xml:space="preserve"> 2018</w:t>
      </w:r>
    </w:p>
    <w:p w:rsidR="00CB0B53" w:rsidRPr="00204436" w:rsidRDefault="00CB0B53" w:rsidP="00CB0B53">
      <w:pPr>
        <w:pStyle w:val="BodyText1"/>
      </w:pPr>
      <w:r w:rsidRPr="00204436">
        <w:lastRenderedPageBreak/>
        <w:t>More than 50 percent of these new SDA dwellings are located in NSW (1</w:t>
      </w:r>
      <w:r>
        <w:t>53</w:t>
      </w:r>
      <w:r w:rsidRPr="00204436">
        <w:t xml:space="preserve"> dwellings). WA, SA, NT, Tasmania and the ACT have few (less than </w:t>
      </w:r>
      <w:r w:rsidR="000902A5">
        <w:t>9</w:t>
      </w:r>
      <w:r w:rsidRPr="00204436">
        <w:t>) or no new SDA dwellings registered</w:t>
      </w:r>
      <w:r w:rsidRPr="00204436">
        <w:rPr>
          <w:rStyle w:val="FootnoteReference"/>
        </w:rPr>
        <w:footnoteReference w:id="19"/>
      </w:r>
      <w:r w:rsidRPr="00204436">
        <w:t xml:space="preserve">. </w:t>
      </w:r>
      <w:r w:rsidR="00985DEA" w:rsidRPr="00204436">
        <w:t>The majority are located in non-metropolitan areas.</w:t>
      </w:r>
    </w:p>
    <w:p w:rsidR="00CB0B53" w:rsidRPr="00204436" w:rsidRDefault="00521FDC" w:rsidP="00CB0B53">
      <w:pPr>
        <w:pStyle w:val="BodyText1"/>
      </w:pPr>
      <w:r>
        <w:t>A</w:t>
      </w:r>
      <w:r w:rsidR="00CB0B53" w:rsidRPr="00204436">
        <w:t xml:space="preserve">vailable data on the number of new SDA dwellings registered to date by location (as outlined in </w:t>
      </w:r>
      <w:r w:rsidR="00502D19">
        <w:t>Table 4</w:t>
      </w:r>
      <w:r w:rsidR="00CB0B53" w:rsidRPr="00204436">
        <w:t xml:space="preserve"> below) illustrates that there is a noticeable focus on regional rather than metropolitan locations – particularly in Queensland and Victoria. This may</w:t>
      </w:r>
      <w:r>
        <w:t>:</w:t>
      </w:r>
      <w:r w:rsidR="00CB0B53" w:rsidRPr="00204436">
        <w:t xml:space="preserve"> be due to specific investment decisions being driven by location factor adjustments relative to land and development costs</w:t>
      </w:r>
      <w:r>
        <w:t>;</w:t>
      </w:r>
      <w:r w:rsidR="00CB0B53" w:rsidRPr="00204436">
        <w:t xml:space="preserve"> reflect areas where there is greater need/larger supply gaps</w:t>
      </w:r>
      <w:r>
        <w:t>;</w:t>
      </w:r>
      <w:r w:rsidR="00CB0B53" w:rsidRPr="00204436">
        <w:t xml:space="preserve"> and/or be influenced by the fact that a few large developments are located in non-metropolitan areas.</w:t>
      </w:r>
      <w:r w:rsidR="000902A5">
        <w:t xml:space="preserve"> </w:t>
      </w:r>
    </w:p>
    <w:p w:rsidR="00CB0B53" w:rsidRPr="00204436" w:rsidRDefault="00CB0B53" w:rsidP="00F06A5B">
      <w:pPr>
        <w:pStyle w:val="Caption"/>
        <w:spacing w:before="80"/>
      </w:pPr>
      <w:r w:rsidRPr="00204436">
        <w:t xml:space="preserve">Table </w:t>
      </w:r>
      <w:r w:rsidRPr="00204436">
        <w:rPr>
          <w:noProof/>
        </w:rPr>
        <w:fldChar w:fldCharType="begin"/>
      </w:r>
      <w:r w:rsidRPr="00204436">
        <w:rPr>
          <w:noProof/>
        </w:rPr>
        <w:instrText xml:space="preserve"> SEQ Table \* ARABIC </w:instrText>
      </w:r>
      <w:r w:rsidRPr="00204436">
        <w:rPr>
          <w:noProof/>
        </w:rPr>
        <w:fldChar w:fldCharType="separate"/>
      </w:r>
      <w:r w:rsidR="00502D19">
        <w:rPr>
          <w:noProof/>
        </w:rPr>
        <w:t>4</w:t>
      </w:r>
      <w:r w:rsidRPr="00204436">
        <w:rPr>
          <w:noProof/>
        </w:rPr>
        <w:fldChar w:fldCharType="end"/>
      </w:r>
      <w:r w:rsidRPr="00204436">
        <w:t xml:space="preserve">: Number of new SDA dwellings registered, by </w:t>
      </w:r>
      <w:r w:rsidR="00F61B99">
        <w:t>s</w:t>
      </w:r>
      <w:r w:rsidRPr="00204436">
        <w:t>tate/</w:t>
      </w:r>
      <w:r w:rsidR="00F61B99">
        <w:t>t</w:t>
      </w:r>
      <w:r w:rsidRPr="00204436">
        <w:t xml:space="preserve">erritory, </w:t>
      </w:r>
      <w:r>
        <w:t>September</w:t>
      </w:r>
      <w:r w:rsidRPr="00204436">
        <w:t xml:space="preserve"> 2018</w:t>
      </w:r>
      <w:r w:rsidRPr="00204436">
        <w:rPr>
          <w:rStyle w:val="FootnoteReference"/>
          <w:color w:val="auto"/>
        </w:rPr>
        <w:footnoteReference w:id="20"/>
      </w:r>
    </w:p>
    <w:tbl>
      <w:tblPr>
        <w:tblStyle w:val="GridTable4-Accent2"/>
        <w:tblW w:w="9013" w:type="dxa"/>
        <w:tblLayout w:type="fixed"/>
        <w:tblLook w:val="06A0" w:firstRow="1" w:lastRow="0" w:firstColumn="1" w:lastColumn="0" w:noHBand="1" w:noVBand="1"/>
        <w:tblCaption w:val="Table 4: Number of new SDA dwellings registered, by state/territory, September 2018"/>
        <w:tblDescription w:val="Data by state/territory on metro, non-metro, total new dwellings and new places."/>
      </w:tblPr>
      <w:tblGrid>
        <w:gridCol w:w="2665"/>
        <w:gridCol w:w="1587"/>
        <w:gridCol w:w="1587"/>
        <w:gridCol w:w="1587"/>
        <w:gridCol w:w="1587"/>
      </w:tblGrid>
      <w:tr w:rsidR="00D41D20" w:rsidRPr="00F63B9A" w:rsidTr="00612CC4">
        <w:trPr>
          <w:cnfStyle w:val="100000000000" w:firstRow="1" w:lastRow="0" w:firstColumn="0" w:lastColumn="0" w:oddVBand="0" w:evenVBand="0" w:oddHBand="0" w:evenHBand="0" w:firstRowFirstColumn="0" w:firstRowLastColumn="0" w:lastRowFirstColumn="0" w:lastRowLastColumn="0"/>
          <w:trHeight w:val="535"/>
          <w:tblHeader/>
        </w:trPr>
        <w:tc>
          <w:tcPr>
            <w:cnfStyle w:val="001000000000" w:firstRow="0" w:lastRow="0" w:firstColumn="1" w:lastColumn="0" w:oddVBand="0" w:evenVBand="0" w:oddHBand="0" w:evenHBand="0" w:firstRowFirstColumn="0" w:firstRowLastColumn="0" w:lastRowFirstColumn="0" w:lastRowLastColumn="0"/>
            <w:tcW w:w="2665" w:type="dxa"/>
            <w:noWrap/>
            <w:vAlign w:val="center"/>
            <w:hideMark/>
          </w:tcPr>
          <w:p w:rsidR="00CB0B53" w:rsidRPr="00F63B9A" w:rsidRDefault="00CB0B53" w:rsidP="00D41D20">
            <w:pPr>
              <w:spacing w:before="0" w:after="0"/>
              <w:jc w:val="center"/>
              <w:rPr>
                <w:rFonts w:eastAsia="Times New Roman" w:cs="Calibri"/>
                <w:b w:val="0"/>
                <w:bCs w:val="0"/>
                <w:color w:val="FFFFFF"/>
                <w:szCs w:val="20"/>
                <w:lang w:eastAsia="en-AU"/>
              </w:rPr>
            </w:pPr>
            <w:r w:rsidRPr="00F63B9A">
              <w:rPr>
                <w:rFonts w:eastAsia="Times New Roman" w:cs="Calibri"/>
                <w:color w:val="FFFFFF"/>
                <w:szCs w:val="20"/>
                <w:lang w:eastAsia="en-AU"/>
              </w:rPr>
              <w:t>State/</w:t>
            </w:r>
            <w:r w:rsidR="00D41D20">
              <w:rPr>
                <w:rFonts w:eastAsia="Times New Roman" w:cs="Calibri"/>
                <w:color w:val="FFFFFF"/>
                <w:szCs w:val="20"/>
                <w:lang w:eastAsia="en-AU"/>
              </w:rPr>
              <w:t>T</w:t>
            </w:r>
            <w:r w:rsidRPr="00F63B9A">
              <w:rPr>
                <w:rFonts w:eastAsia="Times New Roman" w:cs="Calibri"/>
                <w:color w:val="FFFFFF"/>
                <w:szCs w:val="20"/>
                <w:lang w:eastAsia="en-AU"/>
              </w:rPr>
              <w:t>erritory</w:t>
            </w:r>
          </w:p>
        </w:tc>
        <w:tc>
          <w:tcPr>
            <w:tcW w:w="1587" w:type="dxa"/>
            <w:vAlign w:val="center"/>
            <w:hideMark/>
          </w:tcPr>
          <w:p w:rsidR="00CB0B53" w:rsidRPr="00F63B9A" w:rsidRDefault="00CB0B53" w:rsidP="000902A5">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FFFFFF"/>
                <w:szCs w:val="20"/>
                <w:lang w:eastAsia="en-AU"/>
              </w:rPr>
            </w:pPr>
            <w:r w:rsidRPr="00F63B9A">
              <w:rPr>
                <w:rFonts w:eastAsia="Times New Roman" w:cs="Calibri"/>
                <w:color w:val="FFFFFF"/>
                <w:szCs w:val="20"/>
                <w:lang w:eastAsia="en-AU"/>
              </w:rPr>
              <w:t>Metro (capital city)</w:t>
            </w:r>
          </w:p>
        </w:tc>
        <w:tc>
          <w:tcPr>
            <w:tcW w:w="1587" w:type="dxa"/>
            <w:vAlign w:val="center"/>
            <w:hideMark/>
          </w:tcPr>
          <w:p w:rsidR="00CB0B53" w:rsidRPr="00F63B9A" w:rsidRDefault="00CB0B53" w:rsidP="000902A5">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FFFFFF"/>
                <w:szCs w:val="20"/>
                <w:lang w:eastAsia="en-AU"/>
              </w:rPr>
            </w:pPr>
            <w:r w:rsidRPr="00F63B9A">
              <w:rPr>
                <w:rFonts w:eastAsia="Times New Roman" w:cs="Calibri"/>
                <w:color w:val="FFFFFF"/>
                <w:szCs w:val="20"/>
                <w:lang w:eastAsia="en-AU"/>
              </w:rPr>
              <w:t>Non-metro</w:t>
            </w:r>
          </w:p>
        </w:tc>
        <w:tc>
          <w:tcPr>
            <w:tcW w:w="1587" w:type="dxa"/>
            <w:noWrap/>
            <w:vAlign w:val="center"/>
            <w:hideMark/>
          </w:tcPr>
          <w:p w:rsidR="00CB0B53" w:rsidRPr="00F63B9A" w:rsidRDefault="00CB0B53" w:rsidP="000902A5">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FFFFFF"/>
                <w:szCs w:val="20"/>
                <w:lang w:eastAsia="en-AU"/>
              </w:rPr>
            </w:pPr>
            <w:r w:rsidRPr="00F63B9A">
              <w:rPr>
                <w:rFonts w:eastAsia="Times New Roman" w:cs="Calibri"/>
                <w:color w:val="FFFFFF"/>
                <w:szCs w:val="20"/>
                <w:lang w:eastAsia="en-AU"/>
              </w:rPr>
              <w:t>Total new dwellings</w:t>
            </w:r>
          </w:p>
        </w:tc>
        <w:tc>
          <w:tcPr>
            <w:tcW w:w="1587" w:type="dxa"/>
            <w:vAlign w:val="center"/>
            <w:hideMark/>
          </w:tcPr>
          <w:p w:rsidR="00CB0B53" w:rsidRPr="00F63B9A" w:rsidRDefault="00CB0B53" w:rsidP="000902A5">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i/>
                <w:iCs/>
                <w:color w:val="FFFFFF"/>
                <w:szCs w:val="20"/>
                <w:lang w:eastAsia="en-AU"/>
              </w:rPr>
            </w:pPr>
            <w:r w:rsidRPr="00F63B9A">
              <w:rPr>
                <w:rFonts w:eastAsia="Times New Roman" w:cs="Calibri"/>
                <w:i/>
                <w:iCs/>
                <w:color w:val="FFFFFF"/>
                <w:szCs w:val="20"/>
                <w:lang w:eastAsia="en-AU"/>
              </w:rPr>
              <w:t>New places</w:t>
            </w:r>
          </w:p>
        </w:tc>
      </w:tr>
      <w:tr w:rsidR="00D41D20" w:rsidRPr="00F63B9A" w:rsidTr="00F06A5B">
        <w:trPr>
          <w:trHeight w:val="312"/>
        </w:trPr>
        <w:tc>
          <w:tcPr>
            <w:cnfStyle w:val="001000000000" w:firstRow="0" w:lastRow="0" w:firstColumn="1" w:lastColumn="0" w:oddVBand="0" w:evenVBand="0" w:oddHBand="0" w:evenHBand="0" w:firstRowFirstColumn="0" w:firstRowLastColumn="0" w:lastRowFirstColumn="0" w:lastRowLastColumn="0"/>
            <w:tcW w:w="2665" w:type="dxa"/>
            <w:noWrap/>
            <w:vAlign w:val="center"/>
            <w:hideMark/>
          </w:tcPr>
          <w:p w:rsidR="00CB0B53" w:rsidRPr="00D41D20" w:rsidRDefault="00CB0B53" w:rsidP="00F61B99">
            <w:pPr>
              <w:spacing w:before="0" w:after="0"/>
              <w:rPr>
                <w:rFonts w:eastAsia="Times New Roman" w:cs="Calibri"/>
                <w:b w:val="0"/>
                <w:bCs w:val="0"/>
                <w:color w:val="000000"/>
                <w:szCs w:val="20"/>
                <w:lang w:eastAsia="en-AU"/>
              </w:rPr>
            </w:pPr>
            <w:r w:rsidRPr="00D41D20">
              <w:rPr>
                <w:rFonts w:eastAsia="Times New Roman" w:cs="Calibri"/>
                <w:color w:val="000000"/>
                <w:szCs w:val="20"/>
                <w:lang w:eastAsia="en-AU"/>
              </w:rPr>
              <w:t>NSW</w:t>
            </w:r>
          </w:p>
        </w:tc>
        <w:tc>
          <w:tcPr>
            <w:tcW w:w="1587" w:type="dxa"/>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F63B9A">
              <w:rPr>
                <w:rFonts w:eastAsia="Times New Roman" w:cs="Calibri"/>
                <w:color w:val="000000"/>
                <w:szCs w:val="20"/>
                <w:lang w:eastAsia="en-AU"/>
              </w:rPr>
              <w:t>99</w:t>
            </w:r>
          </w:p>
        </w:tc>
        <w:tc>
          <w:tcPr>
            <w:tcW w:w="1587" w:type="dxa"/>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F63B9A">
              <w:rPr>
                <w:rFonts w:eastAsia="Times New Roman" w:cs="Calibri"/>
                <w:color w:val="000000"/>
                <w:szCs w:val="20"/>
                <w:lang w:eastAsia="en-AU"/>
              </w:rPr>
              <w:t>54</w:t>
            </w:r>
          </w:p>
        </w:tc>
        <w:tc>
          <w:tcPr>
            <w:tcW w:w="1587" w:type="dxa"/>
            <w:noWrap/>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Cs w:val="20"/>
                <w:lang w:eastAsia="en-AU"/>
              </w:rPr>
            </w:pPr>
            <w:r w:rsidRPr="00F63B9A">
              <w:rPr>
                <w:rFonts w:eastAsia="Times New Roman" w:cs="Calibri"/>
                <w:b/>
                <w:bCs/>
                <w:color w:val="000000"/>
                <w:szCs w:val="20"/>
                <w:lang w:eastAsia="en-AU"/>
              </w:rPr>
              <w:t>153</w:t>
            </w:r>
          </w:p>
        </w:tc>
        <w:tc>
          <w:tcPr>
            <w:tcW w:w="1587" w:type="dxa"/>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b/>
                <w:bCs/>
                <w:i/>
                <w:iCs/>
                <w:color w:val="000000"/>
                <w:szCs w:val="20"/>
                <w:lang w:eastAsia="en-AU"/>
              </w:rPr>
            </w:pPr>
            <w:r w:rsidRPr="00F63B9A">
              <w:rPr>
                <w:rFonts w:eastAsia="Times New Roman" w:cs="Calibri"/>
                <w:b/>
                <w:bCs/>
                <w:i/>
                <w:iCs/>
                <w:color w:val="000000"/>
                <w:szCs w:val="20"/>
                <w:lang w:eastAsia="en-AU"/>
              </w:rPr>
              <w:t>398</w:t>
            </w:r>
          </w:p>
        </w:tc>
      </w:tr>
      <w:tr w:rsidR="00D41D20" w:rsidRPr="00F63B9A" w:rsidTr="00F06A5B">
        <w:trPr>
          <w:trHeight w:val="300"/>
        </w:trPr>
        <w:tc>
          <w:tcPr>
            <w:cnfStyle w:val="001000000000" w:firstRow="0" w:lastRow="0" w:firstColumn="1" w:lastColumn="0" w:oddVBand="0" w:evenVBand="0" w:oddHBand="0" w:evenHBand="0" w:firstRowFirstColumn="0" w:firstRowLastColumn="0" w:lastRowFirstColumn="0" w:lastRowLastColumn="0"/>
            <w:tcW w:w="2665" w:type="dxa"/>
            <w:noWrap/>
            <w:vAlign w:val="center"/>
            <w:hideMark/>
          </w:tcPr>
          <w:p w:rsidR="00CB0B53" w:rsidRPr="00D41D20" w:rsidRDefault="00CB0B53" w:rsidP="00F61B99">
            <w:pPr>
              <w:spacing w:before="0" w:after="0"/>
              <w:rPr>
                <w:rFonts w:eastAsia="Times New Roman" w:cs="Calibri"/>
                <w:b w:val="0"/>
                <w:bCs w:val="0"/>
                <w:color w:val="000000"/>
                <w:szCs w:val="20"/>
                <w:lang w:eastAsia="en-AU"/>
              </w:rPr>
            </w:pPr>
            <w:r w:rsidRPr="00D41D20">
              <w:rPr>
                <w:rFonts w:eastAsia="Times New Roman" w:cs="Calibri"/>
                <w:color w:val="000000"/>
                <w:szCs w:val="20"/>
                <w:lang w:eastAsia="en-AU"/>
              </w:rPr>
              <w:t>QLD</w:t>
            </w:r>
          </w:p>
        </w:tc>
        <w:tc>
          <w:tcPr>
            <w:tcW w:w="1587" w:type="dxa"/>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F63B9A">
              <w:rPr>
                <w:rFonts w:eastAsia="Times New Roman" w:cs="Calibri"/>
                <w:color w:val="000000"/>
                <w:szCs w:val="20"/>
                <w:lang w:eastAsia="en-AU"/>
              </w:rPr>
              <w:t>4</w:t>
            </w:r>
          </w:p>
        </w:tc>
        <w:tc>
          <w:tcPr>
            <w:tcW w:w="1587" w:type="dxa"/>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F63B9A">
              <w:rPr>
                <w:rFonts w:eastAsia="Times New Roman" w:cs="Calibri"/>
                <w:color w:val="000000"/>
                <w:szCs w:val="20"/>
                <w:lang w:eastAsia="en-AU"/>
              </w:rPr>
              <w:t>61</w:t>
            </w:r>
          </w:p>
        </w:tc>
        <w:tc>
          <w:tcPr>
            <w:tcW w:w="1587" w:type="dxa"/>
            <w:noWrap/>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Cs w:val="20"/>
                <w:lang w:eastAsia="en-AU"/>
              </w:rPr>
            </w:pPr>
            <w:r w:rsidRPr="00F63B9A">
              <w:rPr>
                <w:rFonts w:eastAsia="Times New Roman" w:cs="Calibri"/>
                <w:b/>
                <w:bCs/>
                <w:color w:val="000000"/>
                <w:szCs w:val="20"/>
                <w:lang w:eastAsia="en-AU"/>
              </w:rPr>
              <w:t>65</w:t>
            </w:r>
          </w:p>
        </w:tc>
        <w:tc>
          <w:tcPr>
            <w:tcW w:w="1587" w:type="dxa"/>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b/>
                <w:bCs/>
                <w:i/>
                <w:iCs/>
                <w:color w:val="000000"/>
                <w:szCs w:val="20"/>
                <w:lang w:eastAsia="en-AU"/>
              </w:rPr>
            </w:pPr>
            <w:r w:rsidRPr="00F63B9A">
              <w:rPr>
                <w:rFonts w:eastAsia="Times New Roman" w:cs="Calibri"/>
                <w:b/>
                <w:bCs/>
                <w:i/>
                <w:iCs/>
                <w:color w:val="000000"/>
                <w:szCs w:val="20"/>
                <w:lang w:eastAsia="en-AU"/>
              </w:rPr>
              <w:t>91</w:t>
            </w:r>
          </w:p>
        </w:tc>
      </w:tr>
      <w:tr w:rsidR="00D41D20" w:rsidRPr="00F63B9A" w:rsidTr="00F06A5B">
        <w:trPr>
          <w:trHeight w:val="300"/>
        </w:trPr>
        <w:tc>
          <w:tcPr>
            <w:cnfStyle w:val="001000000000" w:firstRow="0" w:lastRow="0" w:firstColumn="1" w:lastColumn="0" w:oddVBand="0" w:evenVBand="0" w:oddHBand="0" w:evenHBand="0" w:firstRowFirstColumn="0" w:firstRowLastColumn="0" w:lastRowFirstColumn="0" w:lastRowLastColumn="0"/>
            <w:tcW w:w="2665" w:type="dxa"/>
            <w:noWrap/>
            <w:vAlign w:val="center"/>
            <w:hideMark/>
          </w:tcPr>
          <w:p w:rsidR="00CB0B53" w:rsidRPr="00D41D20" w:rsidRDefault="00CB0B53" w:rsidP="00F61B99">
            <w:pPr>
              <w:spacing w:before="0" w:after="0"/>
              <w:rPr>
                <w:rFonts w:eastAsia="Times New Roman" w:cs="Calibri"/>
                <w:b w:val="0"/>
                <w:bCs w:val="0"/>
                <w:color w:val="000000"/>
                <w:szCs w:val="20"/>
                <w:lang w:eastAsia="en-AU"/>
              </w:rPr>
            </w:pPr>
            <w:r w:rsidRPr="00D41D20">
              <w:rPr>
                <w:rFonts w:eastAsia="Times New Roman" w:cs="Calibri"/>
                <w:color w:val="000000"/>
                <w:szCs w:val="20"/>
                <w:lang w:eastAsia="en-AU"/>
              </w:rPr>
              <w:t>VIC</w:t>
            </w:r>
          </w:p>
        </w:tc>
        <w:tc>
          <w:tcPr>
            <w:tcW w:w="1587" w:type="dxa"/>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F63B9A">
              <w:rPr>
                <w:rFonts w:eastAsia="Times New Roman" w:cs="Calibri"/>
                <w:color w:val="000000"/>
                <w:szCs w:val="20"/>
                <w:lang w:eastAsia="en-AU"/>
              </w:rPr>
              <w:t>12</w:t>
            </w:r>
          </w:p>
        </w:tc>
        <w:tc>
          <w:tcPr>
            <w:tcW w:w="1587" w:type="dxa"/>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F63B9A">
              <w:rPr>
                <w:rFonts w:eastAsia="Times New Roman" w:cs="Calibri"/>
                <w:color w:val="000000"/>
                <w:szCs w:val="20"/>
                <w:lang w:eastAsia="en-AU"/>
              </w:rPr>
              <w:t>29</w:t>
            </w:r>
          </w:p>
        </w:tc>
        <w:tc>
          <w:tcPr>
            <w:tcW w:w="1587" w:type="dxa"/>
            <w:noWrap/>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Cs w:val="20"/>
                <w:lang w:eastAsia="en-AU"/>
              </w:rPr>
            </w:pPr>
            <w:r w:rsidRPr="00F63B9A">
              <w:rPr>
                <w:rFonts w:eastAsia="Times New Roman" w:cs="Calibri"/>
                <w:b/>
                <w:bCs/>
                <w:color w:val="000000"/>
                <w:szCs w:val="20"/>
                <w:lang w:eastAsia="en-AU"/>
              </w:rPr>
              <w:t>41</w:t>
            </w:r>
          </w:p>
        </w:tc>
        <w:tc>
          <w:tcPr>
            <w:tcW w:w="1587" w:type="dxa"/>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b/>
                <w:bCs/>
                <w:i/>
                <w:iCs/>
                <w:color w:val="000000"/>
                <w:szCs w:val="20"/>
                <w:lang w:eastAsia="en-AU"/>
              </w:rPr>
            </w:pPr>
            <w:r w:rsidRPr="00F63B9A">
              <w:rPr>
                <w:rFonts w:eastAsia="Times New Roman" w:cs="Calibri"/>
                <w:b/>
                <w:bCs/>
                <w:i/>
                <w:iCs/>
                <w:color w:val="000000"/>
                <w:szCs w:val="20"/>
                <w:lang w:eastAsia="en-AU"/>
              </w:rPr>
              <w:t>96</w:t>
            </w:r>
          </w:p>
        </w:tc>
      </w:tr>
      <w:tr w:rsidR="00D41D20" w:rsidRPr="00F63B9A" w:rsidTr="00F06A5B">
        <w:trPr>
          <w:trHeight w:val="300"/>
        </w:trPr>
        <w:tc>
          <w:tcPr>
            <w:cnfStyle w:val="001000000000" w:firstRow="0" w:lastRow="0" w:firstColumn="1" w:lastColumn="0" w:oddVBand="0" w:evenVBand="0" w:oddHBand="0" w:evenHBand="0" w:firstRowFirstColumn="0" w:firstRowLastColumn="0" w:lastRowFirstColumn="0" w:lastRowLastColumn="0"/>
            <w:tcW w:w="2665" w:type="dxa"/>
            <w:noWrap/>
            <w:vAlign w:val="center"/>
            <w:hideMark/>
          </w:tcPr>
          <w:p w:rsidR="00CB0B53" w:rsidRPr="00D41D20" w:rsidRDefault="00CB0B53" w:rsidP="00F61B99">
            <w:pPr>
              <w:spacing w:before="0" w:after="0"/>
              <w:rPr>
                <w:rFonts w:eastAsia="Times New Roman" w:cs="Calibri"/>
                <w:b w:val="0"/>
                <w:bCs w:val="0"/>
                <w:color w:val="000000"/>
                <w:szCs w:val="20"/>
                <w:lang w:eastAsia="en-AU"/>
              </w:rPr>
            </w:pPr>
            <w:r w:rsidRPr="00D41D20">
              <w:rPr>
                <w:rFonts w:eastAsia="Times New Roman" w:cs="Calibri"/>
                <w:color w:val="000000"/>
                <w:szCs w:val="20"/>
                <w:lang w:eastAsia="en-AU"/>
              </w:rPr>
              <w:t>NT</w:t>
            </w:r>
          </w:p>
        </w:tc>
        <w:tc>
          <w:tcPr>
            <w:tcW w:w="1587" w:type="dxa"/>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F63B9A">
              <w:rPr>
                <w:rFonts w:eastAsia="Times New Roman" w:cs="Calibri"/>
                <w:color w:val="000000"/>
                <w:szCs w:val="20"/>
                <w:lang w:eastAsia="en-AU"/>
              </w:rPr>
              <w:t>8</w:t>
            </w:r>
          </w:p>
        </w:tc>
        <w:tc>
          <w:tcPr>
            <w:tcW w:w="1587" w:type="dxa"/>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F63B9A">
              <w:rPr>
                <w:rFonts w:eastAsia="Times New Roman" w:cs="Calibri"/>
                <w:color w:val="000000"/>
                <w:szCs w:val="20"/>
                <w:lang w:eastAsia="en-AU"/>
              </w:rPr>
              <w:t>0</w:t>
            </w:r>
          </w:p>
        </w:tc>
        <w:tc>
          <w:tcPr>
            <w:tcW w:w="1587" w:type="dxa"/>
            <w:noWrap/>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Cs w:val="20"/>
                <w:lang w:eastAsia="en-AU"/>
              </w:rPr>
            </w:pPr>
            <w:r w:rsidRPr="00F63B9A">
              <w:rPr>
                <w:rFonts w:eastAsia="Times New Roman" w:cs="Calibri"/>
                <w:b/>
                <w:bCs/>
                <w:color w:val="000000"/>
                <w:szCs w:val="20"/>
                <w:lang w:eastAsia="en-AU"/>
              </w:rPr>
              <w:t>8</w:t>
            </w:r>
          </w:p>
        </w:tc>
        <w:tc>
          <w:tcPr>
            <w:tcW w:w="1587" w:type="dxa"/>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b/>
                <w:bCs/>
                <w:i/>
                <w:iCs/>
                <w:color w:val="000000"/>
                <w:szCs w:val="20"/>
                <w:lang w:eastAsia="en-AU"/>
              </w:rPr>
            </w:pPr>
            <w:r w:rsidRPr="00F63B9A">
              <w:rPr>
                <w:rFonts w:eastAsia="Times New Roman" w:cs="Calibri"/>
                <w:b/>
                <w:bCs/>
                <w:i/>
                <w:iCs/>
                <w:color w:val="000000"/>
                <w:szCs w:val="20"/>
                <w:lang w:eastAsia="en-AU"/>
              </w:rPr>
              <w:t>16</w:t>
            </w:r>
          </w:p>
        </w:tc>
      </w:tr>
      <w:tr w:rsidR="00D41D20" w:rsidRPr="00F63B9A" w:rsidTr="00F06A5B">
        <w:trPr>
          <w:trHeight w:val="300"/>
        </w:trPr>
        <w:tc>
          <w:tcPr>
            <w:cnfStyle w:val="001000000000" w:firstRow="0" w:lastRow="0" w:firstColumn="1" w:lastColumn="0" w:oddVBand="0" w:evenVBand="0" w:oddHBand="0" w:evenHBand="0" w:firstRowFirstColumn="0" w:firstRowLastColumn="0" w:lastRowFirstColumn="0" w:lastRowLastColumn="0"/>
            <w:tcW w:w="2665" w:type="dxa"/>
            <w:noWrap/>
            <w:vAlign w:val="center"/>
            <w:hideMark/>
          </w:tcPr>
          <w:p w:rsidR="00CB0B53" w:rsidRPr="00D41D20" w:rsidRDefault="00CB0B53" w:rsidP="00F61B99">
            <w:pPr>
              <w:spacing w:before="0" w:after="0"/>
              <w:rPr>
                <w:rFonts w:eastAsia="Times New Roman" w:cs="Calibri"/>
                <w:b w:val="0"/>
                <w:bCs w:val="0"/>
                <w:color w:val="000000"/>
                <w:szCs w:val="20"/>
                <w:lang w:eastAsia="en-AU"/>
              </w:rPr>
            </w:pPr>
            <w:r w:rsidRPr="00D41D20">
              <w:rPr>
                <w:rFonts w:eastAsia="Times New Roman" w:cs="Calibri"/>
                <w:color w:val="000000"/>
                <w:szCs w:val="20"/>
                <w:lang w:eastAsia="en-AU"/>
              </w:rPr>
              <w:t>SA</w:t>
            </w:r>
          </w:p>
        </w:tc>
        <w:tc>
          <w:tcPr>
            <w:tcW w:w="1587" w:type="dxa"/>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F63B9A">
              <w:rPr>
                <w:rFonts w:eastAsia="Times New Roman" w:cs="Calibri"/>
                <w:color w:val="000000"/>
                <w:szCs w:val="20"/>
                <w:lang w:eastAsia="en-AU"/>
              </w:rPr>
              <w:t>3</w:t>
            </w:r>
          </w:p>
        </w:tc>
        <w:tc>
          <w:tcPr>
            <w:tcW w:w="1587" w:type="dxa"/>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F63B9A">
              <w:rPr>
                <w:rFonts w:eastAsia="Times New Roman" w:cs="Calibri"/>
                <w:color w:val="000000"/>
                <w:szCs w:val="20"/>
                <w:lang w:eastAsia="en-AU"/>
              </w:rPr>
              <w:t>0</w:t>
            </w:r>
          </w:p>
        </w:tc>
        <w:tc>
          <w:tcPr>
            <w:tcW w:w="1587" w:type="dxa"/>
            <w:noWrap/>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Cs w:val="20"/>
                <w:lang w:eastAsia="en-AU"/>
              </w:rPr>
            </w:pPr>
            <w:r w:rsidRPr="00F63B9A">
              <w:rPr>
                <w:rFonts w:eastAsia="Times New Roman" w:cs="Calibri"/>
                <w:b/>
                <w:bCs/>
                <w:color w:val="000000"/>
                <w:szCs w:val="20"/>
                <w:lang w:eastAsia="en-AU"/>
              </w:rPr>
              <w:t>3</w:t>
            </w:r>
          </w:p>
        </w:tc>
        <w:tc>
          <w:tcPr>
            <w:tcW w:w="1587" w:type="dxa"/>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b/>
                <w:bCs/>
                <w:i/>
                <w:iCs/>
                <w:color w:val="000000"/>
                <w:szCs w:val="20"/>
                <w:lang w:eastAsia="en-AU"/>
              </w:rPr>
            </w:pPr>
            <w:r w:rsidRPr="00F63B9A">
              <w:rPr>
                <w:rFonts w:eastAsia="Times New Roman" w:cs="Calibri"/>
                <w:b/>
                <w:bCs/>
                <w:i/>
                <w:iCs/>
                <w:color w:val="000000"/>
                <w:szCs w:val="20"/>
                <w:lang w:eastAsia="en-AU"/>
              </w:rPr>
              <w:t>10</w:t>
            </w:r>
          </w:p>
        </w:tc>
      </w:tr>
      <w:tr w:rsidR="00D41D20" w:rsidRPr="00F63B9A" w:rsidTr="00F06A5B">
        <w:trPr>
          <w:trHeight w:val="300"/>
        </w:trPr>
        <w:tc>
          <w:tcPr>
            <w:cnfStyle w:val="001000000000" w:firstRow="0" w:lastRow="0" w:firstColumn="1" w:lastColumn="0" w:oddVBand="0" w:evenVBand="0" w:oddHBand="0" w:evenHBand="0" w:firstRowFirstColumn="0" w:firstRowLastColumn="0" w:lastRowFirstColumn="0" w:lastRowLastColumn="0"/>
            <w:tcW w:w="2665" w:type="dxa"/>
            <w:noWrap/>
            <w:vAlign w:val="center"/>
            <w:hideMark/>
          </w:tcPr>
          <w:p w:rsidR="00CB0B53" w:rsidRPr="00D41D20" w:rsidRDefault="00CB0B53" w:rsidP="00F61B99">
            <w:pPr>
              <w:spacing w:before="0" w:after="0"/>
              <w:rPr>
                <w:rFonts w:eastAsia="Times New Roman" w:cs="Calibri"/>
                <w:b w:val="0"/>
                <w:bCs w:val="0"/>
                <w:color w:val="000000"/>
                <w:szCs w:val="20"/>
                <w:lang w:eastAsia="en-AU"/>
              </w:rPr>
            </w:pPr>
            <w:r w:rsidRPr="00D41D20">
              <w:rPr>
                <w:rFonts w:eastAsia="Times New Roman" w:cs="Calibri"/>
                <w:color w:val="000000"/>
                <w:szCs w:val="20"/>
                <w:lang w:eastAsia="en-AU"/>
              </w:rPr>
              <w:t>TAS</w:t>
            </w:r>
          </w:p>
        </w:tc>
        <w:tc>
          <w:tcPr>
            <w:tcW w:w="1587" w:type="dxa"/>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F63B9A">
              <w:rPr>
                <w:rFonts w:eastAsia="Times New Roman" w:cs="Calibri"/>
                <w:color w:val="000000"/>
                <w:szCs w:val="20"/>
                <w:lang w:eastAsia="en-AU"/>
              </w:rPr>
              <w:t>0</w:t>
            </w:r>
          </w:p>
        </w:tc>
        <w:tc>
          <w:tcPr>
            <w:tcW w:w="1587" w:type="dxa"/>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F63B9A">
              <w:rPr>
                <w:rFonts w:eastAsia="Times New Roman" w:cs="Calibri"/>
                <w:color w:val="000000"/>
                <w:szCs w:val="20"/>
                <w:lang w:eastAsia="en-AU"/>
              </w:rPr>
              <w:t>3</w:t>
            </w:r>
          </w:p>
        </w:tc>
        <w:tc>
          <w:tcPr>
            <w:tcW w:w="1587" w:type="dxa"/>
            <w:noWrap/>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Cs w:val="20"/>
                <w:lang w:eastAsia="en-AU"/>
              </w:rPr>
            </w:pPr>
            <w:r w:rsidRPr="00F63B9A">
              <w:rPr>
                <w:rFonts w:eastAsia="Times New Roman" w:cs="Calibri"/>
                <w:b/>
                <w:bCs/>
                <w:color w:val="000000"/>
                <w:szCs w:val="20"/>
                <w:lang w:eastAsia="en-AU"/>
              </w:rPr>
              <w:t>3</w:t>
            </w:r>
          </w:p>
        </w:tc>
        <w:tc>
          <w:tcPr>
            <w:tcW w:w="1587" w:type="dxa"/>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b/>
                <w:bCs/>
                <w:i/>
                <w:iCs/>
                <w:color w:val="000000"/>
                <w:szCs w:val="20"/>
                <w:lang w:eastAsia="en-AU"/>
              </w:rPr>
            </w:pPr>
            <w:r w:rsidRPr="00F63B9A">
              <w:rPr>
                <w:rFonts w:eastAsia="Times New Roman" w:cs="Calibri"/>
                <w:b/>
                <w:bCs/>
                <w:i/>
                <w:iCs/>
                <w:color w:val="000000"/>
                <w:szCs w:val="20"/>
                <w:lang w:eastAsia="en-AU"/>
              </w:rPr>
              <w:t>8</w:t>
            </w:r>
          </w:p>
        </w:tc>
      </w:tr>
      <w:tr w:rsidR="00D41D20" w:rsidRPr="00F63B9A" w:rsidTr="00F06A5B">
        <w:trPr>
          <w:trHeight w:val="300"/>
        </w:trPr>
        <w:tc>
          <w:tcPr>
            <w:cnfStyle w:val="001000000000" w:firstRow="0" w:lastRow="0" w:firstColumn="1" w:lastColumn="0" w:oddVBand="0" w:evenVBand="0" w:oddHBand="0" w:evenHBand="0" w:firstRowFirstColumn="0" w:firstRowLastColumn="0" w:lastRowFirstColumn="0" w:lastRowLastColumn="0"/>
            <w:tcW w:w="2665" w:type="dxa"/>
            <w:noWrap/>
            <w:vAlign w:val="center"/>
            <w:hideMark/>
          </w:tcPr>
          <w:p w:rsidR="00CB0B53" w:rsidRPr="00D41D20" w:rsidRDefault="00CB0B53" w:rsidP="00F61B99">
            <w:pPr>
              <w:spacing w:before="0" w:after="0"/>
              <w:rPr>
                <w:rFonts w:eastAsia="Times New Roman" w:cs="Calibri"/>
                <w:b w:val="0"/>
                <w:bCs w:val="0"/>
                <w:color w:val="000000"/>
                <w:szCs w:val="20"/>
                <w:lang w:eastAsia="en-AU"/>
              </w:rPr>
            </w:pPr>
            <w:r w:rsidRPr="00D41D20">
              <w:rPr>
                <w:rFonts w:eastAsia="Times New Roman" w:cs="Calibri"/>
                <w:color w:val="000000"/>
                <w:szCs w:val="20"/>
                <w:lang w:eastAsia="en-AU"/>
              </w:rPr>
              <w:t>ACT</w:t>
            </w:r>
          </w:p>
        </w:tc>
        <w:tc>
          <w:tcPr>
            <w:tcW w:w="1587" w:type="dxa"/>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F63B9A">
              <w:rPr>
                <w:rFonts w:eastAsia="Times New Roman" w:cs="Calibri"/>
                <w:color w:val="000000"/>
                <w:szCs w:val="20"/>
                <w:lang w:eastAsia="en-AU"/>
              </w:rPr>
              <w:t>0</w:t>
            </w:r>
          </w:p>
        </w:tc>
        <w:tc>
          <w:tcPr>
            <w:tcW w:w="1587" w:type="dxa"/>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F63B9A">
              <w:rPr>
                <w:rFonts w:eastAsia="Times New Roman" w:cs="Calibri"/>
                <w:color w:val="000000"/>
                <w:szCs w:val="20"/>
                <w:lang w:eastAsia="en-AU"/>
              </w:rPr>
              <w:t>0</w:t>
            </w:r>
          </w:p>
        </w:tc>
        <w:tc>
          <w:tcPr>
            <w:tcW w:w="1587" w:type="dxa"/>
            <w:noWrap/>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Cs w:val="20"/>
                <w:lang w:eastAsia="en-AU"/>
              </w:rPr>
            </w:pPr>
            <w:r w:rsidRPr="00F63B9A">
              <w:rPr>
                <w:rFonts w:eastAsia="Times New Roman" w:cs="Calibri"/>
                <w:b/>
                <w:bCs/>
                <w:color w:val="000000"/>
                <w:szCs w:val="20"/>
                <w:lang w:eastAsia="en-AU"/>
              </w:rPr>
              <w:t>0</w:t>
            </w:r>
          </w:p>
        </w:tc>
        <w:tc>
          <w:tcPr>
            <w:tcW w:w="1587" w:type="dxa"/>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b/>
                <w:bCs/>
                <w:i/>
                <w:iCs/>
                <w:color w:val="000000"/>
                <w:szCs w:val="20"/>
                <w:lang w:eastAsia="en-AU"/>
              </w:rPr>
            </w:pPr>
            <w:r w:rsidRPr="00F63B9A">
              <w:rPr>
                <w:rFonts w:eastAsia="Times New Roman" w:cs="Calibri"/>
                <w:b/>
                <w:bCs/>
                <w:i/>
                <w:iCs/>
                <w:color w:val="000000"/>
                <w:szCs w:val="20"/>
                <w:lang w:eastAsia="en-AU"/>
              </w:rPr>
              <w:t>0</w:t>
            </w:r>
          </w:p>
        </w:tc>
      </w:tr>
      <w:tr w:rsidR="00D41D20" w:rsidRPr="00F63B9A" w:rsidTr="00F06A5B">
        <w:trPr>
          <w:trHeight w:val="300"/>
        </w:trPr>
        <w:tc>
          <w:tcPr>
            <w:cnfStyle w:val="001000000000" w:firstRow="0" w:lastRow="0" w:firstColumn="1" w:lastColumn="0" w:oddVBand="0" w:evenVBand="0" w:oddHBand="0" w:evenHBand="0" w:firstRowFirstColumn="0" w:firstRowLastColumn="0" w:lastRowFirstColumn="0" w:lastRowLastColumn="0"/>
            <w:tcW w:w="2665" w:type="dxa"/>
            <w:noWrap/>
            <w:vAlign w:val="center"/>
            <w:hideMark/>
          </w:tcPr>
          <w:p w:rsidR="00CB0B53" w:rsidRPr="00D41D20" w:rsidRDefault="00CB0B53" w:rsidP="00F61B99">
            <w:pPr>
              <w:spacing w:before="0" w:after="0"/>
              <w:rPr>
                <w:rFonts w:eastAsia="Times New Roman" w:cs="Calibri"/>
                <w:b w:val="0"/>
                <w:bCs w:val="0"/>
                <w:color w:val="000000"/>
                <w:szCs w:val="20"/>
                <w:lang w:eastAsia="en-AU"/>
              </w:rPr>
            </w:pPr>
            <w:r w:rsidRPr="00D41D20">
              <w:rPr>
                <w:rFonts w:eastAsia="Times New Roman" w:cs="Calibri"/>
                <w:color w:val="000000"/>
                <w:szCs w:val="20"/>
                <w:lang w:eastAsia="en-AU"/>
              </w:rPr>
              <w:t>WA</w:t>
            </w:r>
          </w:p>
        </w:tc>
        <w:tc>
          <w:tcPr>
            <w:tcW w:w="1587" w:type="dxa"/>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F63B9A">
              <w:rPr>
                <w:rFonts w:eastAsia="Times New Roman" w:cs="Calibri"/>
                <w:color w:val="000000"/>
                <w:szCs w:val="20"/>
                <w:lang w:eastAsia="en-AU"/>
              </w:rPr>
              <w:t>0</w:t>
            </w:r>
          </w:p>
        </w:tc>
        <w:tc>
          <w:tcPr>
            <w:tcW w:w="1587" w:type="dxa"/>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F63B9A">
              <w:rPr>
                <w:rFonts w:eastAsia="Times New Roman" w:cs="Calibri"/>
                <w:color w:val="000000"/>
                <w:szCs w:val="20"/>
                <w:lang w:eastAsia="en-AU"/>
              </w:rPr>
              <w:t>0</w:t>
            </w:r>
          </w:p>
        </w:tc>
        <w:tc>
          <w:tcPr>
            <w:tcW w:w="1587" w:type="dxa"/>
            <w:noWrap/>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Cs w:val="20"/>
                <w:lang w:eastAsia="en-AU"/>
              </w:rPr>
            </w:pPr>
            <w:r w:rsidRPr="00F63B9A">
              <w:rPr>
                <w:rFonts w:eastAsia="Times New Roman" w:cs="Calibri"/>
                <w:b/>
                <w:bCs/>
                <w:color w:val="000000"/>
                <w:szCs w:val="20"/>
                <w:lang w:eastAsia="en-AU"/>
              </w:rPr>
              <w:t>0</w:t>
            </w:r>
          </w:p>
        </w:tc>
        <w:tc>
          <w:tcPr>
            <w:tcW w:w="1587" w:type="dxa"/>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b/>
                <w:bCs/>
                <w:i/>
                <w:iCs/>
                <w:color w:val="000000"/>
                <w:szCs w:val="20"/>
                <w:lang w:eastAsia="en-AU"/>
              </w:rPr>
            </w:pPr>
            <w:r w:rsidRPr="00F63B9A">
              <w:rPr>
                <w:rFonts w:eastAsia="Times New Roman" w:cs="Calibri"/>
                <w:b/>
                <w:bCs/>
                <w:i/>
                <w:iCs/>
                <w:color w:val="000000"/>
                <w:szCs w:val="20"/>
                <w:lang w:eastAsia="en-AU"/>
              </w:rPr>
              <w:t>0</w:t>
            </w:r>
          </w:p>
        </w:tc>
      </w:tr>
      <w:tr w:rsidR="00D41D20" w:rsidRPr="00F63B9A" w:rsidTr="00F06A5B">
        <w:trPr>
          <w:trHeight w:val="300"/>
        </w:trPr>
        <w:tc>
          <w:tcPr>
            <w:cnfStyle w:val="001000000000" w:firstRow="0" w:lastRow="0" w:firstColumn="1" w:lastColumn="0" w:oddVBand="0" w:evenVBand="0" w:oddHBand="0" w:evenHBand="0" w:firstRowFirstColumn="0" w:firstRowLastColumn="0" w:lastRowFirstColumn="0" w:lastRowLastColumn="0"/>
            <w:tcW w:w="2665" w:type="dxa"/>
            <w:noWrap/>
            <w:vAlign w:val="center"/>
            <w:hideMark/>
          </w:tcPr>
          <w:p w:rsidR="00CB0B53" w:rsidRPr="00F63B9A" w:rsidRDefault="00CB0B53" w:rsidP="00F61B99">
            <w:pPr>
              <w:spacing w:before="0" w:after="0"/>
              <w:rPr>
                <w:rFonts w:eastAsia="Times New Roman" w:cs="Calibri"/>
                <w:b w:val="0"/>
                <w:bCs w:val="0"/>
                <w:color w:val="000000"/>
                <w:szCs w:val="20"/>
                <w:lang w:eastAsia="en-AU"/>
              </w:rPr>
            </w:pPr>
            <w:r w:rsidRPr="00F63B9A">
              <w:rPr>
                <w:rFonts w:eastAsia="Times New Roman" w:cs="Calibri"/>
                <w:color w:val="000000"/>
                <w:szCs w:val="20"/>
                <w:lang w:eastAsia="en-AU"/>
              </w:rPr>
              <w:t>Total</w:t>
            </w:r>
          </w:p>
        </w:tc>
        <w:tc>
          <w:tcPr>
            <w:tcW w:w="1587" w:type="dxa"/>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Cs w:val="20"/>
                <w:lang w:eastAsia="en-AU"/>
              </w:rPr>
            </w:pPr>
            <w:r w:rsidRPr="00F63B9A">
              <w:rPr>
                <w:rFonts w:eastAsia="Times New Roman" w:cs="Calibri"/>
                <w:b/>
                <w:bCs/>
                <w:color w:val="000000"/>
                <w:szCs w:val="20"/>
                <w:lang w:eastAsia="en-AU"/>
              </w:rPr>
              <w:t>126</w:t>
            </w:r>
          </w:p>
        </w:tc>
        <w:tc>
          <w:tcPr>
            <w:tcW w:w="1587" w:type="dxa"/>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Cs w:val="20"/>
                <w:lang w:eastAsia="en-AU"/>
              </w:rPr>
            </w:pPr>
            <w:r w:rsidRPr="00F63B9A">
              <w:rPr>
                <w:rFonts w:eastAsia="Times New Roman" w:cs="Calibri"/>
                <w:b/>
                <w:bCs/>
                <w:color w:val="000000"/>
                <w:szCs w:val="20"/>
                <w:lang w:eastAsia="en-AU"/>
              </w:rPr>
              <w:t>147</w:t>
            </w:r>
          </w:p>
        </w:tc>
        <w:tc>
          <w:tcPr>
            <w:tcW w:w="1587" w:type="dxa"/>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Cs w:val="20"/>
                <w:lang w:eastAsia="en-AU"/>
              </w:rPr>
            </w:pPr>
            <w:r w:rsidRPr="00F63B9A">
              <w:rPr>
                <w:rFonts w:eastAsia="Times New Roman" w:cs="Calibri"/>
                <w:b/>
                <w:bCs/>
                <w:color w:val="000000"/>
                <w:szCs w:val="20"/>
                <w:lang w:eastAsia="en-AU"/>
              </w:rPr>
              <w:t>273</w:t>
            </w:r>
          </w:p>
        </w:tc>
        <w:tc>
          <w:tcPr>
            <w:tcW w:w="1587" w:type="dxa"/>
            <w:vAlign w:val="center"/>
            <w:hideMark/>
          </w:tcPr>
          <w:p w:rsidR="00CB0B53" w:rsidRPr="00F63B9A" w:rsidRDefault="00CB0B5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Cs w:val="20"/>
                <w:lang w:eastAsia="en-AU"/>
              </w:rPr>
            </w:pPr>
            <w:r w:rsidRPr="00F63B9A">
              <w:rPr>
                <w:rFonts w:eastAsia="Times New Roman" w:cs="Calibri"/>
                <w:b/>
                <w:bCs/>
                <w:color w:val="000000"/>
                <w:szCs w:val="20"/>
                <w:lang w:eastAsia="en-AU"/>
              </w:rPr>
              <w:t>619</w:t>
            </w:r>
          </w:p>
        </w:tc>
      </w:tr>
    </w:tbl>
    <w:p w:rsidR="00CB0B53" w:rsidRPr="00204436" w:rsidRDefault="00CB0B53" w:rsidP="00F06A5B">
      <w:pPr>
        <w:pStyle w:val="Caption"/>
        <w:spacing w:before="0"/>
      </w:pPr>
      <w:r w:rsidRPr="00204436">
        <w:t xml:space="preserve">Source: NDIA enrolled dwelling data, </w:t>
      </w:r>
      <w:r>
        <w:t>September</w:t>
      </w:r>
      <w:r w:rsidRPr="00204436">
        <w:t xml:space="preserve"> 2018</w:t>
      </w:r>
    </w:p>
    <w:p w:rsidR="00D41D20" w:rsidRDefault="00D41D20" w:rsidP="00CB0B53">
      <w:pPr>
        <w:pStyle w:val="BodyText1"/>
      </w:pPr>
    </w:p>
    <w:p w:rsidR="00CB0B53" w:rsidRPr="00204436" w:rsidRDefault="00CB0B53" w:rsidP="00CB0B53">
      <w:pPr>
        <w:pStyle w:val="BodyText1"/>
      </w:pPr>
      <w:r w:rsidRPr="00204436">
        <w:t xml:space="preserve">There are </w:t>
      </w:r>
      <w:r>
        <w:t>5</w:t>
      </w:r>
      <w:r w:rsidRPr="00204436">
        <w:t>7 organisations that have at least one new SDA property registered, with eight organisations accounting for</w:t>
      </w:r>
      <w:r>
        <w:t xml:space="preserve"> almost</w:t>
      </w:r>
      <w:r w:rsidRPr="00204436">
        <w:t xml:space="preserve"> 50 percent of new builds</w:t>
      </w:r>
      <w:r w:rsidR="00502D19">
        <w:t xml:space="preserve"> (Table 5 below refers)</w:t>
      </w:r>
      <w:r w:rsidRPr="00204436">
        <w:t>.</w:t>
      </w:r>
    </w:p>
    <w:p w:rsidR="00CB0B53" w:rsidRPr="00204436" w:rsidRDefault="00CB0B53" w:rsidP="00CB0B53">
      <w:pPr>
        <w:pStyle w:val="Caption"/>
      </w:pPr>
      <w:r w:rsidRPr="00204436">
        <w:t xml:space="preserve">Table </w:t>
      </w:r>
      <w:r w:rsidRPr="00204436">
        <w:rPr>
          <w:noProof/>
        </w:rPr>
        <w:fldChar w:fldCharType="begin"/>
      </w:r>
      <w:r w:rsidRPr="00204436">
        <w:rPr>
          <w:noProof/>
        </w:rPr>
        <w:instrText xml:space="preserve"> SEQ Table \* ARABIC </w:instrText>
      </w:r>
      <w:r w:rsidRPr="00204436">
        <w:rPr>
          <w:noProof/>
        </w:rPr>
        <w:fldChar w:fldCharType="separate"/>
      </w:r>
      <w:r w:rsidR="00502D19">
        <w:rPr>
          <w:noProof/>
        </w:rPr>
        <w:t>5</w:t>
      </w:r>
      <w:r w:rsidRPr="00204436">
        <w:rPr>
          <w:noProof/>
        </w:rPr>
        <w:fldChar w:fldCharType="end"/>
      </w:r>
      <w:r w:rsidRPr="00204436">
        <w:t xml:space="preserve">: Number of organisations with at least one new SDA dwelling registered, </w:t>
      </w:r>
      <w:r>
        <w:t>September</w:t>
      </w:r>
      <w:r w:rsidRPr="00204436">
        <w:t xml:space="preserve"> 2018</w:t>
      </w:r>
      <w:r w:rsidRPr="00204436">
        <w:rPr>
          <w:rStyle w:val="FootnoteReference"/>
          <w:color w:val="auto"/>
        </w:rPr>
        <w:footnoteReference w:id="21"/>
      </w:r>
    </w:p>
    <w:tbl>
      <w:tblPr>
        <w:tblStyle w:val="GridTable1Light-Accent1"/>
        <w:tblW w:w="9154" w:type="dxa"/>
        <w:tblLayout w:type="fixed"/>
        <w:tblLook w:val="04A0" w:firstRow="1" w:lastRow="0" w:firstColumn="1" w:lastColumn="0" w:noHBand="0" w:noVBand="1"/>
        <w:tblCaption w:val="Table 5: Number of organisations with at least one new SDA dwelling registered, September 2018"/>
        <w:tblDescription w:val="Data including number of organisations with different number of new dwellings as well as the percentage of new dwellings for each category."/>
      </w:tblPr>
      <w:tblGrid>
        <w:gridCol w:w="4673"/>
        <w:gridCol w:w="1701"/>
        <w:gridCol w:w="1286"/>
        <w:gridCol w:w="1494"/>
      </w:tblGrid>
      <w:tr w:rsidR="00CB0B53" w:rsidRPr="00204436" w:rsidTr="00612CC4">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4673" w:type="dxa"/>
            <w:shd w:val="clear" w:color="auto" w:fill="0091DA" w:themeFill="accent2"/>
            <w:noWrap/>
            <w:hideMark/>
          </w:tcPr>
          <w:p w:rsidR="00CB0B53" w:rsidRPr="00204436" w:rsidRDefault="00CB0B53" w:rsidP="006C739B">
            <w:pPr>
              <w:pStyle w:val="Tableheading"/>
              <w:jc w:val="right"/>
            </w:pPr>
          </w:p>
        </w:tc>
        <w:tc>
          <w:tcPr>
            <w:tcW w:w="1701" w:type="dxa"/>
            <w:shd w:val="clear" w:color="auto" w:fill="0091DA" w:themeFill="accent2"/>
            <w:noWrap/>
            <w:tcMar>
              <w:right w:w="170" w:type="dxa"/>
            </w:tcMar>
            <w:hideMark/>
          </w:tcPr>
          <w:p w:rsidR="00CB0B53" w:rsidRPr="00204436" w:rsidRDefault="00CB0B53" w:rsidP="006C739B">
            <w:pPr>
              <w:pStyle w:val="Tableheading"/>
              <w:jc w:val="center"/>
              <w:cnfStyle w:val="100000000000" w:firstRow="1" w:lastRow="0" w:firstColumn="0" w:lastColumn="0" w:oddVBand="0" w:evenVBand="0" w:oddHBand="0" w:evenHBand="0" w:firstRowFirstColumn="0" w:firstRowLastColumn="0" w:lastRowFirstColumn="0" w:lastRowLastColumn="0"/>
            </w:pPr>
            <w:r w:rsidRPr="00204436">
              <w:t>No</w:t>
            </w:r>
            <w:r w:rsidR="00985DEA">
              <w:t>.</w:t>
            </w:r>
            <w:r w:rsidRPr="00204436">
              <w:t xml:space="preserve"> of organisations</w:t>
            </w:r>
          </w:p>
        </w:tc>
        <w:tc>
          <w:tcPr>
            <w:tcW w:w="1286" w:type="dxa"/>
            <w:shd w:val="clear" w:color="auto" w:fill="0091DA" w:themeFill="accent2"/>
            <w:noWrap/>
            <w:tcMar>
              <w:right w:w="170" w:type="dxa"/>
            </w:tcMar>
            <w:hideMark/>
          </w:tcPr>
          <w:p w:rsidR="00CB0B53" w:rsidRPr="00204436" w:rsidRDefault="00CB0B53" w:rsidP="006C739B">
            <w:pPr>
              <w:pStyle w:val="Tableheading"/>
              <w:jc w:val="center"/>
              <w:cnfStyle w:val="100000000000" w:firstRow="1" w:lastRow="0" w:firstColumn="0" w:lastColumn="0" w:oddVBand="0" w:evenVBand="0" w:oddHBand="0" w:evenHBand="0" w:firstRowFirstColumn="0" w:firstRowLastColumn="0" w:lastRowFirstColumn="0" w:lastRowLastColumn="0"/>
            </w:pPr>
            <w:r w:rsidRPr="00204436">
              <w:t>No</w:t>
            </w:r>
            <w:r w:rsidR="00985DEA">
              <w:t xml:space="preserve">. </w:t>
            </w:r>
            <w:r w:rsidRPr="00204436">
              <w:t>of new SDA dwellings</w:t>
            </w:r>
          </w:p>
        </w:tc>
        <w:tc>
          <w:tcPr>
            <w:tcW w:w="1494" w:type="dxa"/>
            <w:shd w:val="clear" w:color="auto" w:fill="0091DA" w:themeFill="accent2"/>
            <w:noWrap/>
            <w:tcMar>
              <w:right w:w="170" w:type="dxa"/>
            </w:tcMar>
            <w:hideMark/>
          </w:tcPr>
          <w:p w:rsidR="00CB0B53" w:rsidRPr="00204436" w:rsidRDefault="00CB0B53" w:rsidP="006C739B">
            <w:pPr>
              <w:pStyle w:val="Tableheading"/>
              <w:jc w:val="center"/>
              <w:cnfStyle w:val="100000000000" w:firstRow="1" w:lastRow="0" w:firstColumn="0" w:lastColumn="0" w:oddVBand="0" w:evenVBand="0" w:oddHBand="0" w:evenHBand="0" w:firstRowFirstColumn="0" w:firstRowLastColumn="0" w:lastRowFirstColumn="0" w:lastRowLastColumn="0"/>
            </w:pPr>
            <w:r w:rsidRPr="00204436">
              <w:t>% of new dwellings</w:t>
            </w:r>
          </w:p>
        </w:tc>
      </w:tr>
      <w:tr w:rsidR="00CB0B53" w:rsidRPr="00204436" w:rsidTr="00F06A5B">
        <w:trPr>
          <w:trHeight w:val="288"/>
        </w:trPr>
        <w:tc>
          <w:tcPr>
            <w:cnfStyle w:val="001000000000" w:firstRow="0" w:lastRow="0" w:firstColumn="1" w:lastColumn="0" w:oddVBand="0" w:evenVBand="0" w:oddHBand="0" w:evenHBand="0" w:firstRowFirstColumn="0" w:firstRowLastColumn="0" w:lastRowFirstColumn="0" w:lastRowLastColumn="0"/>
            <w:tcW w:w="4673" w:type="dxa"/>
            <w:noWrap/>
            <w:hideMark/>
          </w:tcPr>
          <w:p w:rsidR="00CB0B53" w:rsidRPr="00D41D20" w:rsidRDefault="00CB0B53" w:rsidP="006C739B">
            <w:pPr>
              <w:pStyle w:val="Tabletext"/>
              <w:rPr>
                <w:b w:val="0"/>
              </w:rPr>
            </w:pPr>
            <w:r w:rsidRPr="00D41D20">
              <w:rPr>
                <w:b w:val="0"/>
              </w:rPr>
              <w:t>Number of organisations with at least one new SDA dwelling registered</w:t>
            </w:r>
          </w:p>
        </w:tc>
        <w:tc>
          <w:tcPr>
            <w:tcW w:w="1701" w:type="dxa"/>
            <w:noWrap/>
            <w:tcMar>
              <w:right w:w="170" w:type="dxa"/>
            </w:tcMar>
            <w:vAlign w:val="center"/>
            <w:hideMark/>
          </w:tcPr>
          <w:p w:rsidR="00CB0B53" w:rsidRPr="00D41D20" w:rsidRDefault="00CB0B53" w:rsidP="006C739B">
            <w:pPr>
              <w:pStyle w:val="Tabletext"/>
              <w:jc w:val="center"/>
              <w:cnfStyle w:val="000000000000" w:firstRow="0" w:lastRow="0" w:firstColumn="0" w:lastColumn="0" w:oddVBand="0" w:evenVBand="0" w:oddHBand="0" w:evenHBand="0" w:firstRowFirstColumn="0" w:firstRowLastColumn="0" w:lastRowFirstColumn="0" w:lastRowLastColumn="0"/>
            </w:pPr>
            <w:r w:rsidRPr="00D41D20">
              <w:t>57</w:t>
            </w:r>
          </w:p>
        </w:tc>
        <w:tc>
          <w:tcPr>
            <w:tcW w:w="1286" w:type="dxa"/>
            <w:noWrap/>
            <w:tcMar>
              <w:right w:w="170" w:type="dxa"/>
            </w:tcMar>
            <w:vAlign w:val="center"/>
            <w:hideMark/>
          </w:tcPr>
          <w:p w:rsidR="00CB0B53" w:rsidRPr="00D41D20" w:rsidRDefault="00CB0B53" w:rsidP="006C739B">
            <w:pPr>
              <w:pStyle w:val="Tabletext"/>
              <w:jc w:val="center"/>
              <w:cnfStyle w:val="000000000000" w:firstRow="0" w:lastRow="0" w:firstColumn="0" w:lastColumn="0" w:oddVBand="0" w:evenVBand="0" w:oddHBand="0" w:evenHBand="0" w:firstRowFirstColumn="0" w:firstRowLastColumn="0" w:lastRowFirstColumn="0" w:lastRowLastColumn="0"/>
            </w:pPr>
            <w:r w:rsidRPr="00D41D20">
              <w:t>273</w:t>
            </w:r>
          </w:p>
        </w:tc>
        <w:tc>
          <w:tcPr>
            <w:tcW w:w="1494" w:type="dxa"/>
            <w:noWrap/>
            <w:tcMar>
              <w:right w:w="170" w:type="dxa"/>
            </w:tcMar>
            <w:vAlign w:val="center"/>
            <w:hideMark/>
          </w:tcPr>
          <w:p w:rsidR="00CB0B53" w:rsidRPr="00D41D20" w:rsidRDefault="00CB0B53" w:rsidP="006C739B">
            <w:pPr>
              <w:pStyle w:val="Tabletext"/>
              <w:jc w:val="center"/>
              <w:cnfStyle w:val="000000000000" w:firstRow="0" w:lastRow="0" w:firstColumn="0" w:lastColumn="0" w:oddVBand="0" w:evenVBand="0" w:oddHBand="0" w:evenHBand="0" w:firstRowFirstColumn="0" w:firstRowLastColumn="0" w:lastRowFirstColumn="0" w:lastRowLastColumn="0"/>
            </w:pPr>
            <w:r w:rsidRPr="00D41D20">
              <w:t>100%</w:t>
            </w:r>
          </w:p>
        </w:tc>
      </w:tr>
      <w:tr w:rsidR="00CB0B53" w:rsidRPr="00204436" w:rsidTr="00F06A5B">
        <w:trPr>
          <w:trHeight w:val="288"/>
        </w:trPr>
        <w:tc>
          <w:tcPr>
            <w:cnfStyle w:val="001000000000" w:firstRow="0" w:lastRow="0" w:firstColumn="1" w:lastColumn="0" w:oddVBand="0" w:evenVBand="0" w:oddHBand="0" w:evenHBand="0" w:firstRowFirstColumn="0" w:firstRowLastColumn="0" w:lastRowFirstColumn="0" w:lastRowLastColumn="0"/>
            <w:tcW w:w="4673" w:type="dxa"/>
            <w:noWrap/>
            <w:hideMark/>
          </w:tcPr>
          <w:p w:rsidR="00CB0B53" w:rsidRPr="00204436" w:rsidRDefault="00CB0B53" w:rsidP="006C739B">
            <w:pPr>
              <w:pStyle w:val="Tabletext"/>
              <w:rPr>
                <w:b w:val="0"/>
              </w:rPr>
            </w:pPr>
            <w:r w:rsidRPr="00204436">
              <w:rPr>
                <w:b w:val="0"/>
              </w:rPr>
              <w:t>Number of organisations with 1-2 new dwellings</w:t>
            </w:r>
          </w:p>
        </w:tc>
        <w:tc>
          <w:tcPr>
            <w:tcW w:w="1701" w:type="dxa"/>
            <w:noWrap/>
            <w:tcMar>
              <w:right w:w="170" w:type="dxa"/>
            </w:tcMar>
            <w:vAlign w:val="center"/>
            <w:hideMark/>
          </w:tcPr>
          <w:p w:rsidR="00CB0B53" w:rsidRPr="00204436" w:rsidRDefault="00CB0B53" w:rsidP="006C739B">
            <w:pPr>
              <w:pStyle w:val="Tabletext"/>
              <w:jc w:val="center"/>
              <w:cnfStyle w:val="000000000000" w:firstRow="0" w:lastRow="0" w:firstColumn="0" w:lastColumn="0" w:oddVBand="0" w:evenVBand="0" w:oddHBand="0" w:evenHBand="0" w:firstRowFirstColumn="0" w:firstRowLastColumn="0" w:lastRowFirstColumn="0" w:lastRowLastColumn="0"/>
            </w:pPr>
            <w:r w:rsidRPr="00204436">
              <w:t>2</w:t>
            </w:r>
            <w:r>
              <w:t>7</w:t>
            </w:r>
          </w:p>
        </w:tc>
        <w:tc>
          <w:tcPr>
            <w:tcW w:w="1286" w:type="dxa"/>
            <w:noWrap/>
            <w:tcMar>
              <w:right w:w="170" w:type="dxa"/>
            </w:tcMar>
            <w:vAlign w:val="center"/>
            <w:hideMark/>
          </w:tcPr>
          <w:p w:rsidR="00CB0B53" w:rsidRPr="00204436" w:rsidRDefault="00CB0B53" w:rsidP="006C739B">
            <w:pPr>
              <w:pStyle w:val="Tabletext"/>
              <w:jc w:val="center"/>
              <w:cnfStyle w:val="000000000000" w:firstRow="0" w:lastRow="0" w:firstColumn="0" w:lastColumn="0" w:oddVBand="0" w:evenVBand="0" w:oddHBand="0" w:evenHBand="0" w:firstRowFirstColumn="0" w:firstRowLastColumn="0" w:lastRowFirstColumn="0" w:lastRowLastColumn="0"/>
            </w:pPr>
            <w:r>
              <w:t>34</w:t>
            </w:r>
          </w:p>
        </w:tc>
        <w:tc>
          <w:tcPr>
            <w:tcW w:w="1494" w:type="dxa"/>
            <w:noWrap/>
            <w:tcMar>
              <w:right w:w="170" w:type="dxa"/>
            </w:tcMar>
            <w:vAlign w:val="center"/>
            <w:hideMark/>
          </w:tcPr>
          <w:p w:rsidR="00CB0B53" w:rsidRPr="00204436" w:rsidRDefault="00CB0B53" w:rsidP="006C739B">
            <w:pPr>
              <w:pStyle w:val="Tabletext"/>
              <w:jc w:val="center"/>
              <w:cnfStyle w:val="000000000000" w:firstRow="0" w:lastRow="0" w:firstColumn="0" w:lastColumn="0" w:oddVBand="0" w:evenVBand="0" w:oddHBand="0" w:evenHBand="0" w:firstRowFirstColumn="0" w:firstRowLastColumn="0" w:lastRowFirstColumn="0" w:lastRowLastColumn="0"/>
            </w:pPr>
            <w:r w:rsidRPr="00204436">
              <w:t>1</w:t>
            </w:r>
            <w:r>
              <w:t>2</w:t>
            </w:r>
            <w:r w:rsidRPr="00204436">
              <w:t>%</w:t>
            </w:r>
          </w:p>
        </w:tc>
      </w:tr>
      <w:tr w:rsidR="00CB0B53" w:rsidRPr="00204436" w:rsidTr="00F06A5B">
        <w:trPr>
          <w:trHeight w:val="288"/>
        </w:trPr>
        <w:tc>
          <w:tcPr>
            <w:cnfStyle w:val="001000000000" w:firstRow="0" w:lastRow="0" w:firstColumn="1" w:lastColumn="0" w:oddVBand="0" w:evenVBand="0" w:oddHBand="0" w:evenHBand="0" w:firstRowFirstColumn="0" w:firstRowLastColumn="0" w:lastRowFirstColumn="0" w:lastRowLastColumn="0"/>
            <w:tcW w:w="4673" w:type="dxa"/>
            <w:noWrap/>
            <w:hideMark/>
          </w:tcPr>
          <w:p w:rsidR="00CB0B53" w:rsidRPr="00204436" w:rsidRDefault="00CB0B53" w:rsidP="006C739B">
            <w:pPr>
              <w:pStyle w:val="Tabletext"/>
              <w:rPr>
                <w:b w:val="0"/>
              </w:rPr>
            </w:pPr>
            <w:r w:rsidRPr="00204436">
              <w:rPr>
                <w:b w:val="0"/>
              </w:rPr>
              <w:t>Number of organisations with 3-4 new dwellings</w:t>
            </w:r>
          </w:p>
        </w:tc>
        <w:tc>
          <w:tcPr>
            <w:tcW w:w="1701" w:type="dxa"/>
            <w:noWrap/>
            <w:tcMar>
              <w:right w:w="170" w:type="dxa"/>
            </w:tcMar>
            <w:vAlign w:val="center"/>
            <w:hideMark/>
          </w:tcPr>
          <w:p w:rsidR="00CB0B53" w:rsidRPr="00204436" w:rsidRDefault="00CB0B53" w:rsidP="006C739B">
            <w:pPr>
              <w:pStyle w:val="Tabletext"/>
              <w:jc w:val="center"/>
              <w:cnfStyle w:val="000000000000" w:firstRow="0" w:lastRow="0" w:firstColumn="0" w:lastColumn="0" w:oddVBand="0" w:evenVBand="0" w:oddHBand="0" w:evenHBand="0" w:firstRowFirstColumn="0" w:firstRowLastColumn="0" w:lastRowFirstColumn="0" w:lastRowLastColumn="0"/>
            </w:pPr>
            <w:r>
              <w:t>11</w:t>
            </w:r>
          </w:p>
        </w:tc>
        <w:tc>
          <w:tcPr>
            <w:tcW w:w="1286" w:type="dxa"/>
            <w:noWrap/>
            <w:tcMar>
              <w:right w:w="170" w:type="dxa"/>
            </w:tcMar>
            <w:vAlign w:val="center"/>
            <w:hideMark/>
          </w:tcPr>
          <w:p w:rsidR="00CB0B53" w:rsidRPr="00204436" w:rsidRDefault="00CB0B53" w:rsidP="006C739B">
            <w:pPr>
              <w:pStyle w:val="Tabletext"/>
              <w:jc w:val="center"/>
              <w:cnfStyle w:val="000000000000" w:firstRow="0" w:lastRow="0" w:firstColumn="0" w:lastColumn="0" w:oddVBand="0" w:evenVBand="0" w:oddHBand="0" w:evenHBand="0" w:firstRowFirstColumn="0" w:firstRowLastColumn="0" w:lastRowFirstColumn="0" w:lastRowLastColumn="0"/>
            </w:pPr>
            <w:r>
              <w:t>37</w:t>
            </w:r>
          </w:p>
        </w:tc>
        <w:tc>
          <w:tcPr>
            <w:tcW w:w="1494" w:type="dxa"/>
            <w:noWrap/>
            <w:tcMar>
              <w:right w:w="170" w:type="dxa"/>
            </w:tcMar>
            <w:vAlign w:val="center"/>
            <w:hideMark/>
          </w:tcPr>
          <w:p w:rsidR="00CB0B53" w:rsidRPr="00204436" w:rsidRDefault="00CB0B53" w:rsidP="006C739B">
            <w:pPr>
              <w:pStyle w:val="Tabletext"/>
              <w:jc w:val="center"/>
              <w:cnfStyle w:val="000000000000" w:firstRow="0" w:lastRow="0" w:firstColumn="0" w:lastColumn="0" w:oddVBand="0" w:evenVBand="0" w:oddHBand="0" w:evenHBand="0" w:firstRowFirstColumn="0" w:firstRowLastColumn="0" w:lastRowFirstColumn="0" w:lastRowLastColumn="0"/>
            </w:pPr>
            <w:r w:rsidRPr="00204436">
              <w:t>1</w:t>
            </w:r>
            <w:r>
              <w:t>4</w:t>
            </w:r>
            <w:r w:rsidRPr="00204436">
              <w:t>%</w:t>
            </w:r>
          </w:p>
        </w:tc>
      </w:tr>
      <w:tr w:rsidR="00CB0B53" w:rsidRPr="00204436" w:rsidTr="00F06A5B">
        <w:trPr>
          <w:trHeight w:val="288"/>
        </w:trPr>
        <w:tc>
          <w:tcPr>
            <w:cnfStyle w:val="001000000000" w:firstRow="0" w:lastRow="0" w:firstColumn="1" w:lastColumn="0" w:oddVBand="0" w:evenVBand="0" w:oddHBand="0" w:evenHBand="0" w:firstRowFirstColumn="0" w:firstRowLastColumn="0" w:lastRowFirstColumn="0" w:lastRowLastColumn="0"/>
            <w:tcW w:w="4673" w:type="dxa"/>
            <w:noWrap/>
            <w:hideMark/>
          </w:tcPr>
          <w:p w:rsidR="00CB0B53" w:rsidRPr="00204436" w:rsidRDefault="00CB0B53" w:rsidP="006C739B">
            <w:pPr>
              <w:pStyle w:val="Tabletext"/>
              <w:rPr>
                <w:b w:val="0"/>
              </w:rPr>
            </w:pPr>
            <w:r w:rsidRPr="00204436">
              <w:rPr>
                <w:b w:val="0"/>
              </w:rPr>
              <w:t>Number of organisations with 5-9 new dwellings</w:t>
            </w:r>
          </w:p>
        </w:tc>
        <w:tc>
          <w:tcPr>
            <w:tcW w:w="1701" w:type="dxa"/>
            <w:noWrap/>
            <w:tcMar>
              <w:right w:w="170" w:type="dxa"/>
            </w:tcMar>
            <w:vAlign w:val="center"/>
            <w:hideMark/>
          </w:tcPr>
          <w:p w:rsidR="00CB0B53" w:rsidRPr="00204436" w:rsidRDefault="00CB0B53" w:rsidP="006C739B">
            <w:pPr>
              <w:pStyle w:val="Tabletext"/>
              <w:jc w:val="center"/>
              <w:cnfStyle w:val="000000000000" w:firstRow="0" w:lastRow="0" w:firstColumn="0" w:lastColumn="0" w:oddVBand="0" w:evenVBand="0" w:oddHBand="0" w:evenHBand="0" w:firstRowFirstColumn="0" w:firstRowLastColumn="0" w:lastRowFirstColumn="0" w:lastRowLastColumn="0"/>
            </w:pPr>
            <w:r w:rsidRPr="00204436">
              <w:t>11</w:t>
            </w:r>
          </w:p>
        </w:tc>
        <w:tc>
          <w:tcPr>
            <w:tcW w:w="1286" w:type="dxa"/>
            <w:noWrap/>
            <w:tcMar>
              <w:right w:w="170" w:type="dxa"/>
            </w:tcMar>
            <w:vAlign w:val="center"/>
            <w:hideMark/>
          </w:tcPr>
          <w:p w:rsidR="00CB0B53" w:rsidRPr="00204436" w:rsidRDefault="00CB0B53" w:rsidP="006C739B">
            <w:pPr>
              <w:pStyle w:val="Tabletext"/>
              <w:jc w:val="center"/>
              <w:cnfStyle w:val="000000000000" w:firstRow="0" w:lastRow="0" w:firstColumn="0" w:lastColumn="0" w:oddVBand="0" w:evenVBand="0" w:oddHBand="0" w:evenHBand="0" w:firstRowFirstColumn="0" w:firstRowLastColumn="0" w:lastRowFirstColumn="0" w:lastRowLastColumn="0"/>
            </w:pPr>
            <w:r w:rsidRPr="00204436">
              <w:t>76</w:t>
            </w:r>
          </w:p>
        </w:tc>
        <w:tc>
          <w:tcPr>
            <w:tcW w:w="1494" w:type="dxa"/>
            <w:noWrap/>
            <w:tcMar>
              <w:right w:w="170" w:type="dxa"/>
            </w:tcMar>
            <w:vAlign w:val="center"/>
            <w:hideMark/>
          </w:tcPr>
          <w:p w:rsidR="00CB0B53" w:rsidRPr="00204436" w:rsidRDefault="00CB0B53" w:rsidP="006C739B">
            <w:pPr>
              <w:pStyle w:val="Tabletext"/>
              <w:jc w:val="center"/>
              <w:cnfStyle w:val="000000000000" w:firstRow="0" w:lastRow="0" w:firstColumn="0" w:lastColumn="0" w:oddVBand="0" w:evenVBand="0" w:oddHBand="0" w:evenHBand="0" w:firstRowFirstColumn="0" w:firstRowLastColumn="0" w:lastRowFirstColumn="0" w:lastRowLastColumn="0"/>
            </w:pPr>
            <w:r>
              <w:t>28</w:t>
            </w:r>
            <w:r w:rsidRPr="00204436">
              <w:t>%</w:t>
            </w:r>
          </w:p>
        </w:tc>
      </w:tr>
      <w:tr w:rsidR="00CB0B53" w:rsidRPr="00204436" w:rsidTr="00F06A5B">
        <w:trPr>
          <w:trHeight w:val="288"/>
        </w:trPr>
        <w:tc>
          <w:tcPr>
            <w:cnfStyle w:val="001000000000" w:firstRow="0" w:lastRow="0" w:firstColumn="1" w:lastColumn="0" w:oddVBand="0" w:evenVBand="0" w:oddHBand="0" w:evenHBand="0" w:firstRowFirstColumn="0" w:firstRowLastColumn="0" w:lastRowFirstColumn="0" w:lastRowLastColumn="0"/>
            <w:tcW w:w="4673" w:type="dxa"/>
            <w:noWrap/>
            <w:hideMark/>
          </w:tcPr>
          <w:p w:rsidR="00CB0B53" w:rsidRPr="00204436" w:rsidRDefault="00CB0B53" w:rsidP="006C739B">
            <w:pPr>
              <w:pStyle w:val="Tabletext"/>
              <w:rPr>
                <w:b w:val="0"/>
              </w:rPr>
            </w:pPr>
            <w:r w:rsidRPr="00204436">
              <w:rPr>
                <w:b w:val="0"/>
              </w:rPr>
              <w:t>Number of organisations with 10+ new dwellings</w:t>
            </w:r>
          </w:p>
        </w:tc>
        <w:tc>
          <w:tcPr>
            <w:tcW w:w="1701" w:type="dxa"/>
            <w:noWrap/>
            <w:tcMar>
              <w:right w:w="170" w:type="dxa"/>
            </w:tcMar>
            <w:vAlign w:val="center"/>
            <w:hideMark/>
          </w:tcPr>
          <w:p w:rsidR="00CB0B53" w:rsidRPr="00204436" w:rsidRDefault="00CB0B53" w:rsidP="006C739B">
            <w:pPr>
              <w:pStyle w:val="Tabletext"/>
              <w:jc w:val="center"/>
              <w:cnfStyle w:val="000000000000" w:firstRow="0" w:lastRow="0" w:firstColumn="0" w:lastColumn="0" w:oddVBand="0" w:evenVBand="0" w:oddHBand="0" w:evenHBand="0" w:firstRowFirstColumn="0" w:firstRowLastColumn="0" w:lastRowFirstColumn="0" w:lastRowLastColumn="0"/>
            </w:pPr>
            <w:r w:rsidRPr="00204436">
              <w:t>8</w:t>
            </w:r>
          </w:p>
        </w:tc>
        <w:tc>
          <w:tcPr>
            <w:tcW w:w="1286" w:type="dxa"/>
            <w:noWrap/>
            <w:tcMar>
              <w:right w:w="170" w:type="dxa"/>
            </w:tcMar>
            <w:vAlign w:val="center"/>
            <w:hideMark/>
          </w:tcPr>
          <w:p w:rsidR="00CB0B53" w:rsidRPr="00204436" w:rsidRDefault="00CB0B53" w:rsidP="006C739B">
            <w:pPr>
              <w:pStyle w:val="Tabletext"/>
              <w:jc w:val="center"/>
              <w:cnfStyle w:val="000000000000" w:firstRow="0" w:lastRow="0" w:firstColumn="0" w:lastColumn="0" w:oddVBand="0" w:evenVBand="0" w:oddHBand="0" w:evenHBand="0" w:firstRowFirstColumn="0" w:firstRowLastColumn="0" w:lastRowFirstColumn="0" w:lastRowLastColumn="0"/>
            </w:pPr>
            <w:r w:rsidRPr="00204436">
              <w:t>12</w:t>
            </w:r>
            <w:r>
              <w:t>6</w:t>
            </w:r>
          </w:p>
        </w:tc>
        <w:tc>
          <w:tcPr>
            <w:tcW w:w="1494" w:type="dxa"/>
            <w:noWrap/>
            <w:tcMar>
              <w:right w:w="170" w:type="dxa"/>
            </w:tcMar>
            <w:vAlign w:val="center"/>
            <w:hideMark/>
          </w:tcPr>
          <w:p w:rsidR="00CB0B53" w:rsidRPr="00204436" w:rsidRDefault="00CB0B53" w:rsidP="006C739B">
            <w:pPr>
              <w:pStyle w:val="Tabletext"/>
              <w:jc w:val="center"/>
              <w:cnfStyle w:val="000000000000" w:firstRow="0" w:lastRow="0" w:firstColumn="0" w:lastColumn="0" w:oddVBand="0" w:evenVBand="0" w:oddHBand="0" w:evenHBand="0" w:firstRowFirstColumn="0" w:firstRowLastColumn="0" w:lastRowFirstColumn="0" w:lastRowLastColumn="0"/>
            </w:pPr>
            <w:r>
              <w:t>46</w:t>
            </w:r>
            <w:r w:rsidRPr="00204436">
              <w:t>%</w:t>
            </w:r>
          </w:p>
        </w:tc>
      </w:tr>
    </w:tbl>
    <w:p w:rsidR="00CB0B53" w:rsidRPr="00204436" w:rsidRDefault="00CB0B53" w:rsidP="00CB0B53">
      <w:pPr>
        <w:pStyle w:val="Caption"/>
      </w:pPr>
      <w:r w:rsidRPr="00204436">
        <w:t xml:space="preserve">Source: NDIA enrolled dwelling data, </w:t>
      </w:r>
      <w:r>
        <w:t>September</w:t>
      </w:r>
      <w:r w:rsidRPr="00204436">
        <w:t xml:space="preserve"> 2018</w:t>
      </w:r>
    </w:p>
    <w:p w:rsidR="00575134" w:rsidRPr="0020182A" w:rsidRDefault="00575134" w:rsidP="00575134">
      <w:pPr>
        <w:pStyle w:val="BodyText"/>
      </w:pPr>
    </w:p>
    <w:p w:rsidR="006A71E3" w:rsidRPr="0020182A" w:rsidRDefault="006A71E3" w:rsidP="006A71E3">
      <w:pPr>
        <w:pStyle w:val="Heading3"/>
      </w:pPr>
      <w:r w:rsidRPr="0020182A">
        <w:t>2. Information</w:t>
      </w:r>
    </w:p>
    <w:p w:rsidR="006A71E3" w:rsidRPr="0020182A" w:rsidRDefault="006A71E3" w:rsidP="006A71E3">
      <w:r w:rsidRPr="0020182A">
        <w:t xml:space="preserve">In a well-developed SDA market, providers and investors will have ready access to sufficient market information on current and potential future demand and supply to make informed investment and </w:t>
      </w:r>
      <w:r w:rsidRPr="0020182A">
        <w:lastRenderedPageBreak/>
        <w:t xml:space="preserve">supply decisions, both through market mechanisms as well as non-market mechanisms where there may be information asymmetry. </w:t>
      </w:r>
    </w:p>
    <w:p w:rsidR="006A71E3" w:rsidRPr="000E758D" w:rsidRDefault="006A71E3" w:rsidP="000E758D">
      <w:pPr>
        <w:pStyle w:val="BodyText2"/>
        <w:rPr>
          <w:b/>
          <w:sz w:val="24"/>
        </w:rPr>
      </w:pPr>
      <w:r w:rsidRPr="000E758D">
        <w:rPr>
          <w:b/>
          <w:sz w:val="24"/>
        </w:rPr>
        <w:t>Lack of market information is having a detrimental impact on organisations’ willingness to invest in SDA</w:t>
      </w:r>
    </w:p>
    <w:p w:rsidR="00A1325C" w:rsidRPr="0020182A" w:rsidRDefault="00A1325C" w:rsidP="00A1325C">
      <w:pPr>
        <w:pStyle w:val="BodyText1"/>
        <w:rPr>
          <w:noProof/>
        </w:rPr>
      </w:pPr>
      <w:r w:rsidRPr="0020182A">
        <w:rPr>
          <w:noProof/>
        </w:rPr>
        <w:t>The Review found that at this stage of market development, there is a lack of robust, quantitative information for the market on SDA need/demand</w:t>
      </w:r>
      <w:r w:rsidR="00985DEA">
        <w:rPr>
          <w:noProof/>
        </w:rPr>
        <w:t xml:space="preserve"> and</w:t>
      </w:r>
      <w:r w:rsidRPr="0020182A">
        <w:rPr>
          <w:noProof/>
        </w:rPr>
        <w:t xml:space="preserve"> supply or market gaps on</w:t>
      </w:r>
      <w:r w:rsidR="00985DEA">
        <w:rPr>
          <w:noProof/>
        </w:rPr>
        <w:t xml:space="preserve"> investment decisions can be based. </w:t>
      </w:r>
      <w:r w:rsidRPr="0020182A">
        <w:rPr>
          <w:noProof/>
        </w:rPr>
        <w:t>This lack of market information, especially in an immature, price-regulated market contributes to provider/investor risk and lack of confidence in investing in SDA and again</w:t>
      </w:r>
      <w:r w:rsidR="00985DEA">
        <w:rPr>
          <w:noProof/>
        </w:rPr>
        <w:t>,</w:t>
      </w:r>
      <w:r w:rsidRPr="0020182A">
        <w:rPr>
          <w:noProof/>
        </w:rPr>
        <w:t xml:space="preserve"> only exacerbates barriers to larger scale investment in SDA. In the absence of this quantitative data, providers and investors are basing decisions on local knowledge and the needs of specific groups of participants, pricing factors and potential returns, and belief in the “potential” gaps in the SDA market.</w:t>
      </w:r>
      <w:r w:rsidR="0075797B">
        <w:rPr>
          <w:rStyle w:val="FootnoteReference"/>
          <w:noProof/>
        </w:rPr>
        <w:footnoteReference w:id="22"/>
      </w:r>
      <w:r w:rsidRPr="0020182A">
        <w:rPr>
          <w:noProof/>
        </w:rPr>
        <w:t xml:space="preserve"> </w:t>
      </w:r>
    </w:p>
    <w:p w:rsidR="006A71E3" w:rsidRPr="0020182A" w:rsidRDefault="00A1325C" w:rsidP="00A1325C">
      <w:pPr>
        <w:pStyle w:val="BodyText1"/>
        <w:rPr>
          <w:noProof/>
        </w:rPr>
      </w:pPr>
      <w:r w:rsidRPr="0020182A">
        <w:rPr>
          <w:noProof/>
        </w:rPr>
        <w:t xml:space="preserve">Some e-market mechanisms – such as Nest and Housing Hub are emerging, though these mechanisms are focused on matching participants with SDA providers and vacancies rather than providing a comprehensive picture of total supply. </w:t>
      </w:r>
      <w:r w:rsidR="007130A7" w:rsidRPr="0020182A">
        <w:rPr>
          <w:noProof/>
        </w:rPr>
        <w:t>P</w:t>
      </w:r>
      <w:r w:rsidRPr="0020182A">
        <w:rPr>
          <w:noProof/>
        </w:rPr>
        <w:t xml:space="preserve">roviders have </w:t>
      </w:r>
      <w:r w:rsidR="007130A7" w:rsidRPr="0020182A">
        <w:rPr>
          <w:noProof/>
        </w:rPr>
        <w:t xml:space="preserve">also </w:t>
      </w:r>
      <w:r w:rsidRPr="0020182A">
        <w:rPr>
          <w:noProof/>
        </w:rPr>
        <w:t xml:space="preserve">undertaken </w:t>
      </w:r>
      <w:r w:rsidR="007130A7" w:rsidRPr="0020182A">
        <w:rPr>
          <w:noProof/>
        </w:rPr>
        <w:t xml:space="preserve">their own </w:t>
      </w:r>
      <w:r w:rsidRPr="0020182A">
        <w:rPr>
          <w:noProof/>
        </w:rPr>
        <w:t>analys</w:t>
      </w:r>
      <w:r w:rsidR="007130A7" w:rsidRPr="0020182A">
        <w:rPr>
          <w:noProof/>
        </w:rPr>
        <w:t xml:space="preserve">is to </w:t>
      </w:r>
      <w:r w:rsidRPr="0020182A">
        <w:rPr>
          <w:noProof/>
        </w:rPr>
        <w:t xml:space="preserve">consolidate </w:t>
      </w:r>
      <w:r w:rsidR="007130A7" w:rsidRPr="0020182A">
        <w:rPr>
          <w:noProof/>
        </w:rPr>
        <w:t xml:space="preserve">publicly available </w:t>
      </w:r>
      <w:r w:rsidRPr="0020182A">
        <w:rPr>
          <w:noProof/>
        </w:rPr>
        <w:t>market information that is publically available.</w:t>
      </w:r>
    </w:p>
    <w:p w:rsidR="00AB24F3" w:rsidRPr="0020182A" w:rsidRDefault="00AB24F3" w:rsidP="00A1325C">
      <w:pPr>
        <w:pStyle w:val="BodyText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ote from provider/investor roundtable"/>
        <w:tblDescription w:val="Quote is “The sector desperately needs the demand and supply data to enable a more effective supply response” "/>
      </w:tblPr>
      <w:tblGrid>
        <w:gridCol w:w="8072"/>
      </w:tblGrid>
      <w:tr w:rsidR="00612CC4" w:rsidRPr="0020182A" w:rsidTr="00612CC4">
        <w:trPr>
          <w:tblHeader/>
        </w:trPr>
        <w:tc>
          <w:tcPr>
            <w:tcW w:w="8072" w:type="dxa"/>
          </w:tcPr>
          <w:p w:rsidR="00612CC4" w:rsidRPr="0020182A" w:rsidRDefault="00612CC4" w:rsidP="00F7662C">
            <w:pPr>
              <w:pStyle w:val="BodyText"/>
              <w:spacing w:before="0"/>
            </w:pPr>
            <w:r>
              <w:t>“</w:t>
            </w:r>
            <w:r w:rsidRPr="0020182A">
              <w:t xml:space="preserve">The sector desperately needs the demand and supply data to enable a more effective supply response” </w:t>
            </w:r>
          </w:p>
          <w:p w:rsidR="00612CC4" w:rsidRPr="0020182A" w:rsidRDefault="00612CC4" w:rsidP="00F7662C">
            <w:pPr>
              <w:pStyle w:val="BodyText"/>
              <w:spacing w:before="0"/>
              <w:jc w:val="right"/>
              <w:rPr>
                <w:sz w:val="16"/>
                <w:szCs w:val="16"/>
              </w:rPr>
            </w:pPr>
            <w:r w:rsidRPr="0020182A">
              <w:rPr>
                <w:sz w:val="16"/>
                <w:szCs w:val="16"/>
              </w:rPr>
              <w:t xml:space="preserve"> – Provider/investor Roundtable</w:t>
            </w:r>
          </w:p>
        </w:tc>
      </w:tr>
    </w:tbl>
    <w:p w:rsidR="006A71E3" w:rsidRPr="0020182A" w:rsidRDefault="006A71E3" w:rsidP="006A71E3">
      <w:pPr>
        <w:pStyle w:val="BodyText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ote from provider/investor roundtable"/>
        <w:tblDescription w:val="Quote is &quot;The biggest shortfalls in how the SDA has been rolled out is the lack of data”  "/>
      </w:tblPr>
      <w:tblGrid>
        <w:gridCol w:w="8072"/>
      </w:tblGrid>
      <w:tr w:rsidR="00612CC4" w:rsidRPr="0020182A" w:rsidTr="00612CC4">
        <w:trPr>
          <w:tblHeader/>
        </w:trPr>
        <w:tc>
          <w:tcPr>
            <w:tcW w:w="8072" w:type="dxa"/>
          </w:tcPr>
          <w:p w:rsidR="00DD5D11" w:rsidRPr="0020182A" w:rsidRDefault="00612CC4" w:rsidP="00DD5D11">
            <w:pPr>
              <w:pStyle w:val="BodyText"/>
              <w:spacing w:before="0"/>
              <w:rPr>
                <w:sz w:val="16"/>
                <w:szCs w:val="16"/>
              </w:rPr>
            </w:pPr>
            <w:r>
              <w:t>“</w:t>
            </w:r>
            <w:r w:rsidRPr="0020182A">
              <w:t>The biggest shortfalls in how the SDA has been rolled out is the lack of data”</w:t>
            </w:r>
          </w:p>
          <w:p w:rsidR="00612CC4" w:rsidRPr="0020182A" w:rsidRDefault="00612CC4" w:rsidP="00F7662C">
            <w:pPr>
              <w:pStyle w:val="BodyText"/>
              <w:spacing w:before="0"/>
              <w:jc w:val="right"/>
              <w:rPr>
                <w:sz w:val="16"/>
                <w:szCs w:val="16"/>
              </w:rPr>
            </w:pPr>
            <w:r w:rsidRPr="0020182A">
              <w:rPr>
                <w:sz w:val="16"/>
                <w:szCs w:val="16"/>
              </w:rPr>
              <w:t>– Provider/Investor Roundtable</w:t>
            </w:r>
          </w:p>
        </w:tc>
      </w:tr>
    </w:tbl>
    <w:p w:rsidR="006A71E3" w:rsidRPr="0020182A" w:rsidRDefault="006A71E3" w:rsidP="006A71E3">
      <w:pPr>
        <w:pStyle w:val="BodyText1"/>
      </w:pPr>
    </w:p>
    <w:p w:rsidR="006A71E3" w:rsidRPr="008B3E84" w:rsidRDefault="006A71E3" w:rsidP="008B3E84">
      <w:pPr>
        <w:pStyle w:val="BodyText2"/>
        <w:rPr>
          <w:sz w:val="20"/>
        </w:rPr>
      </w:pPr>
      <w:r w:rsidRPr="008B3E84">
        <w:rPr>
          <w:sz w:val="20"/>
        </w:rPr>
        <w:t>Lack of information on demand and need</w:t>
      </w:r>
    </w:p>
    <w:p w:rsidR="006A71E3" w:rsidRPr="0020182A" w:rsidRDefault="006A71E3" w:rsidP="006A71E3">
      <w:pPr>
        <w:pStyle w:val="BodyText1"/>
      </w:pPr>
      <w:r w:rsidRPr="0020182A">
        <w:t xml:space="preserve">The level of demand for SDA is determined </w:t>
      </w:r>
      <w:r w:rsidR="0075797B">
        <w:t xml:space="preserve">by </w:t>
      </w:r>
      <w:r w:rsidRPr="0020182A">
        <w:t>NDIA decisions relating to SDA eligibility and participant planning and funding decisions</w:t>
      </w:r>
      <w:r w:rsidR="007130A7" w:rsidRPr="0020182A">
        <w:t>, in accordance with SDA Rules</w:t>
      </w:r>
      <w:r w:rsidRPr="0020182A">
        <w:t xml:space="preserve">. In addition, while participants can express some demand preferences to the market in terms of the types and nature of SDA they want to live in (and where they want to live), the nature of demand is also influenced by the NDIA through decisions relating to the dwelling size and design category for which participant SDA funding is approved.  </w:t>
      </w:r>
    </w:p>
    <w:p w:rsidR="006A71E3" w:rsidRPr="000B6202" w:rsidRDefault="006A71E3" w:rsidP="006A71E3">
      <w:pPr>
        <w:pStyle w:val="BodyText1"/>
      </w:pPr>
      <w:r w:rsidRPr="0020182A">
        <w:t>In any market, and in particular in a developing market, it is important that demand information</w:t>
      </w:r>
      <w:r w:rsidR="00A1325C" w:rsidRPr="0020182A">
        <w:t xml:space="preserve"> (particularly data on expected future demand by region)</w:t>
      </w:r>
      <w:r w:rsidRPr="0020182A">
        <w:t xml:space="preserve"> be made available to the market – both in terms of level of demand and nature of demand – and the organisation or entity most in control of demand is in the best position to compile and release this information. Without this information the market is unable to respond appropriately – it will not be able to make informed supply decisions and this can limit the market’s </w:t>
      </w:r>
      <w:r w:rsidRPr="000B6202">
        <w:t xml:space="preserve">willingness to invest in SDA (given the risk may be too high). It can also lead to the market making sub-optimal decisions relating to SDA supply and investment.  </w:t>
      </w:r>
    </w:p>
    <w:p w:rsidR="006A71E3" w:rsidRPr="0020182A" w:rsidRDefault="006A71E3" w:rsidP="006A71E3">
      <w:pPr>
        <w:pStyle w:val="BodyText1"/>
      </w:pPr>
      <w:r w:rsidRPr="000B6202">
        <w:t>Current and potential SDA providers and investors engaged through the Review all stressed the importance of being able to access SDA demand information. This included robust and up-to-date data on the number and characteristics of participants eligible, and likely to be eligible for SDA at full Scheme, and projections</w:t>
      </w:r>
      <w:r w:rsidR="00BB45E5" w:rsidRPr="000B6202">
        <w:t xml:space="preserve"> (to be reviewed every five years)</w:t>
      </w:r>
      <w:r w:rsidRPr="000B6202">
        <w:t xml:space="preserve"> of</w:t>
      </w:r>
      <w:r w:rsidRPr="0020182A">
        <w:t xml:space="preserve"> how this is likely to change over time, by:</w:t>
      </w:r>
    </w:p>
    <w:p w:rsidR="005E2A30" w:rsidRPr="0020182A" w:rsidRDefault="00985DEA" w:rsidP="009B671C">
      <w:pPr>
        <w:pStyle w:val="BodyText"/>
        <w:numPr>
          <w:ilvl w:val="0"/>
          <w:numId w:val="74"/>
        </w:numPr>
        <w:spacing w:before="80" w:after="80"/>
        <w:rPr>
          <w:rFonts w:cs="Arial"/>
          <w:szCs w:val="20"/>
        </w:rPr>
      </w:pPr>
      <w:r>
        <w:rPr>
          <w:rFonts w:cs="Arial"/>
          <w:szCs w:val="20"/>
        </w:rPr>
        <w:t>d</w:t>
      </w:r>
      <w:r w:rsidR="005E2A30" w:rsidRPr="0020182A">
        <w:rPr>
          <w:rFonts w:cs="Arial"/>
          <w:szCs w:val="20"/>
        </w:rPr>
        <w:t>isability type and support need</w:t>
      </w:r>
    </w:p>
    <w:p w:rsidR="005E2A30" w:rsidRPr="0020182A" w:rsidRDefault="00985DEA" w:rsidP="009B671C">
      <w:pPr>
        <w:pStyle w:val="BodyText"/>
        <w:numPr>
          <w:ilvl w:val="0"/>
          <w:numId w:val="74"/>
        </w:numPr>
        <w:spacing w:before="80" w:after="80"/>
        <w:rPr>
          <w:rFonts w:cs="Arial"/>
          <w:szCs w:val="20"/>
        </w:rPr>
      </w:pPr>
      <w:r>
        <w:rPr>
          <w:rFonts w:cs="Arial"/>
          <w:szCs w:val="20"/>
        </w:rPr>
        <w:t>t</w:t>
      </w:r>
      <w:r w:rsidR="005E2A30" w:rsidRPr="0020182A">
        <w:rPr>
          <w:rFonts w:cs="Arial"/>
          <w:szCs w:val="20"/>
        </w:rPr>
        <w:t>ype of SDA or other accommodation required (including SDA design category, where available)</w:t>
      </w:r>
    </w:p>
    <w:p w:rsidR="006A71E3" w:rsidRPr="0020182A" w:rsidRDefault="00985DEA" w:rsidP="009B671C">
      <w:pPr>
        <w:pStyle w:val="Bullet1stlevel"/>
        <w:numPr>
          <w:ilvl w:val="0"/>
          <w:numId w:val="74"/>
        </w:numPr>
      </w:pPr>
      <w:r>
        <w:t>w</w:t>
      </w:r>
      <w:r w:rsidR="006A71E3" w:rsidRPr="0020182A">
        <w:t xml:space="preserve">here participants live (at SA4 or sub-regional level) </w:t>
      </w:r>
    </w:p>
    <w:p w:rsidR="006A71E3" w:rsidRPr="0020182A" w:rsidRDefault="006A71E3" w:rsidP="006A71E3">
      <w:pPr>
        <w:pStyle w:val="BodyText1"/>
      </w:pPr>
      <w:r w:rsidRPr="0020182A">
        <w:lastRenderedPageBreak/>
        <w:t xml:space="preserve">This information is required separately for participants who accessed some form of supported accommodation through </w:t>
      </w:r>
      <w:r w:rsidR="00F61B99">
        <w:t>s</w:t>
      </w:r>
      <w:r w:rsidRPr="0020182A">
        <w:t>tate/</w:t>
      </w:r>
      <w:r w:rsidR="00F61B99">
        <w:t>t</w:t>
      </w:r>
      <w:r w:rsidRPr="0020182A">
        <w:t>erritory arrangements and currently liv</w:t>
      </w:r>
      <w:r w:rsidR="005E2A30" w:rsidRPr="0020182A">
        <w:t>ing</w:t>
      </w:r>
      <w:r w:rsidRPr="0020182A">
        <w:t xml:space="preserve"> in in existing SDA dwellings or legacy stock, and for participants who will be accessing SDA for the first time.</w:t>
      </w:r>
      <w:r w:rsidR="00CA03B1">
        <w:rPr>
          <w:rStyle w:val="FootnoteReference"/>
          <w:noProof/>
        </w:rPr>
        <w:footnoteReference w:id="23"/>
      </w:r>
    </w:p>
    <w:p w:rsidR="006A71E3" w:rsidRPr="0020182A" w:rsidRDefault="006A71E3" w:rsidP="006A71E3">
      <w:pPr>
        <w:pStyle w:val="BodyText1"/>
      </w:pPr>
      <w:r w:rsidRPr="0020182A">
        <w:t xml:space="preserve">It is recognised that, as with any market, investors and providers also need to undertake their own market research and engagement with potential consumers to complement more quantitative information from government. This would include specifically engaging with participants who are likely to be eligible for SDA (and their families and carers) on their housing preferences, engaging with organisations with deep experience in supporting people with disability (or forming longer-term partnership arrangements), as well as accessing research relating to contemporary housing supports, approaches and designs.  </w:t>
      </w:r>
    </w:p>
    <w:p w:rsidR="006A71E3" w:rsidRPr="0020182A" w:rsidRDefault="006A71E3" w:rsidP="006A71E3">
      <w:pPr>
        <w:pStyle w:val="BodyText1"/>
      </w:pPr>
      <w:r w:rsidRPr="0020182A">
        <w:t xml:space="preserve">Providers </w:t>
      </w:r>
      <w:r w:rsidR="005E2A30" w:rsidRPr="0020182A">
        <w:t xml:space="preserve">and investors engaged as part of this Review </w:t>
      </w:r>
      <w:r w:rsidRPr="0020182A">
        <w:t xml:space="preserve">indicated that this demand information would not only assist the market to make sound investment decisions that were not speculative and better manage vacancy risks, but also support the market to meet the individual needs of participants by ensuring appropriate, tailored housing was built. </w:t>
      </w:r>
    </w:p>
    <w:p w:rsidR="006A71E3" w:rsidRPr="008B3E84" w:rsidRDefault="006A71E3" w:rsidP="008B3E84">
      <w:pPr>
        <w:pStyle w:val="BodyText2"/>
        <w:rPr>
          <w:sz w:val="20"/>
        </w:rPr>
      </w:pPr>
      <w:r w:rsidRPr="008B3E84">
        <w:rPr>
          <w:sz w:val="20"/>
        </w:rPr>
        <w:t>Lack of information on current and emerging supply and supply gaps</w:t>
      </w:r>
    </w:p>
    <w:p w:rsidR="006A71E3" w:rsidRPr="0020182A" w:rsidRDefault="00A1325C" w:rsidP="006A71E3">
      <w:pPr>
        <w:pStyle w:val="BodyText1"/>
      </w:pPr>
      <w:r w:rsidRPr="0020182A">
        <w:t>There is also no comprehensive publically available market information on existing supply of SDA or how SDA supply is developing over time. The market currently does not have visibility of existing SDA stock, newly enrolled dwellings and other planned developments, which is required to inform investment decisions, including size, type and location information</w:t>
      </w:r>
      <w:r w:rsidR="00985DEA">
        <w:t>.</w:t>
      </w:r>
      <w:r w:rsidRPr="0020182A">
        <w:t xml:space="preserve"> Existing websites </w:t>
      </w:r>
      <w:r w:rsidR="00985DEA">
        <w:t xml:space="preserve">that </w:t>
      </w:r>
      <w:r w:rsidRPr="0020182A">
        <w:t>provide some information are targeted at participants seeking vacancies, rather</w:t>
      </w:r>
      <w:r w:rsidR="00985DEA">
        <w:t xml:space="preserve"> than investors.</w:t>
      </w:r>
      <w:r w:rsidRPr="0020182A">
        <w:t xml:space="preserve"> Robust supply information, together with greater quantification of likely need and demand for SDA, will contribute to achieving both required level of supply and optimal supply mix over the long-term.</w:t>
      </w:r>
    </w:p>
    <w:p w:rsidR="006A71E3" w:rsidRPr="0020182A" w:rsidRDefault="006A71E3" w:rsidP="006A71E3">
      <w:pPr>
        <w:pStyle w:val="BodyText1"/>
      </w:pPr>
      <w:r w:rsidRPr="0020182A">
        <w:t>Ideally, the market requires data at a granular level on the number of SDA dwellings and places – for both existing (and legacy) stock and new dwellings/places – by:</w:t>
      </w:r>
    </w:p>
    <w:p w:rsidR="006A71E3" w:rsidRPr="0020182A" w:rsidRDefault="006A71E3" w:rsidP="009B671C">
      <w:pPr>
        <w:pStyle w:val="Bullet1stlevel"/>
        <w:numPr>
          <w:ilvl w:val="0"/>
          <w:numId w:val="45"/>
        </w:numPr>
      </w:pPr>
      <w:r w:rsidRPr="0020182A">
        <w:t xml:space="preserve">SDA dwelling type </w:t>
      </w:r>
    </w:p>
    <w:p w:rsidR="006A71E3" w:rsidRPr="0020182A" w:rsidRDefault="006A71E3" w:rsidP="009B671C">
      <w:pPr>
        <w:pStyle w:val="Bullet1stlevel"/>
        <w:numPr>
          <w:ilvl w:val="0"/>
          <w:numId w:val="45"/>
        </w:numPr>
      </w:pPr>
      <w:r w:rsidRPr="0020182A">
        <w:t>SDA dwelling size</w:t>
      </w:r>
    </w:p>
    <w:p w:rsidR="006A71E3" w:rsidRDefault="00985DEA" w:rsidP="009B671C">
      <w:pPr>
        <w:pStyle w:val="Bullet1stlevel"/>
        <w:numPr>
          <w:ilvl w:val="0"/>
          <w:numId w:val="45"/>
        </w:numPr>
      </w:pPr>
      <w:r>
        <w:t>l</w:t>
      </w:r>
      <w:r w:rsidR="006A71E3" w:rsidRPr="0020182A">
        <w:t>ocation (SA4 or sub-regional level).</w:t>
      </w:r>
      <w:r w:rsidR="0075797B" w:rsidRPr="0075797B">
        <w:rPr>
          <w:rStyle w:val="FootnoteReference"/>
          <w:noProof/>
        </w:rPr>
        <w:t xml:space="preserve"> </w:t>
      </w:r>
    </w:p>
    <w:p w:rsidR="004E7B4A" w:rsidRPr="0020182A" w:rsidRDefault="004E7B4A" w:rsidP="004E7B4A">
      <w:pPr>
        <w:pStyle w:val="Bullet1stlevel"/>
      </w:pPr>
      <w:r>
        <w:t>It is noted that subsequent to the Review being completed, the NDIA released some SDA data to the market</w:t>
      </w:r>
    </w:p>
    <w:p w:rsidR="006A71E3" w:rsidRPr="0020182A" w:rsidRDefault="006A71E3" w:rsidP="006A71E3">
      <w:pPr>
        <w:pStyle w:val="Heading3"/>
      </w:pPr>
      <w:r w:rsidRPr="0020182A">
        <w:t>3. Pricing</w:t>
      </w:r>
    </w:p>
    <w:p w:rsidR="00A1325C" w:rsidRPr="0020182A" w:rsidRDefault="00A1325C" w:rsidP="00A1325C">
      <w:pPr>
        <w:pStyle w:val="BodyText1"/>
      </w:pPr>
      <w:r w:rsidRPr="0020182A">
        <w:t>In a price-regulated market</w:t>
      </w:r>
      <w:r w:rsidR="00285F10">
        <w:t xml:space="preserve">: </w:t>
      </w:r>
      <w:r w:rsidRPr="0020182A">
        <w:t>pricing and funding arrangements should provide appropriate signals to the market to guide supply and investment decisions</w:t>
      </w:r>
      <w:r w:rsidR="00285F10">
        <w:t>;</w:t>
      </w:r>
      <w:r w:rsidRPr="0020182A">
        <w:t xml:space="preserve"> be sufficient to cover costs and provide a reasonable rate of return over the long term</w:t>
      </w:r>
      <w:r w:rsidR="00285F10">
        <w:t>;</w:t>
      </w:r>
      <w:r w:rsidRPr="0020182A">
        <w:t xml:space="preserve"> and result in an optimal level of supply and supply mix.</w:t>
      </w:r>
    </w:p>
    <w:p w:rsidR="00A1325C" w:rsidRPr="0020182A" w:rsidRDefault="00A1325C" w:rsidP="00A1325C">
      <w:pPr>
        <w:pStyle w:val="BodyText1"/>
      </w:pPr>
      <w:r w:rsidRPr="0020182A">
        <w:t>The SDA Framework sets out the considerations</w:t>
      </w:r>
      <w:r w:rsidR="00285F10">
        <w:t xml:space="preserve"> that</w:t>
      </w:r>
      <w:r w:rsidRPr="0020182A">
        <w:t xml:space="preserve"> the NDIA will take into account in setting benchmark prices, how these prices will be reviewed and a number of other specific considerations relating to adjustment of prices in particular circumstances (such as location factors and public land). Pricing guidance is intended to facilitate a sufficient return on investment for SDA that provides sufficient purchasing power for eligible participants to find suitable accommodation, either by securing investors or providers to deliver new housing, or by sourcing existing SDA accommodation. The SDA Framework also indicates that an efficient price will also cover the full lifecycle costs of appropriate accommodation. </w:t>
      </w:r>
    </w:p>
    <w:p w:rsidR="006A71E3" w:rsidRPr="0020182A" w:rsidRDefault="00285F10" w:rsidP="00A1325C">
      <w:pPr>
        <w:pStyle w:val="BodyText1"/>
      </w:pPr>
      <w:r>
        <w:t>T</w:t>
      </w:r>
      <w:r w:rsidR="00A1325C" w:rsidRPr="0020182A">
        <w:t>he Review has identified a number of key issues related to pricing and payments, which are impacting on investor interest and confidence in the SDA market and the ability of participants to find SDA that matches their preferences.</w:t>
      </w:r>
    </w:p>
    <w:p w:rsidR="006A71E3" w:rsidRPr="0020182A" w:rsidRDefault="006A71E3" w:rsidP="006A71E3">
      <w:pPr>
        <w:pStyle w:val="Heading4"/>
      </w:pPr>
      <w:r w:rsidRPr="0020182A">
        <w:t xml:space="preserve">Key assumptions underpinning SDA prices may not </w:t>
      </w:r>
      <w:r w:rsidR="004E7B4A">
        <w:t>reflect ‘</w:t>
      </w:r>
      <w:r w:rsidR="005C09D5" w:rsidRPr="0020182A">
        <w:t>efficient</w:t>
      </w:r>
      <w:r w:rsidR="004E7B4A">
        <w:t>’</w:t>
      </w:r>
      <w:r w:rsidR="005C09D5" w:rsidRPr="0020182A">
        <w:t xml:space="preserve"> prices</w:t>
      </w:r>
    </w:p>
    <w:p w:rsidR="006A71E3" w:rsidRPr="0020182A" w:rsidRDefault="006A71E3" w:rsidP="006A71E3">
      <w:pPr>
        <w:pStyle w:val="BodyText1"/>
      </w:pPr>
      <w:r w:rsidRPr="0020182A">
        <w:t xml:space="preserve">The SDA Framework sets out the form for benchmark prices, including the components that will be considered in setting an efficient price. These factors include consumption costs, opportunity costs of capital, costs of ownership, land price inflation and resident rent contributions. Providers and investors </w:t>
      </w:r>
      <w:r w:rsidRPr="0020182A">
        <w:lastRenderedPageBreak/>
        <w:t xml:space="preserve">consulted as part of the review largely indicated that these components were appropriate for setting benchmark prices, in conjunction with other multiplicative factors allowed for in the </w:t>
      </w:r>
      <w:r w:rsidR="00F47914" w:rsidRPr="0020182A">
        <w:t xml:space="preserve">SDA </w:t>
      </w:r>
      <w:r w:rsidRPr="0020182A">
        <w:t xml:space="preserve">Framework such as location, number of bedrooms, necessary features of each dwelling type that may require additional build costs and price inflation. </w:t>
      </w:r>
    </w:p>
    <w:p w:rsidR="006A71E3" w:rsidRPr="0020182A" w:rsidRDefault="00285F10" w:rsidP="006A71E3">
      <w:pPr>
        <w:pStyle w:val="BodyText1"/>
      </w:pPr>
      <w:r>
        <w:t>P</w:t>
      </w:r>
      <w:r w:rsidR="006A71E3" w:rsidRPr="0020182A">
        <w:t xml:space="preserve">roviders and investors stated that some of the price </w:t>
      </w:r>
      <w:r w:rsidR="006A71E3" w:rsidRPr="0020182A">
        <w:rPr>
          <w:i/>
        </w:rPr>
        <w:t>assumptions</w:t>
      </w:r>
      <w:r w:rsidR="006A71E3" w:rsidRPr="0020182A">
        <w:t xml:space="preserve"> underpinning each of these components were not reflective of actual values or costs. In some cases this meant that prices for some SDA dwelling types and design categories were generous and for others</w:t>
      </w:r>
      <w:r>
        <w:t>,</w:t>
      </w:r>
      <w:r w:rsidR="006A71E3" w:rsidRPr="0020182A">
        <w:t xml:space="preserve"> prices were seen to be inadequate. A full review of prices (or price assumptions) was not within the scope of this Review, though examples of specific issues raised by providers and investors are listed below and may provide a focus for any forthcoming price review:</w:t>
      </w:r>
    </w:p>
    <w:p w:rsidR="004E7B4A" w:rsidRDefault="004E7B4A" w:rsidP="009B671C">
      <w:pPr>
        <w:pStyle w:val="Bullet1stlevel"/>
        <w:numPr>
          <w:ilvl w:val="0"/>
          <w:numId w:val="75"/>
        </w:numPr>
      </w:pPr>
      <w:r>
        <w:t xml:space="preserve">The variability of </w:t>
      </w:r>
      <w:r w:rsidRPr="0020182A">
        <w:t>location factors across geographies</w:t>
      </w:r>
      <w:r>
        <w:t xml:space="preserve">, and the extent to which location factors reflect land costs </w:t>
      </w:r>
    </w:p>
    <w:p w:rsidR="006A71E3" w:rsidRPr="0020182A" w:rsidRDefault="006A71E3" w:rsidP="009B671C">
      <w:pPr>
        <w:pStyle w:val="Bullet1stlevel"/>
        <w:numPr>
          <w:ilvl w:val="0"/>
          <w:numId w:val="75"/>
        </w:numPr>
      </w:pPr>
      <w:r w:rsidRPr="0020182A">
        <w:t>The cost of debt and the required rate of return for equity may be higher in parts of the market, given the SDA market is new and lenders/investors are uncertain regarding potential returns and the overcapitalisation required for SDA dwellings.</w:t>
      </w:r>
    </w:p>
    <w:p w:rsidR="006A71E3" w:rsidRPr="0020182A" w:rsidRDefault="006A71E3" w:rsidP="009B671C">
      <w:pPr>
        <w:pStyle w:val="Bullet1stlevel"/>
        <w:numPr>
          <w:ilvl w:val="0"/>
          <w:numId w:val="75"/>
        </w:numPr>
      </w:pPr>
      <w:r w:rsidRPr="0020182A">
        <w:t>The variability of building costs between building types/design categories may not be adequately reflected in construction cost assumptions</w:t>
      </w:r>
      <w:r w:rsidR="00F47914" w:rsidRPr="0020182A">
        <w:t>.</w:t>
      </w:r>
      <w:r w:rsidRPr="0020182A">
        <w:t xml:space="preserve"> </w:t>
      </w:r>
    </w:p>
    <w:p w:rsidR="006A71E3" w:rsidRPr="0020182A" w:rsidRDefault="006A71E3" w:rsidP="009B671C">
      <w:pPr>
        <w:pStyle w:val="Bullet1stlevel"/>
        <w:numPr>
          <w:ilvl w:val="0"/>
          <w:numId w:val="75"/>
        </w:numPr>
      </w:pPr>
      <w:r w:rsidRPr="0020182A">
        <w:t>Land price inflation may be more appropriately based on expected land price inflation, rather than the historical long term average and that this rate may be more conservative than historical rates.</w:t>
      </w:r>
    </w:p>
    <w:p w:rsidR="006A71E3" w:rsidRPr="0020182A" w:rsidRDefault="006A71E3" w:rsidP="006A71E3">
      <w:pPr>
        <w:pStyle w:val="BodyText1"/>
      </w:pPr>
      <w:r w:rsidRPr="0020182A">
        <w:t xml:space="preserve">In relation to benchmark prices, providers and investors </w:t>
      </w:r>
      <w:r w:rsidR="005E2A30" w:rsidRPr="0020182A">
        <w:t xml:space="preserve">who engaged in the Review </w:t>
      </w:r>
      <w:r w:rsidRPr="0020182A">
        <w:t>indicated that some prices are broadly sufficient to make a return on investment in SDA (and in some cases a relatively generous return), while others are not. They indicated that there were issues with variations in specific prices skewing investment interest towards particular design categories, and dwelling types which have the potential to provide the greatest return, and away from other types of SDA dwellings, which may not be consistent with t</w:t>
      </w:r>
      <w:r w:rsidR="00F41866" w:rsidRPr="0020182A">
        <w:t>he preferences of participants.</w:t>
      </w:r>
    </w:p>
    <w:p w:rsidR="006A71E3" w:rsidRPr="0020182A" w:rsidRDefault="006A71E3" w:rsidP="006A71E3">
      <w:pPr>
        <w:pStyle w:val="BodyText1"/>
      </w:pPr>
      <w:r w:rsidRPr="0020182A">
        <w:t>For example, a number of providers indicated that current prices provide a reasonable return for High Physical Support dwellings, in particular one or two</w:t>
      </w:r>
      <w:r w:rsidR="00285F10">
        <w:t>-</w:t>
      </w:r>
      <w:r w:rsidRPr="0020182A">
        <w:t>bedroom apartments</w:t>
      </w:r>
      <w:r w:rsidR="00C40BAB" w:rsidRPr="0020182A">
        <w:t>,</w:t>
      </w:r>
      <w:r w:rsidR="005E2A30" w:rsidRPr="0020182A">
        <w:t xml:space="preserve"> though many also stated that </w:t>
      </w:r>
      <w:r w:rsidRPr="0020182A">
        <w:t xml:space="preserve">potential returns for Robust and Fully Accessible dwellings </w:t>
      </w:r>
      <w:r w:rsidR="005E2A30" w:rsidRPr="0020182A">
        <w:t>we</w:t>
      </w:r>
      <w:r w:rsidRPr="0020182A">
        <w:t>re lower:</w:t>
      </w:r>
    </w:p>
    <w:p w:rsidR="006A71E3" w:rsidRPr="0020182A" w:rsidRDefault="006A71E3" w:rsidP="009B671C">
      <w:pPr>
        <w:pStyle w:val="BodyText1"/>
        <w:numPr>
          <w:ilvl w:val="0"/>
          <w:numId w:val="30"/>
        </w:numPr>
      </w:pPr>
      <w:r w:rsidRPr="0020182A">
        <w:t>Providers indicated that for a one-bedroom, High Physical Support apartment, the additional construction costs required to meet this standard over and above a Fully Accessible apartment are approximately five percent. Both dwelling types must comply with Liv</w:t>
      </w:r>
      <w:r w:rsidR="00A1325C" w:rsidRPr="0020182A">
        <w:t>e</w:t>
      </w:r>
      <w:r w:rsidRPr="0020182A">
        <w:t xml:space="preserve">able Housing Australia Platinum standards, with the only additional build costs related to the inclusion of strengthened ceilings and floors to support hoists and remote control blinds and lights for High Physical Support dwellings. However, the additional revenue associated with a one bedroom High Physical Support apartment, compared with a Fully Accessible apartment, is $29,147 per annum (or 51 percent higher). Providers consider the construction cost estimates made by the NDIA for High Physical Support dwellings to be accurate, but that assumptions for Fully Accessible dwellings understated their cost of construction. Providers stated that this applied across all building types (from apartments to </w:t>
      </w:r>
      <w:r w:rsidR="00285F10">
        <w:t>five</w:t>
      </w:r>
      <w:r w:rsidRPr="0020182A">
        <w:t xml:space="preserve"> bedroom houses). </w:t>
      </w:r>
    </w:p>
    <w:p w:rsidR="006A71E3" w:rsidRPr="0020182A" w:rsidRDefault="006A71E3" w:rsidP="009B671C">
      <w:pPr>
        <w:pStyle w:val="Bullet1stlevel"/>
        <w:numPr>
          <w:ilvl w:val="0"/>
          <w:numId w:val="30"/>
        </w:numPr>
      </w:pPr>
      <w:r w:rsidRPr="0020182A">
        <w:t>While no specific modelling was provided by the market with respect to other design categories, providers indicated they have found similar variances in prices and construction costs when considering the development of Robust dwellings compared to High Physical Support dwellings, based on increased construction costs related to reinforcements and increased maintenance costs over the useful life of the dwelling.</w:t>
      </w:r>
    </w:p>
    <w:p w:rsidR="006A71E3" w:rsidRPr="0020182A" w:rsidRDefault="00A1325C" w:rsidP="006A71E3">
      <w:pPr>
        <w:pStyle w:val="BodyText1"/>
      </w:pPr>
      <w:r w:rsidRPr="0020182A">
        <w:t xml:space="preserve">A contributing factor to concerns </w:t>
      </w:r>
      <w:r w:rsidR="005E2A30" w:rsidRPr="0020182A">
        <w:t>relating</w:t>
      </w:r>
      <w:r w:rsidRPr="0020182A">
        <w:t xml:space="preserve"> to benchmark prices and underpinning assumptions is the lack of clarity regarding the </w:t>
      </w:r>
      <w:r w:rsidR="00360AF1">
        <w:t>approach</w:t>
      </w:r>
      <w:r w:rsidRPr="0020182A">
        <w:t xml:space="preserve"> used to determine prices and key price assumptions, including whether they reflect actual provider costs. In order to support greater certainty in the market, greater transparency regarding benchmark pricing </w:t>
      </w:r>
      <w:r w:rsidR="00360AF1">
        <w:t>approach</w:t>
      </w:r>
      <w:r w:rsidRPr="0020182A">
        <w:t xml:space="preserve"> and key price assumptions is required.</w:t>
      </w:r>
    </w:p>
    <w:p w:rsidR="006A71E3" w:rsidRPr="000E758D" w:rsidRDefault="006A71E3" w:rsidP="000E758D">
      <w:pPr>
        <w:pStyle w:val="BodyText2"/>
        <w:rPr>
          <w:b/>
          <w:sz w:val="24"/>
        </w:rPr>
      </w:pPr>
      <w:r w:rsidRPr="000E758D">
        <w:rPr>
          <w:b/>
          <w:sz w:val="24"/>
        </w:rPr>
        <w:t xml:space="preserve">Adequacy of location factors contained in the SDA Price Guide varies significantly across geographies </w:t>
      </w:r>
    </w:p>
    <w:p w:rsidR="006A71E3" w:rsidRPr="0020182A" w:rsidRDefault="006A71E3" w:rsidP="006A71E3">
      <w:pPr>
        <w:pStyle w:val="BodyText1"/>
      </w:pPr>
      <w:r w:rsidRPr="0020182A">
        <w:t>The SDA Framework allows for adjustments to be made to benchmark prices based on location and other approved allowances</w:t>
      </w:r>
      <w:r w:rsidR="005E2A30" w:rsidRPr="0020182A">
        <w:t xml:space="preserve"> (</w:t>
      </w:r>
      <w:r w:rsidRPr="0020182A">
        <w:t>paragraph 23</w:t>
      </w:r>
      <w:r w:rsidR="005E2A30" w:rsidRPr="0020182A">
        <w:t>)</w:t>
      </w:r>
      <w:r w:rsidRPr="0020182A">
        <w:t xml:space="preserve">. At a policy level, location weighting is critical to account for </w:t>
      </w:r>
      <w:r w:rsidRPr="0020182A">
        <w:lastRenderedPageBreak/>
        <w:t xml:space="preserve">the significant variation in costs across geographies around Australia, including land prices, construction costs and degrees of remoteness. </w:t>
      </w:r>
    </w:p>
    <w:p w:rsidR="006A71E3" w:rsidRPr="0020182A" w:rsidRDefault="00285F10" w:rsidP="006A71E3">
      <w:pPr>
        <w:pStyle w:val="BodyText1"/>
      </w:pPr>
      <w:r>
        <w:t>P</w:t>
      </w:r>
      <w:r w:rsidR="006A71E3" w:rsidRPr="0020182A">
        <w:t xml:space="preserve">roviders and investors </w:t>
      </w:r>
      <w:r w:rsidR="005E2A30" w:rsidRPr="0020182A">
        <w:t xml:space="preserve">engaged </w:t>
      </w:r>
      <w:r w:rsidR="006A71E3" w:rsidRPr="0020182A">
        <w:t>through the Review</w:t>
      </w:r>
      <w:r w:rsidR="005E2A30" w:rsidRPr="0020182A">
        <w:t xml:space="preserve"> indicated </w:t>
      </w:r>
      <w:r w:rsidR="006A71E3" w:rsidRPr="0020182A">
        <w:t>that current location factors contained in the SDA Price Guide varies significantly across geographies</w:t>
      </w:r>
      <w:r w:rsidR="005E2A30" w:rsidRPr="0020182A">
        <w:t xml:space="preserve"> - </w:t>
      </w:r>
      <w:r w:rsidR="006A71E3" w:rsidRPr="0020182A">
        <w:t>for</w:t>
      </w:r>
      <w:r w:rsidR="005E2A30" w:rsidRPr="0020182A">
        <w:t xml:space="preserve"> </w:t>
      </w:r>
      <w:r w:rsidR="006A71E3" w:rsidRPr="0020182A">
        <w:t>a number of reasons:</w:t>
      </w:r>
    </w:p>
    <w:p w:rsidR="006A71E3" w:rsidRPr="0020182A" w:rsidRDefault="006A71E3" w:rsidP="009B671C">
      <w:pPr>
        <w:pStyle w:val="Bullet1stlevel"/>
        <w:numPr>
          <w:ilvl w:val="0"/>
          <w:numId w:val="46"/>
        </w:numPr>
      </w:pPr>
      <w:r w:rsidRPr="0020182A">
        <w:t>The ABS Statistical Area 4 (SA4) regions that appear to be used for each location factor were too broad, and did not recognise local market context</w:t>
      </w:r>
      <w:r w:rsidR="00A1325C" w:rsidRPr="0020182A">
        <w:t>s</w:t>
      </w:r>
      <w:r w:rsidRPr="0020182A">
        <w:t xml:space="preserve"> (such as in metropolitan areas and in remote NT), or the variability even within smaller geographic areas.</w:t>
      </w:r>
    </w:p>
    <w:p w:rsidR="006A71E3" w:rsidRPr="0020182A" w:rsidRDefault="006A71E3" w:rsidP="009B671C">
      <w:pPr>
        <w:pStyle w:val="Bullet1stlevel"/>
        <w:numPr>
          <w:ilvl w:val="0"/>
          <w:numId w:val="46"/>
        </w:numPr>
      </w:pPr>
      <w:r w:rsidRPr="0020182A">
        <w:t xml:space="preserve">The factors do not reflect the actual variability of land prices within </w:t>
      </w:r>
      <w:r w:rsidR="00A1325C" w:rsidRPr="0020182A">
        <w:t>each SA4</w:t>
      </w:r>
      <w:r w:rsidRPr="0020182A">
        <w:t>, or the high cost of land in others. For example, a number of investors and providers operating within the local area indicated the inner Sydney area was not a feasible location for SDA accommodation based on the current location factor.</w:t>
      </w:r>
    </w:p>
    <w:p w:rsidR="006A71E3" w:rsidRPr="0020182A" w:rsidRDefault="006A71E3" w:rsidP="009B671C">
      <w:pPr>
        <w:pStyle w:val="Bullet1stlevel"/>
        <w:numPr>
          <w:ilvl w:val="0"/>
          <w:numId w:val="46"/>
        </w:numPr>
      </w:pPr>
      <w:r w:rsidRPr="0020182A">
        <w:t>The variation in building costs, especially in rural and remote areas, were not reflected in some factors.</w:t>
      </w:r>
    </w:p>
    <w:p w:rsidR="006A71E3" w:rsidRPr="0020182A" w:rsidRDefault="006A71E3" w:rsidP="006A71E3">
      <w:pPr>
        <w:pStyle w:val="BodyText1"/>
      </w:pPr>
      <w:r w:rsidRPr="0020182A">
        <w:t>To examine the variability in land values across SA4 regions, a sample of locations were selected across NSW and Victoria, based on availability of land value information. These included the following SA4s:</w:t>
      </w:r>
    </w:p>
    <w:p w:rsidR="00502D19" w:rsidRPr="0020182A" w:rsidRDefault="006A71E3" w:rsidP="00F06A5B">
      <w:pPr>
        <w:pStyle w:val="Bullet1stlevel"/>
        <w:numPr>
          <w:ilvl w:val="0"/>
          <w:numId w:val="92"/>
        </w:numPr>
      </w:pPr>
      <w:r w:rsidRPr="0020182A">
        <w:t>Melbourne – South East</w:t>
      </w:r>
      <w:r w:rsidR="001850DE" w:rsidRPr="0020182A">
        <w:t>.</w:t>
      </w:r>
    </w:p>
    <w:p w:rsidR="00502D19" w:rsidRDefault="006A71E3" w:rsidP="00F06A5B">
      <w:pPr>
        <w:pStyle w:val="Bullet1stlevel"/>
        <w:numPr>
          <w:ilvl w:val="0"/>
          <w:numId w:val="92"/>
        </w:numPr>
      </w:pPr>
      <w:r w:rsidRPr="0020182A">
        <w:t>Sydney – North Sydney and Hornsby</w:t>
      </w:r>
      <w:r w:rsidR="001850DE" w:rsidRPr="0020182A">
        <w:t>.</w:t>
      </w:r>
    </w:p>
    <w:p w:rsidR="00502D19" w:rsidRDefault="006A71E3" w:rsidP="00F06A5B">
      <w:pPr>
        <w:pStyle w:val="Bullet1stlevel"/>
        <w:numPr>
          <w:ilvl w:val="0"/>
          <w:numId w:val="92"/>
        </w:numPr>
      </w:pPr>
      <w:r w:rsidRPr="0020182A">
        <w:t>Riverina (NSW)</w:t>
      </w:r>
      <w:r w:rsidR="001850DE" w:rsidRPr="0020182A">
        <w:t>.</w:t>
      </w:r>
    </w:p>
    <w:p w:rsidR="000B6202" w:rsidRDefault="001850DE" w:rsidP="009F53F3">
      <w:pPr>
        <w:pStyle w:val="BodyText1"/>
        <w:rPr>
          <w:i/>
        </w:rPr>
      </w:pPr>
      <w:r w:rsidRPr="0020182A">
        <w:fldChar w:fldCharType="begin"/>
      </w:r>
      <w:r w:rsidRPr="0020182A">
        <w:instrText xml:space="preserve"> REF _Ref523252144 \h </w:instrText>
      </w:r>
      <w:r w:rsidR="00057F25" w:rsidRPr="0020182A">
        <w:instrText xml:space="preserve"> \* MERGEFORMAT </w:instrText>
      </w:r>
      <w:r w:rsidRPr="0020182A">
        <w:fldChar w:fldCharType="separate"/>
      </w:r>
      <w:r w:rsidR="00502D19" w:rsidRPr="0020182A">
        <w:t xml:space="preserve">Table </w:t>
      </w:r>
      <w:r w:rsidR="00502D19">
        <w:rPr>
          <w:noProof/>
        </w:rPr>
        <w:t>6</w:t>
      </w:r>
      <w:r w:rsidRPr="0020182A">
        <w:fldChar w:fldCharType="end"/>
      </w:r>
      <w:r w:rsidRPr="0020182A">
        <w:t xml:space="preserve"> </w:t>
      </w:r>
      <w:r w:rsidR="006A71E3" w:rsidRPr="0020182A">
        <w:t xml:space="preserve">considers the difference in median price for land across each SA4 region, based on the particular </w:t>
      </w:r>
      <w:r w:rsidR="00F3737B" w:rsidRPr="0020182A">
        <w:t>sub-regions</w:t>
      </w:r>
      <w:r w:rsidR="006A71E3" w:rsidRPr="0020182A">
        <w:t xml:space="preserve"> it comprises of. The sample demonstrates that there is a considerable difference in the value of land within particular SA4 regions, </w:t>
      </w:r>
      <w:r w:rsidR="00F3737B" w:rsidRPr="0020182A">
        <w:t>within both metropolitan and regional areas</w:t>
      </w:r>
      <w:r w:rsidR="006A71E3" w:rsidRPr="0020182A">
        <w:t>.</w:t>
      </w:r>
      <w:r w:rsidR="000B6202">
        <w:rPr>
          <w:i/>
        </w:rPr>
        <w:br w:type="page"/>
      </w:r>
    </w:p>
    <w:p w:rsidR="006A71E3" w:rsidRDefault="000B6202" w:rsidP="000B6202">
      <w:pPr>
        <w:pStyle w:val="BodyText1"/>
        <w:rPr>
          <w:i/>
        </w:rPr>
      </w:pPr>
      <w:r w:rsidRPr="000B6202">
        <w:rPr>
          <w:i/>
        </w:rPr>
        <w:lastRenderedPageBreak/>
        <w:t xml:space="preserve">Table </w:t>
      </w:r>
      <w:r w:rsidRPr="000B6202">
        <w:rPr>
          <w:i/>
          <w:noProof/>
        </w:rPr>
        <w:fldChar w:fldCharType="begin"/>
      </w:r>
      <w:r w:rsidRPr="000B6202">
        <w:rPr>
          <w:i/>
          <w:noProof/>
        </w:rPr>
        <w:instrText xml:space="preserve"> SEQ Table \* ARABIC </w:instrText>
      </w:r>
      <w:r w:rsidRPr="000B6202">
        <w:rPr>
          <w:i/>
          <w:noProof/>
        </w:rPr>
        <w:fldChar w:fldCharType="separate"/>
      </w:r>
      <w:r w:rsidRPr="000B6202">
        <w:rPr>
          <w:i/>
          <w:noProof/>
        </w:rPr>
        <w:t>6</w:t>
      </w:r>
      <w:r w:rsidRPr="000B6202">
        <w:rPr>
          <w:i/>
          <w:noProof/>
        </w:rPr>
        <w:fldChar w:fldCharType="end"/>
      </w:r>
      <w:r w:rsidRPr="000B6202">
        <w:rPr>
          <w:i/>
        </w:rPr>
        <w:t>: Comparison of median land values (developed or undeveloped) across selected SA4 regions</w:t>
      </w:r>
    </w:p>
    <w:p w:rsidR="006A71E3" w:rsidRPr="00EE74C8" w:rsidRDefault="00EE74C8" w:rsidP="00EE74C8">
      <w:pPr>
        <w:pStyle w:val="BodyText1"/>
        <w:rPr>
          <w:i/>
        </w:rPr>
      </w:pPr>
      <w:r w:rsidRPr="00EE74C8">
        <w:rPr>
          <w:noProof/>
          <w:lang w:eastAsia="en-AU"/>
        </w:rPr>
        <w:drawing>
          <wp:inline distT="0" distB="0" distL="0" distR="0">
            <wp:extent cx="5736590" cy="6792595"/>
            <wp:effectExtent l="0" t="0" r="0" b="0"/>
            <wp:docPr id="2" name="Picture 2" descr="Median prices for land (developed or undeveloped) for Sydney-North Sydney and hornsby are:&#10;Hornsby $837,000 &#10;Ku-ring-gai $1,390,000 &#10;Willoughby $1,650,000 &#10;Lane Cove $1,530,000 &#10;North Sydney $1,570,000&#10;Mosman $2,150,000&#10;Difference between Mosman and Hornsby 157%&#10;Median prices for land (developed or undeveloped) for Melbourne - South East are:&#10;Cardinia $495,000&#10;Casey – North &amp; South $574,900&#10;Dandenong $690,000&#10;Monash $1,260,000&#10;Difference between Monash and Cardinia 155%&#10;Median prices for land (developed or undeveloped) for Riverina (NSW) are:&#10;Cootamundra $65,300&#10;Gundagai $47,700&#10;Junee $111,000&#10;Leeton $74,400&#10;Murrumbidgee $70,050&#10;Narrandera $72,400&#10;Tumbarumba No data available&#10;Tumut No data available&#10;Griffith $116,000&#10;Temora $67,200&#10;Wagga Wagga $130,000&#10;Difference between Wagga Wagga and Gundagai 173%&#10;" title="Table 6: Comparison of median land values (developed or undeveloped) across selected SA4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736590" cy="6792595"/>
                    </a:xfrm>
                    <a:prstGeom prst="rect">
                      <a:avLst/>
                    </a:prstGeom>
                    <a:noFill/>
                    <a:ln>
                      <a:noFill/>
                    </a:ln>
                  </pic:spPr>
                </pic:pic>
              </a:graphicData>
            </a:graphic>
          </wp:inline>
        </w:drawing>
      </w:r>
      <w:r w:rsidR="006A71E3" w:rsidRPr="0020182A">
        <w:t>Source: KPMG, adapted from the NDIS SDA Price Guide 2017-18, NSW Monthly land value data as at 1 June 2018</w:t>
      </w:r>
      <w:r w:rsidR="00F54F8C" w:rsidRPr="0020182A">
        <w:rPr>
          <w:rStyle w:val="FootnoteReference"/>
        </w:rPr>
        <w:footnoteReference w:id="24"/>
      </w:r>
      <w:r w:rsidR="006A71E3" w:rsidRPr="0020182A">
        <w:t>, and Victorian Property Price year summary 2017</w:t>
      </w:r>
      <w:r w:rsidR="00743B77" w:rsidRPr="0020182A">
        <w:rPr>
          <w:rStyle w:val="FootnoteReference"/>
        </w:rPr>
        <w:footnoteReference w:id="25"/>
      </w:r>
      <w:r w:rsidR="006A71E3" w:rsidRPr="0020182A">
        <w:t>.</w:t>
      </w:r>
    </w:p>
    <w:p w:rsidR="00D41D20" w:rsidRDefault="00D41D20" w:rsidP="00A1325C">
      <w:pPr>
        <w:pStyle w:val="BodyText1"/>
      </w:pPr>
    </w:p>
    <w:p w:rsidR="00A1325C" w:rsidRPr="0020182A" w:rsidRDefault="00A1325C" w:rsidP="00A1325C">
      <w:pPr>
        <w:pStyle w:val="BodyText1"/>
      </w:pPr>
      <w:r w:rsidRPr="0020182A">
        <w:t xml:space="preserve">Investors are attracted to locations </w:t>
      </w:r>
      <w:r w:rsidR="00285F10">
        <w:t>that</w:t>
      </w:r>
      <w:r w:rsidRPr="0020182A">
        <w:t xml:space="preserve"> deliver the greatest return relative to land value and development costs and the lower cost areas/suburbs within SA4 with relatively generous location factor adjustments. While location factors are greatest in metropolitan areas, data on new SDA dwellings registered to date illustrate the majority are located in non-metropolitan areas. Based on current demand information, it is unclear where the majority of new supply is required, however the relativity between current location factors does not provide a neutral view for investors.</w:t>
      </w:r>
    </w:p>
    <w:p w:rsidR="006A71E3" w:rsidRPr="0020182A" w:rsidRDefault="00A1325C" w:rsidP="00A1325C">
      <w:pPr>
        <w:pStyle w:val="BodyText1"/>
      </w:pPr>
      <w:r w:rsidRPr="0020182A">
        <w:t>The level of variability in costs across smaller areas within SA4 regions is likely to encourage investment in particular areas that will provide viable investments, or larger returns for investors. In some locations, such as metro capital cities, the implications of this may be of less concern, as access to infrastructure and services is likely to still be adequate across SA4 regions. However, in regional, rural or remote SA4 areas, if some areas provide a greater rate of return, it is possible that access to infrastructure and services will be less proximate for participants, including other NDIS supports such as community participation. SDA dwellings built around locations with greater returns is also likely to impact on the ability for participants to exercise choice over where they want to live, including in proximity to family or friends. Location factors should provide neutral investment incentive for providers and investors, to ensure that SDA investment decisions are made in reference to demand, rather than the greatest return.</w:t>
      </w:r>
    </w:p>
    <w:p w:rsidR="006A71E3" w:rsidRPr="0020182A" w:rsidRDefault="006A71E3" w:rsidP="006A71E3">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ote from investor/provider roundtable"/>
        <w:tblDescription w:val="Quote is “The location factors are insufficient to allow anyone to build in an actual location that suits a person with disability; close to services, transport and family” "/>
      </w:tblPr>
      <w:tblGrid>
        <w:gridCol w:w="8072"/>
      </w:tblGrid>
      <w:tr w:rsidR="00612CC4" w:rsidRPr="0020182A" w:rsidTr="00612CC4">
        <w:trPr>
          <w:tblHeader/>
        </w:trPr>
        <w:tc>
          <w:tcPr>
            <w:tcW w:w="8072" w:type="dxa"/>
          </w:tcPr>
          <w:p w:rsidR="00612CC4" w:rsidRPr="0020182A" w:rsidRDefault="00612CC4" w:rsidP="00F7662C">
            <w:pPr>
              <w:pStyle w:val="BodyText"/>
              <w:spacing w:before="0"/>
            </w:pPr>
            <w:r>
              <w:t>“</w:t>
            </w:r>
            <w:r w:rsidRPr="0020182A">
              <w:t xml:space="preserve">The location factors are insufficient to allow anyone to build in an actual location that suits a person with disability; close to services, transport and family” </w:t>
            </w:r>
          </w:p>
          <w:p w:rsidR="00612CC4" w:rsidRPr="0020182A" w:rsidRDefault="00612CC4" w:rsidP="00F7662C">
            <w:pPr>
              <w:pStyle w:val="BodyText"/>
              <w:spacing w:before="0"/>
              <w:jc w:val="right"/>
              <w:rPr>
                <w:sz w:val="16"/>
                <w:szCs w:val="16"/>
              </w:rPr>
            </w:pPr>
            <w:r w:rsidRPr="0020182A">
              <w:rPr>
                <w:sz w:val="16"/>
                <w:szCs w:val="16"/>
              </w:rPr>
              <w:t xml:space="preserve"> – Investor/Provider Roundtable</w:t>
            </w:r>
          </w:p>
        </w:tc>
      </w:tr>
    </w:tbl>
    <w:p w:rsidR="006A71E3" w:rsidRPr="0020182A" w:rsidRDefault="006A71E3" w:rsidP="006A71E3">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ritten submission"/>
        <w:tblDescription w:val="Written submission states “A review of location factors with an alternative boundary structure [is] recommended to remove incentives which undermine diversity of supply and do not recognise underlying market costs for housing in the location”."/>
      </w:tblPr>
      <w:tblGrid>
        <w:gridCol w:w="8072"/>
      </w:tblGrid>
      <w:tr w:rsidR="00612CC4" w:rsidRPr="0020182A" w:rsidTr="00612CC4">
        <w:trPr>
          <w:tblHeader/>
        </w:trPr>
        <w:tc>
          <w:tcPr>
            <w:tcW w:w="8072" w:type="dxa"/>
          </w:tcPr>
          <w:p w:rsidR="00612CC4" w:rsidRPr="0020182A" w:rsidRDefault="00612CC4" w:rsidP="00F7662C">
            <w:pPr>
              <w:pStyle w:val="BodyText"/>
              <w:spacing w:before="0"/>
            </w:pPr>
            <w:r>
              <w:t>“</w:t>
            </w:r>
            <w:r w:rsidRPr="0020182A">
              <w:t xml:space="preserve">A review of location factors with an alternative boundary structure [is] recommended to remove incentives which undermine diversity of supply and do not recognise underlying market costs for housing in the location” </w:t>
            </w:r>
          </w:p>
          <w:p w:rsidR="00612CC4" w:rsidRPr="0020182A" w:rsidRDefault="00612CC4" w:rsidP="00F7662C">
            <w:pPr>
              <w:pStyle w:val="BodyText"/>
              <w:spacing w:before="0"/>
              <w:jc w:val="right"/>
              <w:rPr>
                <w:sz w:val="16"/>
                <w:szCs w:val="16"/>
              </w:rPr>
            </w:pPr>
            <w:r w:rsidRPr="0020182A">
              <w:rPr>
                <w:sz w:val="16"/>
                <w:szCs w:val="16"/>
              </w:rPr>
              <w:t xml:space="preserve"> – Written submission</w:t>
            </w:r>
          </w:p>
        </w:tc>
      </w:tr>
    </w:tbl>
    <w:p w:rsidR="006A71E3" w:rsidRPr="0020182A" w:rsidRDefault="006A71E3" w:rsidP="006A71E3">
      <w:pPr>
        <w:pStyle w:val="BodyText"/>
      </w:pPr>
    </w:p>
    <w:p w:rsidR="006A71E3" w:rsidRPr="000E758D" w:rsidRDefault="006A71E3" w:rsidP="000E758D">
      <w:pPr>
        <w:pStyle w:val="BodyText2"/>
        <w:rPr>
          <w:b/>
          <w:sz w:val="24"/>
        </w:rPr>
      </w:pPr>
      <w:r w:rsidRPr="000E758D">
        <w:rPr>
          <w:b/>
          <w:sz w:val="24"/>
        </w:rPr>
        <w:t xml:space="preserve">Current </w:t>
      </w:r>
      <w:r w:rsidR="00570FBF" w:rsidRPr="000E758D">
        <w:rPr>
          <w:b/>
          <w:sz w:val="24"/>
        </w:rPr>
        <w:t>prices</w:t>
      </w:r>
      <w:r w:rsidRPr="000E758D">
        <w:rPr>
          <w:b/>
          <w:sz w:val="24"/>
        </w:rPr>
        <w:t xml:space="preserve"> are contributing to a risk that future growth in supply may not result in an optimal supply mix</w:t>
      </w:r>
    </w:p>
    <w:p w:rsidR="00A1325C" w:rsidRPr="0020182A" w:rsidRDefault="00A1325C" w:rsidP="00A1325C">
      <w:pPr>
        <w:pStyle w:val="BodyText1"/>
      </w:pPr>
      <w:r w:rsidRPr="0020182A">
        <w:t>The current pricing structure and prices, together with lack of market information on potential demand and existing and emerging supply, is skewing investment interest towards specific SDA property types, sizes and locations, and has the potential to lead to a sub-optimal supply mix in the long-term.</w:t>
      </w:r>
    </w:p>
    <w:p w:rsidR="00A1325C" w:rsidRPr="0020182A" w:rsidRDefault="00A1325C" w:rsidP="00A1325C">
      <w:pPr>
        <w:pStyle w:val="BodyText1"/>
        <w:rPr>
          <w:color w:val="0091DA" w:themeColor="accent2"/>
          <w:sz w:val="22"/>
        </w:rPr>
      </w:pPr>
      <w:r w:rsidRPr="0020182A">
        <w:t>In particular, stakeholders consistently raised concerns about the mix of dwellings currently being developed or planned, with a tendency to focus on traditional group homes and single-bedroom apartments and towards specific locations within metropolitan areas. There were a number of reasons highlighted above as drivers of this supply response. This appears to be reflected in the data.</w:t>
      </w:r>
    </w:p>
    <w:p w:rsidR="006A71E3" w:rsidRPr="0020182A" w:rsidRDefault="006A71E3" w:rsidP="00A1325C">
      <w:pPr>
        <w:pStyle w:val="Heading5"/>
      </w:pPr>
      <w:r w:rsidRPr="0020182A">
        <w:t>Evidence – emerging supply mix</w:t>
      </w:r>
    </w:p>
    <w:p w:rsidR="00082405" w:rsidRDefault="00A1325C" w:rsidP="006A71E3">
      <w:pPr>
        <w:pStyle w:val="BodyText1"/>
      </w:pPr>
      <w:r w:rsidRPr="0020182A">
        <w:t>Available data on the number of new SDA dwelling registered supports stakeholder views that there is sizeable interest in single-participant SDA dwellings, with more ne</w:t>
      </w:r>
      <w:r w:rsidR="000902A5">
        <w:t>w one-resident SDA dwellings (</w:t>
      </w:r>
      <w:r w:rsidR="00082405">
        <w:t xml:space="preserve">with </w:t>
      </w:r>
      <w:r w:rsidR="000902A5">
        <w:t>11</w:t>
      </w:r>
      <w:r w:rsidRPr="0020182A">
        <w:t>1 new places)</w:t>
      </w:r>
      <w:r w:rsidR="00082405">
        <w:t>.</w:t>
      </w:r>
    </w:p>
    <w:p w:rsidR="006A71E3" w:rsidRDefault="00082405">
      <w:pPr>
        <w:pStyle w:val="BodyText1"/>
      </w:pPr>
      <w:r>
        <w:t xml:space="preserve">Further, a larger number of smaller (1-3 resident) SDA dwellings have been enrolled compared with larger (4-5 resident) SDA dwellings.  As at end September 2018, there were 210 new 1-3 resident SDA dwellings enrolled delivering 321 new places, compared with 63 new 4-5 resident group homes delivering 298 new places. </w:t>
      </w:r>
      <w:r w:rsidR="00A1325C" w:rsidRPr="0020182A">
        <w:t xml:space="preserve"> </w:t>
      </w:r>
      <w:r w:rsidR="000902A5" w:rsidRPr="00204436">
        <w:t xml:space="preserve">This is illustrated in </w:t>
      </w:r>
      <w:r w:rsidR="00502D19">
        <w:t>Table 7.</w:t>
      </w:r>
      <w:r w:rsidR="00502D19" w:rsidRPr="00204436" w:rsidDel="00502D19">
        <w:t xml:space="preserve"> </w:t>
      </w:r>
    </w:p>
    <w:p w:rsidR="000902A5" w:rsidRDefault="000902A5" w:rsidP="00F06A5B">
      <w:pPr>
        <w:pStyle w:val="Caption"/>
        <w:keepNext/>
        <w:keepLines/>
      </w:pPr>
      <w:r w:rsidRPr="00204436">
        <w:lastRenderedPageBreak/>
        <w:t xml:space="preserve">Table </w:t>
      </w:r>
      <w:r w:rsidRPr="00204436">
        <w:rPr>
          <w:noProof/>
        </w:rPr>
        <w:fldChar w:fldCharType="begin"/>
      </w:r>
      <w:r w:rsidRPr="00204436">
        <w:rPr>
          <w:noProof/>
        </w:rPr>
        <w:instrText xml:space="preserve"> SEQ Table \* ARABIC </w:instrText>
      </w:r>
      <w:r w:rsidRPr="00204436">
        <w:rPr>
          <w:noProof/>
        </w:rPr>
        <w:fldChar w:fldCharType="separate"/>
      </w:r>
      <w:r w:rsidR="00502D19">
        <w:rPr>
          <w:noProof/>
        </w:rPr>
        <w:t>7</w:t>
      </w:r>
      <w:r w:rsidRPr="00204436">
        <w:rPr>
          <w:noProof/>
        </w:rPr>
        <w:fldChar w:fldCharType="end"/>
      </w:r>
      <w:r w:rsidRPr="00204436">
        <w:t xml:space="preserve">: Number of new SDA dwellings registered, by dwelling type and resident capacity, </w:t>
      </w:r>
      <w:r>
        <w:t>September</w:t>
      </w:r>
      <w:r w:rsidRPr="00204436">
        <w:t xml:space="preserve"> 2018</w:t>
      </w:r>
      <w:r w:rsidRPr="00204436">
        <w:rPr>
          <w:rStyle w:val="FootnoteReference"/>
          <w:color w:val="auto"/>
        </w:rPr>
        <w:footnoteReference w:id="26"/>
      </w:r>
    </w:p>
    <w:p w:rsidR="00FB5414" w:rsidRDefault="00FB5414" w:rsidP="00FB5414">
      <w:r w:rsidRPr="00FB5414">
        <w:rPr>
          <w:noProof/>
          <w:lang w:eastAsia="en-AU"/>
        </w:rPr>
        <w:drawing>
          <wp:inline distT="0" distB="0" distL="0" distR="0">
            <wp:extent cx="5736590" cy="3189605"/>
            <wp:effectExtent l="0" t="0" r="0" b="0"/>
            <wp:docPr id="3" name="Picture 3" descr="Number of new SDA dwellings and number of places for One resident homes:&#10;Apartment, 1 bedroom, 1 resident - 21 new dwellings and 21 new places&#10;Apartment, 2 bedrooms, 1 resident - 14 new dwellings and 14 new places. &#10;Villa/Duplex/Townhouse, 1 resident - 76 new dwellings and 76 new places.&#10;This is a total of 111 new dwellings and new places for the one resident category.&#10;Number of new dwellings and new residents for Two residents:&#10;Apartment, 2 bedrooms, 2 residents - l 29 new dwellings and 58 new places.&#10;Apartment, 3 bedrooms, 2 residents - 17 new dwellings and 34 new places. &#10;House, 2 residents - 5 new dwellings and 9 new places&#10;Villa/Duplex/Townhouse, 2 residents - 34 new dwellings and 68 new places.&#10;This is a total of 85 new dwellings and 169 new places for this category.&#10;Number of new dwellings and new places for Three residents:&#10;House, 3 residents - 7 new dwellings and 14 new places. &#10;Villa/Duplex/Townhouse, 3 residents - 7 new dwellings and 20 new places.&#10;This is a total of 14 new dwellings and 41 new places for this category.&#10;New dwellings and new places for four residents:&#10;Group home, 4 residents - 15 new dwellings and 60 new places. &#10;New dwellings and new places for five residents:&#10;Group home, 5 residents - 48 new dwellings and 238 new places.&#10;For all categories that amounts to a total 273 new dwellings and 619 new places. " title="Number of new SDA dwellings registered, by dwelling type and resident capacity, September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736590" cy="3189605"/>
                    </a:xfrm>
                    <a:prstGeom prst="rect">
                      <a:avLst/>
                    </a:prstGeom>
                    <a:noFill/>
                    <a:ln>
                      <a:noFill/>
                    </a:ln>
                  </pic:spPr>
                </pic:pic>
              </a:graphicData>
            </a:graphic>
          </wp:inline>
        </w:drawing>
      </w:r>
    </w:p>
    <w:p w:rsidR="000902A5" w:rsidRPr="00204436" w:rsidRDefault="00FB5414" w:rsidP="000902A5">
      <w:pPr>
        <w:pStyle w:val="Caption"/>
      </w:pPr>
      <w:r>
        <w:t>S</w:t>
      </w:r>
      <w:r w:rsidR="000902A5" w:rsidRPr="00204436">
        <w:t xml:space="preserve">ource: NDIA dwelling enrolment data, </w:t>
      </w:r>
      <w:r w:rsidR="000902A5">
        <w:t>September</w:t>
      </w:r>
      <w:r w:rsidR="000902A5" w:rsidRPr="00204436">
        <w:t xml:space="preserve"> 2018</w:t>
      </w:r>
    </w:p>
    <w:p w:rsidR="00D41D20" w:rsidRDefault="00D41D20" w:rsidP="000902A5">
      <w:pPr>
        <w:pStyle w:val="BodyText1"/>
      </w:pPr>
    </w:p>
    <w:p w:rsidR="000902A5" w:rsidRPr="00204436" w:rsidRDefault="000902A5" w:rsidP="000902A5">
      <w:pPr>
        <w:pStyle w:val="BodyText1"/>
      </w:pPr>
      <w:r w:rsidRPr="00204436">
        <w:t xml:space="preserve">In terms of design category, the majority of new SDA dwellings registered </w:t>
      </w:r>
      <w:r w:rsidR="00BB0BA5">
        <w:t>a</w:t>
      </w:r>
      <w:r w:rsidRPr="00204436">
        <w:t>s “</w:t>
      </w:r>
      <w:r w:rsidR="00BB0BA5">
        <w:t>F</w:t>
      </w:r>
      <w:r w:rsidRPr="00204436">
        <w:t xml:space="preserve">ully </w:t>
      </w:r>
      <w:r w:rsidR="00BB0BA5">
        <w:t>A</w:t>
      </w:r>
      <w:r w:rsidRPr="00204436">
        <w:t>ccessible” (3</w:t>
      </w:r>
      <w:r>
        <w:t>9</w:t>
      </w:r>
      <w:r w:rsidRPr="00204436">
        <w:t>%), followed by “</w:t>
      </w:r>
      <w:r w:rsidR="00BB0BA5">
        <w:t>I</w:t>
      </w:r>
      <w:r w:rsidRPr="00204436">
        <w:t xml:space="preserve">mproved </w:t>
      </w:r>
      <w:r w:rsidR="00BB0BA5">
        <w:t>L</w:t>
      </w:r>
      <w:r w:rsidRPr="00204436">
        <w:t>iveability”</w:t>
      </w:r>
      <w:r>
        <w:t xml:space="preserve"> and </w:t>
      </w:r>
      <w:r w:rsidRPr="00204436">
        <w:t>“</w:t>
      </w:r>
      <w:r w:rsidR="00BB0BA5">
        <w:t>H</w:t>
      </w:r>
      <w:r w:rsidRPr="00204436">
        <w:t xml:space="preserve">igh </w:t>
      </w:r>
      <w:r w:rsidR="00BB0BA5">
        <w:t>P</w:t>
      </w:r>
      <w:r w:rsidRPr="00204436">
        <w:t xml:space="preserve">hysical </w:t>
      </w:r>
      <w:r w:rsidR="00BB0BA5">
        <w:t>S</w:t>
      </w:r>
      <w:r w:rsidRPr="00204436">
        <w:t>upport”</w:t>
      </w:r>
      <w:r>
        <w:t>.</w:t>
      </w:r>
      <w:r w:rsidRPr="00204436">
        <w:t xml:space="preserve"> There are relatively few new “</w:t>
      </w:r>
      <w:r w:rsidR="00BB0BA5">
        <w:t>R</w:t>
      </w:r>
      <w:r w:rsidRPr="00204436">
        <w:t xml:space="preserve">obust” SDA properties. It is difficult to determine whether this mix of new SDA dwellings </w:t>
      </w:r>
      <w:r w:rsidR="00082405">
        <w:t>reflects relative need among participants eligible for SDA</w:t>
      </w:r>
      <w:r w:rsidRPr="00204436">
        <w:t>, however.</w:t>
      </w:r>
    </w:p>
    <w:p w:rsidR="000902A5" w:rsidRPr="00204436" w:rsidRDefault="000902A5" w:rsidP="000902A5">
      <w:pPr>
        <w:pStyle w:val="Caption"/>
      </w:pPr>
      <w:r w:rsidRPr="00204436">
        <w:t xml:space="preserve">Table </w:t>
      </w:r>
      <w:r w:rsidRPr="00204436">
        <w:rPr>
          <w:noProof/>
        </w:rPr>
        <w:fldChar w:fldCharType="begin"/>
      </w:r>
      <w:r w:rsidRPr="00204436">
        <w:rPr>
          <w:noProof/>
        </w:rPr>
        <w:instrText xml:space="preserve"> SEQ Table \* ARABIC </w:instrText>
      </w:r>
      <w:r w:rsidRPr="00204436">
        <w:rPr>
          <w:noProof/>
        </w:rPr>
        <w:fldChar w:fldCharType="separate"/>
      </w:r>
      <w:r w:rsidR="00502D19">
        <w:rPr>
          <w:noProof/>
        </w:rPr>
        <w:t>8</w:t>
      </w:r>
      <w:r w:rsidRPr="00204436">
        <w:rPr>
          <w:noProof/>
        </w:rPr>
        <w:fldChar w:fldCharType="end"/>
      </w:r>
      <w:r w:rsidRPr="00204436">
        <w:t xml:space="preserve">: Number of new SDA dwellings registered, by design category, </w:t>
      </w:r>
      <w:r>
        <w:t>September</w:t>
      </w:r>
      <w:r w:rsidRPr="00204436">
        <w:t xml:space="preserve"> 2018</w:t>
      </w:r>
      <w:r w:rsidRPr="00204436">
        <w:rPr>
          <w:rStyle w:val="FootnoteReference"/>
          <w:color w:val="auto"/>
        </w:rPr>
        <w:footnoteReference w:id="27"/>
      </w:r>
    </w:p>
    <w:tbl>
      <w:tblPr>
        <w:tblW w:w="8921" w:type="dxa"/>
        <w:tblLayout w:type="fixed"/>
        <w:tblLook w:val="04A0" w:firstRow="1" w:lastRow="0" w:firstColumn="1" w:lastColumn="0" w:noHBand="0" w:noVBand="1"/>
      </w:tblPr>
      <w:tblGrid>
        <w:gridCol w:w="2400"/>
        <w:gridCol w:w="1630"/>
        <w:gridCol w:w="1630"/>
        <w:gridCol w:w="1630"/>
        <w:gridCol w:w="1631"/>
      </w:tblGrid>
      <w:tr w:rsidR="000902A5" w:rsidRPr="00B52EF0" w:rsidTr="00F06A5B">
        <w:trPr>
          <w:trHeight w:val="300"/>
        </w:trPr>
        <w:tc>
          <w:tcPr>
            <w:tcW w:w="2400" w:type="dxa"/>
            <w:tcBorders>
              <w:top w:val="single" w:sz="8" w:space="0" w:color="BFBFBF"/>
              <w:left w:val="single" w:sz="8" w:space="0" w:color="BFBFBF"/>
              <w:bottom w:val="single" w:sz="12" w:space="0" w:color="3B9FFF"/>
              <w:right w:val="single" w:sz="8" w:space="0" w:color="BFBFBF"/>
            </w:tcBorders>
            <w:shd w:val="clear" w:color="000000" w:fill="0091DA"/>
            <w:noWrap/>
            <w:vAlign w:val="center"/>
            <w:hideMark/>
          </w:tcPr>
          <w:p w:rsidR="000902A5" w:rsidRPr="00B52EF0" w:rsidRDefault="000902A5" w:rsidP="006C739B">
            <w:pPr>
              <w:spacing w:before="0" w:after="0"/>
              <w:rPr>
                <w:rFonts w:eastAsia="Times New Roman" w:cs="Calibri"/>
                <w:b/>
                <w:bCs/>
                <w:color w:val="FFFFFF"/>
                <w:szCs w:val="20"/>
                <w:lang w:eastAsia="en-AU"/>
              </w:rPr>
            </w:pPr>
            <w:r>
              <w:rPr>
                <w:rFonts w:eastAsia="Times New Roman" w:cs="Calibri"/>
                <w:b/>
                <w:bCs/>
                <w:color w:val="FFFFFF"/>
                <w:szCs w:val="20"/>
                <w:lang w:eastAsia="en-AU"/>
              </w:rPr>
              <w:t>Design category</w:t>
            </w:r>
          </w:p>
        </w:tc>
        <w:tc>
          <w:tcPr>
            <w:tcW w:w="1630" w:type="dxa"/>
            <w:tcBorders>
              <w:top w:val="single" w:sz="8" w:space="0" w:color="BFBFBF"/>
              <w:left w:val="nil"/>
              <w:bottom w:val="single" w:sz="12" w:space="0" w:color="3B9FFF"/>
              <w:right w:val="single" w:sz="8" w:space="0" w:color="BFBFBF"/>
            </w:tcBorders>
            <w:shd w:val="clear" w:color="000000" w:fill="0091DA"/>
            <w:noWrap/>
            <w:vAlign w:val="center"/>
            <w:hideMark/>
          </w:tcPr>
          <w:p w:rsidR="000902A5" w:rsidRPr="00B52EF0" w:rsidRDefault="00BB0BA5" w:rsidP="00F06A5B">
            <w:pPr>
              <w:spacing w:before="0" w:after="0"/>
              <w:jc w:val="center"/>
              <w:rPr>
                <w:rFonts w:eastAsia="Times New Roman" w:cs="Calibri"/>
                <w:b/>
                <w:bCs/>
                <w:color w:val="FFFFFF"/>
                <w:szCs w:val="20"/>
                <w:lang w:eastAsia="en-AU"/>
              </w:rPr>
            </w:pPr>
            <w:r>
              <w:rPr>
                <w:rFonts w:eastAsia="Times New Roman" w:cs="Calibri"/>
                <w:b/>
                <w:bCs/>
                <w:color w:val="FFFFFF"/>
                <w:szCs w:val="20"/>
                <w:lang w:eastAsia="en-AU"/>
              </w:rPr>
              <w:t>No. of n</w:t>
            </w:r>
            <w:r w:rsidR="000902A5" w:rsidRPr="00B52EF0">
              <w:rPr>
                <w:rFonts w:eastAsia="Times New Roman" w:cs="Calibri"/>
                <w:b/>
                <w:bCs/>
                <w:color w:val="FFFFFF"/>
                <w:szCs w:val="20"/>
                <w:lang w:eastAsia="en-AU"/>
              </w:rPr>
              <w:t>ew dwellings</w:t>
            </w:r>
          </w:p>
        </w:tc>
        <w:tc>
          <w:tcPr>
            <w:tcW w:w="1630" w:type="dxa"/>
            <w:tcBorders>
              <w:top w:val="single" w:sz="8" w:space="0" w:color="BFBFBF"/>
              <w:left w:val="nil"/>
              <w:bottom w:val="single" w:sz="12" w:space="0" w:color="3B9FFF"/>
              <w:right w:val="single" w:sz="8" w:space="0" w:color="BFBFBF"/>
            </w:tcBorders>
            <w:shd w:val="clear" w:color="000000" w:fill="0091DA"/>
            <w:noWrap/>
            <w:vAlign w:val="center"/>
            <w:hideMark/>
          </w:tcPr>
          <w:p w:rsidR="000902A5" w:rsidRPr="00B52EF0" w:rsidRDefault="000902A5" w:rsidP="00F06A5B">
            <w:pPr>
              <w:spacing w:before="0" w:after="0"/>
              <w:jc w:val="center"/>
              <w:rPr>
                <w:rFonts w:eastAsia="Times New Roman" w:cs="Calibri"/>
                <w:b/>
                <w:bCs/>
                <w:color w:val="FFFFFF"/>
                <w:szCs w:val="20"/>
                <w:lang w:eastAsia="en-AU"/>
              </w:rPr>
            </w:pPr>
            <w:r w:rsidRPr="00B52EF0">
              <w:rPr>
                <w:rFonts w:eastAsia="Times New Roman" w:cs="Calibri"/>
                <w:b/>
                <w:bCs/>
                <w:color w:val="FFFFFF"/>
                <w:szCs w:val="20"/>
                <w:lang w:eastAsia="en-AU"/>
              </w:rPr>
              <w:t>% of new dwellings</w:t>
            </w:r>
          </w:p>
        </w:tc>
        <w:tc>
          <w:tcPr>
            <w:tcW w:w="1630" w:type="dxa"/>
            <w:tcBorders>
              <w:top w:val="single" w:sz="8" w:space="0" w:color="BFBFBF"/>
              <w:left w:val="nil"/>
              <w:bottom w:val="single" w:sz="12" w:space="0" w:color="3B9FFF"/>
              <w:right w:val="single" w:sz="8" w:space="0" w:color="BFBFBF"/>
            </w:tcBorders>
            <w:shd w:val="clear" w:color="000000" w:fill="0091DA"/>
            <w:noWrap/>
            <w:vAlign w:val="center"/>
            <w:hideMark/>
          </w:tcPr>
          <w:p w:rsidR="000902A5" w:rsidRPr="00B52EF0" w:rsidRDefault="00BB0BA5" w:rsidP="00F61B99">
            <w:pPr>
              <w:spacing w:before="0" w:after="0"/>
              <w:jc w:val="center"/>
              <w:rPr>
                <w:rFonts w:eastAsia="Times New Roman" w:cs="Calibri"/>
                <w:b/>
                <w:bCs/>
                <w:color w:val="FFFFFF"/>
                <w:szCs w:val="20"/>
                <w:lang w:eastAsia="en-AU"/>
              </w:rPr>
            </w:pPr>
            <w:r>
              <w:rPr>
                <w:rFonts w:eastAsia="Times New Roman" w:cs="Calibri"/>
                <w:b/>
                <w:bCs/>
                <w:color w:val="FFFFFF"/>
                <w:szCs w:val="20"/>
                <w:lang w:eastAsia="en-AU"/>
              </w:rPr>
              <w:t xml:space="preserve">No. Of </w:t>
            </w:r>
            <w:r w:rsidR="000902A5" w:rsidRPr="00B52EF0">
              <w:rPr>
                <w:rFonts w:eastAsia="Times New Roman" w:cs="Calibri"/>
                <w:b/>
                <w:bCs/>
                <w:color w:val="FFFFFF"/>
                <w:szCs w:val="20"/>
                <w:lang w:eastAsia="en-AU"/>
              </w:rPr>
              <w:t>Places</w:t>
            </w:r>
          </w:p>
        </w:tc>
        <w:tc>
          <w:tcPr>
            <w:tcW w:w="1631" w:type="dxa"/>
            <w:tcBorders>
              <w:top w:val="single" w:sz="8" w:space="0" w:color="BFBFBF"/>
              <w:left w:val="nil"/>
              <w:bottom w:val="single" w:sz="12" w:space="0" w:color="3B9FFF"/>
              <w:right w:val="single" w:sz="8" w:space="0" w:color="BFBFBF"/>
            </w:tcBorders>
            <w:shd w:val="clear" w:color="000000" w:fill="0091DA"/>
            <w:noWrap/>
            <w:vAlign w:val="center"/>
            <w:hideMark/>
          </w:tcPr>
          <w:p w:rsidR="000902A5" w:rsidRPr="00B52EF0" w:rsidRDefault="000902A5" w:rsidP="00F06A5B">
            <w:pPr>
              <w:spacing w:before="0" w:after="0"/>
              <w:jc w:val="center"/>
              <w:rPr>
                <w:rFonts w:eastAsia="Times New Roman" w:cs="Calibri"/>
                <w:b/>
                <w:bCs/>
                <w:color w:val="FFFFFF"/>
                <w:szCs w:val="20"/>
                <w:lang w:eastAsia="en-AU"/>
              </w:rPr>
            </w:pPr>
            <w:r w:rsidRPr="00B52EF0">
              <w:rPr>
                <w:rFonts w:eastAsia="Times New Roman" w:cs="Calibri"/>
                <w:b/>
                <w:bCs/>
                <w:color w:val="FFFFFF"/>
                <w:szCs w:val="20"/>
                <w:lang w:eastAsia="en-AU"/>
              </w:rPr>
              <w:t>% of places</w:t>
            </w:r>
          </w:p>
        </w:tc>
      </w:tr>
      <w:tr w:rsidR="000902A5" w:rsidRPr="00B52EF0" w:rsidTr="00F06A5B">
        <w:trPr>
          <w:trHeight w:val="312"/>
        </w:trPr>
        <w:tc>
          <w:tcPr>
            <w:tcW w:w="2400" w:type="dxa"/>
            <w:tcBorders>
              <w:top w:val="nil"/>
              <w:left w:val="single" w:sz="8" w:space="0" w:color="BFBFBF"/>
              <w:bottom w:val="single" w:sz="8" w:space="0" w:color="BFBFBF"/>
              <w:right w:val="single" w:sz="8" w:space="0" w:color="BFBFBF"/>
            </w:tcBorders>
            <w:shd w:val="clear" w:color="auto" w:fill="auto"/>
            <w:noWrap/>
            <w:vAlign w:val="center"/>
            <w:hideMark/>
          </w:tcPr>
          <w:p w:rsidR="000902A5" w:rsidRPr="00F06A5B" w:rsidRDefault="000902A5" w:rsidP="006C739B">
            <w:pPr>
              <w:spacing w:before="0" w:after="0"/>
              <w:rPr>
                <w:rFonts w:eastAsia="Times New Roman" w:cs="Calibri"/>
                <w:b/>
                <w:bCs/>
                <w:color w:val="000000"/>
                <w:szCs w:val="20"/>
                <w:lang w:eastAsia="en-AU"/>
              </w:rPr>
            </w:pPr>
            <w:r w:rsidRPr="00F06A5B">
              <w:rPr>
                <w:rFonts w:eastAsia="Times New Roman" w:cs="Calibri"/>
                <w:b/>
                <w:bCs/>
                <w:color w:val="000000"/>
                <w:szCs w:val="20"/>
                <w:lang w:eastAsia="en-AU"/>
              </w:rPr>
              <w:t>Basic</w:t>
            </w:r>
          </w:p>
        </w:tc>
        <w:tc>
          <w:tcPr>
            <w:tcW w:w="1630" w:type="dxa"/>
            <w:tcBorders>
              <w:top w:val="nil"/>
              <w:left w:val="nil"/>
              <w:bottom w:val="single" w:sz="8" w:space="0" w:color="BFBFBF"/>
              <w:right w:val="single" w:sz="8" w:space="0" w:color="BFBFBF"/>
            </w:tcBorders>
            <w:shd w:val="clear" w:color="auto" w:fill="auto"/>
            <w:noWrap/>
            <w:vAlign w:val="center"/>
            <w:hideMark/>
          </w:tcPr>
          <w:p w:rsidR="000902A5" w:rsidRPr="00F06A5B" w:rsidRDefault="000902A5" w:rsidP="006C739B">
            <w:pPr>
              <w:spacing w:before="0" w:after="0"/>
              <w:jc w:val="center"/>
              <w:rPr>
                <w:rFonts w:eastAsia="Times New Roman" w:cs="Calibri"/>
                <w:color w:val="000000"/>
                <w:szCs w:val="20"/>
                <w:lang w:eastAsia="en-AU"/>
              </w:rPr>
            </w:pPr>
            <w:r w:rsidRPr="00F06A5B">
              <w:rPr>
                <w:rFonts w:eastAsia="Times New Roman" w:cs="Calibri"/>
                <w:color w:val="000000"/>
                <w:szCs w:val="20"/>
                <w:lang w:eastAsia="en-AU"/>
              </w:rPr>
              <w:t>0</w:t>
            </w:r>
          </w:p>
        </w:tc>
        <w:tc>
          <w:tcPr>
            <w:tcW w:w="1630" w:type="dxa"/>
            <w:tcBorders>
              <w:top w:val="nil"/>
              <w:left w:val="nil"/>
              <w:bottom w:val="single" w:sz="8" w:space="0" w:color="BFBFBF"/>
              <w:right w:val="single" w:sz="8" w:space="0" w:color="BFBFBF"/>
            </w:tcBorders>
            <w:shd w:val="clear" w:color="auto" w:fill="auto"/>
            <w:noWrap/>
            <w:vAlign w:val="center"/>
            <w:hideMark/>
          </w:tcPr>
          <w:p w:rsidR="000902A5" w:rsidRPr="00F06A5B" w:rsidRDefault="000902A5" w:rsidP="006C739B">
            <w:pPr>
              <w:spacing w:before="0" w:after="0"/>
              <w:jc w:val="center"/>
              <w:rPr>
                <w:rFonts w:eastAsia="Times New Roman" w:cs="Calibri"/>
                <w:color w:val="000000"/>
                <w:szCs w:val="20"/>
                <w:lang w:eastAsia="en-AU"/>
              </w:rPr>
            </w:pPr>
            <w:r w:rsidRPr="00F06A5B">
              <w:rPr>
                <w:rFonts w:eastAsia="Times New Roman" w:cs="Calibri"/>
                <w:color w:val="000000"/>
                <w:szCs w:val="20"/>
                <w:lang w:eastAsia="en-AU"/>
              </w:rPr>
              <w:t>0%</w:t>
            </w:r>
          </w:p>
        </w:tc>
        <w:tc>
          <w:tcPr>
            <w:tcW w:w="1630" w:type="dxa"/>
            <w:tcBorders>
              <w:top w:val="nil"/>
              <w:left w:val="nil"/>
              <w:bottom w:val="single" w:sz="8" w:space="0" w:color="BFBFBF"/>
              <w:right w:val="single" w:sz="8" w:space="0" w:color="BFBFBF"/>
            </w:tcBorders>
            <w:shd w:val="clear" w:color="auto" w:fill="auto"/>
            <w:noWrap/>
            <w:vAlign w:val="center"/>
            <w:hideMark/>
          </w:tcPr>
          <w:p w:rsidR="000902A5" w:rsidRPr="00F06A5B" w:rsidRDefault="000902A5" w:rsidP="006C739B">
            <w:pPr>
              <w:spacing w:before="0" w:after="0"/>
              <w:jc w:val="center"/>
              <w:rPr>
                <w:rFonts w:eastAsia="Times New Roman" w:cs="Calibri"/>
                <w:color w:val="000000"/>
                <w:szCs w:val="20"/>
                <w:lang w:eastAsia="en-AU"/>
              </w:rPr>
            </w:pPr>
            <w:r w:rsidRPr="00F06A5B">
              <w:rPr>
                <w:rFonts w:eastAsia="Times New Roman" w:cs="Calibri"/>
                <w:color w:val="000000"/>
                <w:szCs w:val="20"/>
                <w:lang w:eastAsia="en-AU"/>
              </w:rPr>
              <w:t>0</w:t>
            </w:r>
          </w:p>
        </w:tc>
        <w:tc>
          <w:tcPr>
            <w:tcW w:w="1631" w:type="dxa"/>
            <w:tcBorders>
              <w:top w:val="nil"/>
              <w:left w:val="nil"/>
              <w:bottom w:val="single" w:sz="8" w:space="0" w:color="BFBFBF"/>
              <w:right w:val="single" w:sz="8" w:space="0" w:color="BFBFBF"/>
            </w:tcBorders>
            <w:shd w:val="clear" w:color="auto" w:fill="auto"/>
            <w:noWrap/>
            <w:vAlign w:val="center"/>
            <w:hideMark/>
          </w:tcPr>
          <w:p w:rsidR="000902A5" w:rsidRPr="00F06A5B" w:rsidRDefault="000902A5" w:rsidP="006C739B">
            <w:pPr>
              <w:spacing w:before="0" w:after="0"/>
              <w:jc w:val="center"/>
              <w:rPr>
                <w:rFonts w:eastAsia="Times New Roman" w:cs="Calibri"/>
                <w:color w:val="000000"/>
                <w:szCs w:val="20"/>
                <w:lang w:eastAsia="en-AU"/>
              </w:rPr>
            </w:pPr>
            <w:r w:rsidRPr="00F06A5B">
              <w:rPr>
                <w:rFonts w:eastAsia="Times New Roman" w:cs="Calibri"/>
                <w:color w:val="000000"/>
                <w:szCs w:val="20"/>
                <w:lang w:eastAsia="en-AU"/>
              </w:rPr>
              <w:t>0%</w:t>
            </w:r>
          </w:p>
        </w:tc>
      </w:tr>
      <w:tr w:rsidR="000902A5" w:rsidRPr="00B52EF0" w:rsidTr="00F06A5B">
        <w:trPr>
          <w:trHeight w:val="300"/>
        </w:trPr>
        <w:tc>
          <w:tcPr>
            <w:tcW w:w="2400" w:type="dxa"/>
            <w:tcBorders>
              <w:top w:val="nil"/>
              <w:left w:val="single" w:sz="8" w:space="0" w:color="BFBFBF"/>
              <w:bottom w:val="single" w:sz="8" w:space="0" w:color="BFBFBF"/>
              <w:right w:val="single" w:sz="8" w:space="0" w:color="BFBFBF"/>
            </w:tcBorders>
            <w:shd w:val="clear" w:color="auto" w:fill="auto"/>
            <w:noWrap/>
            <w:vAlign w:val="center"/>
            <w:hideMark/>
          </w:tcPr>
          <w:p w:rsidR="000902A5" w:rsidRPr="00F06A5B" w:rsidRDefault="000902A5" w:rsidP="006C739B">
            <w:pPr>
              <w:spacing w:before="0" w:after="0"/>
              <w:rPr>
                <w:rFonts w:eastAsia="Times New Roman" w:cs="Calibri"/>
                <w:b/>
                <w:bCs/>
                <w:color w:val="000000"/>
                <w:szCs w:val="20"/>
                <w:lang w:eastAsia="en-AU"/>
              </w:rPr>
            </w:pPr>
            <w:r w:rsidRPr="00F06A5B">
              <w:rPr>
                <w:rFonts w:eastAsia="Times New Roman" w:cs="Calibri"/>
                <w:b/>
                <w:bCs/>
                <w:color w:val="000000"/>
                <w:szCs w:val="20"/>
                <w:lang w:eastAsia="en-AU"/>
              </w:rPr>
              <w:t>Improved Liveability</w:t>
            </w:r>
          </w:p>
        </w:tc>
        <w:tc>
          <w:tcPr>
            <w:tcW w:w="1630" w:type="dxa"/>
            <w:tcBorders>
              <w:top w:val="nil"/>
              <w:left w:val="nil"/>
              <w:bottom w:val="single" w:sz="8" w:space="0" w:color="BFBFBF"/>
              <w:right w:val="single" w:sz="8" w:space="0" w:color="BFBFBF"/>
            </w:tcBorders>
            <w:shd w:val="clear" w:color="auto" w:fill="auto"/>
            <w:noWrap/>
            <w:vAlign w:val="center"/>
            <w:hideMark/>
          </w:tcPr>
          <w:p w:rsidR="000902A5" w:rsidRPr="00F06A5B" w:rsidRDefault="000902A5" w:rsidP="006C739B">
            <w:pPr>
              <w:spacing w:before="0" w:after="0"/>
              <w:jc w:val="center"/>
              <w:rPr>
                <w:rFonts w:eastAsia="Times New Roman" w:cs="Calibri"/>
                <w:color w:val="000000"/>
                <w:szCs w:val="20"/>
                <w:lang w:eastAsia="en-AU"/>
              </w:rPr>
            </w:pPr>
            <w:r w:rsidRPr="00F06A5B">
              <w:rPr>
                <w:rFonts w:eastAsia="Times New Roman" w:cs="Calibri"/>
                <w:color w:val="000000"/>
                <w:szCs w:val="20"/>
                <w:lang w:eastAsia="en-AU"/>
              </w:rPr>
              <w:t>91</w:t>
            </w:r>
          </w:p>
        </w:tc>
        <w:tc>
          <w:tcPr>
            <w:tcW w:w="1630" w:type="dxa"/>
            <w:tcBorders>
              <w:top w:val="nil"/>
              <w:left w:val="nil"/>
              <w:bottom w:val="single" w:sz="8" w:space="0" w:color="BFBFBF"/>
              <w:right w:val="single" w:sz="8" w:space="0" w:color="BFBFBF"/>
            </w:tcBorders>
            <w:shd w:val="clear" w:color="auto" w:fill="auto"/>
            <w:noWrap/>
            <w:vAlign w:val="center"/>
            <w:hideMark/>
          </w:tcPr>
          <w:p w:rsidR="000902A5" w:rsidRPr="00F06A5B" w:rsidRDefault="000902A5" w:rsidP="006C739B">
            <w:pPr>
              <w:spacing w:before="0" w:after="0"/>
              <w:jc w:val="center"/>
              <w:rPr>
                <w:rFonts w:eastAsia="Times New Roman" w:cs="Calibri"/>
                <w:color w:val="000000"/>
                <w:szCs w:val="20"/>
                <w:lang w:eastAsia="en-AU"/>
              </w:rPr>
            </w:pPr>
            <w:r w:rsidRPr="00F06A5B">
              <w:rPr>
                <w:rFonts w:eastAsia="Times New Roman" w:cs="Calibri"/>
                <w:color w:val="000000"/>
                <w:szCs w:val="20"/>
                <w:lang w:eastAsia="en-AU"/>
              </w:rPr>
              <w:t>33%</w:t>
            </w:r>
          </w:p>
        </w:tc>
        <w:tc>
          <w:tcPr>
            <w:tcW w:w="1630" w:type="dxa"/>
            <w:tcBorders>
              <w:top w:val="nil"/>
              <w:left w:val="nil"/>
              <w:bottom w:val="single" w:sz="8" w:space="0" w:color="BFBFBF"/>
              <w:right w:val="single" w:sz="8" w:space="0" w:color="BFBFBF"/>
            </w:tcBorders>
            <w:shd w:val="clear" w:color="auto" w:fill="auto"/>
            <w:noWrap/>
            <w:vAlign w:val="center"/>
            <w:hideMark/>
          </w:tcPr>
          <w:p w:rsidR="000902A5" w:rsidRPr="00F06A5B" w:rsidRDefault="000902A5" w:rsidP="006C739B">
            <w:pPr>
              <w:spacing w:before="0" w:after="0"/>
              <w:jc w:val="center"/>
              <w:rPr>
                <w:rFonts w:eastAsia="Times New Roman" w:cs="Calibri"/>
                <w:color w:val="000000"/>
                <w:szCs w:val="20"/>
                <w:lang w:eastAsia="en-AU"/>
              </w:rPr>
            </w:pPr>
            <w:r w:rsidRPr="00F06A5B">
              <w:rPr>
                <w:rFonts w:eastAsia="Times New Roman" w:cs="Calibri"/>
                <w:color w:val="000000"/>
                <w:szCs w:val="20"/>
                <w:lang w:eastAsia="en-AU"/>
              </w:rPr>
              <w:t>241</w:t>
            </w:r>
          </w:p>
        </w:tc>
        <w:tc>
          <w:tcPr>
            <w:tcW w:w="1631" w:type="dxa"/>
            <w:tcBorders>
              <w:top w:val="nil"/>
              <w:left w:val="nil"/>
              <w:bottom w:val="single" w:sz="8" w:space="0" w:color="BFBFBF"/>
              <w:right w:val="single" w:sz="8" w:space="0" w:color="BFBFBF"/>
            </w:tcBorders>
            <w:shd w:val="clear" w:color="auto" w:fill="auto"/>
            <w:noWrap/>
            <w:vAlign w:val="center"/>
            <w:hideMark/>
          </w:tcPr>
          <w:p w:rsidR="000902A5" w:rsidRPr="00F06A5B" w:rsidRDefault="000902A5" w:rsidP="006C739B">
            <w:pPr>
              <w:spacing w:before="0" w:after="0"/>
              <w:jc w:val="center"/>
              <w:rPr>
                <w:rFonts w:eastAsia="Times New Roman" w:cs="Calibri"/>
                <w:color w:val="000000"/>
                <w:szCs w:val="20"/>
                <w:lang w:eastAsia="en-AU"/>
              </w:rPr>
            </w:pPr>
            <w:r w:rsidRPr="00F06A5B">
              <w:rPr>
                <w:rFonts w:eastAsia="Times New Roman" w:cs="Calibri"/>
                <w:color w:val="000000"/>
                <w:szCs w:val="20"/>
                <w:lang w:eastAsia="en-AU"/>
              </w:rPr>
              <w:t>39%</w:t>
            </w:r>
          </w:p>
        </w:tc>
      </w:tr>
      <w:tr w:rsidR="000902A5" w:rsidRPr="00B52EF0" w:rsidTr="00F06A5B">
        <w:trPr>
          <w:trHeight w:val="300"/>
        </w:trPr>
        <w:tc>
          <w:tcPr>
            <w:tcW w:w="2400" w:type="dxa"/>
            <w:tcBorders>
              <w:top w:val="nil"/>
              <w:left w:val="single" w:sz="8" w:space="0" w:color="BFBFBF"/>
              <w:bottom w:val="single" w:sz="8" w:space="0" w:color="BFBFBF"/>
              <w:right w:val="single" w:sz="8" w:space="0" w:color="BFBFBF"/>
            </w:tcBorders>
            <w:shd w:val="clear" w:color="auto" w:fill="auto"/>
            <w:noWrap/>
            <w:vAlign w:val="center"/>
            <w:hideMark/>
          </w:tcPr>
          <w:p w:rsidR="000902A5" w:rsidRPr="00F06A5B" w:rsidRDefault="000902A5" w:rsidP="006C739B">
            <w:pPr>
              <w:spacing w:before="0" w:after="0"/>
              <w:rPr>
                <w:rFonts w:eastAsia="Times New Roman" w:cs="Calibri"/>
                <w:b/>
                <w:bCs/>
                <w:color w:val="000000"/>
                <w:szCs w:val="20"/>
                <w:lang w:eastAsia="en-AU"/>
              </w:rPr>
            </w:pPr>
            <w:r w:rsidRPr="00F06A5B">
              <w:rPr>
                <w:rFonts w:eastAsia="Times New Roman" w:cs="Calibri"/>
                <w:b/>
                <w:bCs/>
                <w:color w:val="000000"/>
                <w:szCs w:val="20"/>
                <w:lang w:eastAsia="en-AU"/>
              </w:rPr>
              <w:t>Fully Accessible</w:t>
            </w:r>
          </w:p>
        </w:tc>
        <w:tc>
          <w:tcPr>
            <w:tcW w:w="1630" w:type="dxa"/>
            <w:tcBorders>
              <w:top w:val="nil"/>
              <w:left w:val="nil"/>
              <w:bottom w:val="single" w:sz="8" w:space="0" w:color="BFBFBF"/>
              <w:right w:val="single" w:sz="8" w:space="0" w:color="BFBFBF"/>
            </w:tcBorders>
            <w:shd w:val="clear" w:color="auto" w:fill="auto"/>
            <w:noWrap/>
            <w:vAlign w:val="center"/>
            <w:hideMark/>
          </w:tcPr>
          <w:p w:rsidR="000902A5" w:rsidRPr="00F06A5B" w:rsidRDefault="000902A5" w:rsidP="006C739B">
            <w:pPr>
              <w:spacing w:before="0" w:after="0"/>
              <w:jc w:val="center"/>
              <w:rPr>
                <w:rFonts w:eastAsia="Times New Roman" w:cs="Calibri"/>
                <w:color w:val="000000"/>
                <w:szCs w:val="20"/>
                <w:lang w:eastAsia="en-AU"/>
              </w:rPr>
            </w:pPr>
            <w:r w:rsidRPr="00F06A5B">
              <w:rPr>
                <w:rFonts w:eastAsia="Times New Roman" w:cs="Calibri"/>
                <w:color w:val="000000"/>
                <w:szCs w:val="20"/>
                <w:lang w:eastAsia="en-AU"/>
              </w:rPr>
              <w:t>106</w:t>
            </w:r>
          </w:p>
        </w:tc>
        <w:tc>
          <w:tcPr>
            <w:tcW w:w="1630" w:type="dxa"/>
            <w:tcBorders>
              <w:top w:val="nil"/>
              <w:left w:val="nil"/>
              <w:bottom w:val="single" w:sz="8" w:space="0" w:color="BFBFBF"/>
              <w:right w:val="single" w:sz="8" w:space="0" w:color="BFBFBF"/>
            </w:tcBorders>
            <w:shd w:val="clear" w:color="auto" w:fill="auto"/>
            <w:noWrap/>
            <w:vAlign w:val="center"/>
            <w:hideMark/>
          </w:tcPr>
          <w:p w:rsidR="000902A5" w:rsidRPr="00F06A5B" w:rsidRDefault="000902A5" w:rsidP="006C739B">
            <w:pPr>
              <w:spacing w:before="0" w:after="0"/>
              <w:jc w:val="center"/>
              <w:rPr>
                <w:rFonts w:eastAsia="Times New Roman" w:cs="Calibri"/>
                <w:color w:val="000000"/>
                <w:szCs w:val="20"/>
                <w:lang w:eastAsia="en-AU"/>
              </w:rPr>
            </w:pPr>
            <w:r w:rsidRPr="00F06A5B">
              <w:rPr>
                <w:rFonts w:eastAsia="Times New Roman" w:cs="Calibri"/>
                <w:color w:val="000000"/>
                <w:szCs w:val="20"/>
                <w:lang w:eastAsia="en-AU"/>
              </w:rPr>
              <w:t>39%</w:t>
            </w:r>
          </w:p>
        </w:tc>
        <w:tc>
          <w:tcPr>
            <w:tcW w:w="1630" w:type="dxa"/>
            <w:tcBorders>
              <w:top w:val="nil"/>
              <w:left w:val="nil"/>
              <w:bottom w:val="single" w:sz="8" w:space="0" w:color="BFBFBF"/>
              <w:right w:val="single" w:sz="8" w:space="0" w:color="BFBFBF"/>
            </w:tcBorders>
            <w:shd w:val="clear" w:color="auto" w:fill="auto"/>
            <w:noWrap/>
            <w:vAlign w:val="center"/>
            <w:hideMark/>
          </w:tcPr>
          <w:p w:rsidR="000902A5" w:rsidRPr="00F06A5B" w:rsidRDefault="000902A5" w:rsidP="006C739B">
            <w:pPr>
              <w:spacing w:before="0" w:after="0"/>
              <w:jc w:val="center"/>
              <w:rPr>
                <w:rFonts w:eastAsia="Times New Roman" w:cs="Calibri"/>
                <w:color w:val="000000"/>
                <w:szCs w:val="20"/>
                <w:lang w:eastAsia="en-AU"/>
              </w:rPr>
            </w:pPr>
            <w:r w:rsidRPr="00F06A5B">
              <w:rPr>
                <w:rFonts w:eastAsia="Times New Roman" w:cs="Calibri"/>
                <w:color w:val="000000"/>
                <w:szCs w:val="20"/>
                <w:lang w:eastAsia="en-AU"/>
              </w:rPr>
              <w:t>226</w:t>
            </w:r>
          </w:p>
        </w:tc>
        <w:tc>
          <w:tcPr>
            <w:tcW w:w="1631" w:type="dxa"/>
            <w:tcBorders>
              <w:top w:val="nil"/>
              <w:left w:val="nil"/>
              <w:bottom w:val="single" w:sz="8" w:space="0" w:color="BFBFBF"/>
              <w:right w:val="single" w:sz="8" w:space="0" w:color="BFBFBF"/>
            </w:tcBorders>
            <w:shd w:val="clear" w:color="auto" w:fill="auto"/>
            <w:noWrap/>
            <w:vAlign w:val="center"/>
            <w:hideMark/>
          </w:tcPr>
          <w:p w:rsidR="000902A5" w:rsidRPr="00F06A5B" w:rsidRDefault="000902A5" w:rsidP="006C739B">
            <w:pPr>
              <w:spacing w:before="0" w:after="0"/>
              <w:jc w:val="center"/>
              <w:rPr>
                <w:rFonts w:eastAsia="Times New Roman" w:cs="Calibri"/>
                <w:color w:val="000000"/>
                <w:szCs w:val="20"/>
                <w:lang w:eastAsia="en-AU"/>
              </w:rPr>
            </w:pPr>
            <w:r w:rsidRPr="00F06A5B">
              <w:rPr>
                <w:rFonts w:eastAsia="Times New Roman" w:cs="Calibri"/>
                <w:color w:val="000000"/>
                <w:szCs w:val="20"/>
                <w:lang w:eastAsia="en-AU"/>
              </w:rPr>
              <w:t>37%</w:t>
            </w:r>
          </w:p>
        </w:tc>
      </w:tr>
      <w:tr w:rsidR="000902A5" w:rsidRPr="00B52EF0" w:rsidTr="00F06A5B">
        <w:trPr>
          <w:trHeight w:val="300"/>
        </w:trPr>
        <w:tc>
          <w:tcPr>
            <w:tcW w:w="2400" w:type="dxa"/>
            <w:tcBorders>
              <w:top w:val="nil"/>
              <w:left w:val="single" w:sz="8" w:space="0" w:color="BFBFBF"/>
              <w:bottom w:val="single" w:sz="8" w:space="0" w:color="BFBFBF"/>
              <w:right w:val="single" w:sz="8" w:space="0" w:color="BFBFBF"/>
            </w:tcBorders>
            <w:shd w:val="clear" w:color="auto" w:fill="auto"/>
            <w:noWrap/>
            <w:vAlign w:val="center"/>
            <w:hideMark/>
          </w:tcPr>
          <w:p w:rsidR="000902A5" w:rsidRPr="00F06A5B" w:rsidRDefault="000902A5" w:rsidP="006C739B">
            <w:pPr>
              <w:spacing w:before="0" w:after="0"/>
              <w:rPr>
                <w:rFonts w:eastAsia="Times New Roman" w:cs="Calibri"/>
                <w:b/>
                <w:bCs/>
                <w:color w:val="000000"/>
                <w:szCs w:val="20"/>
                <w:lang w:eastAsia="en-AU"/>
              </w:rPr>
            </w:pPr>
            <w:r w:rsidRPr="00F06A5B">
              <w:rPr>
                <w:rFonts w:eastAsia="Times New Roman" w:cs="Calibri"/>
                <w:b/>
                <w:bCs/>
                <w:color w:val="000000"/>
                <w:szCs w:val="20"/>
                <w:lang w:eastAsia="en-AU"/>
              </w:rPr>
              <w:t>Robust</w:t>
            </w:r>
          </w:p>
        </w:tc>
        <w:tc>
          <w:tcPr>
            <w:tcW w:w="1630" w:type="dxa"/>
            <w:tcBorders>
              <w:top w:val="nil"/>
              <w:left w:val="nil"/>
              <w:bottom w:val="single" w:sz="8" w:space="0" w:color="BFBFBF"/>
              <w:right w:val="single" w:sz="8" w:space="0" w:color="BFBFBF"/>
            </w:tcBorders>
            <w:shd w:val="clear" w:color="auto" w:fill="auto"/>
            <w:noWrap/>
            <w:vAlign w:val="center"/>
            <w:hideMark/>
          </w:tcPr>
          <w:p w:rsidR="000902A5" w:rsidRPr="00F06A5B" w:rsidRDefault="000902A5" w:rsidP="006C739B">
            <w:pPr>
              <w:spacing w:before="0" w:after="0"/>
              <w:jc w:val="center"/>
              <w:rPr>
                <w:rFonts w:eastAsia="Times New Roman" w:cs="Calibri"/>
                <w:color w:val="000000"/>
                <w:szCs w:val="20"/>
                <w:lang w:eastAsia="en-AU"/>
              </w:rPr>
            </w:pPr>
            <w:r w:rsidRPr="00F06A5B">
              <w:rPr>
                <w:rFonts w:eastAsia="Times New Roman" w:cs="Calibri"/>
                <w:color w:val="000000"/>
                <w:szCs w:val="20"/>
                <w:lang w:eastAsia="en-AU"/>
              </w:rPr>
              <w:t>19</w:t>
            </w:r>
          </w:p>
        </w:tc>
        <w:tc>
          <w:tcPr>
            <w:tcW w:w="1630" w:type="dxa"/>
            <w:tcBorders>
              <w:top w:val="nil"/>
              <w:left w:val="nil"/>
              <w:bottom w:val="single" w:sz="8" w:space="0" w:color="BFBFBF"/>
              <w:right w:val="single" w:sz="8" w:space="0" w:color="BFBFBF"/>
            </w:tcBorders>
            <w:shd w:val="clear" w:color="auto" w:fill="auto"/>
            <w:noWrap/>
            <w:vAlign w:val="center"/>
            <w:hideMark/>
          </w:tcPr>
          <w:p w:rsidR="000902A5" w:rsidRPr="00F06A5B" w:rsidRDefault="000902A5" w:rsidP="006C739B">
            <w:pPr>
              <w:spacing w:before="0" w:after="0"/>
              <w:jc w:val="center"/>
              <w:rPr>
                <w:rFonts w:eastAsia="Times New Roman" w:cs="Calibri"/>
                <w:color w:val="000000"/>
                <w:szCs w:val="20"/>
                <w:lang w:eastAsia="en-AU"/>
              </w:rPr>
            </w:pPr>
            <w:r w:rsidRPr="00F06A5B">
              <w:rPr>
                <w:rFonts w:eastAsia="Times New Roman" w:cs="Calibri"/>
                <w:color w:val="000000"/>
                <w:szCs w:val="20"/>
                <w:lang w:eastAsia="en-AU"/>
              </w:rPr>
              <w:t>7%</w:t>
            </w:r>
          </w:p>
        </w:tc>
        <w:tc>
          <w:tcPr>
            <w:tcW w:w="1630" w:type="dxa"/>
            <w:tcBorders>
              <w:top w:val="nil"/>
              <w:left w:val="nil"/>
              <w:bottom w:val="single" w:sz="8" w:space="0" w:color="BFBFBF"/>
              <w:right w:val="single" w:sz="8" w:space="0" w:color="BFBFBF"/>
            </w:tcBorders>
            <w:shd w:val="clear" w:color="auto" w:fill="auto"/>
            <w:noWrap/>
            <w:vAlign w:val="center"/>
            <w:hideMark/>
          </w:tcPr>
          <w:p w:rsidR="000902A5" w:rsidRPr="00F06A5B" w:rsidRDefault="000902A5" w:rsidP="006C739B">
            <w:pPr>
              <w:spacing w:before="0" w:after="0"/>
              <w:jc w:val="center"/>
              <w:rPr>
                <w:rFonts w:eastAsia="Times New Roman" w:cs="Calibri"/>
                <w:color w:val="000000"/>
                <w:szCs w:val="20"/>
                <w:lang w:eastAsia="en-AU"/>
              </w:rPr>
            </w:pPr>
            <w:r w:rsidRPr="00F06A5B">
              <w:rPr>
                <w:rFonts w:eastAsia="Times New Roman" w:cs="Calibri"/>
                <w:color w:val="000000"/>
                <w:szCs w:val="20"/>
                <w:lang w:eastAsia="en-AU"/>
              </w:rPr>
              <w:t>64</w:t>
            </w:r>
          </w:p>
        </w:tc>
        <w:tc>
          <w:tcPr>
            <w:tcW w:w="1631" w:type="dxa"/>
            <w:tcBorders>
              <w:top w:val="nil"/>
              <w:left w:val="nil"/>
              <w:bottom w:val="single" w:sz="8" w:space="0" w:color="BFBFBF"/>
              <w:right w:val="single" w:sz="8" w:space="0" w:color="BFBFBF"/>
            </w:tcBorders>
            <w:shd w:val="clear" w:color="auto" w:fill="auto"/>
            <w:noWrap/>
            <w:vAlign w:val="center"/>
            <w:hideMark/>
          </w:tcPr>
          <w:p w:rsidR="000902A5" w:rsidRPr="00F06A5B" w:rsidRDefault="000902A5" w:rsidP="006C739B">
            <w:pPr>
              <w:spacing w:before="0" w:after="0"/>
              <w:jc w:val="center"/>
              <w:rPr>
                <w:rFonts w:eastAsia="Times New Roman" w:cs="Calibri"/>
                <w:color w:val="000000"/>
                <w:szCs w:val="20"/>
                <w:lang w:eastAsia="en-AU"/>
              </w:rPr>
            </w:pPr>
            <w:r w:rsidRPr="00F06A5B">
              <w:rPr>
                <w:rFonts w:eastAsia="Times New Roman" w:cs="Calibri"/>
                <w:color w:val="000000"/>
                <w:szCs w:val="20"/>
                <w:lang w:eastAsia="en-AU"/>
              </w:rPr>
              <w:t>10%</w:t>
            </w:r>
          </w:p>
        </w:tc>
      </w:tr>
      <w:tr w:rsidR="000902A5" w:rsidRPr="00B52EF0" w:rsidTr="00F06A5B">
        <w:trPr>
          <w:trHeight w:val="300"/>
        </w:trPr>
        <w:tc>
          <w:tcPr>
            <w:tcW w:w="2400" w:type="dxa"/>
            <w:tcBorders>
              <w:top w:val="nil"/>
              <w:left w:val="single" w:sz="8" w:space="0" w:color="BFBFBF"/>
              <w:bottom w:val="single" w:sz="8" w:space="0" w:color="BFBFBF"/>
              <w:right w:val="single" w:sz="8" w:space="0" w:color="BFBFBF"/>
            </w:tcBorders>
            <w:shd w:val="clear" w:color="auto" w:fill="auto"/>
            <w:noWrap/>
            <w:vAlign w:val="center"/>
            <w:hideMark/>
          </w:tcPr>
          <w:p w:rsidR="000902A5" w:rsidRPr="00F06A5B" w:rsidRDefault="000902A5" w:rsidP="006C739B">
            <w:pPr>
              <w:spacing w:before="0" w:after="0"/>
              <w:rPr>
                <w:rFonts w:eastAsia="Times New Roman" w:cs="Calibri"/>
                <w:b/>
                <w:bCs/>
                <w:color w:val="000000"/>
                <w:szCs w:val="20"/>
                <w:lang w:eastAsia="en-AU"/>
              </w:rPr>
            </w:pPr>
            <w:r w:rsidRPr="00F06A5B">
              <w:rPr>
                <w:rFonts w:eastAsia="Times New Roman" w:cs="Calibri"/>
                <w:b/>
                <w:bCs/>
                <w:color w:val="000000"/>
                <w:szCs w:val="20"/>
                <w:lang w:eastAsia="en-AU"/>
              </w:rPr>
              <w:t>High Physical Support</w:t>
            </w:r>
          </w:p>
        </w:tc>
        <w:tc>
          <w:tcPr>
            <w:tcW w:w="1630" w:type="dxa"/>
            <w:tcBorders>
              <w:top w:val="nil"/>
              <w:left w:val="nil"/>
              <w:bottom w:val="single" w:sz="8" w:space="0" w:color="BFBFBF"/>
              <w:right w:val="single" w:sz="8" w:space="0" w:color="BFBFBF"/>
            </w:tcBorders>
            <w:shd w:val="clear" w:color="auto" w:fill="auto"/>
            <w:noWrap/>
            <w:vAlign w:val="center"/>
            <w:hideMark/>
          </w:tcPr>
          <w:p w:rsidR="000902A5" w:rsidRPr="00F06A5B" w:rsidRDefault="000902A5" w:rsidP="006C739B">
            <w:pPr>
              <w:spacing w:before="0" w:after="0"/>
              <w:jc w:val="center"/>
              <w:rPr>
                <w:rFonts w:eastAsia="Times New Roman" w:cs="Calibri"/>
                <w:color w:val="000000"/>
                <w:szCs w:val="20"/>
                <w:lang w:eastAsia="en-AU"/>
              </w:rPr>
            </w:pPr>
            <w:r w:rsidRPr="00F06A5B">
              <w:rPr>
                <w:rFonts w:eastAsia="Times New Roman" w:cs="Calibri"/>
                <w:color w:val="000000"/>
                <w:szCs w:val="20"/>
                <w:lang w:eastAsia="en-AU"/>
              </w:rPr>
              <w:t>57</w:t>
            </w:r>
          </w:p>
        </w:tc>
        <w:tc>
          <w:tcPr>
            <w:tcW w:w="1630" w:type="dxa"/>
            <w:tcBorders>
              <w:top w:val="nil"/>
              <w:left w:val="nil"/>
              <w:bottom w:val="single" w:sz="8" w:space="0" w:color="BFBFBF"/>
              <w:right w:val="single" w:sz="8" w:space="0" w:color="BFBFBF"/>
            </w:tcBorders>
            <w:shd w:val="clear" w:color="auto" w:fill="auto"/>
            <w:noWrap/>
            <w:vAlign w:val="center"/>
            <w:hideMark/>
          </w:tcPr>
          <w:p w:rsidR="000902A5" w:rsidRPr="00F06A5B" w:rsidRDefault="000902A5" w:rsidP="006C739B">
            <w:pPr>
              <w:spacing w:before="0" w:after="0"/>
              <w:jc w:val="center"/>
              <w:rPr>
                <w:rFonts w:eastAsia="Times New Roman" w:cs="Calibri"/>
                <w:color w:val="000000"/>
                <w:szCs w:val="20"/>
                <w:lang w:eastAsia="en-AU"/>
              </w:rPr>
            </w:pPr>
            <w:r w:rsidRPr="00F06A5B">
              <w:rPr>
                <w:rFonts w:eastAsia="Times New Roman" w:cs="Calibri"/>
                <w:color w:val="000000"/>
                <w:szCs w:val="20"/>
                <w:lang w:eastAsia="en-AU"/>
              </w:rPr>
              <w:t>21%</w:t>
            </w:r>
          </w:p>
        </w:tc>
        <w:tc>
          <w:tcPr>
            <w:tcW w:w="1630" w:type="dxa"/>
            <w:tcBorders>
              <w:top w:val="nil"/>
              <w:left w:val="nil"/>
              <w:bottom w:val="single" w:sz="8" w:space="0" w:color="BFBFBF"/>
              <w:right w:val="single" w:sz="8" w:space="0" w:color="BFBFBF"/>
            </w:tcBorders>
            <w:shd w:val="clear" w:color="auto" w:fill="auto"/>
            <w:noWrap/>
            <w:vAlign w:val="center"/>
            <w:hideMark/>
          </w:tcPr>
          <w:p w:rsidR="000902A5" w:rsidRPr="00F06A5B" w:rsidRDefault="000902A5" w:rsidP="006C739B">
            <w:pPr>
              <w:spacing w:before="0" w:after="0"/>
              <w:jc w:val="center"/>
              <w:rPr>
                <w:rFonts w:eastAsia="Times New Roman" w:cs="Calibri"/>
                <w:color w:val="000000"/>
                <w:szCs w:val="20"/>
                <w:lang w:eastAsia="en-AU"/>
              </w:rPr>
            </w:pPr>
            <w:r w:rsidRPr="00F06A5B">
              <w:rPr>
                <w:rFonts w:eastAsia="Times New Roman" w:cs="Calibri"/>
                <w:color w:val="000000"/>
                <w:szCs w:val="20"/>
                <w:lang w:eastAsia="en-AU"/>
              </w:rPr>
              <w:t>88</w:t>
            </w:r>
          </w:p>
        </w:tc>
        <w:tc>
          <w:tcPr>
            <w:tcW w:w="1631" w:type="dxa"/>
            <w:tcBorders>
              <w:top w:val="nil"/>
              <w:left w:val="nil"/>
              <w:bottom w:val="single" w:sz="8" w:space="0" w:color="BFBFBF"/>
              <w:right w:val="single" w:sz="8" w:space="0" w:color="BFBFBF"/>
            </w:tcBorders>
            <w:shd w:val="clear" w:color="auto" w:fill="auto"/>
            <w:noWrap/>
            <w:vAlign w:val="center"/>
            <w:hideMark/>
          </w:tcPr>
          <w:p w:rsidR="000902A5" w:rsidRPr="00F06A5B" w:rsidRDefault="000902A5" w:rsidP="006C739B">
            <w:pPr>
              <w:spacing w:before="0" w:after="0"/>
              <w:jc w:val="center"/>
              <w:rPr>
                <w:rFonts w:eastAsia="Times New Roman" w:cs="Calibri"/>
                <w:color w:val="000000"/>
                <w:szCs w:val="20"/>
                <w:lang w:eastAsia="en-AU"/>
              </w:rPr>
            </w:pPr>
            <w:r w:rsidRPr="00F06A5B">
              <w:rPr>
                <w:rFonts w:eastAsia="Times New Roman" w:cs="Calibri"/>
                <w:color w:val="000000"/>
                <w:szCs w:val="20"/>
                <w:lang w:eastAsia="en-AU"/>
              </w:rPr>
              <w:t>14%</w:t>
            </w:r>
          </w:p>
        </w:tc>
      </w:tr>
      <w:tr w:rsidR="000902A5" w:rsidRPr="00B52EF0" w:rsidTr="00F06A5B">
        <w:trPr>
          <w:trHeight w:val="300"/>
        </w:trPr>
        <w:tc>
          <w:tcPr>
            <w:tcW w:w="2400" w:type="dxa"/>
            <w:tcBorders>
              <w:top w:val="nil"/>
              <w:left w:val="single" w:sz="8" w:space="0" w:color="BFBFBF"/>
              <w:bottom w:val="single" w:sz="8" w:space="0" w:color="BFBFBF"/>
              <w:right w:val="single" w:sz="8" w:space="0" w:color="BFBFBF"/>
            </w:tcBorders>
            <w:shd w:val="clear" w:color="auto" w:fill="auto"/>
            <w:noWrap/>
            <w:vAlign w:val="center"/>
            <w:hideMark/>
          </w:tcPr>
          <w:p w:rsidR="000902A5" w:rsidRPr="00F06A5B" w:rsidRDefault="0072276D" w:rsidP="006C739B">
            <w:pPr>
              <w:spacing w:before="0" w:after="0"/>
              <w:rPr>
                <w:rFonts w:ascii="Calibri" w:eastAsia="Times New Roman" w:hAnsi="Calibri" w:cs="Calibri"/>
                <w:color w:val="000000"/>
                <w:szCs w:val="20"/>
                <w:lang w:eastAsia="en-AU"/>
              </w:rPr>
            </w:pPr>
            <w:r>
              <w:rPr>
                <w:rFonts w:ascii="Calibri" w:eastAsia="Times New Roman" w:hAnsi="Calibri" w:cs="Calibri"/>
                <w:color w:val="000000"/>
                <w:szCs w:val="20"/>
                <w:lang w:eastAsia="en-AU"/>
              </w:rPr>
              <w:t>Total</w:t>
            </w:r>
          </w:p>
        </w:tc>
        <w:tc>
          <w:tcPr>
            <w:tcW w:w="1630" w:type="dxa"/>
            <w:tcBorders>
              <w:top w:val="nil"/>
              <w:left w:val="nil"/>
              <w:bottom w:val="single" w:sz="8" w:space="0" w:color="BFBFBF"/>
              <w:right w:val="single" w:sz="8" w:space="0" w:color="BFBFBF"/>
            </w:tcBorders>
            <w:shd w:val="clear" w:color="auto" w:fill="auto"/>
            <w:noWrap/>
            <w:vAlign w:val="center"/>
            <w:hideMark/>
          </w:tcPr>
          <w:p w:rsidR="000902A5" w:rsidRPr="00F06A5B" w:rsidRDefault="000902A5" w:rsidP="006C739B">
            <w:pPr>
              <w:spacing w:before="0" w:after="0"/>
              <w:jc w:val="center"/>
              <w:rPr>
                <w:rFonts w:eastAsia="Times New Roman" w:cs="Calibri"/>
                <w:b/>
                <w:bCs/>
                <w:color w:val="000000"/>
                <w:szCs w:val="20"/>
                <w:lang w:eastAsia="en-AU"/>
              </w:rPr>
            </w:pPr>
            <w:r w:rsidRPr="00F06A5B">
              <w:rPr>
                <w:rFonts w:eastAsia="Times New Roman" w:cs="Calibri"/>
                <w:b/>
                <w:bCs/>
                <w:color w:val="000000"/>
                <w:szCs w:val="20"/>
                <w:lang w:eastAsia="en-AU"/>
              </w:rPr>
              <w:t>273</w:t>
            </w:r>
          </w:p>
        </w:tc>
        <w:tc>
          <w:tcPr>
            <w:tcW w:w="1630" w:type="dxa"/>
            <w:tcBorders>
              <w:top w:val="nil"/>
              <w:left w:val="nil"/>
              <w:bottom w:val="single" w:sz="8" w:space="0" w:color="BFBFBF"/>
              <w:right w:val="single" w:sz="8" w:space="0" w:color="BFBFBF"/>
            </w:tcBorders>
            <w:shd w:val="clear" w:color="auto" w:fill="auto"/>
            <w:noWrap/>
            <w:vAlign w:val="center"/>
            <w:hideMark/>
          </w:tcPr>
          <w:p w:rsidR="000902A5" w:rsidRPr="00F06A5B" w:rsidRDefault="000902A5" w:rsidP="006C739B">
            <w:pPr>
              <w:spacing w:before="0" w:after="0"/>
              <w:jc w:val="center"/>
              <w:rPr>
                <w:rFonts w:eastAsia="Times New Roman" w:cs="Calibri"/>
                <w:b/>
                <w:bCs/>
                <w:color w:val="000000"/>
                <w:szCs w:val="20"/>
                <w:lang w:eastAsia="en-AU"/>
              </w:rPr>
            </w:pPr>
            <w:r w:rsidRPr="00F06A5B">
              <w:rPr>
                <w:rFonts w:eastAsia="Times New Roman" w:cs="Calibri"/>
                <w:b/>
                <w:bCs/>
                <w:color w:val="000000"/>
                <w:szCs w:val="20"/>
                <w:lang w:eastAsia="en-AU"/>
              </w:rPr>
              <w:t>100%</w:t>
            </w:r>
          </w:p>
        </w:tc>
        <w:tc>
          <w:tcPr>
            <w:tcW w:w="1630" w:type="dxa"/>
            <w:tcBorders>
              <w:top w:val="nil"/>
              <w:left w:val="nil"/>
              <w:bottom w:val="single" w:sz="8" w:space="0" w:color="BFBFBF"/>
              <w:right w:val="single" w:sz="8" w:space="0" w:color="BFBFBF"/>
            </w:tcBorders>
            <w:shd w:val="clear" w:color="auto" w:fill="auto"/>
            <w:noWrap/>
            <w:vAlign w:val="center"/>
            <w:hideMark/>
          </w:tcPr>
          <w:p w:rsidR="000902A5" w:rsidRPr="00F06A5B" w:rsidRDefault="000902A5" w:rsidP="006C739B">
            <w:pPr>
              <w:spacing w:before="0" w:after="0"/>
              <w:jc w:val="center"/>
              <w:rPr>
                <w:rFonts w:eastAsia="Times New Roman" w:cs="Calibri"/>
                <w:b/>
                <w:bCs/>
                <w:color w:val="000000"/>
                <w:szCs w:val="20"/>
                <w:lang w:eastAsia="en-AU"/>
              </w:rPr>
            </w:pPr>
            <w:r w:rsidRPr="00F06A5B">
              <w:rPr>
                <w:rFonts w:eastAsia="Times New Roman" w:cs="Calibri"/>
                <w:b/>
                <w:bCs/>
                <w:color w:val="000000"/>
                <w:szCs w:val="20"/>
                <w:lang w:eastAsia="en-AU"/>
              </w:rPr>
              <w:t>619</w:t>
            </w:r>
          </w:p>
        </w:tc>
        <w:tc>
          <w:tcPr>
            <w:tcW w:w="1631" w:type="dxa"/>
            <w:tcBorders>
              <w:top w:val="nil"/>
              <w:left w:val="nil"/>
              <w:bottom w:val="single" w:sz="8" w:space="0" w:color="BFBFBF"/>
              <w:right w:val="single" w:sz="8" w:space="0" w:color="BFBFBF"/>
            </w:tcBorders>
            <w:shd w:val="clear" w:color="auto" w:fill="auto"/>
            <w:noWrap/>
            <w:vAlign w:val="center"/>
            <w:hideMark/>
          </w:tcPr>
          <w:p w:rsidR="000902A5" w:rsidRPr="00F06A5B" w:rsidRDefault="000902A5" w:rsidP="006C739B">
            <w:pPr>
              <w:spacing w:before="0" w:after="0"/>
              <w:jc w:val="center"/>
              <w:rPr>
                <w:rFonts w:eastAsia="Times New Roman" w:cs="Calibri"/>
                <w:b/>
                <w:bCs/>
                <w:color w:val="000000"/>
                <w:szCs w:val="20"/>
                <w:lang w:eastAsia="en-AU"/>
              </w:rPr>
            </w:pPr>
            <w:r w:rsidRPr="00F06A5B">
              <w:rPr>
                <w:rFonts w:eastAsia="Times New Roman" w:cs="Calibri"/>
                <w:b/>
                <w:bCs/>
                <w:color w:val="000000"/>
                <w:szCs w:val="20"/>
                <w:lang w:eastAsia="en-AU"/>
              </w:rPr>
              <w:t>100%</w:t>
            </w:r>
          </w:p>
        </w:tc>
      </w:tr>
    </w:tbl>
    <w:p w:rsidR="000902A5" w:rsidRPr="00204436" w:rsidRDefault="000902A5" w:rsidP="000902A5">
      <w:pPr>
        <w:rPr>
          <w:i/>
          <w:iCs/>
          <w:color w:val="595959" w:themeColor="text1" w:themeTint="A6"/>
          <w:sz w:val="18"/>
          <w:szCs w:val="18"/>
        </w:rPr>
      </w:pPr>
      <w:r w:rsidRPr="00204436">
        <w:rPr>
          <w:i/>
          <w:iCs/>
          <w:color w:val="595959" w:themeColor="text1" w:themeTint="A6"/>
          <w:sz w:val="18"/>
          <w:szCs w:val="18"/>
        </w:rPr>
        <w:t xml:space="preserve">Source: NDIA dwelling enrolment data, </w:t>
      </w:r>
      <w:r>
        <w:rPr>
          <w:i/>
          <w:iCs/>
          <w:color w:val="595959" w:themeColor="text1" w:themeTint="A6"/>
          <w:sz w:val="18"/>
          <w:szCs w:val="18"/>
        </w:rPr>
        <w:t>September</w:t>
      </w:r>
      <w:r w:rsidRPr="00204436">
        <w:rPr>
          <w:i/>
          <w:iCs/>
          <w:color w:val="595959" w:themeColor="text1" w:themeTint="A6"/>
          <w:sz w:val="18"/>
          <w:szCs w:val="18"/>
        </w:rPr>
        <w:t xml:space="preserve"> 2018</w:t>
      </w:r>
    </w:p>
    <w:p w:rsidR="000902A5" w:rsidRPr="0020182A" w:rsidRDefault="000902A5" w:rsidP="006A71E3">
      <w:pPr>
        <w:pStyle w:val="BodyText1"/>
      </w:pPr>
    </w:p>
    <w:p w:rsidR="00F64167" w:rsidRPr="0020182A" w:rsidRDefault="00F64167">
      <w:pPr>
        <w:spacing w:before="0" w:after="160" w:line="259" w:lineRule="auto"/>
        <w:rPr>
          <w:i/>
          <w:iCs/>
          <w:color w:val="595959" w:themeColor="text1" w:themeTint="A6"/>
          <w:sz w:val="18"/>
          <w:szCs w:val="18"/>
        </w:rPr>
      </w:pPr>
      <w:bookmarkStart w:id="72" w:name="_Ref523837440"/>
      <w:r w:rsidRPr="0020182A">
        <w:br w:type="page"/>
      </w:r>
    </w:p>
    <w:bookmarkEnd w:id="72"/>
    <w:p w:rsidR="006A71E3" w:rsidRPr="0020182A" w:rsidRDefault="006A71E3" w:rsidP="006A71E3">
      <w:pPr>
        <w:pStyle w:val="Heading4"/>
      </w:pPr>
      <w:r w:rsidRPr="0020182A">
        <w:lastRenderedPageBreak/>
        <w:t xml:space="preserve">Five-yearly price review cycle does not match the 20+ year time horizon for SDA investment  </w:t>
      </w:r>
    </w:p>
    <w:p w:rsidR="00A1325C" w:rsidRPr="0020182A" w:rsidRDefault="00A1325C" w:rsidP="00A1325C">
      <w:pPr>
        <w:pStyle w:val="BodyText1"/>
      </w:pPr>
      <w:r w:rsidRPr="0020182A">
        <w:t>The SDA Framework currently states that the Agency will review benchmark pricing every five years, and that prices will have effect for five years from their publication. This is intended to provide investors with a balance between certainty in investment return</w:t>
      </w:r>
      <w:r w:rsidR="00BB0BA5">
        <w:t xml:space="preserve"> </w:t>
      </w:r>
      <w:r w:rsidRPr="0020182A">
        <w:t xml:space="preserve">with flexibility to adapt to changing market conditions. </w:t>
      </w:r>
    </w:p>
    <w:p w:rsidR="006A71E3" w:rsidRPr="0020182A" w:rsidRDefault="00BB0BA5" w:rsidP="00A1325C">
      <w:pPr>
        <w:pStyle w:val="BodyText1"/>
      </w:pPr>
      <w:r>
        <w:t>P</w:t>
      </w:r>
      <w:r w:rsidR="00A1325C" w:rsidRPr="0020182A">
        <w:t>roviders and investors noted that the five-yearly price review cycle does not match the 20+ year time horizon for SDA investment.</w:t>
      </w:r>
      <w:r w:rsidR="006A71E3" w:rsidRPr="0020182A">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ritten submission"/>
        <w:tblDescription w:val="Written submission states “In general the current Framework and pricing level is sufficient to attract investment in SDA. However, the current level of uncertainty in regard to price, demand and policy undermines confidence of potential investors in making large-scale investment”. "/>
      </w:tblPr>
      <w:tblGrid>
        <w:gridCol w:w="8072"/>
      </w:tblGrid>
      <w:tr w:rsidR="00612CC4" w:rsidRPr="0020182A" w:rsidTr="00612CC4">
        <w:trPr>
          <w:tblHeader/>
        </w:trPr>
        <w:tc>
          <w:tcPr>
            <w:tcW w:w="8072" w:type="dxa"/>
          </w:tcPr>
          <w:p w:rsidR="00612CC4" w:rsidRPr="0020182A" w:rsidRDefault="00612CC4" w:rsidP="00F7662C">
            <w:pPr>
              <w:pStyle w:val="BodyText"/>
              <w:spacing w:before="0"/>
            </w:pPr>
            <w:r>
              <w:t>“</w:t>
            </w:r>
            <w:r w:rsidRPr="0020182A">
              <w:t>In general the current Framework and pricing level is sufficient to attract investment in SDA. However, the current level of uncertainty in regard to price, demand and policy undermines confidence of potential investors in</w:t>
            </w:r>
            <w:r>
              <w:t xml:space="preserve"> making large-scale investment.”</w:t>
            </w:r>
            <w:r w:rsidRPr="0020182A">
              <w:t xml:space="preserve"> </w:t>
            </w:r>
          </w:p>
          <w:p w:rsidR="00612CC4" w:rsidRPr="0020182A" w:rsidRDefault="00612CC4" w:rsidP="00F7662C">
            <w:pPr>
              <w:pStyle w:val="BodyText"/>
              <w:spacing w:before="0"/>
              <w:jc w:val="right"/>
              <w:rPr>
                <w:sz w:val="16"/>
                <w:szCs w:val="16"/>
              </w:rPr>
            </w:pPr>
            <w:r w:rsidRPr="0020182A">
              <w:rPr>
                <w:sz w:val="16"/>
                <w:szCs w:val="16"/>
              </w:rPr>
              <w:t xml:space="preserve"> – Written submission</w:t>
            </w:r>
          </w:p>
        </w:tc>
      </w:tr>
    </w:tbl>
    <w:p w:rsidR="006A71E3" w:rsidRPr="0020182A" w:rsidRDefault="006A71E3" w:rsidP="006A71E3">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ritten submission"/>
        <w:tblDescription w:val="Written submission states “The Framework does not support long term investment making as investment is required for a 20 year or longer period whilst the support revenue line is subject to a discretionary regulatory review at both a systemic and individual basis annually” "/>
      </w:tblPr>
      <w:tblGrid>
        <w:gridCol w:w="8072"/>
      </w:tblGrid>
      <w:tr w:rsidR="00612CC4" w:rsidRPr="0020182A" w:rsidTr="00612CC4">
        <w:trPr>
          <w:tblHeader/>
        </w:trPr>
        <w:tc>
          <w:tcPr>
            <w:tcW w:w="8072" w:type="dxa"/>
          </w:tcPr>
          <w:p w:rsidR="00612CC4" w:rsidRPr="0020182A" w:rsidRDefault="00612CC4" w:rsidP="00F7662C">
            <w:pPr>
              <w:pStyle w:val="BodyText"/>
              <w:spacing w:before="0"/>
            </w:pPr>
            <w:r>
              <w:t>“</w:t>
            </w:r>
            <w:r w:rsidRPr="0020182A">
              <w:t>The Framework does not support long term investment making as investment is required for a 20 year or longer period whilst the support revenue line is subject to a discretionary regulatory review at both a systemic and individual basis annually</w:t>
            </w:r>
            <w:r>
              <w:t>.</w:t>
            </w:r>
            <w:r w:rsidRPr="0020182A">
              <w:t xml:space="preserve">” </w:t>
            </w:r>
          </w:p>
          <w:p w:rsidR="00612CC4" w:rsidRPr="0020182A" w:rsidRDefault="00612CC4" w:rsidP="00F7662C">
            <w:pPr>
              <w:pStyle w:val="BodyText"/>
              <w:spacing w:before="0"/>
              <w:jc w:val="right"/>
              <w:rPr>
                <w:sz w:val="16"/>
                <w:szCs w:val="16"/>
              </w:rPr>
            </w:pPr>
            <w:r w:rsidRPr="0020182A">
              <w:rPr>
                <w:sz w:val="16"/>
                <w:szCs w:val="16"/>
              </w:rPr>
              <w:t xml:space="preserve"> – Written submission</w:t>
            </w:r>
          </w:p>
        </w:tc>
      </w:tr>
    </w:tbl>
    <w:p w:rsidR="006A71E3" w:rsidRPr="0020182A" w:rsidRDefault="006A71E3" w:rsidP="006A71E3">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ote from provider/investor roundtable"/>
        <w:tblDescription w:val="Quote is “If you’re investing in property, you need a 20 year life cycle to get your money back on the investment. Especially when you are developing properties that require a higher level of investment from the outset. A 5 year review timeframe does not give certainty in pricing.” "/>
      </w:tblPr>
      <w:tblGrid>
        <w:gridCol w:w="8072"/>
      </w:tblGrid>
      <w:tr w:rsidR="00612CC4" w:rsidRPr="0020182A" w:rsidTr="00612CC4">
        <w:trPr>
          <w:tblHeader/>
        </w:trPr>
        <w:tc>
          <w:tcPr>
            <w:tcW w:w="8072" w:type="dxa"/>
          </w:tcPr>
          <w:p w:rsidR="00612CC4" w:rsidRPr="0020182A" w:rsidRDefault="00612CC4" w:rsidP="00F7662C">
            <w:pPr>
              <w:pStyle w:val="BodyText"/>
              <w:spacing w:before="0"/>
            </w:pPr>
            <w:r>
              <w:t>“</w:t>
            </w:r>
            <w:r w:rsidRPr="0020182A">
              <w:t>If you’re investing in property, you need a 20 year life cycle to get your money back on the investment. Especially when you are developing properties that require a higher level of investment from the outset. A 5 year review timeframe does not give certainty in pricing</w:t>
            </w:r>
            <w:r>
              <w:t>.</w:t>
            </w:r>
            <w:r w:rsidRPr="0020182A">
              <w:t xml:space="preserve">” </w:t>
            </w:r>
          </w:p>
          <w:p w:rsidR="00612CC4" w:rsidRPr="0020182A" w:rsidRDefault="00612CC4" w:rsidP="00F7662C">
            <w:pPr>
              <w:pStyle w:val="BodyText"/>
              <w:spacing w:before="0"/>
              <w:jc w:val="right"/>
              <w:rPr>
                <w:sz w:val="16"/>
                <w:szCs w:val="16"/>
              </w:rPr>
            </w:pPr>
            <w:r w:rsidRPr="0020182A">
              <w:rPr>
                <w:sz w:val="16"/>
                <w:szCs w:val="16"/>
              </w:rPr>
              <w:t xml:space="preserve"> – Provider/Investor Roundtable</w:t>
            </w:r>
          </w:p>
        </w:tc>
      </w:tr>
    </w:tbl>
    <w:p w:rsidR="006A71E3" w:rsidRPr="0020182A" w:rsidRDefault="006A71E3" w:rsidP="006A71E3">
      <w:pPr>
        <w:pStyle w:val="BodyText1"/>
      </w:pPr>
    </w:p>
    <w:p w:rsidR="00BB0BA5" w:rsidRDefault="00A1325C" w:rsidP="00A1325C">
      <w:pPr>
        <w:pStyle w:val="Bullet1stlevel"/>
      </w:pPr>
      <w:r w:rsidRPr="0020182A">
        <w:t xml:space="preserve">Pricing certainty is considered more critical in a new market environment such as the SDA market and in a market where properties being developed require a higher level of investment than other property types. </w:t>
      </w:r>
      <w:r w:rsidR="005E2A30" w:rsidRPr="0020182A">
        <w:t xml:space="preserve"> Further, g</w:t>
      </w:r>
      <w:r w:rsidRPr="0020182A">
        <w:t>reater pricing certainty can counter any other uncertainties or risks that providers and investors may face.</w:t>
      </w:r>
      <w:r w:rsidR="00BB0BA5">
        <w:t xml:space="preserve"> W</w:t>
      </w:r>
      <w:r w:rsidRPr="0020182A">
        <w:t xml:space="preserve">here there is price uncertainty and risk of price reductions, in combination with other risks </w:t>
      </w:r>
      <w:r w:rsidR="00A44BC6" w:rsidRPr="0020182A">
        <w:t xml:space="preserve">and </w:t>
      </w:r>
      <w:r w:rsidRPr="0020182A">
        <w:t>in an untested market</w:t>
      </w:r>
      <w:r w:rsidR="00BB0BA5">
        <w:t>,</w:t>
      </w:r>
      <w:r w:rsidRPr="0020182A">
        <w:t xml:space="preserve"> where there is a lack of market information, providers and investors are more hesitant </w:t>
      </w:r>
      <w:r w:rsidR="00BB0BA5">
        <w:t>to</w:t>
      </w:r>
      <w:r w:rsidRPr="0020182A">
        <w:t xml:space="preserve"> invest in SDA. </w:t>
      </w:r>
    </w:p>
    <w:p w:rsidR="00A1325C" w:rsidRPr="0020182A" w:rsidRDefault="00A1325C" w:rsidP="00A1325C">
      <w:pPr>
        <w:pStyle w:val="Bullet1stlevel"/>
      </w:pPr>
      <w:r w:rsidRPr="0020182A">
        <w:t xml:space="preserve">Providers and investors indicated that at this stage of SDA implementation the risk of SDA price reductions was impacting on their investment decisions, and in particular:  </w:t>
      </w:r>
    </w:p>
    <w:p w:rsidR="00A1325C" w:rsidRPr="0020182A" w:rsidRDefault="00A1325C" w:rsidP="009B671C">
      <w:pPr>
        <w:pStyle w:val="Bullet1stlevel"/>
        <w:numPr>
          <w:ilvl w:val="0"/>
          <w:numId w:val="43"/>
        </w:numPr>
      </w:pPr>
      <w:r w:rsidRPr="0020182A">
        <w:t xml:space="preserve">Providers and investors reported that the level of risk in the SDA market, including risk of pricing changes, means institutional lenders are typically willing to lend a lower proportion of the overall investment required for SDA developments. Lenders indicated they are typically only willing to consider the </w:t>
      </w:r>
      <w:r w:rsidR="00BB0BA5">
        <w:t>“</w:t>
      </w:r>
      <w:r w:rsidRPr="0020182A">
        <w:t>alternate use value</w:t>
      </w:r>
      <w:r w:rsidR="00BB0BA5">
        <w:t>”</w:t>
      </w:r>
      <w:r w:rsidRPr="0020182A">
        <w:t xml:space="preserve"> of the dwellings when determining the amount to be lent, which is a more conservative approach for lending. In these instances, a much larger proportion of equity financing is required from the developer or investor to mitigate against the lender’s risk. In some cases, this level of equity is not available.</w:t>
      </w:r>
    </w:p>
    <w:p w:rsidR="00A1325C" w:rsidRPr="0020182A" w:rsidRDefault="00A1325C" w:rsidP="009B671C">
      <w:pPr>
        <w:pStyle w:val="Bullet1stlevel"/>
        <w:numPr>
          <w:ilvl w:val="0"/>
          <w:numId w:val="43"/>
        </w:numPr>
      </w:pPr>
      <w:r w:rsidRPr="0020182A">
        <w:t>This level of risk also has implications for the cost of debt financing. Lenders indicated they require a higher rate of interest on loans for SDA properties th</w:t>
      </w:r>
      <w:r w:rsidR="00BB0BA5">
        <w:t>a</w:t>
      </w:r>
      <w:r w:rsidRPr="0020182A">
        <w:t>n previously contemplated in order to account for the level of risk from both pricing uncertainty and other current SDA market risks.</w:t>
      </w:r>
      <w:r w:rsidR="004E7B4A">
        <w:rPr>
          <w:rStyle w:val="FootnoteReference"/>
        </w:rPr>
        <w:footnoteReference w:id="28"/>
      </w:r>
      <w:r w:rsidR="004E7B4A">
        <w:t xml:space="preserve"> </w:t>
      </w:r>
    </w:p>
    <w:p w:rsidR="00A1325C" w:rsidRPr="0020182A" w:rsidRDefault="00A1325C" w:rsidP="009B671C">
      <w:pPr>
        <w:pStyle w:val="Bullet1stlevel"/>
        <w:numPr>
          <w:ilvl w:val="0"/>
          <w:numId w:val="43"/>
        </w:numPr>
      </w:pPr>
      <w:r w:rsidRPr="0020182A">
        <w:t xml:space="preserve">The market indicated that without greater clarity around the scope and </w:t>
      </w:r>
      <w:r w:rsidR="00360AF1">
        <w:t>approach</w:t>
      </w:r>
      <w:r w:rsidRPr="0020182A">
        <w:t xml:space="preserve"> for each five-year review, there may be downturns in the level of investment in the final 12-24 months of each cycle. Providers and investors would need to consider the risk of potential price changes at the same point in time dwellings come online after they have been through a lengthy development process. </w:t>
      </w:r>
    </w:p>
    <w:p w:rsidR="00A1325C" w:rsidRPr="0020182A" w:rsidRDefault="00A1325C" w:rsidP="00A1325C">
      <w:pPr>
        <w:pStyle w:val="Bullet1stlevel"/>
      </w:pPr>
      <w:r w:rsidRPr="0020182A">
        <w:t xml:space="preserve">It is noted that </w:t>
      </w:r>
      <w:r w:rsidR="00CD5AA9">
        <w:t>infrastructure</w:t>
      </w:r>
      <w:r w:rsidRPr="0020182A">
        <w:t xml:space="preserve"> investment of any kind has risks, including those associated with market downturn and reductions in rental income and SDA investment is no different. Five year price certainty </w:t>
      </w:r>
      <w:r w:rsidRPr="0020182A">
        <w:lastRenderedPageBreak/>
        <w:t xml:space="preserve">is a longer guarantee than other investments may provide. </w:t>
      </w:r>
      <w:r w:rsidR="00FE7BE8">
        <w:t>T</w:t>
      </w:r>
      <w:r w:rsidRPr="0020182A">
        <w:t xml:space="preserve">he five year review cycle </w:t>
      </w:r>
      <w:r w:rsidR="00FE7BE8">
        <w:t xml:space="preserve">also </w:t>
      </w:r>
      <w:r w:rsidRPr="0020182A">
        <w:t xml:space="preserve">provides balance between giving providers and investors enough surety regarding prices going forward and the need to ensure that pricing arrangements are flexible enough that changes in assumptions and new market data can be responded to appropriately. </w:t>
      </w:r>
    </w:p>
    <w:p w:rsidR="006A71E3" w:rsidRPr="0020182A" w:rsidRDefault="00A1325C" w:rsidP="00A1325C">
      <w:pPr>
        <w:pStyle w:val="Bullet1stlevel"/>
      </w:pPr>
      <w:r w:rsidRPr="0020182A">
        <w:t xml:space="preserve">Further, it is likely that some concern expressed by investors about the outcomes of future price reviews comes from uncertainty over the process that will lead to a change in prices, as well as unfamiliarity (since the Scheme is so new). The uncertainty related to price review outcomes for providers and investors could be addressed through a more open and transparent approach to price reviews, including the </w:t>
      </w:r>
      <w:r w:rsidR="00360AF1">
        <w:t>approach</w:t>
      </w:r>
      <w:r w:rsidRPr="0020182A">
        <w:t xml:space="preserve"> and scope for each review, rather than more lengthy price guarantees or less frequent price reviews. The </w:t>
      </w:r>
      <w:r w:rsidR="00845AB5">
        <w:t>Framework</w:t>
      </w:r>
      <w:r w:rsidRPr="0020182A">
        <w:t xml:space="preserve"> should be amended to require the NDIA to run a consultation process for each price review, and the NDIA should publish guidance on how it proposes to conduct this process, as well as clarify the assumptions that would lead to changes in prices. Greater transparency would help build investor confidence and help stimulate investment.</w:t>
      </w:r>
    </w:p>
    <w:p w:rsidR="00B46E88" w:rsidRPr="0020182A" w:rsidRDefault="00B46E88" w:rsidP="00B46E88">
      <w:pPr>
        <w:pStyle w:val="Heading4"/>
      </w:pPr>
      <w:r w:rsidRPr="0020182A">
        <w:t>There are specific aspects of</w:t>
      </w:r>
      <w:r w:rsidR="00757D84" w:rsidRPr="0020182A">
        <w:t xml:space="preserve"> the SDA Framework</w:t>
      </w:r>
      <w:r w:rsidRPr="0020182A">
        <w:t xml:space="preserve"> relating to pricing which are unclear</w:t>
      </w:r>
    </w:p>
    <w:p w:rsidR="00B46E88" w:rsidRPr="0020182A" w:rsidRDefault="00FE7BE8" w:rsidP="00B46E88">
      <w:pPr>
        <w:pStyle w:val="Heading5"/>
      </w:pPr>
      <w:r>
        <w:t>“</w:t>
      </w:r>
      <w:r w:rsidR="00B46E88" w:rsidRPr="0020182A">
        <w:t>Benchmark prices</w:t>
      </w:r>
      <w:r>
        <w:t>”</w:t>
      </w:r>
    </w:p>
    <w:p w:rsidR="00F64167" w:rsidRPr="0020182A" w:rsidRDefault="00A1325C" w:rsidP="00B46E88">
      <w:pPr>
        <w:pStyle w:val="BodyText1"/>
      </w:pPr>
      <w:r w:rsidRPr="0020182A">
        <w:t xml:space="preserve">The SDA Framework currently refers to prices for SDA as </w:t>
      </w:r>
      <w:r w:rsidR="00FE7BE8">
        <w:t>“</w:t>
      </w:r>
      <w:r w:rsidRPr="0020182A">
        <w:t>Benchmark Prices</w:t>
      </w:r>
      <w:r w:rsidR="00FE7BE8">
        <w:t>”</w:t>
      </w:r>
      <w:r w:rsidRPr="0020182A">
        <w:t xml:space="preserve">, similar to other NDIS supports participants may be eligible for. </w:t>
      </w:r>
      <w:r w:rsidR="00FE7BE8">
        <w:t>P</w:t>
      </w:r>
      <w:r w:rsidR="00A44BC6" w:rsidRPr="0020182A">
        <w:t xml:space="preserve">roviders and investors engaged as part of the Review </w:t>
      </w:r>
      <w:r w:rsidRPr="0020182A">
        <w:t xml:space="preserve">expressed concern over </w:t>
      </w:r>
      <w:r w:rsidR="00A44BC6" w:rsidRPr="0020182A">
        <w:t>changing</w:t>
      </w:r>
      <w:r w:rsidRPr="0020182A">
        <w:t xml:space="preserve"> terminology</w:t>
      </w:r>
      <w:r w:rsidR="0020731A" w:rsidRPr="0020182A">
        <w:t xml:space="preserve"> </w:t>
      </w:r>
      <w:r w:rsidR="00A44BC6" w:rsidRPr="0020182A">
        <w:t xml:space="preserve">and references to </w:t>
      </w:r>
      <w:r w:rsidRPr="0020182A">
        <w:t xml:space="preserve">SDA prices as </w:t>
      </w:r>
      <w:r w:rsidR="00774AA9">
        <w:t>“</w:t>
      </w:r>
      <w:r w:rsidRPr="0020182A">
        <w:t>price ceiling</w:t>
      </w:r>
      <w:r w:rsidR="00A44BC6" w:rsidRPr="0020182A">
        <w:t>s</w:t>
      </w:r>
      <w:r w:rsidR="00774AA9">
        <w:t>”</w:t>
      </w:r>
      <w:r w:rsidRPr="0020182A">
        <w:t xml:space="preserve">. There is </w:t>
      </w:r>
      <w:r w:rsidR="00A44BC6" w:rsidRPr="0020182A">
        <w:t xml:space="preserve">some </w:t>
      </w:r>
      <w:r w:rsidRPr="0020182A">
        <w:t xml:space="preserve">concern that the value of SDA allocated in individual plans will be lower than these rates and participants will </w:t>
      </w:r>
      <w:r w:rsidR="00A44BC6" w:rsidRPr="0020182A">
        <w:t xml:space="preserve">be able to </w:t>
      </w:r>
      <w:r w:rsidRPr="0020182A">
        <w:t>negotiate a lower payment with providers, impact</w:t>
      </w:r>
      <w:r w:rsidR="00A44BC6" w:rsidRPr="0020182A">
        <w:t>ing on projected rates of return</w:t>
      </w:r>
      <w:r w:rsidR="00DD5D11">
        <w:t>.</w:t>
      </w:r>
      <w:r w:rsidR="00A44BC6" w:rsidRPr="0020182A">
        <w:t xml:space="preserve"> </w:t>
      </w:r>
      <w:r w:rsidRPr="0020182A">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ritten submission"/>
        <w:tblDescription w:val="Written submission states &quot; “Pg. 11 of the SDA Decision Paper on Pricing and Payments 1 June 2016 states that ‘Providers will be paid for dwellings when occupied by SDA participants according to the highest design category with which the dwelling complies’. The SDA Provider &amp; Investor briefing speaks of negotiation. This change and the material outlining their new resistance to fund single person dwellings is spooking the market.”  &#10; "/>
      </w:tblPr>
      <w:tblGrid>
        <w:gridCol w:w="8072"/>
      </w:tblGrid>
      <w:tr w:rsidR="00612CC4" w:rsidRPr="0020182A" w:rsidTr="00612CC4">
        <w:trPr>
          <w:tblHeader/>
        </w:trPr>
        <w:tc>
          <w:tcPr>
            <w:tcW w:w="8072" w:type="dxa"/>
          </w:tcPr>
          <w:p w:rsidR="00DD5D11" w:rsidRPr="0020182A" w:rsidRDefault="00612CC4" w:rsidP="00DD5D11">
            <w:pPr>
              <w:pStyle w:val="BodyText"/>
              <w:spacing w:before="0"/>
              <w:rPr>
                <w:sz w:val="16"/>
                <w:szCs w:val="16"/>
              </w:rPr>
            </w:pPr>
            <w:r>
              <w:t>“</w:t>
            </w:r>
            <w:r w:rsidRPr="0020182A">
              <w:t>Pg. 11 of the SDA Decision Paper on Pricing and Payments 1 June 2016 states that ‘Providers will be paid for dwellings when occupied by SDA participants according to the highest design category with which the dwelling complies’. The SDA Provider &amp; Investor briefing speaks of negotiation. This change and the material outlining their new resistance to fund single person dw</w:t>
            </w:r>
            <w:r>
              <w:t>ellings is spooking the market.”</w:t>
            </w:r>
          </w:p>
          <w:p w:rsidR="00612CC4" w:rsidRPr="0020182A" w:rsidRDefault="00612CC4" w:rsidP="003022A2">
            <w:pPr>
              <w:pStyle w:val="BodyText"/>
              <w:spacing w:before="0"/>
              <w:jc w:val="right"/>
              <w:rPr>
                <w:sz w:val="16"/>
                <w:szCs w:val="16"/>
              </w:rPr>
            </w:pPr>
            <w:r w:rsidRPr="0020182A">
              <w:rPr>
                <w:sz w:val="16"/>
                <w:szCs w:val="16"/>
              </w:rPr>
              <w:t>– Written submission</w:t>
            </w:r>
          </w:p>
        </w:tc>
      </w:tr>
    </w:tbl>
    <w:p w:rsidR="00B46E88" w:rsidRPr="0020182A" w:rsidRDefault="00B46E88" w:rsidP="00B46E88">
      <w:pPr>
        <w:pStyle w:val="BodyText1"/>
      </w:pPr>
    </w:p>
    <w:p w:rsidR="00B46E88" w:rsidRPr="0020182A" w:rsidRDefault="0047461D" w:rsidP="00B46E88">
      <w:pPr>
        <w:pStyle w:val="Heading5"/>
      </w:pPr>
      <w:r>
        <w:t>“</w:t>
      </w:r>
      <w:r w:rsidR="00B46E88" w:rsidRPr="0020182A">
        <w:t xml:space="preserve">Trigger </w:t>
      </w:r>
      <w:r w:rsidR="00F64167" w:rsidRPr="0020182A">
        <w:t>e</w:t>
      </w:r>
      <w:r w:rsidR="00B46E88" w:rsidRPr="0020182A">
        <w:t>vents</w:t>
      </w:r>
      <w:r>
        <w:t>”</w:t>
      </w:r>
    </w:p>
    <w:p w:rsidR="00B46E88" w:rsidRPr="0020182A" w:rsidRDefault="00A1325C" w:rsidP="00B46E88">
      <w:pPr>
        <w:pStyle w:val="BodyText1"/>
      </w:pPr>
      <w:r w:rsidRPr="0020182A">
        <w:t xml:space="preserve">In addition to the five-year price review, the SDA Framework currently contains an additional provision </w:t>
      </w:r>
      <w:r w:rsidR="0047461D">
        <w:t>that</w:t>
      </w:r>
      <w:r w:rsidRPr="0020182A">
        <w:t xml:space="preserve"> allows the NDIA to specify </w:t>
      </w:r>
      <w:r w:rsidR="0047461D">
        <w:t>“</w:t>
      </w:r>
      <w:r w:rsidRPr="0020182A">
        <w:t>trigger events</w:t>
      </w:r>
      <w:r w:rsidR="0047461D">
        <w:t>”</w:t>
      </w:r>
      <w:r w:rsidRPr="0020182A">
        <w:t xml:space="preserve"> that account for substantial changes in cost input or pricing assumption parameters and which automatically change benchmark prices. </w:t>
      </w:r>
      <w:r w:rsidR="00A44BC6" w:rsidRPr="0020182A">
        <w:t>T</w:t>
      </w:r>
      <w:r w:rsidRPr="0020182A">
        <w:t xml:space="preserve">hese trigger events </w:t>
      </w:r>
      <w:r w:rsidR="00A44BC6" w:rsidRPr="0020182A">
        <w:t xml:space="preserve">are not defined </w:t>
      </w:r>
      <w:r w:rsidRPr="0020182A">
        <w:t>in the Price Guide or other supporting documents</w:t>
      </w:r>
      <w:r w:rsidR="00A44BC6" w:rsidRPr="0020182A">
        <w:t>, however</w:t>
      </w:r>
      <w:r w:rsidRPr="0020182A">
        <w:t xml:space="preserve">. There was some concern </w:t>
      </w:r>
      <w:r w:rsidR="00A44BC6" w:rsidRPr="0020182A">
        <w:t xml:space="preserve">among providers and investors engaged as part of the Review that </w:t>
      </w:r>
      <w:r w:rsidRPr="0020182A">
        <w:t xml:space="preserve">without </w:t>
      </w:r>
      <w:r w:rsidR="00A44BC6" w:rsidRPr="0020182A">
        <w:t xml:space="preserve">further definition of these </w:t>
      </w:r>
      <w:r w:rsidRPr="0020182A">
        <w:t xml:space="preserve">trigger </w:t>
      </w:r>
      <w:r w:rsidR="00A44BC6" w:rsidRPr="0020182A">
        <w:t xml:space="preserve">events in the SDA Framework, </w:t>
      </w:r>
      <w:r w:rsidRPr="0020182A">
        <w:t xml:space="preserve">this provision would </w:t>
      </w:r>
      <w:r w:rsidR="0047461D">
        <w:t>be</w:t>
      </w:r>
      <w:r w:rsidR="00A44BC6" w:rsidRPr="0020182A">
        <w:t xml:space="preserve"> </w:t>
      </w:r>
      <w:r w:rsidRPr="0020182A">
        <w:t>underutilised</w:t>
      </w:r>
      <w:r w:rsidR="0047461D">
        <w:t xml:space="preserve"> or not utilised at all</w:t>
      </w:r>
      <w:r w:rsidRPr="0020182A">
        <w:t xml:space="preserve">. </w:t>
      </w:r>
    </w:p>
    <w:p w:rsidR="006A71E3" w:rsidRPr="0020182A" w:rsidRDefault="006A71E3" w:rsidP="006A71E3">
      <w:pPr>
        <w:pStyle w:val="Heading3"/>
      </w:pPr>
      <w:r w:rsidRPr="0020182A">
        <w:t>4. Risk</w:t>
      </w:r>
    </w:p>
    <w:p w:rsidR="00A1325C" w:rsidRPr="000E758D" w:rsidRDefault="00A1325C" w:rsidP="000E758D">
      <w:pPr>
        <w:pStyle w:val="BodyText2"/>
        <w:rPr>
          <w:b/>
          <w:iCs/>
          <w:sz w:val="20"/>
        </w:rPr>
      </w:pPr>
      <w:r w:rsidRPr="000E758D">
        <w:rPr>
          <w:sz w:val="20"/>
        </w:rPr>
        <w:t xml:space="preserve">In a well-developed market, risks associated with participating in the market should be well understood, able to be managed where possible and </w:t>
      </w:r>
      <w:r w:rsidR="008A0268" w:rsidRPr="000E758D">
        <w:rPr>
          <w:sz w:val="20"/>
        </w:rPr>
        <w:t xml:space="preserve">be </w:t>
      </w:r>
      <w:r w:rsidRPr="000E758D">
        <w:rPr>
          <w:sz w:val="20"/>
        </w:rPr>
        <w:t>take</w:t>
      </w:r>
      <w:r w:rsidR="008A0268" w:rsidRPr="000E758D">
        <w:rPr>
          <w:sz w:val="20"/>
        </w:rPr>
        <w:t>n</w:t>
      </w:r>
      <w:r w:rsidRPr="000E758D">
        <w:rPr>
          <w:sz w:val="20"/>
        </w:rPr>
        <w:t xml:space="preserve"> into consideration when making supply and investment decisions. Too many unknown or unclear risks in a new market such as the SDA market are likely to result in barriers to investment and reduce the level of confidence within the market.</w:t>
      </w:r>
    </w:p>
    <w:p w:rsidR="006A71E3" w:rsidRPr="000E758D" w:rsidRDefault="006A71E3" w:rsidP="0072276D">
      <w:pPr>
        <w:pStyle w:val="Heading4"/>
      </w:pPr>
      <w:r w:rsidRPr="000E758D">
        <w:t xml:space="preserve">There are a range of risks and uncertainties that present barriers to investment </w:t>
      </w:r>
    </w:p>
    <w:p w:rsidR="00A1325C" w:rsidRPr="0020182A" w:rsidRDefault="00A1325C" w:rsidP="00A1325C">
      <w:pPr>
        <w:pStyle w:val="BodyText1"/>
      </w:pPr>
      <w:r w:rsidRPr="0020182A">
        <w:t>There appears to be some hesitanc</w:t>
      </w:r>
      <w:r w:rsidR="008A0268">
        <w:t>e</w:t>
      </w:r>
      <w:r w:rsidRPr="0020182A">
        <w:t xml:space="preserve"> among providers and investors to make large scale</w:t>
      </w:r>
      <w:r w:rsidR="000B6202">
        <w:t>, long-term</w:t>
      </w:r>
      <w:r w:rsidRPr="0020182A">
        <w:t xml:space="preserve"> investments in SDA at this point in time</w:t>
      </w:r>
      <w:r w:rsidR="008A0268">
        <w:t>. This is</w:t>
      </w:r>
      <w:r w:rsidRPr="0020182A">
        <w:t xml:space="preserve"> due to real or perceived risks and uncertainties that are present in the market</w:t>
      </w:r>
      <w:r w:rsidR="008A0268">
        <w:t xml:space="preserve"> that are</w:t>
      </w:r>
      <w:r w:rsidRPr="0020182A">
        <w:t xml:space="preserve"> over and above risks </w:t>
      </w:r>
      <w:r w:rsidR="008A0268">
        <w:t>that</w:t>
      </w:r>
      <w:r w:rsidRPr="0020182A">
        <w:t xml:space="preserve"> are </w:t>
      </w:r>
      <w:r w:rsidR="008A0268">
        <w:t xml:space="preserve">generally </w:t>
      </w:r>
      <w:r w:rsidRPr="0020182A">
        <w:t xml:space="preserve">inherent in </w:t>
      </w:r>
      <w:r w:rsidR="000B6202">
        <w:t xml:space="preserve">long-term </w:t>
      </w:r>
      <w:r w:rsidR="00CD5AA9">
        <w:t>infrastructure</w:t>
      </w:r>
      <w:r w:rsidR="00CD5AA9" w:rsidRPr="0020182A">
        <w:t xml:space="preserve"> </w:t>
      </w:r>
      <w:r w:rsidRPr="0020182A">
        <w:t xml:space="preserve">investment (such as price volatility, management cost variability, managing vacancies etc). </w:t>
      </w:r>
    </w:p>
    <w:p w:rsidR="00A1325C" w:rsidRPr="0020182A" w:rsidRDefault="00A1325C" w:rsidP="00A1325C">
      <w:pPr>
        <w:pStyle w:val="BodyText1"/>
      </w:pPr>
      <w:r w:rsidRPr="0020182A">
        <w:t xml:space="preserve">To some extent these risks and uncertainties are associated with the “newness” of the NDIS and the fact that SDA is a new “product” and the market still developing and </w:t>
      </w:r>
      <w:r w:rsidR="008A0268">
        <w:t xml:space="preserve">is </w:t>
      </w:r>
      <w:r w:rsidRPr="0020182A">
        <w:t xml:space="preserve">largely untested. These risks </w:t>
      </w:r>
      <w:r w:rsidRPr="0020182A">
        <w:lastRenderedPageBreak/>
        <w:t>are likely to reduce as the NDIS and SDA market matures. The NDIS is still being implemented in most jurisdictions, with the full Scheme operating only in NSW, ACT and the Northern Territory</w:t>
      </w:r>
      <w:r w:rsidR="008A0268">
        <w:t>.</w:t>
      </w:r>
      <w:r w:rsidRPr="0020182A">
        <w:t xml:space="preserve"> The transition of NDIS participants to SDA arrangements is also still occurring. </w:t>
      </w:r>
    </w:p>
    <w:p w:rsidR="00A1325C" w:rsidRPr="0020182A" w:rsidRDefault="00A1325C" w:rsidP="00A1325C">
      <w:pPr>
        <w:pStyle w:val="BodyText1"/>
      </w:pPr>
      <w:r w:rsidRPr="0020182A">
        <w:t xml:space="preserve">There are risks inherent in </w:t>
      </w:r>
      <w:r w:rsidR="00CD5AA9">
        <w:t>infrastructure</w:t>
      </w:r>
      <w:r w:rsidR="00CD5AA9" w:rsidRPr="0020182A">
        <w:t xml:space="preserve"> </w:t>
      </w:r>
      <w:r w:rsidRPr="0020182A">
        <w:t>and other long-term investments, especially when investing in</w:t>
      </w:r>
      <w:r w:rsidR="00CD5AA9" w:rsidRPr="00CD5AA9">
        <w:t xml:space="preserve"> </w:t>
      </w:r>
      <w:r w:rsidR="00CD5AA9">
        <w:t>infrastructure</w:t>
      </w:r>
      <w:r w:rsidR="00CD5AA9" w:rsidRPr="0020182A">
        <w:t xml:space="preserve"> </w:t>
      </w:r>
      <w:r w:rsidRPr="0020182A">
        <w:t xml:space="preserve">for vulnerable populations. These risks can be mitigated by providers and investors and taken into consideration when making investment decisions. For example, </w:t>
      </w:r>
      <w:r w:rsidR="00CD5AA9">
        <w:t>infrastructure</w:t>
      </w:r>
      <w:r w:rsidR="00CD5AA9" w:rsidRPr="0020182A">
        <w:t xml:space="preserve"> </w:t>
      </w:r>
      <w:r w:rsidRPr="0020182A">
        <w:t>market risks</w:t>
      </w:r>
      <w:r w:rsidR="008A0268">
        <w:t xml:space="preserve"> </w:t>
      </w:r>
      <w:r w:rsidR="008A0268" w:rsidRPr="0020182A">
        <w:t>that can be managed through sufficient scale and diversific</w:t>
      </w:r>
      <w:r w:rsidR="008A0268">
        <w:t xml:space="preserve">ation of </w:t>
      </w:r>
      <w:r w:rsidR="00CD5AA9">
        <w:t>a</w:t>
      </w:r>
      <w:r w:rsidR="008A0268">
        <w:t xml:space="preserve"> portfolio, </w:t>
      </w:r>
      <w:r w:rsidRPr="0020182A">
        <w:t>including price volatility, management cost variability</w:t>
      </w:r>
      <w:r w:rsidR="008A0268">
        <w:t xml:space="preserve"> and </w:t>
      </w:r>
      <w:r w:rsidRPr="0020182A">
        <w:t>managing vacancies</w:t>
      </w:r>
      <w:r w:rsidR="008A0268">
        <w:t>.</w:t>
      </w:r>
      <w:r w:rsidRPr="0020182A">
        <w:t xml:space="preserve"> Some private and institutional investors also indicated that there may be some reputational risk, particularly where they make business and investment decisions which may be contrary to achieving positive social outcomes (such as selling SDA dwellings or converting SDA dwellings to general use</w:t>
      </w:r>
      <w:r w:rsidR="008A0268">
        <w:t xml:space="preserve"> or the</w:t>
      </w:r>
      <w:r w:rsidRPr="0020182A">
        <w:t xml:space="preserve"> potential eviction of tenants).</w:t>
      </w:r>
    </w:p>
    <w:p w:rsidR="006A71E3" w:rsidRPr="0020182A" w:rsidRDefault="008A0268" w:rsidP="00A1325C">
      <w:pPr>
        <w:pStyle w:val="BodyText1"/>
      </w:pPr>
      <w:r>
        <w:t>A</w:t>
      </w:r>
      <w:r w:rsidR="00A1325C" w:rsidRPr="0020182A">
        <w:t>t this point in time there are three main areas of risk and uncertainty specific to SDA investment that are posing barriers to investment:</w:t>
      </w:r>
      <w:r w:rsidR="006A71E3" w:rsidRPr="0020182A">
        <w:t xml:space="preserve"> </w:t>
      </w:r>
    </w:p>
    <w:p w:rsidR="006A71E3" w:rsidRPr="0020182A" w:rsidRDefault="006A71E3" w:rsidP="009B671C">
      <w:pPr>
        <w:pStyle w:val="BodyText1"/>
        <w:numPr>
          <w:ilvl w:val="0"/>
          <w:numId w:val="29"/>
        </w:numPr>
      </w:pPr>
      <w:r w:rsidRPr="0020182A">
        <w:rPr>
          <w:i/>
        </w:rPr>
        <w:t>Uncertainty around pricing:</w:t>
      </w:r>
      <w:r w:rsidRPr="0020182A">
        <w:t xml:space="preserve"> Uncertainty of longer term pricing relative to investment time horizon, and risks associated with changing (reducing) prices at each five-year price review cycle</w:t>
      </w:r>
      <w:r w:rsidR="00A1325C" w:rsidRPr="0020182A">
        <w:t xml:space="preserve"> (discussed above)</w:t>
      </w:r>
      <w:r w:rsidR="00E531E7" w:rsidRPr="0020182A">
        <w:t>.</w:t>
      </w:r>
      <w:r w:rsidRPr="0020182A">
        <w:t xml:space="preserve"> </w:t>
      </w:r>
    </w:p>
    <w:p w:rsidR="006A71E3" w:rsidRPr="0020182A" w:rsidRDefault="006A71E3" w:rsidP="009B671C">
      <w:pPr>
        <w:pStyle w:val="BodyText1"/>
        <w:numPr>
          <w:ilvl w:val="0"/>
          <w:numId w:val="29"/>
        </w:numPr>
      </w:pPr>
      <w:r w:rsidRPr="0020182A">
        <w:rPr>
          <w:i/>
        </w:rPr>
        <w:t>Policy uncertainty:</w:t>
      </w:r>
      <w:r w:rsidRPr="0020182A">
        <w:t xml:space="preserve"> Perceptions that SDA policy is still developing, and risks and uncertainties associated with stability of SDA policy settings and future directions</w:t>
      </w:r>
      <w:r w:rsidR="00E531E7" w:rsidRPr="0020182A">
        <w:t>.</w:t>
      </w:r>
    </w:p>
    <w:p w:rsidR="006A71E3" w:rsidRPr="0020182A" w:rsidRDefault="006A71E3" w:rsidP="009B671C">
      <w:pPr>
        <w:pStyle w:val="BodyText1"/>
        <w:numPr>
          <w:ilvl w:val="0"/>
          <w:numId w:val="29"/>
        </w:numPr>
      </w:pPr>
      <w:r w:rsidRPr="0020182A">
        <w:rPr>
          <w:i/>
        </w:rPr>
        <w:t>Implementation issues and associated risks:</w:t>
      </w:r>
      <w:r w:rsidRPr="0020182A">
        <w:t xml:space="preserve"> Issues and risks associated with processes, timing and consistency of NDIA decisions relating to SDA eligibility and funding and interplay with SIL funding decisions</w:t>
      </w:r>
      <w:r w:rsidR="00A1325C" w:rsidRPr="0020182A">
        <w:t>, as well as vacancy risk</w:t>
      </w:r>
      <w:r w:rsidRPr="0020182A">
        <w:t>.</w:t>
      </w:r>
    </w:p>
    <w:p w:rsidR="00F64167" w:rsidRPr="0020182A" w:rsidRDefault="00F64167" w:rsidP="00F64167">
      <w:pPr>
        <w:pStyle w:val="BodyText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ritten submission"/>
        <w:tblDescription w:val="Written submission states &quot; “A level of demand (or vacancy) risk is inherent in this market-based approach, as they are in real estate investments more generally, despite the infrastructure-like characteristics of SDA. However, providers and investors have noted that this risk may increase in a specialised market, such as this, with longer lead times for finding tenants.” &#10;"/>
      </w:tblPr>
      <w:tblGrid>
        <w:gridCol w:w="8072"/>
      </w:tblGrid>
      <w:tr w:rsidR="00612CC4" w:rsidRPr="0020182A" w:rsidTr="00612CC4">
        <w:trPr>
          <w:tblHeader/>
        </w:trPr>
        <w:tc>
          <w:tcPr>
            <w:tcW w:w="8072" w:type="dxa"/>
          </w:tcPr>
          <w:p w:rsidR="00612CC4" w:rsidRPr="0020182A" w:rsidRDefault="00612CC4" w:rsidP="00F7662C">
            <w:pPr>
              <w:pStyle w:val="BodyText"/>
              <w:spacing w:after="0"/>
            </w:pPr>
            <w:r>
              <w:t>“</w:t>
            </w:r>
            <w:r w:rsidRPr="0020182A">
              <w:t xml:space="preserve">A level of demand (or vacancy) risk is inherent in this market-based approach, as they are in real estate investments more generally, despite the infrastructure-like characteristics of SDA. However, providers and investors have noted that this risk may increase in a specialised market, such as this, with longer lead times for finding tenants.” </w:t>
            </w:r>
          </w:p>
          <w:p w:rsidR="00612CC4" w:rsidRPr="0020182A" w:rsidRDefault="00612CC4" w:rsidP="00F7662C">
            <w:pPr>
              <w:pStyle w:val="BodyText"/>
              <w:spacing w:before="0"/>
              <w:jc w:val="right"/>
              <w:rPr>
                <w:sz w:val="16"/>
                <w:szCs w:val="16"/>
              </w:rPr>
            </w:pPr>
            <w:r w:rsidRPr="0020182A">
              <w:rPr>
                <w:sz w:val="16"/>
                <w:szCs w:val="16"/>
              </w:rPr>
              <w:t>– Written submission</w:t>
            </w:r>
          </w:p>
        </w:tc>
      </w:tr>
    </w:tbl>
    <w:p w:rsidR="006A71E3" w:rsidRPr="0020182A" w:rsidRDefault="006A71E3" w:rsidP="006A71E3"/>
    <w:p w:rsidR="000B6202" w:rsidRDefault="000B620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ote from provider/investor roundtables"/>
        <w:tblDescription w:val="Quote is “Investors are interested but they are very uncertain… we’re not seeing the level of investment expected due to uncertainty around the location, tenants, pricing terms of only 5 years and the viability of equity”."/>
      </w:tblPr>
      <w:tblGrid>
        <w:gridCol w:w="8072"/>
      </w:tblGrid>
      <w:tr w:rsidR="00612CC4" w:rsidRPr="0020182A" w:rsidTr="00612CC4">
        <w:trPr>
          <w:tblHeader/>
        </w:trPr>
        <w:tc>
          <w:tcPr>
            <w:tcW w:w="8072" w:type="dxa"/>
          </w:tcPr>
          <w:p w:rsidR="00612CC4" w:rsidRPr="0020182A" w:rsidRDefault="00612CC4" w:rsidP="00F7662C">
            <w:pPr>
              <w:pStyle w:val="BodyText"/>
              <w:spacing w:before="0"/>
            </w:pPr>
            <w:r>
              <w:lastRenderedPageBreak/>
              <w:t>“</w:t>
            </w:r>
            <w:r w:rsidRPr="0020182A">
              <w:t>Investors are interested but they are very uncertain… we’re not seeing the level of investment expected due to uncertainty around the location, tenants, pricing terms of only 5 years and the viability of equity”</w:t>
            </w:r>
          </w:p>
          <w:p w:rsidR="00612CC4" w:rsidRPr="0020182A" w:rsidRDefault="00612CC4" w:rsidP="00F7662C">
            <w:pPr>
              <w:pStyle w:val="BodyText"/>
              <w:spacing w:before="0"/>
              <w:jc w:val="right"/>
              <w:rPr>
                <w:sz w:val="16"/>
                <w:szCs w:val="16"/>
              </w:rPr>
            </w:pPr>
            <w:r w:rsidRPr="0020182A">
              <w:rPr>
                <w:sz w:val="16"/>
                <w:szCs w:val="16"/>
              </w:rPr>
              <w:t xml:space="preserve"> – Provider/investor Roundtable</w:t>
            </w:r>
          </w:p>
        </w:tc>
      </w:tr>
    </w:tbl>
    <w:p w:rsidR="006A71E3" w:rsidRPr="0020182A" w:rsidRDefault="006A71E3" w:rsidP="006A71E3">
      <w:pPr>
        <w:pStyle w:val="BodyText1"/>
      </w:pPr>
    </w:p>
    <w:p w:rsidR="006A71E3" w:rsidRPr="008B3E84" w:rsidRDefault="006A71E3" w:rsidP="00251F6E">
      <w:pPr>
        <w:pStyle w:val="Heading4"/>
      </w:pPr>
      <w:r w:rsidRPr="008B3E84">
        <w:t>Policy uncertainty</w:t>
      </w:r>
      <w:r w:rsidRPr="008B3E84" w:rsidDel="000C13E6">
        <w:t xml:space="preserve"> </w:t>
      </w:r>
    </w:p>
    <w:p w:rsidR="006A71E3" w:rsidRPr="0020182A" w:rsidRDefault="006A71E3" w:rsidP="006A71E3">
      <w:pPr>
        <w:pStyle w:val="BodyText1"/>
      </w:pPr>
      <w:r w:rsidRPr="0020182A">
        <w:t>It is recognised that SDA policy and rules are clear and reflected across a number of policy documents and mechanisms including:</w:t>
      </w:r>
    </w:p>
    <w:p w:rsidR="006A71E3" w:rsidRPr="0020182A" w:rsidRDefault="006A71E3" w:rsidP="009B671C">
      <w:pPr>
        <w:pStyle w:val="Bullet1stlevel"/>
        <w:numPr>
          <w:ilvl w:val="0"/>
          <w:numId w:val="51"/>
        </w:numPr>
      </w:pPr>
      <w:r w:rsidRPr="0020182A">
        <w:t>SDA Pricing and Payments framework</w:t>
      </w:r>
    </w:p>
    <w:p w:rsidR="006A71E3" w:rsidRPr="0020182A" w:rsidRDefault="006A71E3" w:rsidP="009B671C">
      <w:pPr>
        <w:pStyle w:val="Bullet1stlevel"/>
        <w:numPr>
          <w:ilvl w:val="0"/>
          <w:numId w:val="51"/>
        </w:numPr>
      </w:pPr>
      <w:r w:rsidRPr="0020182A">
        <w:t>SDA Rules</w:t>
      </w:r>
    </w:p>
    <w:p w:rsidR="006A71E3" w:rsidRPr="0020182A" w:rsidRDefault="006A71E3" w:rsidP="009B671C">
      <w:pPr>
        <w:pStyle w:val="Bullet1stlevel"/>
        <w:numPr>
          <w:ilvl w:val="0"/>
          <w:numId w:val="51"/>
        </w:numPr>
      </w:pPr>
      <w:r w:rsidRPr="0020182A">
        <w:t>SDA Decision Paper</w:t>
      </w:r>
    </w:p>
    <w:p w:rsidR="006A71E3" w:rsidRPr="0020182A" w:rsidRDefault="006A71E3" w:rsidP="009B671C">
      <w:pPr>
        <w:pStyle w:val="Bullet1stlevel"/>
        <w:numPr>
          <w:ilvl w:val="0"/>
          <w:numId w:val="51"/>
        </w:numPr>
      </w:pPr>
      <w:r w:rsidRPr="0020182A">
        <w:t>SDA Price Guide.</w:t>
      </w:r>
    </w:p>
    <w:p w:rsidR="006A71E3" w:rsidRPr="0020182A" w:rsidRDefault="006A71E3" w:rsidP="006A71E3">
      <w:pPr>
        <w:pStyle w:val="BodyText1"/>
      </w:pPr>
      <w:r w:rsidRPr="0020182A">
        <w:t>In conducting this review, stakeholders expressed a number of concerns and issues with different aspects of this broad policy framework and rules. However, one of the</w:t>
      </w:r>
      <w:r w:rsidR="00845AB5">
        <w:t>ir</w:t>
      </w:r>
      <w:r w:rsidRPr="0020182A">
        <w:t xml:space="preserve"> </w:t>
      </w:r>
      <w:r w:rsidR="00845AB5">
        <w:t xml:space="preserve">most significant </w:t>
      </w:r>
      <w:r w:rsidRPr="0020182A">
        <w:t xml:space="preserve">concerns was the </w:t>
      </w:r>
      <w:r w:rsidR="009A1C4B" w:rsidRPr="0020182A">
        <w:t xml:space="preserve">perceived </w:t>
      </w:r>
      <w:r w:rsidRPr="0020182A">
        <w:t xml:space="preserve">changing nature of SDA policy – particularly at an operational level – and the risk that policy (and application of policy) may continue to change. </w:t>
      </w:r>
      <w:r w:rsidR="00845AB5">
        <w:t xml:space="preserve">Stakeholder perceptions of changing policy is </w:t>
      </w:r>
      <w:r w:rsidRPr="0020182A">
        <w:t xml:space="preserve">impacting on </w:t>
      </w:r>
      <w:r w:rsidR="00845AB5">
        <w:t xml:space="preserve">their </w:t>
      </w:r>
      <w:r w:rsidRPr="0020182A">
        <w:t xml:space="preserve">willingness to invest at this point in time and examples of recent </w:t>
      </w:r>
      <w:r w:rsidR="00845AB5">
        <w:t xml:space="preserve">NDIA announcements (such as the Investor Brief) </w:t>
      </w:r>
      <w:r w:rsidRPr="0020182A">
        <w:t xml:space="preserve">have </w:t>
      </w:r>
      <w:r w:rsidR="00845AB5">
        <w:t xml:space="preserve">had a negative impact on provider and investor interest in </w:t>
      </w:r>
      <w:r w:rsidRPr="0020182A">
        <w:t>SDA.</w:t>
      </w:r>
      <w:r w:rsidR="00845AB5">
        <w:t xml:space="preserve">  </w:t>
      </w:r>
      <w:r w:rsidR="00AC3968">
        <w:t xml:space="preserve"> </w:t>
      </w:r>
      <w:r w:rsidR="00AC3968" w:rsidRPr="0020182A">
        <w:t>The aspects of the Investor Brief identified as having the greatest negative impact were those relating to single-bedroom SDA dwellings</w:t>
      </w:r>
      <w:r w:rsidR="00AC3968">
        <w:t>,</w:t>
      </w:r>
      <w:r w:rsidR="00AC3968" w:rsidRPr="0020182A">
        <w:t xml:space="preserve"> and those relating to price ceilings that could commonly be negotiated down by participants, rather than a benchmark price that was indicativ</w:t>
      </w:r>
      <w:r w:rsidR="00AC3968">
        <w:t xml:space="preserve">e of the actual return received.  </w:t>
      </w:r>
    </w:p>
    <w:p w:rsidR="00AC3968" w:rsidRPr="0020182A" w:rsidRDefault="006A71E3" w:rsidP="00AC3968">
      <w:pPr>
        <w:pStyle w:val="Bullet1stlevel"/>
      </w:pPr>
      <w:r w:rsidRPr="0020182A">
        <w:t>For example, a number of providers and investors highlighted the Investor Brief as having a negative impact on their willingness to invest in SDA at this point in time</w:t>
      </w:r>
      <w:r w:rsidR="008A0268">
        <w:t>. It has</w:t>
      </w:r>
      <w:r w:rsidRPr="0020182A">
        <w:t xml:space="preserve"> changed the market’s general interpretation of SDA policy and its application</w:t>
      </w:r>
      <w:r w:rsidR="00845AB5">
        <w:t xml:space="preserve">.  Stakeholders identified examples of </w:t>
      </w:r>
      <w:r w:rsidR="00AC3968">
        <w:t xml:space="preserve">reversing </w:t>
      </w:r>
      <w:r w:rsidRPr="0020182A">
        <w:t xml:space="preserve">some investment decisions and </w:t>
      </w:r>
      <w:r w:rsidR="00AC3968">
        <w:t xml:space="preserve">putting some </w:t>
      </w:r>
      <w:r w:rsidRPr="0020182A">
        <w:t xml:space="preserve">developments </w:t>
      </w:r>
      <w:r w:rsidR="00FC1E59" w:rsidRPr="0020182A">
        <w:t>on hold</w:t>
      </w:r>
      <w:r w:rsidR="00AC3968">
        <w:t xml:space="preserve">, in response to the Investor Brief.  </w:t>
      </w:r>
      <w:r w:rsidR="00AC3968" w:rsidRPr="0020182A">
        <w:t>One provider indicated that of the 47 apartments it had planned to construct, it has indefinitely suspended 12, and believes the remaining 35 will not be viable once finished (see quote below). Another investor had earmarked more than $70 million in funds to develop one-bedroom SDA properties, which has now been withdrawn.</w:t>
      </w:r>
    </w:p>
    <w:p w:rsidR="006A71E3" w:rsidRPr="0020182A" w:rsidRDefault="006A71E3" w:rsidP="006A71E3">
      <w:pPr>
        <w:pStyle w:val="BodyText"/>
        <w:ind w:left="3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ritten submission"/>
        <w:tblDescription w:val="Written submission states “[Since the release of the Investor Brief in April 2018]…we have indefinitely suspended our DA approved [project] (12 SDA apartments) and no longer believe [our other projects] are viable, yet we have signed binding contracts with the developer.” &#10;&#10;  &#10;"/>
      </w:tblPr>
      <w:tblGrid>
        <w:gridCol w:w="8072"/>
      </w:tblGrid>
      <w:tr w:rsidR="00612CC4" w:rsidRPr="0020182A" w:rsidTr="00612CC4">
        <w:trPr>
          <w:tblHeader/>
        </w:trPr>
        <w:tc>
          <w:tcPr>
            <w:tcW w:w="8072" w:type="dxa"/>
          </w:tcPr>
          <w:p w:rsidR="00612CC4" w:rsidRPr="0020182A" w:rsidRDefault="00612CC4" w:rsidP="00F7662C">
            <w:pPr>
              <w:pStyle w:val="BodyText"/>
              <w:spacing w:before="0"/>
            </w:pPr>
            <w:r>
              <w:t>“</w:t>
            </w:r>
            <w:r w:rsidRPr="0020182A">
              <w:t xml:space="preserve">[Since the release of the Investor Brief in April 2018]…we have indefinitely suspended our DA approved [project] (12 SDA apartments) and no longer believe [our other projects] are viable, yet we have signed binding contracts with the developer.” </w:t>
            </w:r>
          </w:p>
          <w:p w:rsidR="00612CC4" w:rsidRPr="0020182A" w:rsidRDefault="00612CC4" w:rsidP="00F7662C">
            <w:pPr>
              <w:pStyle w:val="BodyText"/>
              <w:spacing w:before="0"/>
              <w:jc w:val="right"/>
              <w:rPr>
                <w:sz w:val="16"/>
                <w:szCs w:val="16"/>
              </w:rPr>
            </w:pPr>
            <w:r w:rsidRPr="0020182A">
              <w:rPr>
                <w:sz w:val="16"/>
                <w:szCs w:val="16"/>
              </w:rPr>
              <w:t xml:space="preserve"> – Written submission</w:t>
            </w:r>
          </w:p>
        </w:tc>
      </w:tr>
    </w:tbl>
    <w:p w:rsidR="00F64167" w:rsidRPr="0020182A" w:rsidRDefault="00F64167" w:rsidP="006A71E3">
      <w:pPr>
        <w:pStyle w:val="BodyText"/>
      </w:pPr>
    </w:p>
    <w:p w:rsidR="006A71E3" w:rsidRPr="0020182A" w:rsidRDefault="009A1C4B" w:rsidP="006A71E3">
      <w:pPr>
        <w:pStyle w:val="BodyText"/>
      </w:pPr>
      <w:r w:rsidRPr="0020182A">
        <w:t>Where th</w:t>
      </w:r>
      <w:r w:rsidR="006B4A06">
        <w:t>ere</w:t>
      </w:r>
      <w:r w:rsidRPr="0020182A">
        <w:t xml:space="preserve"> is uncertainty relating to specific messaging or </w:t>
      </w:r>
      <w:r w:rsidR="00F5390E" w:rsidRPr="0020182A">
        <w:t>policy positions related to SDA, the correct position and interpretation should be clarified with the market to ensure that information released is not misunderstood.</w:t>
      </w:r>
    </w:p>
    <w:p w:rsidR="006A71E3" w:rsidRPr="008B3E84" w:rsidRDefault="006A71E3" w:rsidP="00251F6E">
      <w:pPr>
        <w:pStyle w:val="Heading4"/>
      </w:pPr>
      <w:r w:rsidRPr="008B3E84">
        <w:t>Implementation issues and associated risks</w:t>
      </w:r>
    </w:p>
    <w:p w:rsidR="006A71E3" w:rsidRPr="0020182A" w:rsidRDefault="006A71E3" w:rsidP="006A71E3">
      <w:pPr>
        <w:pStyle w:val="BodyText1"/>
      </w:pPr>
      <w:r w:rsidRPr="0020182A">
        <w:t xml:space="preserve">Providers and investors stated that the </w:t>
      </w:r>
      <w:r w:rsidR="00AC3968">
        <w:t xml:space="preserve">SDA Rules and </w:t>
      </w:r>
      <w:r w:rsidRPr="0020182A">
        <w:t>implementation of SDA, and the NDIS more broadly, was generating additional risk and uncertainty. These implementation issues included:</w:t>
      </w:r>
    </w:p>
    <w:p w:rsidR="006A71E3" w:rsidRPr="0020182A" w:rsidRDefault="006A71E3" w:rsidP="009B671C">
      <w:pPr>
        <w:pStyle w:val="Bullet1stlevel"/>
        <w:numPr>
          <w:ilvl w:val="0"/>
          <w:numId w:val="48"/>
        </w:numPr>
      </w:pPr>
      <w:r w:rsidRPr="0020182A">
        <w:t>Lack of clarity around SDA eligibility for participants who are not currently in SDA, consistency of eligibility decisions, process and timeframe for review of eligibility</w:t>
      </w:r>
      <w:r w:rsidR="00B03670" w:rsidRPr="0020182A">
        <w:t>.</w:t>
      </w:r>
      <w:r w:rsidRPr="0020182A">
        <w:t xml:space="preserve"> </w:t>
      </w:r>
    </w:p>
    <w:p w:rsidR="006A71E3" w:rsidRPr="0020182A" w:rsidRDefault="006A71E3" w:rsidP="009B671C">
      <w:pPr>
        <w:pStyle w:val="Bullet1stlevel"/>
        <w:numPr>
          <w:ilvl w:val="0"/>
          <w:numId w:val="48"/>
        </w:numPr>
      </w:pPr>
      <w:r w:rsidRPr="0020182A">
        <w:t xml:space="preserve">Timing and outcomes of NDIA decisions for confirming funding for SDA and other supports in participant plans (see </w:t>
      </w:r>
      <w:r w:rsidR="00B11F02">
        <w:t>section 4.2 – Consumer c</w:t>
      </w:r>
      <w:r w:rsidR="00C73B59">
        <w:t xml:space="preserve">hoice </w:t>
      </w:r>
      <w:r w:rsidRPr="0020182A">
        <w:t>for more detailed information)</w:t>
      </w:r>
      <w:r w:rsidR="00B03670" w:rsidRPr="0020182A">
        <w:t>.</w:t>
      </w:r>
    </w:p>
    <w:p w:rsidR="006A71E3" w:rsidRPr="0020182A" w:rsidRDefault="006A71E3" w:rsidP="009B671C">
      <w:pPr>
        <w:pStyle w:val="Bullet1stlevel"/>
        <w:numPr>
          <w:ilvl w:val="0"/>
          <w:numId w:val="48"/>
        </w:numPr>
      </w:pPr>
      <w:r w:rsidRPr="0020182A">
        <w:t>Mechanics of SDA payments, including the timeframes for payment of SDA funding</w:t>
      </w:r>
      <w:r w:rsidR="00B03670" w:rsidRPr="0020182A">
        <w:t>.</w:t>
      </w:r>
    </w:p>
    <w:p w:rsidR="006A71E3" w:rsidRPr="0020182A" w:rsidRDefault="006A71E3" w:rsidP="009B671C">
      <w:pPr>
        <w:pStyle w:val="Bullet1stlevel"/>
        <w:numPr>
          <w:ilvl w:val="0"/>
          <w:numId w:val="48"/>
        </w:numPr>
      </w:pPr>
      <w:r w:rsidRPr="0020182A">
        <w:lastRenderedPageBreak/>
        <w:t xml:space="preserve">Operational issues with the NDIS itself, such as challenges with the consistency and quality of planning processes, timeliness of access to the NDIS and delays in payments for providers. It was </w:t>
      </w:r>
      <w:r w:rsidR="006B4A06">
        <w:t xml:space="preserve">however </w:t>
      </w:r>
      <w:r w:rsidRPr="0020182A">
        <w:t xml:space="preserve">recognised that the NDIS is still largely in transition and that the NDIA is working to resolve implementation concerns. </w:t>
      </w:r>
    </w:p>
    <w:p w:rsidR="00F64167" w:rsidRPr="0020182A" w:rsidRDefault="00F64167" w:rsidP="00F64167">
      <w:pPr>
        <w:pStyle w:val="Bullet1stlevel"/>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ritten submission"/>
        <w:tblDescription w:val="Written submission states “Participants don’t know if they will be eligible for SDA, and so Providers are not able to engage with potential Participants until after the dwelling has been completed (up to 18 months after the investment decision has been made)... A simple solution would be to assess SDA eligibility, and include an SDA capacity in a participant’s plan, at the time the participant exercises choice by expressing their need/interest to move to accessible housing. This would also provide the NDIA and (with publication of de-identified aggregate site-specific data) providers and investors, with greater demand certainty based on assessed demand.” "/>
      </w:tblPr>
      <w:tblGrid>
        <w:gridCol w:w="8072"/>
      </w:tblGrid>
      <w:tr w:rsidR="00612CC4" w:rsidRPr="0020182A" w:rsidTr="00612CC4">
        <w:trPr>
          <w:trHeight w:val="2175"/>
          <w:tblHeader/>
        </w:trPr>
        <w:tc>
          <w:tcPr>
            <w:tcW w:w="8072" w:type="dxa"/>
          </w:tcPr>
          <w:p w:rsidR="00612CC4" w:rsidRPr="0020182A" w:rsidRDefault="00612CC4" w:rsidP="00F7662C">
            <w:pPr>
              <w:pStyle w:val="BodyText"/>
              <w:spacing w:before="0"/>
            </w:pPr>
            <w:r>
              <w:t>“</w:t>
            </w:r>
            <w:r w:rsidRPr="0020182A">
              <w:t>Participants don’t know if they will be eligible for SDA, and so Providers are not able to engage with potential Participants until after the dwelling has been completed (up to 18 months after the investment decision has been made)..</w:t>
            </w:r>
            <w:r>
              <w:t>.</w:t>
            </w:r>
            <w:r w:rsidRPr="0020182A">
              <w:t xml:space="preserve"> A simple solution would be to assess SDA eligibility, and include an SDA capacity in a participant’s plan, at the time the participant exercises choice by expressing their need/interest to move to accessible housing. This would also provide the NDIA and (with publication of de-identified aggregate site-specific data) providers and investors, with greater demand certainty based on assessed demand.” </w:t>
            </w:r>
          </w:p>
          <w:p w:rsidR="00612CC4" w:rsidRPr="0020182A" w:rsidRDefault="00612CC4" w:rsidP="00F7662C">
            <w:pPr>
              <w:pStyle w:val="BodyText"/>
              <w:spacing w:before="0"/>
              <w:jc w:val="right"/>
              <w:rPr>
                <w:sz w:val="16"/>
                <w:szCs w:val="16"/>
              </w:rPr>
            </w:pPr>
            <w:r w:rsidRPr="0020182A">
              <w:rPr>
                <w:sz w:val="16"/>
                <w:szCs w:val="16"/>
              </w:rPr>
              <w:t xml:space="preserve"> – Written submission</w:t>
            </w:r>
          </w:p>
        </w:tc>
      </w:tr>
    </w:tbl>
    <w:p w:rsidR="00AC3968" w:rsidRDefault="00AC3968" w:rsidP="006A71E3">
      <w:pPr>
        <w:pStyle w:val="BodyText1"/>
      </w:pPr>
    </w:p>
    <w:p w:rsidR="004655BE" w:rsidRDefault="00F5390E" w:rsidP="004655BE">
      <w:pPr>
        <w:pStyle w:val="BodyText1"/>
      </w:pPr>
      <w:r w:rsidRPr="0020182A">
        <w:t>Working to resolve lack of clarity and improve issues related to timing and processes associated with SDA will help to solve the level of risk associated with SDA</w:t>
      </w:r>
      <w:r w:rsidR="004655BE">
        <w:t xml:space="preserve"> implementation for the market.</w:t>
      </w:r>
    </w:p>
    <w:p w:rsidR="004655BE" w:rsidRPr="0020182A" w:rsidRDefault="004655BE" w:rsidP="004655BE">
      <w:pPr>
        <w:pStyle w:val="Heading3"/>
      </w:pPr>
      <w:r w:rsidRPr="0020182A">
        <w:t>5. Quality</w:t>
      </w:r>
    </w:p>
    <w:p w:rsidR="006A71E3" w:rsidRPr="0020182A" w:rsidRDefault="009076FA" w:rsidP="004655BE">
      <w:pPr>
        <w:pStyle w:val="BodyText1"/>
      </w:pPr>
      <w:r w:rsidRPr="0020182A">
        <w:t>In a well-developed market, a</w:t>
      </w:r>
      <w:r w:rsidR="006A71E3" w:rsidRPr="0020182A">
        <w:t>ppropriate standards, processes and consumer protections are in place to ensure a minimum level of quality of supply</w:t>
      </w:r>
      <w:r w:rsidRPr="0020182A">
        <w:t>.</w:t>
      </w:r>
    </w:p>
    <w:p w:rsidR="006A71E3" w:rsidRPr="0020182A" w:rsidRDefault="006A71E3" w:rsidP="006A71E3">
      <w:pPr>
        <w:pStyle w:val="BodyText1"/>
      </w:pPr>
      <w:r w:rsidRPr="0020182A">
        <w:t>The concept of “quality” SDA is still being defined in the market. In these initial stages</w:t>
      </w:r>
      <w:r w:rsidR="0067431A" w:rsidRPr="0020182A">
        <w:t xml:space="preserve"> of SDA development</w:t>
      </w:r>
      <w:r w:rsidRPr="0020182A">
        <w:t xml:space="preserve">, the focus is largely on regulations and standards that relate to the built form and how they can be applied to give effect to high quality SDA design. Quality also relates to the way in which SDA provision can improve a Participant’s quality of life. A central element to this </w:t>
      </w:r>
      <w:r w:rsidR="00082974">
        <w:t>is</w:t>
      </w:r>
      <w:r w:rsidRPr="0020182A">
        <w:t xml:space="preserve"> the way that SDA interacted with other supports provided to Participants.</w:t>
      </w:r>
    </w:p>
    <w:p w:rsidR="006A71E3" w:rsidRPr="0072276D" w:rsidRDefault="006A71E3" w:rsidP="0072276D">
      <w:pPr>
        <w:pStyle w:val="BodyText1"/>
        <w:rPr>
          <w:b/>
        </w:rPr>
      </w:pPr>
      <w:r w:rsidRPr="0072276D">
        <w:rPr>
          <w:b/>
        </w:rPr>
        <w:t xml:space="preserve">While the design guidelines used for SDA promote quality building and design, it is too early to determine whether this is being achieved </w:t>
      </w:r>
    </w:p>
    <w:p w:rsidR="006A71E3" w:rsidRPr="0020182A" w:rsidRDefault="00E854BA" w:rsidP="006A71E3">
      <w:pPr>
        <w:pStyle w:val="BodyText1"/>
      </w:pPr>
      <w:r w:rsidRPr="0020182A">
        <w:t>Many p</w:t>
      </w:r>
      <w:r w:rsidR="006A71E3" w:rsidRPr="0020182A">
        <w:t>roviders and investors</w:t>
      </w:r>
      <w:r w:rsidRPr="0020182A">
        <w:t xml:space="preserve"> who participated in the Review </w:t>
      </w:r>
      <w:r w:rsidR="006A71E3" w:rsidRPr="0020182A">
        <w:t>emphasised that while higher quality dwellings were more expensive to build, they would typically have a longer useful life consistent with the 20-year asset life envisaged by the NDIA. The</w:t>
      </w:r>
      <w:r w:rsidRPr="0020182A">
        <w:t xml:space="preserve">y also stated that they are </w:t>
      </w:r>
      <w:r w:rsidR="006A71E3" w:rsidRPr="0020182A">
        <w:t>motiva</w:t>
      </w:r>
      <w:r w:rsidRPr="0020182A">
        <w:t>ted</w:t>
      </w:r>
      <w:r w:rsidR="006A71E3" w:rsidRPr="0020182A">
        <w:t xml:space="preserve"> to deliver high quality SDA to remain competitive into the future as the SDA market evolves and supply starts to catch up with demand. </w:t>
      </w:r>
    </w:p>
    <w:p w:rsidR="006A71E3" w:rsidRPr="0020182A" w:rsidRDefault="006A71E3" w:rsidP="006A71E3">
      <w:pPr>
        <w:pStyle w:val="BodyText1"/>
      </w:pPr>
      <w:r w:rsidRPr="0020182A">
        <w:t>There is already a range of building codes and regulations that ensure a baseline level of quality in the wider housing construction market. For SDA, additional requirements in the form of the Liv</w:t>
      </w:r>
      <w:r w:rsidR="0067431A" w:rsidRPr="0020182A">
        <w:t>e</w:t>
      </w:r>
      <w:r w:rsidRPr="0020182A">
        <w:t xml:space="preserve">able Housing Design Guidelines provide a solid basis for ensuring quality in SDA housing. Given the relative immaturity of the market, however, it is too early to say whether high quality building and design is being achieved. </w:t>
      </w:r>
    </w:p>
    <w:p w:rsidR="006A71E3" w:rsidRPr="0020182A" w:rsidRDefault="006A71E3" w:rsidP="006A71E3">
      <w:pPr>
        <w:pStyle w:val="BodyText1"/>
      </w:pPr>
      <w:r w:rsidRPr="0020182A">
        <w:t>The majority of SDA registered dwellings are existing dwellings and legacy stock, which vary in quality and appropriateness. Many of these properties will not meet the Liv</w:t>
      </w:r>
      <w:r w:rsidR="0067431A" w:rsidRPr="0020182A">
        <w:t>e</w:t>
      </w:r>
      <w:r w:rsidRPr="0020182A">
        <w:t>able Housing requirements. While this will place further pressure on supply in the short-term, in the longer-term it will ensure the quality of dwellings overall will improve as these dated properties are phased out. The timeframe for phasing out legacy stock and differential pricing for existing dwellings will continue to assist with this transition.</w:t>
      </w:r>
    </w:p>
    <w:p w:rsidR="006A71E3" w:rsidRPr="0020182A" w:rsidRDefault="00082974" w:rsidP="006A71E3">
      <w:pPr>
        <w:pStyle w:val="BodyText1"/>
      </w:pPr>
      <w:r>
        <w:t>T</w:t>
      </w:r>
      <w:r w:rsidR="006A71E3" w:rsidRPr="0020182A">
        <w:t xml:space="preserve">here were </w:t>
      </w:r>
      <w:r w:rsidR="00E854BA" w:rsidRPr="0020182A">
        <w:t xml:space="preserve">a number of </w:t>
      </w:r>
      <w:r w:rsidR="006A71E3" w:rsidRPr="0020182A">
        <w:t xml:space="preserve">issues </w:t>
      </w:r>
      <w:r w:rsidR="00E854BA" w:rsidRPr="0020182A">
        <w:t>identified by stakeholders</w:t>
      </w:r>
      <w:r>
        <w:t xml:space="preserve"> participating in the Review</w:t>
      </w:r>
      <w:r w:rsidR="00E854BA" w:rsidRPr="0020182A">
        <w:t xml:space="preserve"> </w:t>
      </w:r>
      <w:r w:rsidR="006A71E3" w:rsidRPr="0020182A">
        <w:t>relating to quality and quality requirements</w:t>
      </w:r>
      <w:r>
        <w:t>. In particular</w:t>
      </w:r>
      <w:r w:rsidR="006A71E3" w:rsidRPr="0020182A">
        <w:t>:</w:t>
      </w:r>
    </w:p>
    <w:p w:rsidR="0067431A" w:rsidRPr="0020182A" w:rsidRDefault="0067431A" w:rsidP="000864CF">
      <w:pPr>
        <w:pStyle w:val="Bullet1stlevel"/>
        <w:numPr>
          <w:ilvl w:val="0"/>
          <w:numId w:val="49"/>
        </w:numPr>
      </w:pPr>
      <w:r w:rsidRPr="0020182A">
        <w:t xml:space="preserve">In some jurisdictions there are additional requirements and codes </w:t>
      </w:r>
      <w:r w:rsidR="00082974">
        <w:t>that</w:t>
      </w:r>
      <w:r w:rsidRPr="0020182A">
        <w:t xml:space="preserve"> need to be adhered to and these can represent additional cost</w:t>
      </w:r>
      <w:r w:rsidR="00082974">
        <w:t>s that are</w:t>
      </w:r>
      <w:r w:rsidRPr="0020182A">
        <w:t xml:space="preserve"> not covered by location factor adjustments (such as the requirement for cyclone-proof housing in Darwin or extra garden space for detached and semi-detached dwellings in Victoria).</w:t>
      </w:r>
      <w:r w:rsidR="00B11F02">
        <w:t xml:space="preserve">  </w:t>
      </w:r>
      <w:r w:rsidRPr="0020182A">
        <w:t xml:space="preserve">The jurisdictional differences will continue as the NDIS Commission’s quality and safeguards role is phased in. </w:t>
      </w:r>
    </w:p>
    <w:p w:rsidR="0067431A" w:rsidRPr="0020182A" w:rsidRDefault="0067431A" w:rsidP="009B671C">
      <w:pPr>
        <w:pStyle w:val="Bullet1stlevel"/>
        <w:numPr>
          <w:ilvl w:val="0"/>
          <w:numId w:val="49"/>
        </w:numPr>
      </w:pPr>
      <w:r w:rsidRPr="0020182A">
        <w:t xml:space="preserve">While there are clear quality standards, the quality assurance processes for SDA dwellings remains unclear. It is expected that the NDIS Commission will fill this gap eventually, but as this </w:t>
      </w:r>
      <w:r w:rsidRPr="0020182A">
        <w:lastRenderedPageBreak/>
        <w:t xml:space="preserve">process is occurring over time and by jurisdiction, </w:t>
      </w:r>
      <w:r w:rsidR="00082974">
        <w:t xml:space="preserve">it </w:t>
      </w:r>
      <w:r w:rsidRPr="0020182A">
        <w:t>will not address immediate concerns regarding quality</w:t>
      </w:r>
      <w:r w:rsidR="00082974">
        <w:t xml:space="preserve"> in the short term</w:t>
      </w:r>
      <w:r w:rsidRPr="0020182A">
        <w:t>.</w:t>
      </w:r>
    </w:p>
    <w:p w:rsidR="0067431A" w:rsidRPr="0020182A" w:rsidRDefault="0067431A" w:rsidP="009B671C">
      <w:pPr>
        <w:pStyle w:val="Bullet1stlevel"/>
        <w:numPr>
          <w:ilvl w:val="0"/>
          <w:numId w:val="49"/>
        </w:numPr>
      </w:pPr>
      <w:r w:rsidRPr="0020182A">
        <w:t xml:space="preserve">The ability of participants to influence the design and quality of dwellings is hindered by the need to find an available SDA place before being approved for SDA funding. </w:t>
      </w:r>
    </w:p>
    <w:p w:rsidR="006A71E3" w:rsidRPr="0020182A" w:rsidRDefault="0067431A" w:rsidP="009B671C">
      <w:pPr>
        <w:pStyle w:val="Bullet1stlevel"/>
        <w:numPr>
          <w:ilvl w:val="0"/>
          <w:numId w:val="49"/>
        </w:numPr>
      </w:pPr>
      <w:r w:rsidRPr="0020182A">
        <w:t>There is a lack of clarity relating to the role and requirements of the NDIS Commission with respect to SDA, and uncertainty around any cost implications of new quality requirements.</w:t>
      </w:r>
    </w:p>
    <w:p w:rsidR="006A71E3" w:rsidRPr="0072276D" w:rsidRDefault="006A71E3" w:rsidP="0072276D">
      <w:pPr>
        <w:pStyle w:val="BodyText2"/>
        <w:rPr>
          <w:b/>
          <w:color w:val="auto"/>
        </w:rPr>
      </w:pPr>
      <w:r w:rsidRPr="0072276D">
        <w:rPr>
          <w:b/>
          <w:color w:val="auto"/>
        </w:rPr>
        <w:t>There is a lack of clarity relating to the role and requirements of the NDIS Commission with respect to SDA and uncertainty around any cost implications of new quality requirements</w:t>
      </w:r>
    </w:p>
    <w:p w:rsidR="006A71E3" w:rsidRPr="008B3E84" w:rsidRDefault="006A71E3" w:rsidP="00251F6E">
      <w:pPr>
        <w:pStyle w:val="Heading4"/>
      </w:pPr>
      <w:r w:rsidRPr="008B3E84">
        <w:t xml:space="preserve">Role and requirements of the NDIS Commission </w:t>
      </w:r>
    </w:p>
    <w:p w:rsidR="0067431A" w:rsidRPr="0020182A" w:rsidRDefault="0067431A" w:rsidP="0067431A">
      <w:pPr>
        <w:pStyle w:val="BodyText1"/>
      </w:pPr>
      <w:r w:rsidRPr="0020182A">
        <w:t xml:space="preserve">Paragraph 2 of the SDA Framework acknowledges that it is not intended to cover broader aspects of policy in respect of SDA, including the quality standards relating to the building or asset management by housing providers. While the specific quality standards are contained in </w:t>
      </w:r>
      <w:r w:rsidR="00082974">
        <w:t xml:space="preserve">a </w:t>
      </w:r>
      <w:r w:rsidRPr="0020182A">
        <w:t xml:space="preserve">separate document, the SDA Framework does not provide any indication of who is responsible for oversight and administration of quality standards in relation to SDA or specify the role and requirements of the NDIS Commission with respect to SDA. </w:t>
      </w:r>
    </w:p>
    <w:p w:rsidR="0067431A" w:rsidRPr="0020182A" w:rsidRDefault="0067431A" w:rsidP="0067431A">
      <w:pPr>
        <w:pStyle w:val="BodyText1"/>
      </w:pPr>
      <w:r w:rsidRPr="0020182A">
        <w:t xml:space="preserve">With the Commission now established, and allocated funding being utilised by registered SDA providers, the SDA Framework should provide greater clarity regarding roles and responsibilities for quality and safeguarding in the context of SDA. </w:t>
      </w:r>
    </w:p>
    <w:p w:rsidR="0067431A" w:rsidRPr="0020182A" w:rsidRDefault="0067431A" w:rsidP="0067431A">
      <w:pPr>
        <w:pStyle w:val="BodyText1"/>
        <w:rPr>
          <w:color w:val="0091DA" w:themeColor="accent2"/>
          <w:sz w:val="22"/>
        </w:rPr>
      </w:pPr>
      <w:r w:rsidRPr="0020182A">
        <w:t>In S</w:t>
      </w:r>
      <w:r w:rsidR="00082974">
        <w:t>A</w:t>
      </w:r>
      <w:r w:rsidRPr="0020182A">
        <w:t xml:space="preserve"> and NSW</w:t>
      </w:r>
      <w:r w:rsidR="00082974">
        <w:t>,</w:t>
      </w:r>
      <w:r w:rsidRPr="0020182A">
        <w:t xml:space="preserve"> where the Commission is now in operation, SDA providers have additional requirements for registration. This includes completion of a SDA module for certification in addition to the core module required by other providers.   This is part of the Commission’s NDIS Practice Standards, which establish benchmarks for providers to assess their performance and </w:t>
      </w:r>
      <w:r w:rsidR="00082974">
        <w:t xml:space="preserve">serves </w:t>
      </w:r>
      <w:r w:rsidRPr="0020182A">
        <w:t xml:space="preserve">to demonstrate how </w:t>
      </w:r>
      <w:r w:rsidR="00B11F02">
        <w:t>providers deliver</w:t>
      </w:r>
      <w:r w:rsidRPr="0020182A">
        <w:t xml:space="preserve"> high quality and safe supports and services to NDIS participants. This applies in addition to the NDIS Code of Conduct. Each module has a series of high-level, participant-focused outcomes, and for each outcome, quality indicators that auditors will use to assess a provider’s compliance with the Practice Standards. At the time of the consultation undertaken for this report (one month after the Commission’s commencement), information was not available from providers registered through the Commission as to the impacts</w:t>
      </w:r>
      <w:r w:rsidR="00D14530" w:rsidRPr="0020182A">
        <w:t>, or implementation,</w:t>
      </w:r>
      <w:r w:rsidRPr="0020182A">
        <w:t xml:space="preserve"> </w:t>
      </w:r>
      <w:r w:rsidR="00D14530" w:rsidRPr="0020182A">
        <w:t xml:space="preserve">of </w:t>
      </w:r>
      <w:r w:rsidRPr="0020182A">
        <w:t>these requirements</w:t>
      </w:r>
      <w:r w:rsidR="00D14530" w:rsidRPr="0020182A">
        <w:t xml:space="preserve"> for specific providers</w:t>
      </w:r>
      <w:r w:rsidRPr="0020182A">
        <w:t>.</w:t>
      </w:r>
    </w:p>
    <w:p w:rsidR="006A71E3" w:rsidRPr="008B3E84" w:rsidRDefault="006A71E3" w:rsidP="00251F6E">
      <w:pPr>
        <w:pStyle w:val="Heading4"/>
      </w:pPr>
      <w:r w:rsidRPr="008B3E84">
        <w:t>Consideration of costs associated with quality and safeguarding arrangements</w:t>
      </w:r>
    </w:p>
    <w:p w:rsidR="0067431A" w:rsidRPr="0020182A" w:rsidRDefault="0067431A" w:rsidP="0067431A">
      <w:pPr>
        <w:pStyle w:val="BodyText1"/>
      </w:pPr>
      <w:r w:rsidRPr="0020182A">
        <w:t>Paragraph 51 of the SDA Framework sets out other price setting considerations that should be made, namely consideration of the costs associated with meeting requirements of the quality and safeguarding arrangements for the NDIS once implemented. Since the development of the SDA Framework, the Quality and Safeguarding Framework has been finalised and the Quality and Safeguarding Commission has been established and is operational in two states/territories, with remaining states and territories to follow as they reach full Scheme.</w:t>
      </w:r>
    </w:p>
    <w:p w:rsidR="006A71E3" w:rsidRPr="0020182A" w:rsidRDefault="0067431A" w:rsidP="0067431A">
      <w:pPr>
        <w:pStyle w:val="BodyText1"/>
      </w:pPr>
      <w:r w:rsidRPr="0020182A">
        <w:t>With this work completed, the Price Guide should provide greater clarity regarding the aspects of the national Quality and Safeguarding arrangements that are likely to impact on the costs associated with development of or ongoing maintenance of SDA dwellings, and how these will be factored into pricing arrangements.</w:t>
      </w:r>
    </w:p>
    <w:p w:rsidR="006A71E3" w:rsidRPr="0020182A" w:rsidRDefault="006A71E3" w:rsidP="006A71E3">
      <w:pPr>
        <w:pStyle w:val="Heading3"/>
      </w:pPr>
      <w:r w:rsidRPr="0020182A">
        <w:t>6. Innovation</w:t>
      </w:r>
    </w:p>
    <w:p w:rsidR="006A71E3" w:rsidRPr="0020182A" w:rsidRDefault="006A71E3" w:rsidP="0067431A">
      <w:pPr>
        <w:pStyle w:val="BodyText1"/>
      </w:pPr>
      <w:r w:rsidRPr="0020182A">
        <w:t>The introduction of SDA funding has created a new specialist housing market that did not exist before the NDIS. This new environment provides an op</w:t>
      </w:r>
      <w:r w:rsidR="00B41F05" w:rsidRPr="0020182A">
        <w:t>portunity for a new approach to</w:t>
      </w:r>
      <w:r w:rsidRPr="0020182A">
        <w:t xml:space="preserve"> how people with disability are supported to live in the community. The SDA Framework sets the parameters for change and innovation in the supply of SDA over time and seeks to “</w:t>
      </w:r>
      <w:r w:rsidRPr="0020182A">
        <w:rPr>
          <w:i/>
        </w:rPr>
        <w:t xml:space="preserve">promote the provision of high quality and innovative supports that enable people with disability to maximise independent lifestyles and full inclusion in the community” </w:t>
      </w:r>
      <w:r w:rsidRPr="0020182A">
        <w:t>(clause 10).</w:t>
      </w:r>
    </w:p>
    <w:p w:rsidR="006A71E3" w:rsidRPr="0020182A" w:rsidRDefault="0067431A" w:rsidP="0067431A">
      <w:pPr>
        <w:pStyle w:val="BodyText1"/>
      </w:pPr>
      <w:r w:rsidRPr="0020182A">
        <w:t xml:space="preserve">Innovation is a very broad concept and is described in terms of both what is done (for example a new type of housing built form) and what is achieved (such as greater independence). In the context of SDA, innovation can be defined as supporting the preferences and needs of the individual to be met </w:t>
      </w:r>
      <w:r w:rsidRPr="0020182A">
        <w:lastRenderedPageBreak/>
        <w:t>more effectively through new and diverse approaches to housing design. Innovation in SDA has the potential to drive improvements in participant outcomes, or reductions in the need for other disability supports.</w:t>
      </w:r>
    </w:p>
    <w:p w:rsidR="006A71E3" w:rsidRPr="0020182A" w:rsidRDefault="006A71E3" w:rsidP="006A71E3">
      <w:pPr>
        <w:pStyle w:val="Heading4"/>
      </w:pPr>
      <w:r w:rsidRPr="0020182A">
        <w:t xml:space="preserve">The immaturity of the SDA market means that the notions of innovation are still emerging </w:t>
      </w:r>
    </w:p>
    <w:p w:rsidR="0067431A" w:rsidRPr="007942B3" w:rsidRDefault="0067431A" w:rsidP="007942B3">
      <w:pPr>
        <w:pStyle w:val="BodyText1"/>
      </w:pPr>
      <w:r w:rsidRPr="007942B3">
        <w:t xml:space="preserve">The Review found that innovation is being relatively narrowly defined by the market at this point in time, but what is meant by </w:t>
      </w:r>
      <w:r w:rsidR="00F136AC" w:rsidRPr="007942B3">
        <w:t>“</w:t>
      </w:r>
      <w:r w:rsidRPr="007942B3">
        <w:t>innovation</w:t>
      </w:r>
      <w:r w:rsidR="00F136AC" w:rsidRPr="007942B3">
        <w:t>”</w:t>
      </w:r>
      <w:r w:rsidRPr="007942B3">
        <w:t xml:space="preserve"> in the SDA market context is still being determined. At this early stage, innovation in SDA is being defined by the market mainly in terms of new or alternative housing design and built forms</w:t>
      </w:r>
      <w:r w:rsidR="00F136AC" w:rsidRPr="007942B3">
        <w:t xml:space="preserve">, </w:t>
      </w:r>
      <w:r w:rsidRPr="007942B3">
        <w:t>innovative use of technology and co-location with other housing options (such as SDA dwellings located in larger apartment buildings). However, a number of participants and their families had a much broader view of innovation, encompassing considerations such as ownership models and shared equity models</w:t>
      </w:r>
      <w:r w:rsidR="00F136AC" w:rsidRPr="007942B3">
        <w:t xml:space="preserve"> –</w:t>
      </w:r>
      <w:r w:rsidRPr="007942B3">
        <w:t xml:space="preserve"> </w:t>
      </w:r>
      <w:r w:rsidR="00F136AC" w:rsidRPr="007942B3">
        <w:t>i</w:t>
      </w:r>
      <w:r w:rsidRPr="007942B3">
        <w:t xml:space="preserve">nnovative arrangements </w:t>
      </w:r>
      <w:r w:rsidR="00F136AC" w:rsidRPr="007942B3">
        <w:t xml:space="preserve">that </w:t>
      </w:r>
      <w:r w:rsidRPr="007942B3">
        <w:t xml:space="preserve">allow for people with disability to live with family (in the same dwelling, in dwellings on the same site as the family home </w:t>
      </w:r>
      <w:r w:rsidR="00F136AC" w:rsidRPr="007942B3">
        <w:t>(</w:t>
      </w:r>
      <w:r w:rsidRPr="007942B3">
        <w:t xml:space="preserve">e.g. granny flat style arrangements) and innovative support delivery </w:t>
      </w:r>
      <w:r w:rsidR="00F136AC" w:rsidRPr="007942B3">
        <w:t>that has</w:t>
      </w:r>
      <w:r w:rsidRPr="007942B3">
        <w:t xml:space="preserve"> implications for housing (such as home-share arrangements with people without disability).</w:t>
      </w:r>
    </w:p>
    <w:p w:rsidR="0067431A" w:rsidRPr="0020182A" w:rsidRDefault="0067431A" w:rsidP="0067431A">
      <w:pPr>
        <w:pStyle w:val="BodyText1"/>
      </w:pPr>
      <w:r w:rsidRPr="0020182A">
        <w:t>The Review found that the SDA Framework in some ways is contributing to the market’s relatively narrow definition of innovation</w:t>
      </w:r>
      <w:r w:rsidR="00F136AC">
        <w:t>. In particular</w:t>
      </w:r>
      <w:r w:rsidRPr="0020182A">
        <w:t>:</w:t>
      </w:r>
    </w:p>
    <w:p w:rsidR="0067431A" w:rsidRPr="0020182A" w:rsidRDefault="00F136AC" w:rsidP="009B671C">
      <w:pPr>
        <w:pStyle w:val="BodyText1"/>
        <w:numPr>
          <w:ilvl w:val="0"/>
          <w:numId w:val="49"/>
        </w:numPr>
      </w:pPr>
      <w:r>
        <w:t>t</w:t>
      </w:r>
      <w:r w:rsidR="0067431A" w:rsidRPr="0020182A">
        <w:t>he SDA Framework is silent on options and alternatives to rental models (such as pathways to home ownership)</w:t>
      </w:r>
    </w:p>
    <w:p w:rsidR="0067431A" w:rsidRPr="0020182A" w:rsidRDefault="00F136AC" w:rsidP="009B671C">
      <w:pPr>
        <w:pStyle w:val="BodyText1"/>
        <w:numPr>
          <w:ilvl w:val="0"/>
          <w:numId w:val="49"/>
        </w:numPr>
      </w:pPr>
      <w:r>
        <w:t>t</w:t>
      </w:r>
      <w:r w:rsidR="0067431A" w:rsidRPr="0020182A">
        <w:t>he Framework does not adequately consider the needs and preferences of participants to live with family or with people without disability, and does not consider the implications of these options on the need for and cost of ongoing SIL supports.</w:t>
      </w:r>
    </w:p>
    <w:p w:rsidR="0067431A" w:rsidRPr="0020182A" w:rsidRDefault="0067431A" w:rsidP="0067431A">
      <w:pPr>
        <w:pStyle w:val="BodyText1"/>
      </w:pPr>
      <w:r w:rsidRPr="0020182A">
        <w:t>There was a general view that greater guidance was needed around what constitute</w:t>
      </w:r>
      <w:r w:rsidR="00F136AC">
        <w:t>s</w:t>
      </w:r>
      <w:r w:rsidRPr="0020182A">
        <w:t xml:space="preserve"> an innovative housing solution, especially in response to the </w:t>
      </w:r>
      <w:r w:rsidR="00F136AC">
        <w:t>“</w:t>
      </w:r>
      <w:r w:rsidRPr="0020182A">
        <w:t>innovation</w:t>
      </w:r>
      <w:r w:rsidR="00F136AC">
        <w:t>”</w:t>
      </w:r>
      <w:r w:rsidRPr="0020182A">
        <w:t xml:space="preserve"> category of housing within the SDA Price Guide, which they suggested is not currently defined. </w:t>
      </w:r>
      <w:r w:rsidR="00F136AC">
        <w:t>S</w:t>
      </w:r>
      <w:r w:rsidRPr="0020182A">
        <w:t xml:space="preserve">takeholders indicated that technology and other features that may have previously been considered innovative were becoming standard practice. </w:t>
      </w:r>
    </w:p>
    <w:p w:rsidR="006A71E3" w:rsidRPr="0020182A" w:rsidRDefault="0067431A" w:rsidP="0067431A">
      <w:pPr>
        <w:pStyle w:val="BodyText1"/>
      </w:pPr>
      <w:r w:rsidRPr="0020182A">
        <w:t xml:space="preserve">At this stage there does appear to be willingness and commitment to providers and investors </w:t>
      </w:r>
      <w:r w:rsidR="00F136AC">
        <w:t xml:space="preserve">who are </w:t>
      </w:r>
      <w:r w:rsidRPr="0020182A">
        <w:t>developing high quality, well designed SDA dwellings to ensure they are competitive in a mature SDA market. There were numerous examples provided by Review stakeholders of innovations with respect to building design, co-location of villas/townhouses with other housing options, co-location of SDA apartments in new, large apartment developments and innovative use of technology to enhance liveability and reduce support requirements.</w:t>
      </w:r>
      <w:r w:rsidR="006A71E3" w:rsidRPr="0020182A">
        <w:t xml:space="preserve"> </w:t>
      </w:r>
    </w:p>
    <w:p w:rsidR="00F64167" w:rsidRPr="0020182A" w:rsidRDefault="00F64167" w:rsidP="0067431A">
      <w:pPr>
        <w:pStyle w:val="BodyText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ritten submission"/>
        <w:tblDescription w:val="Written submission states  Innovation should encourage a large diversity of dwelling types and occupancy arrangements which mirror the general population and which are in line with the goals and aspirations of individual participants. An ideal outcome of the framework would be to achieve an equilibrium where supply matches demand for the full spectrum of particular housing needs expressed by the market”."/>
      </w:tblPr>
      <w:tblGrid>
        <w:gridCol w:w="8072"/>
      </w:tblGrid>
      <w:tr w:rsidR="00612CC4" w:rsidRPr="0020182A" w:rsidTr="00612CC4">
        <w:trPr>
          <w:tblHeader/>
        </w:trPr>
        <w:tc>
          <w:tcPr>
            <w:tcW w:w="8072" w:type="dxa"/>
          </w:tcPr>
          <w:p w:rsidR="00DD5D11" w:rsidRPr="0020182A" w:rsidRDefault="00612CC4" w:rsidP="00DD5D11">
            <w:pPr>
              <w:pStyle w:val="BodyText"/>
              <w:spacing w:before="0"/>
              <w:rPr>
                <w:sz w:val="16"/>
                <w:szCs w:val="16"/>
              </w:rPr>
            </w:pPr>
            <w:r>
              <w:t>“</w:t>
            </w:r>
            <w:r w:rsidRPr="0020182A">
              <w:t>Innovation should encourage a large diversity of dwelling types and occupancy arrangements which mirror the general population and which are in line with the goals and aspirations of individual participants. An ideal outcome of the framework would be to achieve an equilibrium where supply matches demand for the full spectrum of particular housing needs expressed by the market”</w:t>
            </w:r>
          </w:p>
          <w:p w:rsidR="00612CC4" w:rsidRPr="0020182A" w:rsidRDefault="00612CC4" w:rsidP="00F7662C">
            <w:pPr>
              <w:pStyle w:val="BodyText"/>
              <w:spacing w:before="0"/>
              <w:jc w:val="right"/>
              <w:rPr>
                <w:sz w:val="16"/>
                <w:szCs w:val="16"/>
              </w:rPr>
            </w:pPr>
            <w:r w:rsidRPr="0020182A">
              <w:rPr>
                <w:sz w:val="16"/>
                <w:szCs w:val="16"/>
              </w:rPr>
              <w:t>– Written Submission</w:t>
            </w:r>
          </w:p>
        </w:tc>
      </w:tr>
    </w:tbl>
    <w:p w:rsidR="006A71E3" w:rsidRPr="0020182A" w:rsidRDefault="006A71E3" w:rsidP="006A71E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ote"/>
        <w:tblDescription w:val="Quote states &quot;As a general principle, a competitive and market-based system should be an effective way to encourage quality and innovation. Once a market is well established, the best way for providers to minimise vacancy [sic] (and thus maintain the income generated by their investment) would be through the construction of high quality, well located, fit-for-purpose SDA.”  &#10;  "/>
      </w:tblPr>
      <w:tblGrid>
        <w:gridCol w:w="8072"/>
      </w:tblGrid>
      <w:tr w:rsidR="00612CC4" w:rsidRPr="0020182A" w:rsidTr="00612CC4">
        <w:trPr>
          <w:tblHeader/>
        </w:trPr>
        <w:tc>
          <w:tcPr>
            <w:tcW w:w="8072" w:type="dxa"/>
          </w:tcPr>
          <w:p w:rsidR="00612CC4" w:rsidRPr="0020182A" w:rsidRDefault="00612CC4" w:rsidP="00F7662C">
            <w:pPr>
              <w:pStyle w:val="BodyText"/>
              <w:spacing w:before="0"/>
              <w:rPr>
                <w:sz w:val="16"/>
                <w:szCs w:val="16"/>
              </w:rPr>
            </w:pPr>
            <w:r>
              <w:t>“</w:t>
            </w:r>
            <w:r w:rsidRPr="0020182A">
              <w:t>As a general principle, a competitive and market-based system should be an effective way to encourage quality and innovation. Once a market is well established, the best way for providers to minimise vacancy</w:t>
            </w:r>
            <w:r>
              <w:t xml:space="preserve"> [sic]</w:t>
            </w:r>
            <w:r w:rsidRPr="0020182A">
              <w:t xml:space="preserve"> (and thus maintain the income generated by their investment) would be through the construction of high quality, well located, fit-for-purpose SDA.”  </w:t>
            </w:r>
          </w:p>
        </w:tc>
      </w:tr>
    </w:tbl>
    <w:p w:rsidR="006A71E3" w:rsidRPr="0072276D" w:rsidRDefault="006A71E3" w:rsidP="0072276D">
      <w:pPr>
        <w:pStyle w:val="BodyText2"/>
        <w:rPr>
          <w:b/>
          <w:color w:val="auto"/>
        </w:rPr>
      </w:pPr>
      <w:r w:rsidRPr="0072276D">
        <w:rPr>
          <w:b/>
          <w:color w:val="auto"/>
        </w:rPr>
        <w:t>There are so</w:t>
      </w:r>
      <w:r w:rsidR="00ED5E52" w:rsidRPr="0072276D">
        <w:rPr>
          <w:b/>
          <w:color w:val="auto"/>
        </w:rPr>
        <w:t>me aspects of the SDA Framework</w:t>
      </w:r>
      <w:r w:rsidR="00A97A7B" w:rsidRPr="0072276D">
        <w:rPr>
          <w:b/>
          <w:color w:val="auto"/>
        </w:rPr>
        <w:t xml:space="preserve"> and </w:t>
      </w:r>
      <w:r w:rsidR="00AC3968" w:rsidRPr="0072276D">
        <w:rPr>
          <w:b/>
          <w:color w:val="auto"/>
        </w:rPr>
        <w:t>Rules</w:t>
      </w:r>
      <w:r w:rsidRPr="0072276D">
        <w:rPr>
          <w:b/>
          <w:color w:val="auto"/>
        </w:rPr>
        <w:t xml:space="preserve"> that are creating some barriers to achieving innovation </w:t>
      </w:r>
    </w:p>
    <w:p w:rsidR="006A71E3" w:rsidRPr="0020182A" w:rsidRDefault="006A71E3" w:rsidP="006A71E3">
      <w:pPr>
        <w:pStyle w:val="BodyText1"/>
      </w:pPr>
      <w:r w:rsidRPr="0020182A">
        <w:t xml:space="preserve">The Review found that there are some barriers to providers and investors </w:t>
      </w:r>
      <w:r w:rsidR="00F136AC">
        <w:t xml:space="preserve">to </w:t>
      </w:r>
      <w:r w:rsidRPr="0020182A">
        <w:t>invest in innovative and high quality SDA dwellings and</w:t>
      </w:r>
      <w:r w:rsidR="00F136AC">
        <w:t xml:space="preserve"> to</w:t>
      </w:r>
      <w:r w:rsidRPr="0020182A">
        <w:t xml:space="preserve"> consider innovation beyond housing design</w:t>
      </w:r>
      <w:r w:rsidR="00F136AC">
        <w:t>:</w:t>
      </w:r>
    </w:p>
    <w:p w:rsidR="006A71E3" w:rsidRPr="0020182A" w:rsidRDefault="006A71E3" w:rsidP="009B671C">
      <w:pPr>
        <w:pStyle w:val="Bullet1stlevel"/>
        <w:numPr>
          <w:ilvl w:val="0"/>
          <w:numId w:val="50"/>
        </w:numPr>
        <w:rPr>
          <w:rFonts w:ascii="Calibri" w:hAnsi="Calibri"/>
        </w:rPr>
      </w:pPr>
      <w:r w:rsidRPr="0020182A">
        <w:lastRenderedPageBreak/>
        <w:t>There is an emphasis in the SDA Framework and other key SDA documentation such as the Investor Brief on shared SDA arrangements</w:t>
      </w:r>
      <w:r w:rsidR="00B11F02">
        <w:t xml:space="preserve"> (rather than participants living alone)</w:t>
      </w:r>
      <w:r w:rsidRPr="0020182A">
        <w:t xml:space="preserve">, and providers are concerned that this will be the main housing option available to participants. This is restricting the potential for diverse and innovative SDA housing solutions and willingness to invest in these solutions. </w:t>
      </w:r>
    </w:p>
    <w:p w:rsidR="006A71E3" w:rsidRPr="0020182A" w:rsidRDefault="006A71E3" w:rsidP="009B671C">
      <w:pPr>
        <w:pStyle w:val="Bullet1stlevel"/>
        <w:numPr>
          <w:ilvl w:val="0"/>
          <w:numId w:val="50"/>
        </w:numPr>
      </w:pPr>
      <w:r w:rsidRPr="0020182A">
        <w:t>While providers and investors are committing to developing high quality SDA dwellings, the uncertainty in the market and hesitanc</w:t>
      </w:r>
      <w:r w:rsidR="00F136AC">
        <w:t>e</w:t>
      </w:r>
      <w:r w:rsidRPr="0020182A">
        <w:t xml:space="preserve"> around making significant investment commitments means that providers and investors are unwilling to take on additional risks of providing new, untested, innovative options until the market environment is more certain.  </w:t>
      </w:r>
    </w:p>
    <w:p w:rsidR="006A71E3" w:rsidRPr="0020182A" w:rsidRDefault="0067431A" w:rsidP="009B671C">
      <w:pPr>
        <w:pStyle w:val="ListParagraph"/>
        <w:numPr>
          <w:ilvl w:val="0"/>
          <w:numId w:val="50"/>
        </w:numPr>
      </w:pPr>
      <w:r w:rsidRPr="0020182A">
        <w:t>SDA design and location can be key to determining the volume and frequency of other supports, as well as improving social and economic participation outcomes for people with disability. Participants are not given the opportunity to consider their supports as a whole package</w:t>
      </w:r>
      <w:r w:rsidR="00A97A7B">
        <w:t>, and p</w:t>
      </w:r>
      <w:r w:rsidRPr="0020182A">
        <w:t>articipants should be actively engaged in decisions about which combination of supports and SDA could best help them meet their goals.</w:t>
      </w:r>
      <w:r w:rsidR="00725B07" w:rsidRPr="0020182A">
        <w:t xml:space="preserve"> </w:t>
      </w:r>
    </w:p>
    <w:p w:rsidR="00725B07" w:rsidRPr="0020182A" w:rsidRDefault="00725B07" w:rsidP="009B671C">
      <w:pPr>
        <w:pStyle w:val="Bullet1stlevel"/>
        <w:numPr>
          <w:ilvl w:val="0"/>
          <w:numId w:val="50"/>
        </w:numPr>
      </w:pPr>
      <w:r w:rsidRPr="0020182A">
        <w:t xml:space="preserve">There </w:t>
      </w:r>
      <w:r w:rsidR="0020731A" w:rsidRPr="0020182A">
        <w:t xml:space="preserve">can be </w:t>
      </w:r>
      <w:r w:rsidRPr="0020182A">
        <w:t>disincentives to supporting participants to live in their preferred living arrangements, particularly with non-SDA participants, including friends, partners, children and family members that do not receive SDA or receive a different level of funding, specifically:</w:t>
      </w:r>
    </w:p>
    <w:p w:rsidR="00725B07" w:rsidRPr="0020182A" w:rsidRDefault="00F64167" w:rsidP="009B671C">
      <w:pPr>
        <w:pStyle w:val="Bullet1stlevel"/>
        <w:numPr>
          <w:ilvl w:val="0"/>
          <w:numId w:val="78"/>
        </w:numPr>
      </w:pPr>
      <w:r w:rsidRPr="0020182A">
        <w:t>t</w:t>
      </w:r>
      <w:r w:rsidR="00725B07" w:rsidRPr="0020182A">
        <w:t>he rule for dwelling enrolment that requires the majority of bedrooms in a house to be SDA-compliant.</w:t>
      </w:r>
    </w:p>
    <w:p w:rsidR="00725B07" w:rsidRPr="0020182A" w:rsidRDefault="00F64167" w:rsidP="009B671C">
      <w:pPr>
        <w:pStyle w:val="Bullet1stlevel"/>
        <w:numPr>
          <w:ilvl w:val="0"/>
          <w:numId w:val="78"/>
        </w:numPr>
      </w:pPr>
      <w:r w:rsidRPr="0020182A">
        <w:t>t</w:t>
      </w:r>
      <w:r w:rsidR="00725B07" w:rsidRPr="0020182A">
        <w:t xml:space="preserve">he rule that requires a bedroom for every resident in the house </w:t>
      </w:r>
    </w:p>
    <w:p w:rsidR="00725B07" w:rsidRPr="0020182A" w:rsidRDefault="00F64167" w:rsidP="009B671C">
      <w:pPr>
        <w:pStyle w:val="Bullet1stlevel"/>
        <w:numPr>
          <w:ilvl w:val="0"/>
          <w:numId w:val="78"/>
        </w:numPr>
      </w:pPr>
      <w:r w:rsidRPr="0020182A">
        <w:t>p</w:t>
      </w:r>
      <w:r w:rsidR="00725B07" w:rsidRPr="0020182A">
        <w:t>rice differentials associated with placing a non-SDA resident in a bedroom that is SDA compliant and could attract SDA funding.</w:t>
      </w:r>
    </w:p>
    <w:p w:rsidR="00725B07" w:rsidRPr="0020182A" w:rsidRDefault="00725B07" w:rsidP="009B671C">
      <w:pPr>
        <w:pStyle w:val="Bullet1stlevel"/>
        <w:numPr>
          <w:ilvl w:val="0"/>
          <w:numId w:val="50"/>
        </w:numPr>
      </w:pPr>
      <w:r w:rsidRPr="0020182A">
        <w:t xml:space="preserve">The rules around minimum bedroom requirements was established to prevent dormitory style arrangements, and ensure new dwellings were moving away from institutional-style settings. However, this has created unintended consequences, for example, SDA recipients being prevented from living in a one-bedroom apartment with a Partner.  These rules need further consideration to ensure that there are not unintended consequences for participant choice and control.  </w:t>
      </w:r>
    </w:p>
    <w:p w:rsidR="00725B07" w:rsidRPr="000B6202" w:rsidRDefault="00725B07" w:rsidP="009B671C">
      <w:pPr>
        <w:pStyle w:val="Bullet1stlevel"/>
        <w:numPr>
          <w:ilvl w:val="0"/>
          <w:numId w:val="50"/>
        </w:numPr>
      </w:pPr>
      <w:r w:rsidRPr="0020182A">
        <w:t>Price differentials for multi-bed dwellings where an SDA resident lives with a non-SDA resident are creating difficulties for people to live with non-SDA residents. Ultimately, providers are able to achieve greater returns where rooms are filled with SDA-</w:t>
      </w:r>
      <w:r w:rsidRPr="000B6202">
        <w:t xml:space="preserve">recipients and market rent available from non-SDA residents does not always cover the costs of some dwelling-types. These pricing arrangements need to be further considered to ensure that there are not unintended consequences for participants </w:t>
      </w:r>
      <w:r w:rsidR="00BB45E5" w:rsidRPr="000B6202">
        <w:t>having choice and control over who they live with</w:t>
      </w:r>
      <w:r w:rsidRPr="000B6202">
        <w:t xml:space="preserve">. </w:t>
      </w:r>
    </w:p>
    <w:p w:rsidR="00725B07" w:rsidRPr="0020182A" w:rsidRDefault="00725B07" w:rsidP="006A71E3">
      <w:pPr>
        <w:pStyle w:val="Bullet1stlevel"/>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ritten submission"/>
        <w:tblDescription w:val="Written submission states &quot;The SDA Framework has an underlying assumption that shared dwellings will be the main housing option in the SDA market and this is restricting the potential for diverse and innovative SDA housing solutions. Key assumptions in the Framework about living arrangements for SDA participants needs to change if the Framework is to facilitate development of an innovative and future focused SDA housing market… These statements lack evidence, reflect obsolete policy and practice, constrain participant choice and control about where and how people live and is resulting in SDA funding decisions for individuals based on unsubstantiated assumptions about “cost effectiveness”. This stifles innovation in provision of SDA and supports.” &#10;  "/>
      </w:tblPr>
      <w:tblGrid>
        <w:gridCol w:w="8072"/>
      </w:tblGrid>
      <w:tr w:rsidR="00612CC4" w:rsidRPr="0020182A" w:rsidTr="00612CC4">
        <w:trPr>
          <w:tblHeader/>
        </w:trPr>
        <w:tc>
          <w:tcPr>
            <w:tcW w:w="8072" w:type="dxa"/>
          </w:tcPr>
          <w:p w:rsidR="00DD5D11" w:rsidRPr="0020182A" w:rsidRDefault="00612CC4" w:rsidP="00DD5D11">
            <w:pPr>
              <w:pStyle w:val="BodyText"/>
              <w:spacing w:before="0"/>
              <w:rPr>
                <w:sz w:val="16"/>
                <w:szCs w:val="16"/>
              </w:rPr>
            </w:pPr>
            <w:r w:rsidRPr="0020182A">
              <w:t>The SDA Framework has an underlying assumption that shared dwellings will be the main housing option in the SDA market and this is restricting the potential for diverse and innovative SDA housing solutions. Key assumptions in the Framework about living arrangements for SDA participants needs to change if the Framework is to facilitate development of an innovative and future focused SDA housing market… These statements lack evidence, reflect obsolete policy and practice, constrain participant choice and control about where and how people live and is resulting in SDA funding decisions for individuals based on unsubstantiated assumptions about “cost effectiveness”. This stifles innovation in provision of SDA and supports.”</w:t>
            </w:r>
          </w:p>
          <w:p w:rsidR="00612CC4" w:rsidRPr="0020182A" w:rsidRDefault="00612CC4" w:rsidP="00F7662C">
            <w:pPr>
              <w:pStyle w:val="BodyText"/>
              <w:spacing w:before="0"/>
              <w:jc w:val="right"/>
              <w:rPr>
                <w:sz w:val="16"/>
                <w:szCs w:val="16"/>
              </w:rPr>
            </w:pPr>
            <w:r w:rsidRPr="0020182A">
              <w:rPr>
                <w:sz w:val="16"/>
                <w:szCs w:val="16"/>
              </w:rPr>
              <w:t>– Written Submission</w:t>
            </w:r>
          </w:p>
        </w:tc>
      </w:tr>
    </w:tbl>
    <w:p w:rsidR="006A71E3" w:rsidRPr="0020182A" w:rsidRDefault="006A71E3" w:rsidP="006A71E3"/>
    <w:p w:rsidR="00725B07" w:rsidRPr="0020182A" w:rsidRDefault="00725B07" w:rsidP="00725B07">
      <w:pPr>
        <w:pStyle w:val="BodyText1"/>
      </w:pPr>
      <w:r w:rsidRPr="0020182A">
        <w:t xml:space="preserve">While leadership in innovation needs to come from providers, participants, governments and the broader community, at this stage of market development the NDIA is uniquely placed to play a leadership role. </w:t>
      </w:r>
    </w:p>
    <w:p w:rsidR="00725B07" w:rsidRPr="0020182A" w:rsidRDefault="00725B07" w:rsidP="00725B07">
      <w:pPr>
        <w:pStyle w:val="BodyText1"/>
      </w:pPr>
      <w:r w:rsidRPr="0020182A">
        <w:t xml:space="preserve">In the past the NDIA has hosted Housing Innovation Showcases, bringing together providers to demonstrate innovation in design and living arrangements and allowing participants and families to explore options and discuss these with providers. </w:t>
      </w:r>
    </w:p>
    <w:p w:rsidR="00725B07" w:rsidRPr="0020182A" w:rsidRDefault="00725B07" w:rsidP="00725B07">
      <w:pPr>
        <w:pStyle w:val="BodyText1"/>
      </w:pPr>
      <w:r w:rsidRPr="0020182A">
        <w:lastRenderedPageBreak/>
        <w:t xml:space="preserve">At this early stage of market development, there are opportunities to provide more information to the market </w:t>
      </w:r>
      <w:r w:rsidR="00F136AC">
        <w:t>that</w:t>
      </w:r>
      <w:r w:rsidRPr="0020182A">
        <w:t xml:space="preserve"> showcases innovative design both in Australia and overseas and to signal to the market the range and types of innovative models that the NDIS wants to </w:t>
      </w:r>
      <w:r w:rsidR="00F61B99" w:rsidRPr="0020182A">
        <w:t>promote</w:t>
      </w:r>
      <w:r w:rsidRPr="0020182A">
        <w:t>, and to provide a catalyst for greater investment in more innovative SDA housing models. Key to this should be developing and releasing an evidence base for participant outcomes based on these innovative models and designs.</w:t>
      </w:r>
    </w:p>
    <w:p w:rsidR="00725B07" w:rsidRPr="0020182A" w:rsidRDefault="0067431A" w:rsidP="00725B07">
      <w:pPr>
        <w:pStyle w:val="BodyText1"/>
      </w:pPr>
      <w:r w:rsidRPr="0020182A">
        <w:t>As discussed in Section 4.4 below, participants should be actively engaged in making decisions about which combination of SDA and supports would best help them meet their goals.</w:t>
      </w:r>
    </w:p>
    <w:p w:rsidR="006A71E3" w:rsidRPr="0020182A" w:rsidRDefault="006A71E3" w:rsidP="006A71E3">
      <w:pPr>
        <w:pStyle w:val="Heading3"/>
      </w:pPr>
      <w:r w:rsidRPr="0020182A">
        <w:t>SDA market maturity:</w:t>
      </w:r>
      <w:r w:rsidR="00945BC2" w:rsidRPr="0020182A">
        <w:t xml:space="preserve"> </w:t>
      </w:r>
      <w:r w:rsidRPr="0020182A">
        <w:t>Supply</w:t>
      </w:r>
    </w:p>
    <w:p w:rsidR="006A71E3" w:rsidRPr="0020182A" w:rsidRDefault="006A71E3" w:rsidP="006A71E3">
      <w:r w:rsidRPr="0020182A">
        <w:t xml:space="preserve">The table below provides an overview of the current state of the SDA market in relation to key market supply elements, based on the findings from this Review. </w:t>
      </w:r>
    </w:p>
    <w:p w:rsidR="006A71E3" w:rsidRPr="0020182A" w:rsidRDefault="006A71E3" w:rsidP="006A71E3">
      <w:pPr>
        <w:pStyle w:val="Caption"/>
        <w:keepNext/>
      </w:pPr>
      <w:r w:rsidRPr="0020182A">
        <w:t xml:space="preserve">Table </w:t>
      </w:r>
      <w:r w:rsidRPr="0020182A">
        <w:rPr>
          <w:noProof/>
        </w:rPr>
        <w:fldChar w:fldCharType="begin"/>
      </w:r>
      <w:r w:rsidRPr="0020182A">
        <w:rPr>
          <w:noProof/>
        </w:rPr>
        <w:instrText xml:space="preserve"> SEQ Table \* ARABIC </w:instrText>
      </w:r>
      <w:r w:rsidRPr="0020182A">
        <w:rPr>
          <w:noProof/>
        </w:rPr>
        <w:fldChar w:fldCharType="separate"/>
      </w:r>
      <w:r w:rsidR="00502D19">
        <w:rPr>
          <w:noProof/>
        </w:rPr>
        <w:t>9</w:t>
      </w:r>
      <w:r w:rsidRPr="0020182A">
        <w:rPr>
          <w:noProof/>
        </w:rPr>
        <w:fldChar w:fldCharType="end"/>
      </w:r>
      <w:r w:rsidRPr="0020182A">
        <w:t xml:space="preserve"> Assessment of current level of maturity of the SDA market in relation to supply elements</w:t>
      </w:r>
    </w:p>
    <w:tbl>
      <w:tblPr>
        <w:tblStyle w:val="TableGrid"/>
        <w:tblW w:w="9072" w:type="dxa"/>
        <w:tblInd w:w="-5" w:type="dxa"/>
        <w:tblLook w:val="04A0" w:firstRow="1" w:lastRow="0" w:firstColumn="1" w:lastColumn="0" w:noHBand="0" w:noVBand="1"/>
        <w:tblCaption w:val="Table 9 Assessment of current level of maturity of the SDA market in relation to supply elements"/>
        <w:tblDescription w:val="Assessment of curent level of maturity of the SDA market in relation to supply elements of confidence, information, pricing, risk, quality and innovation."/>
      </w:tblPr>
      <w:tblGrid>
        <w:gridCol w:w="8075"/>
        <w:gridCol w:w="997"/>
      </w:tblGrid>
      <w:tr w:rsidR="006A71E3" w:rsidRPr="0020182A" w:rsidTr="00612CC4">
        <w:trPr>
          <w:tblHeader/>
        </w:trPr>
        <w:tc>
          <w:tcPr>
            <w:tcW w:w="8075" w:type="dxa"/>
            <w:tcBorders>
              <w:top w:val="single" w:sz="4" w:space="0" w:color="0091DA" w:themeColor="accent2"/>
              <w:left w:val="nil"/>
              <w:bottom w:val="single" w:sz="4" w:space="0" w:color="0091DA" w:themeColor="accent2"/>
              <w:right w:val="nil"/>
            </w:tcBorders>
          </w:tcPr>
          <w:p w:rsidR="00AE32ED" w:rsidRPr="0020182A" w:rsidRDefault="006A71E3" w:rsidP="00F7662C">
            <w:pPr>
              <w:rPr>
                <w:b/>
                <w:i/>
                <w:color w:val="0091DA" w:themeColor="accent2"/>
              </w:rPr>
            </w:pPr>
            <w:r w:rsidRPr="0020182A">
              <w:rPr>
                <w:b/>
                <w:i/>
                <w:color w:val="0091DA" w:themeColor="accent2"/>
              </w:rPr>
              <w:t xml:space="preserve">Confidence: </w:t>
            </w:r>
          </w:p>
          <w:p w:rsidR="009B671C" w:rsidRPr="0020182A" w:rsidRDefault="009B671C" w:rsidP="00251F6E">
            <w:pPr>
              <w:pStyle w:val="BodyText2"/>
            </w:pPr>
            <w:r w:rsidRPr="0020182A">
              <w:t>In a well-functioning SDA market, current and potential SDA market players have confidence in the market and policy settings to generate sufficient interest and investment to ensure optimal supply</w:t>
            </w:r>
          </w:p>
          <w:p w:rsidR="00DD5D11" w:rsidRDefault="009B671C" w:rsidP="00DD5D11">
            <w:pPr>
              <w:pStyle w:val="TableBullet1"/>
              <w:numPr>
                <w:ilvl w:val="0"/>
                <w:numId w:val="0"/>
              </w:numPr>
              <w:spacing w:before="80" w:after="80"/>
              <w:contextualSpacing w:val="0"/>
              <w:rPr>
                <w:rFonts w:cs="Arial"/>
                <w:szCs w:val="20"/>
              </w:rPr>
            </w:pPr>
            <w:r w:rsidRPr="0020182A">
              <w:rPr>
                <w:rFonts w:cs="Arial"/>
                <w:szCs w:val="20"/>
              </w:rPr>
              <w:t>The Review found there is substantial amount of interest in SDA from providers and investors (including both existing disability service providers as well as community housing providers, newly formed service providers and private and institutional investors), though this has not yet translated into significant levels of new investment or supply.</w:t>
            </w:r>
          </w:p>
          <w:p w:rsidR="006A71E3" w:rsidRPr="0020182A" w:rsidRDefault="00DD5D11" w:rsidP="00DD5D11">
            <w:pPr>
              <w:pStyle w:val="TableBullet1"/>
              <w:numPr>
                <w:ilvl w:val="0"/>
                <w:numId w:val="0"/>
              </w:numPr>
              <w:spacing w:before="80" w:after="80"/>
              <w:contextualSpacing w:val="0"/>
              <w:rPr>
                <w:rFonts w:cs="Arial"/>
                <w:noProof/>
                <w:szCs w:val="20"/>
                <w:lang w:eastAsia="en-AU"/>
              </w:rPr>
            </w:pPr>
            <w:r w:rsidRPr="0020182A">
              <w:rPr>
                <w:rFonts w:cs="Arial"/>
                <w:szCs w:val="20"/>
              </w:rPr>
              <w:t xml:space="preserve"> </w:t>
            </w:r>
            <w:r w:rsidR="009B671C" w:rsidRPr="0020182A">
              <w:rPr>
                <w:rFonts w:cs="Arial"/>
                <w:szCs w:val="20"/>
              </w:rPr>
              <w:t>While limited growth at this point in time is not unsurprising, the Review found that there is some hesitanc</w:t>
            </w:r>
            <w:r w:rsidR="00BF6C41">
              <w:rPr>
                <w:rFonts w:cs="Arial"/>
                <w:szCs w:val="20"/>
              </w:rPr>
              <w:t>e</w:t>
            </w:r>
            <w:r w:rsidR="009B671C" w:rsidRPr="0020182A">
              <w:rPr>
                <w:rFonts w:cs="Arial"/>
                <w:szCs w:val="20"/>
              </w:rPr>
              <w:t xml:space="preserve"> in making large scale investments in SDA – particularly among private and institutional investors – due to perceived risks and uncertainties with respect to SDA policy settings and pricing and a lack of information available to the market to inform investment decisions. </w:t>
            </w:r>
          </w:p>
        </w:tc>
        <w:tc>
          <w:tcPr>
            <w:tcW w:w="997" w:type="dxa"/>
            <w:tcBorders>
              <w:top w:val="single" w:sz="4" w:space="0" w:color="0091DA" w:themeColor="accent2"/>
              <w:left w:val="nil"/>
              <w:bottom w:val="single" w:sz="4" w:space="0" w:color="0091DA" w:themeColor="accent2"/>
              <w:right w:val="nil"/>
            </w:tcBorders>
          </w:tcPr>
          <w:p w:rsidR="006A71E3" w:rsidRPr="0020182A" w:rsidRDefault="006A71E3" w:rsidP="00F7662C">
            <w:pPr>
              <w:jc w:val="center"/>
              <w:rPr>
                <w:noProof/>
                <w:sz w:val="18"/>
                <w:szCs w:val="18"/>
                <w:lang w:eastAsia="en-AU"/>
              </w:rPr>
            </w:pPr>
          </w:p>
        </w:tc>
      </w:tr>
    </w:tbl>
    <w:p w:rsidR="004655BE" w:rsidRDefault="004655BE">
      <w:r>
        <w:br w:type="page"/>
      </w:r>
    </w:p>
    <w:tbl>
      <w:tblPr>
        <w:tblStyle w:val="TableGrid"/>
        <w:tblW w:w="8075" w:type="dxa"/>
        <w:tblInd w:w="-5" w:type="dxa"/>
        <w:tblLook w:val="04A0" w:firstRow="1" w:lastRow="0" w:firstColumn="1" w:lastColumn="0" w:noHBand="0" w:noVBand="1"/>
        <w:tblCaption w:val="Table 9 Assessment of current level of maturity of the SDA market in relation to supply elements"/>
        <w:tblDescription w:val="Assessment of curent level of maturity of the SDA market in relation to supply elements of confidence, information, pricing, risk, quality and innovation."/>
      </w:tblPr>
      <w:tblGrid>
        <w:gridCol w:w="8075"/>
      </w:tblGrid>
      <w:tr w:rsidR="0072276D" w:rsidRPr="0020182A" w:rsidTr="0072276D">
        <w:trPr>
          <w:trHeight w:val="707"/>
          <w:tblHeader/>
        </w:trPr>
        <w:tc>
          <w:tcPr>
            <w:tcW w:w="8075" w:type="dxa"/>
            <w:tcBorders>
              <w:top w:val="single" w:sz="4" w:space="0" w:color="0091DA" w:themeColor="accent2"/>
              <w:left w:val="nil"/>
              <w:bottom w:val="single" w:sz="4" w:space="0" w:color="0091DA" w:themeColor="accent2"/>
              <w:right w:val="nil"/>
            </w:tcBorders>
          </w:tcPr>
          <w:p w:rsidR="0072276D" w:rsidRPr="0020182A" w:rsidRDefault="0072276D" w:rsidP="00F7662C">
            <w:pPr>
              <w:rPr>
                <w:i/>
                <w:color w:val="0091DA" w:themeColor="accent2"/>
              </w:rPr>
            </w:pPr>
            <w:r w:rsidRPr="0020182A">
              <w:rPr>
                <w:b/>
                <w:i/>
                <w:color w:val="0091DA" w:themeColor="accent2"/>
              </w:rPr>
              <w:lastRenderedPageBreak/>
              <w:t>Information</w:t>
            </w:r>
            <w:r w:rsidRPr="0020182A">
              <w:rPr>
                <w:i/>
                <w:color w:val="0091DA" w:themeColor="accent2"/>
              </w:rPr>
              <w:t xml:space="preserve">: </w:t>
            </w:r>
          </w:p>
          <w:p w:rsidR="0072276D" w:rsidRPr="0020182A" w:rsidRDefault="0072276D" w:rsidP="00251F6E">
            <w:pPr>
              <w:pStyle w:val="BodyText2"/>
            </w:pPr>
            <w:r w:rsidRPr="0020182A">
              <w:t>In a well-functioning SDA market, suppliers (providers and investors) should have access to sufficient market information on current and potential future demand and supply to make informed investment and supply decisions – through market mechanisms and through non-market mechanisms where there is a lack of information or information asymmetry</w:t>
            </w:r>
          </w:p>
          <w:p w:rsidR="0072276D" w:rsidRPr="0020182A" w:rsidRDefault="0072276D" w:rsidP="009B671C">
            <w:pPr>
              <w:pStyle w:val="BodyText1"/>
              <w:spacing w:before="80" w:after="80"/>
              <w:rPr>
                <w:rFonts w:cs="Arial"/>
                <w:szCs w:val="20"/>
              </w:rPr>
            </w:pPr>
            <w:r w:rsidRPr="0020182A">
              <w:rPr>
                <w:rFonts w:cs="Arial"/>
                <w:szCs w:val="20"/>
              </w:rPr>
              <w:t>The Review found that there is a lack of robust, quantitative information for the market on SDA demand, as well as a lack of data on supply or market gaps.</w:t>
            </w:r>
            <w:r>
              <w:rPr>
                <w:rStyle w:val="FootnoteReference"/>
                <w:noProof/>
              </w:rPr>
              <w:t xml:space="preserve"> </w:t>
            </w:r>
            <w:r>
              <w:rPr>
                <w:rStyle w:val="FootnoteReference"/>
                <w:noProof/>
              </w:rPr>
              <w:footnoteReference w:id="29"/>
            </w:r>
            <w:r w:rsidRPr="0020182A">
              <w:rPr>
                <w:noProof/>
              </w:rPr>
              <w:t xml:space="preserve"> </w:t>
            </w:r>
            <w:r>
              <w:rPr>
                <w:rFonts w:cs="Arial"/>
                <w:szCs w:val="20"/>
              </w:rPr>
              <w:t xml:space="preserve"> </w:t>
            </w:r>
            <w:r w:rsidRPr="0020182A">
              <w:rPr>
                <w:rFonts w:cs="Arial"/>
                <w:szCs w:val="20"/>
              </w:rPr>
              <w:t>In the absence of this data, providers and investors are basing decisions on local knowledge and needs of specific cohort</w:t>
            </w:r>
            <w:r>
              <w:rPr>
                <w:rFonts w:cs="Arial"/>
                <w:szCs w:val="20"/>
              </w:rPr>
              <w:t>s</w:t>
            </w:r>
            <w:r w:rsidRPr="0020182A">
              <w:rPr>
                <w:rFonts w:cs="Arial"/>
                <w:szCs w:val="20"/>
              </w:rPr>
              <w:t>, pricing factors and potential returns for different SDA property types in specific locations and belief in the “potential” of the SDA market. Lack of market information, especially in an immature, price-regulated market, further contributes to provider/investor risk and hesitanc</w:t>
            </w:r>
            <w:r>
              <w:rPr>
                <w:rFonts w:cs="Arial"/>
                <w:szCs w:val="20"/>
              </w:rPr>
              <w:t>e</w:t>
            </w:r>
            <w:r w:rsidRPr="0020182A">
              <w:rPr>
                <w:rFonts w:cs="Arial"/>
                <w:szCs w:val="20"/>
              </w:rPr>
              <w:t xml:space="preserve"> in investing in SDA and is a barrier to greater investment in SDA.  </w:t>
            </w:r>
          </w:p>
          <w:p w:rsidR="0072276D" w:rsidRPr="0020182A" w:rsidRDefault="0072276D" w:rsidP="009B671C">
            <w:pPr>
              <w:pStyle w:val="BodyText1"/>
              <w:spacing w:before="80" w:after="80"/>
              <w:rPr>
                <w:rFonts w:cs="Arial"/>
                <w:szCs w:val="20"/>
              </w:rPr>
            </w:pPr>
            <w:r w:rsidRPr="0020182A">
              <w:rPr>
                <w:rFonts w:cs="Arial"/>
                <w:szCs w:val="20"/>
              </w:rPr>
              <w:t xml:space="preserve">It is also recognised that, as with any market, investors and providers need to undertake their own market research and engagement with potential consumers to complement more quantitative information from government, and to date this type of consumer engagement and market research appears to have been limited. </w:t>
            </w:r>
          </w:p>
        </w:tc>
      </w:tr>
      <w:tr w:rsidR="0072276D" w:rsidRPr="0020182A" w:rsidTr="0072276D">
        <w:tc>
          <w:tcPr>
            <w:tcW w:w="8075" w:type="dxa"/>
            <w:tcBorders>
              <w:top w:val="single" w:sz="4" w:space="0" w:color="0091DA" w:themeColor="accent2"/>
              <w:left w:val="nil"/>
              <w:bottom w:val="single" w:sz="4" w:space="0" w:color="0091DA" w:themeColor="accent2"/>
              <w:right w:val="nil"/>
            </w:tcBorders>
          </w:tcPr>
          <w:p w:rsidR="0072276D" w:rsidRPr="0020182A" w:rsidRDefault="0072276D" w:rsidP="00F7662C">
            <w:pPr>
              <w:rPr>
                <w:i/>
                <w:color w:val="0091DA" w:themeColor="accent2"/>
              </w:rPr>
            </w:pPr>
            <w:r w:rsidRPr="0020182A">
              <w:rPr>
                <w:b/>
                <w:i/>
                <w:color w:val="0091DA" w:themeColor="accent2"/>
              </w:rPr>
              <w:t>Pricing</w:t>
            </w:r>
            <w:r w:rsidRPr="0020182A">
              <w:rPr>
                <w:i/>
                <w:color w:val="0091DA" w:themeColor="accent2"/>
              </w:rPr>
              <w:t xml:space="preserve">: </w:t>
            </w:r>
          </w:p>
          <w:p w:rsidR="0072276D" w:rsidRPr="0020182A" w:rsidRDefault="0072276D" w:rsidP="00251F6E">
            <w:pPr>
              <w:pStyle w:val="BodyText2"/>
            </w:pPr>
            <w:r w:rsidRPr="0020182A">
              <w:t xml:space="preserve">In a price-regulated SDA market, pricing and funding arrangements should provide appropriate signals to the market to guide supply and investment decisions and are sufficient to cover costs and provide a reasonable rate of return over the long-term and result in an optimal level of supply and supply mix  </w:t>
            </w:r>
          </w:p>
          <w:p w:rsidR="0072276D" w:rsidRPr="0020182A" w:rsidRDefault="0072276D" w:rsidP="009B671C">
            <w:pPr>
              <w:spacing w:before="80" w:after="80"/>
              <w:rPr>
                <w:rFonts w:cs="Arial"/>
                <w:szCs w:val="20"/>
              </w:rPr>
            </w:pPr>
            <w:r w:rsidRPr="0020182A">
              <w:rPr>
                <w:rFonts w:cs="Arial"/>
                <w:szCs w:val="20"/>
              </w:rPr>
              <w:t>The SDA Framework sets out the form for benchmark prices, including the components that will be considered in setting an efficient price. Providers and investors consulted as part of the Review largely indicated that these components were appropriate for setting prices, though stated that some of the underpinning assumptions for each of these components do not reflect actual values or costs.</w:t>
            </w:r>
          </w:p>
          <w:p w:rsidR="0072276D" w:rsidRPr="0020182A" w:rsidRDefault="0072276D" w:rsidP="009B671C">
            <w:pPr>
              <w:pStyle w:val="Numberbullet1stlevel"/>
              <w:numPr>
                <w:ilvl w:val="0"/>
                <w:numId w:val="0"/>
              </w:numPr>
              <w:spacing w:before="80" w:after="80"/>
              <w:rPr>
                <w:rFonts w:cs="Arial"/>
                <w:szCs w:val="20"/>
              </w:rPr>
            </w:pPr>
            <w:r>
              <w:rPr>
                <w:rStyle w:val="White"/>
                <w:rFonts w:cs="Arial"/>
                <w:color w:val="auto"/>
                <w:szCs w:val="20"/>
              </w:rPr>
              <w:t>C</w:t>
            </w:r>
            <w:r w:rsidRPr="0020182A">
              <w:rPr>
                <w:rStyle w:val="White"/>
                <w:rFonts w:cs="Arial"/>
                <w:color w:val="auto"/>
                <w:szCs w:val="20"/>
              </w:rPr>
              <w:t xml:space="preserve">urrent </w:t>
            </w:r>
            <w:r>
              <w:rPr>
                <w:rStyle w:val="White"/>
                <w:rFonts w:cs="Arial"/>
                <w:color w:val="auto"/>
                <w:szCs w:val="20"/>
              </w:rPr>
              <w:t>prices</w:t>
            </w:r>
            <w:r w:rsidRPr="0020182A">
              <w:rPr>
                <w:rStyle w:val="White"/>
                <w:rFonts w:cs="Arial"/>
                <w:color w:val="auto"/>
                <w:szCs w:val="20"/>
              </w:rPr>
              <w:t xml:space="preserve"> are contributing to a risk that future growth in supply may not result in an optimal supply mix.  P</w:t>
            </w:r>
            <w:r w:rsidRPr="0020182A">
              <w:rPr>
                <w:rFonts w:cs="Arial"/>
                <w:szCs w:val="20"/>
              </w:rPr>
              <w:t xml:space="preserve">roviders and investors indicated that some SDA prices are sufficient to make a return on investment in SDA (and in some cases a relatively generous return), while others are not. In particular, they indicated that there were issues with some prices skewing investment interest towards particular design categories and dwelling types and away from other types.  </w:t>
            </w:r>
          </w:p>
          <w:p w:rsidR="0072276D" w:rsidRPr="0020182A" w:rsidRDefault="0072276D" w:rsidP="009B671C">
            <w:pPr>
              <w:pStyle w:val="Numberbullet1stlevel"/>
              <w:numPr>
                <w:ilvl w:val="0"/>
                <w:numId w:val="0"/>
              </w:numPr>
              <w:spacing w:before="80" w:after="80"/>
              <w:rPr>
                <w:rFonts w:cs="Arial"/>
                <w:szCs w:val="20"/>
              </w:rPr>
            </w:pPr>
            <w:r w:rsidRPr="0020182A">
              <w:rPr>
                <w:rStyle w:val="White"/>
                <w:rFonts w:cs="Arial"/>
                <w:color w:val="auto"/>
                <w:szCs w:val="20"/>
              </w:rPr>
              <w:t xml:space="preserve">Investors have a strong preference for certainty regarding return on investment over the life of their investment.  </w:t>
            </w:r>
            <w:r w:rsidRPr="0020182A">
              <w:rPr>
                <w:rFonts w:cs="Arial"/>
                <w:szCs w:val="20"/>
              </w:rPr>
              <w:t>The SDA Framework currently states that the Agency will review benchmark pricing every five years, and that prices will have effect for five years from their publication. Providers and investors noted that the five yearly review cycle does not match the 20+ year time horizon for SDA investment, and that providers and investors must bear the risk of any price reductions.</w:t>
            </w:r>
          </w:p>
        </w:tc>
      </w:tr>
      <w:tr w:rsidR="0072276D" w:rsidRPr="0020182A" w:rsidTr="0072276D">
        <w:tc>
          <w:tcPr>
            <w:tcW w:w="8075" w:type="dxa"/>
            <w:tcBorders>
              <w:top w:val="single" w:sz="4" w:space="0" w:color="0091DA" w:themeColor="accent2"/>
              <w:left w:val="nil"/>
              <w:bottom w:val="single" w:sz="4" w:space="0" w:color="0091DA" w:themeColor="accent2"/>
              <w:right w:val="nil"/>
            </w:tcBorders>
          </w:tcPr>
          <w:p w:rsidR="0072276D" w:rsidRPr="0020182A" w:rsidRDefault="0072276D" w:rsidP="00F7662C">
            <w:pPr>
              <w:rPr>
                <w:i/>
                <w:color w:val="0091DA" w:themeColor="accent2"/>
              </w:rPr>
            </w:pPr>
            <w:r w:rsidRPr="0020182A">
              <w:rPr>
                <w:b/>
                <w:i/>
                <w:color w:val="0091DA" w:themeColor="accent2"/>
              </w:rPr>
              <w:t>Risk</w:t>
            </w:r>
            <w:r w:rsidRPr="0020182A">
              <w:rPr>
                <w:i/>
                <w:color w:val="0091DA" w:themeColor="accent2"/>
              </w:rPr>
              <w:t xml:space="preserve">: </w:t>
            </w:r>
          </w:p>
          <w:p w:rsidR="0072276D" w:rsidRPr="0020182A" w:rsidRDefault="0072276D" w:rsidP="00251F6E">
            <w:pPr>
              <w:pStyle w:val="BodyText2"/>
            </w:pPr>
            <w:r w:rsidRPr="0020182A">
              <w:t xml:space="preserve">In a well-functioning SDA market, provider and investor risks associated with participating in the market are well-understood, managed where possible and taken into consideration when making supply and investment decisions  </w:t>
            </w:r>
          </w:p>
          <w:p w:rsidR="0072276D" w:rsidRPr="0020182A" w:rsidRDefault="0072276D" w:rsidP="001050C1">
            <w:pPr>
              <w:pStyle w:val="Numberbullet1stlevel"/>
              <w:numPr>
                <w:ilvl w:val="0"/>
                <w:numId w:val="0"/>
              </w:numPr>
              <w:spacing w:before="80" w:after="80"/>
              <w:rPr>
                <w:rFonts w:cs="Arial"/>
                <w:szCs w:val="20"/>
              </w:rPr>
            </w:pPr>
            <w:r w:rsidRPr="0020182A">
              <w:rPr>
                <w:rStyle w:val="White"/>
                <w:rFonts w:cs="Arial"/>
                <w:color w:val="auto"/>
                <w:szCs w:val="20"/>
              </w:rPr>
              <w:t xml:space="preserve">There are a range of risks and uncertainties that contribute to providers and investors’ reluctance to invest in SDA and achieve short-term SDA supply growth.  </w:t>
            </w:r>
            <w:r w:rsidRPr="0020182A">
              <w:rPr>
                <w:rFonts w:cs="Arial"/>
                <w:szCs w:val="20"/>
              </w:rPr>
              <w:t>To some extent these risks and uncertainties are associated with the “newness” of the NDIS and SDA as a “product’, and the market largely untested</w:t>
            </w:r>
            <w:r>
              <w:rPr>
                <w:rFonts w:cs="Arial"/>
                <w:szCs w:val="20"/>
              </w:rPr>
              <w:t xml:space="preserve">, which </w:t>
            </w:r>
            <w:r w:rsidRPr="0020182A">
              <w:rPr>
                <w:rFonts w:cs="Arial"/>
                <w:szCs w:val="20"/>
              </w:rPr>
              <w:t xml:space="preserve">are likely to reduce as the NDIS </w:t>
            </w:r>
            <w:r>
              <w:rPr>
                <w:rFonts w:cs="Arial"/>
                <w:szCs w:val="20"/>
              </w:rPr>
              <w:t>T</w:t>
            </w:r>
            <w:r w:rsidRPr="0020182A">
              <w:rPr>
                <w:rFonts w:cs="Arial"/>
                <w:szCs w:val="20"/>
              </w:rPr>
              <w:t>here were a number of factors identified by providers and investors which were impacting negatively on provider and investor willingness to invest in SDA</w:t>
            </w:r>
            <w:r>
              <w:rPr>
                <w:rFonts w:cs="Arial"/>
                <w:szCs w:val="20"/>
              </w:rPr>
              <w:t xml:space="preserve"> including</w:t>
            </w:r>
            <w:r w:rsidRPr="0020182A">
              <w:rPr>
                <w:rFonts w:cs="Arial"/>
                <w:szCs w:val="20"/>
              </w:rPr>
              <w:t xml:space="preserve"> </w:t>
            </w:r>
            <w:r w:rsidRPr="0020182A">
              <w:rPr>
                <w:rFonts w:cs="Arial"/>
                <w:szCs w:val="20"/>
              </w:rPr>
              <w:lastRenderedPageBreak/>
              <w:t>uncertainty around pricing, policy uncertainty, and implementation issues and associated risks.</w:t>
            </w:r>
          </w:p>
        </w:tc>
      </w:tr>
      <w:tr w:rsidR="0072276D" w:rsidRPr="0020182A" w:rsidTr="0072276D">
        <w:tc>
          <w:tcPr>
            <w:tcW w:w="8075" w:type="dxa"/>
            <w:tcBorders>
              <w:top w:val="single" w:sz="4" w:space="0" w:color="0091DA" w:themeColor="accent2"/>
              <w:left w:val="nil"/>
              <w:bottom w:val="single" w:sz="4" w:space="0" w:color="0091DA" w:themeColor="accent2"/>
              <w:right w:val="nil"/>
            </w:tcBorders>
          </w:tcPr>
          <w:p w:rsidR="0072276D" w:rsidRPr="0020182A" w:rsidRDefault="0072276D" w:rsidP="00F7662C">
            <w:pPr>
              <w:rPr>
                <w:i/>
                <w:color w:val="0091DA" w:themeColor="accent2"/>
                <w:szCs w:val="18"/>
              </w:rPr>
            </w:pPr>
            <w:r w:rsidRPr="0020182A">
              <w:rPr>
                <w:b/>
                <w:i/>
                <w:color w:val="0091DA" w:themeColor="accent2"/>
                <w:szCs w:val="18"/>
              </w:rPr>
              <w:lastRenderedPageBreak/>
              <w:t>Quality:</w:t>
            </w:r>
            <w:r w:rsidRPr="0020182A">
              <w:rPr>
                <w:i/>
                <w:color w:val="0091DA" w:themeColor="accent2"/>
                <w:szCs w:val="18"/>
              </w:rPr>
              <w:t xml:space="preserve"> </w:t>
            </w:r>
          </w:p>
          <w:p w:rsidR="0072276D" w:rsidRPr="0020182A" w:rsidRDefault="0072276D" w:rsidP="007942B3">
            <w:pPr>
              <w:pStyle w:val="BodyText2"/>
            </w:pPr>
            <w:r w:rsidRPr="0020182A">
              <w:t>In a well-functioning SDA market, appropriate standards, processes and consumer protections are in place to ensure a minimum level of quality of supply</w:t>
            </w:r>
          </w:p>
          <w:p w:rsidR="0072276D" w:rsidRPr="0020182A" w:rsidRDefault="0072276D" w:rsidP="009B671C">
            <w:pPr>
              <w:pStyle w:val="TableBullet1"/>
              <w:numPr>
                <w:ilvl w:val="0"/>
                <w:numId w:val="0"/>
              </w:numPr>
              <w:spacing w:before="80" w:after="80"/>
              <w:contextualSpacing w:val="0"/>
              <w:rPr>
                <w:rFonts w:cs="Arial"/>
                <w:szCs w:val="20"/>
              </w:rPr>
            </w:pPr>
            <w:r w:rsidRPr="0020182A">
              <w:rPr>
                <w:rFonts w:cs="Arial"/>
                <w:szCs w:val="20"/>
              </w:rPr>
              <w:t>The new quality arrangements provide an opportunity to establish a transparent and effective provisional enrolment process which enables dwellings to be approved earlier in the build process, while also providing a final approval of the implementation of required standards. While the design standards used for SDA aim to promote quality building and design, it is too early to determine whether this is being achieved. It was noted that the majority of current stock is existing or legacy stock, which in most cases only meets the Basic design category.</w:t>
            </w:r>
          </w:p>
          <w:p w:rsidR="0072276D" w:rsidRPr="0020182A" w:rsidRDefault="0072276D" w:rsidP="00357916">
            <w:pPr>
              <w:pStyle w:val="Numberbullet1stlevel"/>
              <w:numPr>
                <w:ilvl w:val="0"/>
                <w:numId w:val="0"/>
              </w:numPr>
              <w:spacing w:before="80" w:after="80"/>
              <w:rPr>
                <w:rFonts w:cs="Arial"/>
                <w:szCs w:val="20"/>
              </w:rPr>
            </w:pPr>
            <w:r w:rsidRPr="0020182A">
              <w:rPr>
                <w:rStyle w:val="White"/>
                <w:rFonts w:cs="Arial"/>
                <w:color w:val="auto"/>
                <w:szCs w:val="20"/>
              </w:rPr>
              <w:t>Some providers, particularly in jurisdictions where the NDIS Commission is yet to come online, remain uncertain about the new quality and safeguarding requirements for SDA under the NDI</w:t>
            </w:r>
            <w:r>
              <w:rPr>
                <w:rStyle w:val="White"/>
                <w:rFonts w:cs="Arial"/>
                <w:color w:val="auto"/>
                <w:szCs w:val="20"/>
              </w:rPr>
              <w:t>S</w:t>
            </w:r>
            <w:r w:rsidRPr="0020182A">
              <w:rPr>
                <w:rStyle w:val="White"/>
                <w:rFonts w:cs="Arial"/>
                <w:color w:val="auto"/>
                <w:szCs w:val="20"/>
              </w:rPr>
              <w:t xml:space="preserve"> Commission, and there are concerns about the cost implications of new quality requirements.</w:t>
            </w:r>
          </w:p>
        </w:tc>
      </w:tr>
      <w:tr w:rsidR="0072276D" w:rsidRPr="0020182A" w:rsidTr="0072276D">
        <w:tc>
          <w:tcPr>
            <w:tcW w:w="8075" w:type="dxa"/>
            <w:tcBorders>
              <w:top w:val="single" w:sz="4" w:space="0" w:color="0091DA" w:themeColor="accent2"/>
              <w:left w:val="nil"/>
              <w:bottom w:val="single" w:sz="4" w:space="0" w:color="0091DA" w:themeColor="accent2"/>
              <w:right w:val="nil"/>
            </w:tcBorders>
          </w:tcPr>
          <w:p w:rsidR="0072276D" w:rsidRPr="0020182A" w:rsidRDefault="0072276D" w:rsidP="00F7662C">
            <w:pPr>
              <w:rPr>
                <w:b/>
                <w:i/>
                <w:color w:val="0091DA" w:themeColor="accent2"/>
                <w:szCs w:val="18"/>
              </w:rPr>
            </w:pPr>
            <w:r w:rsidRPr="0020182A">
              <w:rPr>
                <w:b/>
                <w:i/>
                <w:color w:val="0091DA" w:themeColor="accent2"/>
                <w:szCs w:val="18"/>
              </w:rPr>
              <w:t>Innovation:</w:t>
            </w:r>
          </w:p>
          <w:p w:rsidR="0072276D" w:rsidRPr="0020182A" w:rsidRDefault="0072276D" w:rsidP="007942B3">
            <w:pPr>
              <w:pStyle w:val="BodyText2"/>
            </w:pPr>
            <w:r w:rsidRPr="0020182A">
              <w:t>In a well-functioning SDA market, there should be sufficient information and incentives for promote and achieve innovation in SDA supply</w:t>
            </w:r>
          </w:p>
          <w:p w:rsidR="0072276D" w:rsidRPr="0020182A" w:rsidRDefault="0072276D" w:rsidP="009B671C">
            <w:pPr>
              <w:pStyle w:val="Numberbullet1stlevel"/>
              <w:numPr>
                <w:ilvl w:val="0"/>
                <w:numId w:val="0"/>
              </w:numPr>
              <w:spacing w:before="80" w:after="80"/>
              <w:rPr>
                <w:rFonts w:cs="Arial"/>
                <w:i/>
                <w:szCs w:val="20"/>
              </w:rPr>
            </w:pPr>
            <w:r w:rsidRPr="0020182A">
              <w:rPr>
                <w:szCs w:val="18"/>
              </w:rPr>
              <w:t>The SDA Framework supports innovation in design and delivery, and this is critical to the development of a market which provides contemporary housing options. However, the immaturity of the SDA market means that the notions of innovation are still being determined, and participants are limited in their ability to drive or influence innovative SDA designs.   Further, there are some aspects of the SDA Framework and implementation of SDA that are creating barriers to achieving innovation.</w:t>
            </w:r>
          </w:p>
        </w:tc>
      </w:tr>
    </w:tbl>
    <w:p w:rsidR="0072276D" w:rsidRDefault="0072276D" w:rsidP="00BF6C41">
      <w:pPr>
        <w:pStyle w:val="Heading3"/>
      </w:pPr>
      <w:bookmarkStart w:id="73" w:name="_Toc523122975"/>
      <w:r w:rsidRPr="0020182A">
        <w:rPr>
          <w:color w:val="00A3A1" w:themeColor="accent6"/>
        </w:rPr>
        <w:t>Recommendations</w:t>
      </w:r>
      <w:r>
        <w:rPr>
          <w:color w:val="00A3A1" w:themeColor="accent6"/>
        </w:rPr>
        <w:t xml:space="preserve"> – supply</w:t>
      </w:r>
    </w:p>
    <w:p w:rsidR="00BF6C41" w:rsidRPr="0020182A" w:rsidRDefault="00BF6C41" w:rsidP="00BF6C41">
      <w:pPr>
        <w:pStyle w:val="Heading3"/>
      </w:pPr>
      <w:r w:rsidRPr="0020182A">
        <w:t>Increasing market confidence in SDA</w:t>
      </w:r>
    </w:p>
    <w:p w:rsidR="00BF6C41" w:rsidRPr="0020182A" w:rsidRDefault="00BF6C41" w:rsidP="00BF6C41">
      <w:pPr>
        <w:spacing w:before="80" w:after="80"/>
        <w:rPr>
          <w:rFonts w:cs="Arial"/>
          <w:szCs w:val="20"/>
        </w:rPr>
      </w:pPr>
      <w:r w:rsidRPr="0020182A">
        <w:rPr>
          <w:rFonts w:cs="Arial"/>
          <w:szCs w:val="20"/>
        </w:rPr>
        <w:t>Recommendations relating to increasing market confidence in SDA are addressed elsewhere and include recommendations on:</w:t>
      </w:r>
    </w:p>
    <w:p w:rsidR="00C929DC" w:rsidRPr="0020182A" w:rsidRDefault="00C929DC" w:rsidP="00C929DC">
      <w:pPr>
        <w:pStyle w:val="ListParagraph"/>
        <w:numPr>
          <w:ilvl w:val="0"/>
          <w:numId w:val="18"/>
        </w:numPr>
        <w:tabs>
          <w:tab w:val="clear" w:pos="340"/>
          <w:tab w:val="num" w:pos="696"/>
        </w:tabs>
        <w:spacing w:before="80" w:after="80"/>
        <w:contextualSpacing w:val="0"/>
        <w:rPr>
          <w:rFonts w:cs="Arial"/>
          <w:szCs w:val="20"/>
        </w:rPr>
      </w:pPr>
      <w:r w:rsidRPr="0020182A">
        <w:rPr>
          <w:rFonts w:cs="Arial"/>
          <w:szCs w:val="20"/>
        </w:rPr>
        <w:lastRenderedPageBreak/>
        <w:t>Providing detailed information to the market to inform investment and supply decisions (recommendation 8).</w:t>
      </w:r>
    </w:p>
    <w:p w:rsidR="00C929DC" w:rsidRPr="0020182A" w:rsidRDefault="00C929DC" w:rsidP="00C929DC">
      <w:pPr>
        <w:pStyle w:val="ListParagraph"/>
        <w:numPr>
          <w:ilvl w:val="0"/>
          <w:numId w:val="18"/>
        </w:numPr>
        <w:tabs>
          <w:tab w:val="clear" w:pos="340"/>
          <w:tab w:val="num" w:pos="696"/>
        </w:tabs>
        <w:spacing w:before="80" w:after="80"/>
        <w:contextualSpacing w:val="0"/>
        <w:rPr>
          <w:rFonts w:cs="Arial"/>
          <w:szCs w:val="20"/>
        </w:rPr>
      </w:pPr>
      <w:r w:rsidRPr="0020182A">
        <w:rPr>
          <w:rFonts w:cs="Arial"/>
          <w:szCs w:val="20"/>
        </w:rPr>
        <w:t>Establishing greater policy certainty around SDA (recommendation 1</w:t>
      </w:r>
      <w:r>
        <w:rPr>
          <w:rFonts w:cs="Arial"/>
          <w:szCs w:val="20"/>
        </w:rPr>
        <w:t>3</w:t>
      </w:r>
      <w:r w:rsidRPr="0020182A">
        <w:rPr>
          <w:rFonts w:cs="Arial"/>
          <w:szCs w:val="20"/>
        </w:rPr>
        <w:t>).</w:t>
      </w:r>
    </w:p>
    <w:p w:rsidR="00C929DC" w:rsidRPr="0020182A" w:rsidRDefault="00C929DC" w:rsidP="00C929DC">
      <w:pPr>
        <w:pStyle w:val="ListParagraph"/>
        <w:numPr>
          <w:ilvl w:val="0"/>
          <w:numId w:val="18"/>
        </w:numPr>
        <w:tabs>
          <w:tab w:val="clear" w:pos="340"/>
          <w:tab w:val="num" w:pos="696"/>
        </w:tabs>
        <w:spacing w:before="80" w:after="80"/>
        <w:contextualSpacing w:val="0"/>
        <w:rPr>
          <w:rFonts w:cs="Arial"/>
          <w:szCs w:val="20"/>
        </w:rPr>
      </w:pPr>
      <w:r w:rsidRPr="0020182A">
        <w:rPr>
          <w:rFonts w:cs="Arial"/>
          <w:szCs w:val="20"/>
        </w:rPr>
        <w:t xml:space="preserve">Increasing confidence in pricing and the price setting process (recommendation </w:t>
      </w:r>
      <w:r>
        <w:rPr>
          <w:rFonts w:cs="Arial"/>
          <w:szCs w:val="20"/>
        </w:rPr>
        <w:t>9</w:t>
      </w:r>
      <w:r w:rsidRPr="0020182A">
        <w:rPr>
          <w:rFonts w:cs="Arial"/>
          <w:szCs w:val="20"/>
        </w:rPr>
        <w:t xml:space="preserve"> and 1</w:t>
      </w:r>
      <w:r>
        <w:rPr>
          <w:rFonts w:cs="Arial"/>
          <w:szCs w:val="20"/>
        </w:rPr>
        <w:t>0</w:t>
      </w:r>
      <w:r w:rsidRPr="0020182A">
        <w:rPr>
          <w:rFonts w:cs="Arial"/>
          <w:szCs w:val="20"/>
        </w:rPr>
        <w:t>).</w:t>
      </w:r>
    </w:p>
    <w:p w:rsidR="00C929DC" w:rsidRPr="0020182A" w:rsidRDefault="00C929DC" w:rsidP="00C929DC">
      <w:pPr>
        <w:pStyle w:val="ListParagraph"/>
        <w:numPr>
          <w:ilvl w:val="0"/>
          <w:numId w:val="18"/>
        </w:numPr>
        <w:tabs>
          <w:tab w:val="clear" w:pos="340"/>
          <w:tab w:val="num" w:pos="696"/>
        </w:tabs>
        <w:spacing w:before="80" w:after="80"/>
        <w:contextualSpacing w:val="0"/>
        <w:rPr>
          <w:rFonts w:cs="Arial"/>
          <w:szCs w:val="20"/>
        </w:rPr>
      </w:pPr>
      <w:r w:rsidRPr="0020182A">
        <w:rPr>
          <w:rFonts w:cs="Arial"/>
          <w:szCs w:val="20"/>
        </w:rPr>
        <w:t xml:space="preserve">Addressing implementation issues with respect to confirming eligibility and allocating SDA funding to participants (recommendation </w:t>
      </w:r>
      <w:r>
        <w:rPr>
          <w:rFonts w:cs="Arial"/>
          <w:szCs w:val="20"/>
        </w:rPr>
        <w:t>3</w:t>
      </w:r>
      <w:r w:rsidRPr="0020182A">
        <w:rPr>
          <w:rFonts w:cs="Arial"/>
          <w:szCs w:val="20"/>
        </w:rPr>
        <w:t>).</w:t>
      </w:r>
    </w:p>
    <w:p w:rsidR="00BF6C41" w:rsidRPr="0020182A" w:rsidRDefault="00BF6C41" w:rsidP="00BF6C41">
      <w:pPr>
        <w:pStyle w:val="Heading3"/>
        <w:rPr>
          <w:color w:val="FF0000"/>
        </w:rPr>
      </w:pPr>
      <w:r w:rsidRPr="0020182A">
        <w:t xml:space="preserve">Improving and enhancing market information </w:t>
      </w:r>
    </w:p>
    <w:p w:rsidR="00BF6C41" w:rsidRPr="000E758D" w:rsidRDefault="00BF6C41" w:rsidP="000E758D">
      <w:pPr>
        <w:pStyle w:val="BodyText2"/>
        <w:rPr>
          <w:sz w:val="20"/>
        </w:rPr>
      </w:pPr>
      <w:r w:rsidRPr="000E758D">
        <w:rPr>
          <w:sz w:val="20"/>
        </w:rPr>
        <w:t>Recommendation 8: Provide detailed, up-to-date demand and supply information to the market to inform investment decisions and contribute to achieving an optimal mix of SDA dwellings</w:t>
      </w:r>
    </w:p>
    <w:p w:rsidR="00BF6C41" w:rsidRPr="0020182A" w:rsidRDefault="00BF6C41" w:rsidP="00BF6C41">
      <w:pPr>
        <w:pStyle w:val="BodyText1"/>
        <w:spacing w:before="80" w:after="80"/>
        <w:rPr>
          <w:rFonts w:cs="Arial"/>
          <w:szCs w:val="20"/>
        </w:rPr>
      </w:pPr>
      <w:r w:rsidRPr="0020182A">
        <w:rPr>
          <w:rFonts w:cs="Arial"/>
          <w:szCs w:val="20"/>
        </w:rPr>
        <w:t>Given the level and nature of information asymmetry in the market currently, releasing detailed demand and supply information (including expressed demand and supply, as well as projections) will assist the market to make more informed investment decisions.  This information should be released as soon as possible, and should be updated and released to the market in real time, or at least quarterly. This should include information relating to:</w:t>
      </w:r>
    </w:p>
    <w:p w:rsidR="00BF6C41" w:rsidRPr="000B6202" w:rsidRDefault="00BF6C41" w:rsidP="00BF6C41">
      <w:pPr>
        <w:pStyle w:val="Bullet1stlevel"/>
        <w:numPr>
          <w:ilvl w:val="0"/>
          <w:numId w:val="59"/>
        </w:numPr>
        <w:spacing w:before="80" w:after="80"/>
        <w:rPr>
          <w:rFonts w:cs="Arial"/>
          <w:szCs w:val="20"/>
        </w:rPr>
      </w:pPr>
      <w:r w:rsidRPr="0020182A">
        <w:rPr>
          <w:rFonts w:cs="Arial"/>
          <w:i/>
          <w:szCs w:val="20"/>
        </w:rPr>
        <w:t>Demand:</w:t>
      </w:r>
      <w:r w:rsidRPr="0020182A">
        <w:rPr>
          <w:rFonts w:cs="Arial"/>
          <w:szCs w:val="20"/>
        </w:rPr>
        <w:t xml:space="preserve"> Number of participants deemed eligible for SDA, and likely to be eligible for SDA over the next </w:t>
      </w:r>
      <w:r>
        <w:rPr>
          <w:rFonts w:cs="Arial"/>
          <w:szCs w:val="20"/>
        </w:rPr>
        <w:t>three to five</w:t>
      </w:r>
      <w:r w:rsidRPr="0020182A">
        <w:rPr>
          <w:rFonts w:cs="Arial"/>
          <w:szCs w:val="20"/>
        </w:rPr>
        <w:t xml:space="preserve"> </w:t>
      </w:r>
      <w:r w:rsidRPr="000B6202">
        <w:rPr>
          <w:rFonts w:cs="Arial"/>
          <w:szCs w:val="20"/>
        </w:rPr>
        <w:t>years</w:t>
      </w:r>
      <w:r w:rsidR="00E54683" w:rsidRPr="000B6202">
        <w:rPr>
          <w:rFonts w:cs="Arial"/>
          <w:szCs w:val="20"/>
        </w:rPr>
        <w:t xml:space="preserve"> (projections to be reviewed every five years)</w:t>
      </w:r>
      <w:r w:rsidRPr="000B6202">
        <w:rPr>
          <w:rFonts w:cs="Arial"/>
          <w:szCs w:val="20"/>
        </w:rPr>
        <w:t>, by:</w:t>
      </w:r>
    </w:p>
    <w:p w:rsidR="00BF6C41" w:rsidRPr="0020182A" w:rsidRDefault="00BF6C41" w:rsidP="00BF6C41">
      <w:pPr>
        <w:pStyle w:val="BodyText"/>
        <w:numPr>
          <w:ilvl w:val="0"/>
          <w:numId w:val="86"/>
        </w:numPr>
        <w:spacing w:before="80" w:after="80"/>
        <w:rPr>
          <w:rFonts w:cs="Arial"/>
          <w:szCs w:val="20"/>
        </w:rPr>
      </w:pPr>
      <w:r>
        <w:rPr>
          <w:rFonts w:cs="Arial"/>
          <w:szCs w:val="20"/>
        </w:rPr>
        <w:t>d</w:t>
      </w:r>
      <w:r w:rsidRPr="0020182A">
        <w:rPr>
          <w:rFonts w:cs="Arial"/>
          <w:szCs w:val="20"/>
        </w:rPr>
        <w:t>isability type and support need</w:t>
      </w:r>
    </w:p>
    <w:p w:rsidR="00BF6C41" w:rsidRPr="0020182A" w:rsidRDefault="00BF6C41" w:rsidP="00BF6C41">
      <w:pPr>
        <w:pStyle w:val="BodyText"/>
        <w:numPr>
          <w:ilvl w:val="0"/>
          <w:numId w:val="86"/>
        </w:numPr>
        <w:spacing w:before="80" w:after="80"/>
        <w:rPr>
          <w:rFonts w:cs="Arial"/>
          <w:szCs w:val="20"/>
        </w:rPr>
      </w:pPr>
      <w:r>
        <w:rPr>
          <w:rFonts w:cs="Arial"/>
          <w:szCs w:val="20"/>
        </w:rPr>
        <w:t>t</w:t>
      </w:r>
      <w:r w:rsidRPr="0020182A">
        <w:rPr>
          <w:rFonts w:cs="Arial"/>
          <w:szCs w:val="20"/>
        </w:rPr>
        <w:t>ype of SDA or other accommodation required (including SDA design category, where available)</w:t>
      </w:r>
    </w:p>
    <w:p w:rsidR="00BF6C41" w:rsidRPr="0020182A" w:rsidRDefault="00BF6C41" w:rsidP="00BF6C41">
      <w:pPr>
        <w:pStyle w:val="BodyText1"/>
        <w:numPr>
          <w:ilvl w:val="0"/>
          <w:numId w:val="86"/>
        </w:numPr>
        <w:spacing w:before="80" w:after="80"/>
        <w:rPr>
          <w:rFonts w:cs="Arial"/>
          <w:szCs w:val="20"/>
        </w:rPr>
      </w:pPr>
      <w:r>
        <w:rPr>
          <w:rFonts w:cs="Arial"/>
          <w:szCs w:val="20"/>
        </w:rPr>
        <w:t>l</w:t>
      </w:r>
      <w:r w:rsidRPr="0020182A">
        <w:rPr>
          <w:rFonts w:cs="Arial"/>
          <w:szCs w:val="20"/>
        </w:rPr>
        <w:t xml:space="preserve">ocation of participants (at SA4 or sub-regional level) </w:t>
      </w:r>
    </w:p>
    <w:p w:rsidR="00BF6C41" w:rsidRPr="0020182A" w:rsidRDefault="00BF6C41" w:rsidP="00BF6C41">
      <w:pPr>
        <w:pStyle w:val="BodyText1"/>
        <w:numPr>
          <w:ilvl w:val="0"/>
          <w:numId w:val="86"/>
        </w:numPr>
        <w:spacing w:before="80" w:after="80"/>
        <w:rPr>
          <w:rFonts w:cs="Arial"/>
          <w:szCs w:val="20"/>
        </w:rPr>
      </w:pPr>
      <w:r>
        <w:rPr>
          <w:rFonts w:cs="Arial"/>
          <w:szCs w:val="20"/>
        </w:rPr>
        <w:t>w</w:t>
      </w:r>
      <w:r w:rsidRPr="0020182A">
        <w:rPr>
          <w:rFonts w:cs="Arial"/>
          <w:szCs w:val="20"/>
        </w:rPr>
        <w:t>here participants live currently (that is, in existing SDA dwellings, legacy stock, new SDA dwellings; residential aged care; with family; other settings)</w:t>
      </w:r>
    </w:p>
    <w:p w:rsidR="00BF6C41" w:rsidRPr="0020182A" w:rsidRDefault="00BF6C41" w:rsidP="00BF6C41">
      <w:pPr>
        <w:pStyle w:val="Bullet1stlevel"/>
        <w:numPr>
          <w:ilvl w:val="0"/>
          <w:numId w:val="60"/>
        </w:numPr>
        <w:spacing w:before="80" w:after="80"/>
        <w:rPr>
          <w:rFonts w:cs="Arial"/>
          <w:szCs w:val="20"/>
        </w:rPr>
      </w:pPr>
      <w:r w:rsidRPr="0020182A">
        <w:rPr>
          <w:rFonts w:cs="Arial"/>
          <w:i/>
          <w:szCs w:val="20"/>
        </w:rPr>
        <w:t>Supply:</w:t>
      </w:r>
      <w:r w:rsidRPr="0020182A">
        <w:rPr>
          <w:rFonts w:cs="Arial"/>
          <w:szCs w:val="20"/>
        </w:rPr>
        <w:t xml:space="preserve">  Number of SDA dwellings and places currently registered by:</w:t>
      </w:r>
    </w:p>
    <w:p w:rsidR="00BF6C41" w:rsidRPr="0020182A" w:rsidRDefault="00BF6C41" w:rsidP="00BF6C41">
      <w:pPr>
        <w:pStyle w:val="BodyText1"/>
        <w:numPr>
          <w:ilvl w:val="0"/>
          <w:numId w:val="87"/>
        </w:numPr>
        <w:spacing w:before="80" w:after="80"/>
        <w:rPr>
          <w:rFonts w:cs="Arial"/>
          <w:szCs w:val="20"/>
        </w:rPr>
      </w:pPr>
      <w:r w:rsidRPr="0020182A">
        <w:rPr>
          <w:rFonts w:cs="Arial"/>
          <w:szCs w:val="20"/>
        </w:rPr>
        <w:t>SDA design category</w:t>
      </w:r>
    </w:p>
    <w:p w:rsidR="00BF6C41" w:rsidRPr="0020182A" w:rsidRDefault="00BF6C41" w:rsidP="00BF6C41">
      <w:pPr>
        <w:pStyle w:val="BodyText1"/>
        <w:numPr>
          <w:ilvl w:val="0"/>
          <w:numId w:val="87"/>
        </w:numPr>
        <w:spacing w:before="80" w:after="80"/>
        <w:rPr>
          <w:rFonts w:cs="Arial"/>
          <w:szCs w:val="20"/>
        </w:rPr>
      </w:pPr>
      <w:r w:rsidRPr="0020182A">
        <w:rPr>
          <w:rFonts w:cs="Arial"/>
          <w:szCs w:val="20"/>
        </w:rPr>
        <w:t xml:space="preserve">SDA dwelling type </w:t>
      </w:r>
    </w:p>
    <w:p w:rsidR="00BF6C41" w:rsidRPr="0020182A" w:rsidRDefault="00BF6C41" w:rsidP="00BF6C41">
      <w:pPr>
        <w:pStyle w:val="BodyText1"/>
        <w:numPr>
          <w:ilvl w:val="0"/>
          <w:numId w:val="87"/>
        </w:numPr>
        <w:spacing w:before="80" w:after="80"/>
        <w:rPr>
          <w:rFonts w:cs="Arial"/>
          <w:szCs w:val="20"/>
        </w:rPr>
      </w:pPr>
      <w:r w:rsidRPr="0020182A">
        <w:rPr>
          <w:rFonts w:cs="Arial"/>
          <w:szCs w:val="20"/>
        </w:rPr>
        <w:t>SDA dwelling size</w:t>
      </w:r>
    </w:p>
    <w:p w:rsidR="00BF6C41" w:rsidRPr="0020182A" w:rsidRDefault="00BF6C41" w:rsidP="00BF6C41">
      <w:pPr>
        <w:pStyle w:val="BodyText1"/>
        <w:numPr>
          <w:ilvl w:val="0"/>
          <w:numId w:val="87"/>
        </w:numPr>
        <w:spacing w:before="80" w:after="80"/>
        <w:rPr>
          <w:rFonts w:cs="Arial"/>
          <w:szCs w:val="20"/>
        </w:rPr>
      </w:pPr>
      <w:r>
        <w:rPr>
          <w:rFonts w:cs="Arial"/>
          <w:szCs w:val="20"/>
        </w:rPr>
        <w:t>l</w:t>
      </w:r>
      <w:r w:rsidRPr="0020182A">
        <w:rPr>
          <w:rFonts w:cs="Arial"/>
          <w:szCs w:val="20"/>
        </w:rPr>
        <w:t xml:space="preserve">ocation (SA4 or sub-regional level). </w:t>
      </w:r>
    </w:p>
    <w:p w:rsidR="00BF6C41" w:rsidRPr="0020182A" w:rsidRDefault="00BF6C41" w:rsidP="00BF6C41">
      <w:pPr>
        <w:pStyle w:val="BodyText1"/>
        <w:numPr>
          <w:ilvl w:val="0"/>
          <w:numId w:val="61"/>
        </w:numPr>
        <w:spacing w:before="80" w:after="80"/>
        <w:rPr>
          <w:rFonts w:cs="Arial"/>
          <w:szCs w:val="20"/>
        </w:rPr>
      </w:pPr>
      <w:r w:rsidRPr="0020182A">
        <w:rPr>
          <w:rFonts w:cs="Arial"/>
          <w:szCs w:val="20"/>
        </w:rPr>
        <w:t>Qualitative information around the types of SDA dwellings that are emerging – either in the proposal or development stage, particularly case studies of innovative designs that have been approved as SDA, and accounts of outcomes for participants within these dwelling-types.</w:t>
      </w:r>
    </w:p>
    <w:p w:rsidR="009B671C" w:rsidRPr="0020182A" w:rsidRDefault="009B671C" w:rsidP="009B671C">
      <w:pPr>
        <w:pStyle w:val="Heading3"/>
        <w:rPr>
          <w:color w:val="FF0000"/>
        </w:rPr>
      </w:pPr>
      <w:r w:rsidRPr="0020182A">
        <w:t xml:space="preserve">Greater price certainly and clarity </w:t>
      </w:r>
    </w:p>
    <w:p w:rsidR="00BF6C41" w:rsidRPr="000E758D" w:rsidRDefault="00BF6C41" w:rsidP="000E758D">
      <w:pPr>
        <w:pStyle w:val="BodyText2"/>
        <w:rPr>
          <w:sz w:val="20"/>
        </w:rPr>
      </w:pPr>
      <w:r w:rsidRPr="000E758D">
        <w:rPr>
          <w:sz w:val="20"/>
        </w:rPr>
        <w:t xml:space="preserve">Recommendation 9: </w:t>
      </w:r>
      <w:r w:rsidR="003C30AE" w:rsidRPr="000E758D">
        <w:rPr>
          <w:sz w:val="20"/>
        </w:rPr>
        <w:t>D</w:t>
      </w:r>
      <w:r w:rsidRPr="000E758D">
        <w:rPr>
          <w:sz w:val="20"/>
        </w:rPr>
        <w:t xml:space="preserve">evelop, in consultation with the market (including providers/investors and participant representatives), a detailed </w:t>
      </w:r>
      <w:r w:rsidR="00360AF1" w:rsidRPr="000E758D">
        <w:rPr>
          <w:sz w:val="20"/>
        </w:rPr>
        <w:t>approach</w:t>
      </w:r>
      <w:r w:rsidRPr="000E758D">
        <w:rPr>
          <w:sz w:val="20"/>
        </w:rPr>
        <w:t xml:space="preserve"> for conducting price reviews</w:t>
      </w:r>
      <w:r w:rsidRPr="000E758D">
        <w:rPr>
          <w:iCs/>
          <w:sz w:val="20"/>
        </w:rPr>
        <w:t xml:space="preserve"> t</w:t>
      </w:r>
      <w:r w:rsidRPr="000E758D">
        <w:rPr>
          <w:sz w:val="20"/>
        </w:rPr>
        <w:t xml:space="preserve">o provide greater clarity around, and confidence in, SDA funding arrangements. </w:t>
      </w:r>
    </w:p>
    <w:p w:rsidR="00BF6C41" w:rsidRPr="0020182A" w:rsidRDefault="00BF6C41" w:rsidP="00BF6C41">
      <w:pPr>
        <w:pStyle w:val="Heading4"/>
        <w:spacing w:before="80" w:after="80"/>
        <w:rPr>
          <w:rFonts w:eastAsiaTheme="minorHAnsi" w:cs="Arial"/>
          <w:b w:val="0"/>
          <w:iCs w:val="0"/>
          <w:sz w:val="20"/>
          <w:szCs w:val="20"/>
        </w:rPr>
      </w:pPr>
      <w:r w:rsidRPr="0020182A">
        <w:rPr>
          <w:rFonts w:cs="Arial"/>
          <w:b w:val="0"/>
          <w:sz w:val="20"/>
          <w:szCs w:val="20"/>
        </w:rPr>
        <w:t>This should set out:</w:t>
      </w:r>
    </w:p>
    <w:p w:rsidR="00BF6C41" w:rsidRPr="0020182A" w:rsidRDefault="00BF6C41" w:rsidP="00BF6C41">
      <w:pPr>
        <w:pStyle w:val="BodyText1"/>
        <w:numPr>
          <w:ilvl w:val="0"/>
          <w:numId w:val="14"/>
        </w:numPr>
        <w:tabs>
          <w:tab w:val="clear" w:pos="340"/>
          <w:tab w:val="num" w:pos="482"/>
        </w:tabs>
        <w:spacing w:before="80" w:after="80"/>
        <w:rPr>
          <w:rFonts w:cs="Arial"/>
          <w:szCs w:val="20"/>
        </w:rPr>
      </w:pPr>
      <w:r>
        <w:rPr>
          <w:rFonts w:cs="Arial"/>
          <w:szCs w:val="20"/>
        </w:rPr>
        <w:t>H</w:t>
      </w:r>
      <w:r w:rsidRPr="0020182A">
        <w:rPr>
          <w:rFonts w:cs="Arial"/>
          <w:szCs w:val="20"/>
        </w:rPr>
        <w:t>ow key cost inputs and pricing assumptions, which should be based on reliable public indicators, determine SDA funding</w:t>
      </w:r>
      <w:r>
        <w:rPr>
          <w:rFonts w:cs="Arial"/>
          <w:szCs w:val="20"/>
        </w:rPr>
        <w:t>.</w:t>
      </w:r>
    </w:p>
    <w:p w:rsidR="00BF6C41" w:rsidRPr="0020182A" w:rsidRDefault="00BF6C41" w:rsidP="00BF6C41">
      <w:pPr>
        <w:pStyle w:val="BodyText1"/>
        <w:numPr>
          <w:ilvl w:val="0"/>
          <w:numId w:val="14"/>
        </w:numPr>
        <w:tabs>
          <w:tab w:val="clear" w:pos="340"/>
          <w:tab w:val="num" w:pos="482"/>
        </w:tabs>
        <w:spacing w:before="80" w:after="80"/>
        <w:rPr>
          <w:rFonts w:cs="Arial"/>
          <w:szCs w:val="20"/>
        </w:rPr>
      </w:pPr>
      <w:r>
        <w:rPr>
          <w:rFonts w:cs="Arial"/>
          <w:szCs w:val="20"/>
        </w:rPr>
        <w:t>H</w:t>
      </w:r>
      <w:r w:rsidRPr="0020182A">
        <w:rPr>
          <w:rFonts w:cs="Arial"/>
          <w:szCs w:val="20"/>
        </w:rPr>
        <w:t>ow key cost inputs and pricing assumptions will be determined and set (where applicable)</w:t>
      </w:r>
      <w:r>
        <w:rPr>
          <w:rFonts w:cs="Arial"/>
          <w:szCs w:val="20"/>
        </w:rPr>
        <w:t>.</w:t>
      </w:r>
    </w:p>
    <w:p w:rsidR="00BF6C41" w:rsidRPr="0020182A" w:rsidRDefault="00BF6C41" w:rsidP="00BF6C41">
      <w:pPr>
        <w:pStyle w:val="BodyText1"/>
        <w:numPr>
          <w:ilvl w:val="0"/>
          <w:numId w:val="14"/>
        </w:numPr>
        <w:tabs>
          <w:tab w:val="clear" w:pos="340"/>
          <w:tab w:val="num" w:pos="482"/>
        </w:tabs>
        <w:spacing w:before="80" w:after="80"/>
        <w:rPr>
          <w:rFonts w:cs="Arial"/>
          <w:szCs w:val="20"/>
        </w:rPr>
      </w:pPr>
      <w:r>
        <w:rPr>
          <w:rFonts w:cs="Arial"/>
          <w:szCs w:val="20"/>
        </w:rPr>
        <w:t>H</w:t>
      </w:r>
      <w:r w:rsidRPr="0020182A">
        <w:rPr>
          <w:rFonts w:cs="Arial"/>
          <w:szCs w:val="20"/>
        </w:rPr>
        <w:t>ow the market and sector (including participants) will be engaged in each price review (this should be specified in the rules)</w:t>
      </w:r>
      <w:r>
        <w:rPr>
          <w:rFonts w:cs="Arial"/>
          <w:szCs w:val="20"/>
        </w:rPr>
        <w:t>.</w:t>
      </w:r>
    </w:p>
    <w:p w:rsidR="00EE16FD" w:rsidRPr="0020182A" w:rsidRDefault="00EE16FD" w:rsidP="00EE16FD">
      <w:pPr>
        <w:pStyle w:val="BodyText1"/>
        <w:numPr>
          <w:ilvl w:val="0"/>
          <w:numId w:val="14"/>
        </w:numPr>
        <w:tabs>
          <w:tab w:val="clear" w:pos="340"/>
          <w:tab w:val="num" w:pos="482"/>
        </w:tabs>
        <w:spacing w:before="80" w:after="80"/>
        <w:rPr>
          <w:rFonts w:cs="Arial"/>
          <w:szCs w:val="20"/>
        </w:rPr>
      </w:pPr>
      <w:r>
        <w:rPr>
          <w:rFonts w:cs="Arial"/>
          <w:szCs w:val="20"/>
        </w:rPr>
        <w:t>H</w:t>
      </w:r>
      <w:r w:rsidRPr="0020182A">
        <w:rPr>
          <w:rFonts w:cs="Arial"/>
          <w:szCs w:val="20"/>
        </w:rPr>
        <w:t>ow independence will be maintained and who will conduct each review. This requirement should be specif</w:t>
      </w:r>
      <w:r>
        <w:rPr>
          <w:rFonts w:cs="Arial"/>
          <w:szCs w:val="20"/>
        </w:rPr>
        <w:t>ied in the R</w:t>
      </w:r>
      <w:r w:rsidRPr="0020182A">
        <w:rPr>
          <w:rFonts w:cs="Arial"/>
          <w:szCs w:val="20"/>
        </w:rPr>
        <w:t>ules</w:t>
      </w:r>
      <w:r>
        <w:rPr>
          <w:rFonts w:cs="Arial"/>
          <w:szCs w:val="20"/>
        </w:rPr>
        <w:t>, and the price review should involve independent experts.</w:t>
      </w:r>
    </w:p>
    <w:p w:rsidR="00BF6C41" w:rsidRPr="000B6202" w:rsidRDefault="00BF6C41" w:rsidP="00BF6C41">
      <w:pPr>
        <w:pStyle w:val="BodyText1"/>
        <w:numPr>
          <w:ilvl w:val="0"/>
          <w:numId w:val="14"/>
        </w:numPr>
        <w:tabs>
          <w:tab w:val="clear" w:pos="340"/>
          <w:tab w:val="num" w:pos="482"/>
        </w:tabs>
        <w:spacing w:before="80" w:after="80"/>
        <w:rPr>
          <w:rFonts w:cs="Arial"/>
          <w:szCs w:val="20"/>
        </w:rPr>
      </w:pPr>
      <w:r>
        <w:rPr>
          <w:rFonts w:cs="Arial"/>
          <w:szCs w:val="20"/>
        </w:rPr>
        <w:t>A</w:t>
      </w:r>
      <w:r w:rsidRPr="0020182A">
        <w:rPr>
          <w:rFonts w:cs="Arial"/>
          <w:szCs w:val="20"/>
        </w:rPr>
        <w:t xml:space="preserve">ny </w:t>
      </w:r>
      <w:r w:rsidRPr="000B6202">
        <w:rPr>
          <w:rFonts w:cs="Arial"/>
          <w:szCs w:val="20"/>
        </w:rPr>
        <w:t xml:space="preserve">changes to the Framework and/or Rules that may be required to implement this revised </w:t>
      </w:r>
      <w:r w:rsidR="00360AF1" w:rsidRPr="000B6202">
        <w:rPr>
          <w:rFonts w:cs="Arial"/>
          <w:szCs w:val="20"/>
        </w:rPr>
        <w:t>approach</w:t>
      </w:r>
      <w:r w:rsidRPr="000B6202">
        <w:rPr>
          <w:rFonts w:cs="Arial"/>
          <w:szCs w:val="20"/>
        </w:rPr>
        <w:t>.</w:t>
      </w:r>
    </w:p>
    <w:p w:rsidR="00BF6C41" w:rsidRPr="000B6202" w:rsidRDefault="00BF6C41" w:rsidP="00BF6C41">
      <w:pPr>
        <w:pStyle w:val="BodyText1"/>
        <w:spacing w:before="80" w:after="80"/>
        <w:rPr>
          <w:rFonts w:cs="Arial"/>
          <w:szCs w:val="20"/>
        </w:rPr>
      </w:pPr>
      <w:r w:rsidRPr="000B6202">
        <w:rPr>
          <w:rFonts w:cs="Arial"/>
          <w:szCs w:val="20"/>
        </w:rPr>
        <w:t>A draft approach should be released in the first half of 2019 for stakeholder consultation.</w:t>
      </w:r>
    </w:p>
    <w:p w:rsidR="00BF6C41" w:rsidRPr="0020182A" w:rsidRDefault="00BF6C41" w:rsidP="00BF6C41">
      <w:pPr>
        <w:pStyle w:val="BodyText1"/>
        <w:spacing w:before="80" w:after="80"/>
        <w:rPr>
          <w:rFonts w:cs="Arial"/>
          <w:szCs w:val="20"/>
        </w:rPr>
      </w:pPr>
      <w:r w:rsidRPr="000B6202">
        <w:rPr>
          <w:rFonts w:cs="Arial"/>
          <w:szCs w:val="20"/>
        </w:rPr>
        <w:lastRenderedPageBreak/>
        <w:t xml:space="preserve">The revised </w:t>
      </w:r>
      <w:r w:rsidR="00360AF1" w:rsidRPr="000B6202">
        <w:rPr>
          <w:rFonts w:cs="Arial"/>
          <w:szCs w:val="20"/>
        </w:rPr>
        <w:t>approach</w:t>
      </w:r>
      <w:r w:rsidRPr="000B6202">
        <w:rPr>
          <w:rFonts w:cs="Arial"/>
          <w:szCs w:val="20"/>
        </w:rPr>
        <w:t xml:space="preserve"> for the price review process should be articulated in the revised Framework and/or Rules to ensure</w:t>
      </w:r>
      <w:r w:rsidRPr="0020182A">
        <w:rPr>
          <w:rFonts w:cs="Arial"/>
          <w:szCs w:val="20"/>
        </w:rPr>
        <w:t xml:space="preserve"> the market has a consistent understanding, and there is transparency to assist the market to anticipate changes that may result from underlying market-based assumptions.</w:t>
      </w:r>
    </w:p>
    <w:p w:rsidR="00BF6C41" w:rsidRPr="0020182A" w:rsidRDefault="00BF6C41" w:rsidP="00BF6C41">
      <w:pPr>
        <w:pStyle w:val="BodyText1"/>
        <w:spacing w:before="80" w:after="80"/>
        <w:rPr>
          <w:rFonts w:cs="Arial"/>
          <w:szCs w:val="20"/>
        </w:rPr>
      </w:pPr>
      <w:r w:rsidRPr="0020182A">
        <w:rPr>
          <w:rFonts w:cs="Arial"/>
          <w:szCs w:val="20"/>
        </w:rPr>
        <w:t>This process may be refined and improved over time based on recommendations from each review and feedback from each consultation process.</w:t>
      </w:r>
    </w:p>
    <w:p w:rsidR="00BF6C41" w:rsidRPr="0020182A" w:rsidRDefault="00BF6C41" w:rsidP="00BF6C41">
      <w:pPr>
        <w:pStyle w:val="BodyText1"/>
        <w:spacing w:before="80" w:after="80"/>
        <w:rPr>
          <w:rFonts w:cs="Arial"/>
          <w:szCs w:val="20"/>
        </w:rPr>
      </w:pPr>
      <w:r w:rsidRPr="0020182A">
        <w:rPr>
          <w:rFonts w:cs="Arial"/>
          <w:szCs w:val="20"/>
        </w:rPr>
        <w:t>Price reviews would continue to occur at five-year intervals.</w:t>
      </w:r>
    </w:p>
    <w:p w:rsidR="00BF6C41" w:rsidRPr="000E758D" w:rsidRDefault="00BF6C41" w:rsidP="000E758D">
      <w:pPr>
        <w:pStyle w:val="BodyText2"/>
        <w:rPr>
          <w:sz w:val="20"/>
        </w:rPr>
      </w:pPr>
      <w:r w:rsidRPr="000E758D">
        <w:rPr>
          <w:sz w:val="20"/>
        </w:rPr>
        <w:t>Recommendation 10: Identify in the SDA Framework the specific events that would trigger benchmark price changes as provided in Paragraph 20 in the SDA Framework.</w:t>
      </w:r>
    </w:p>
    <w:p w:rsidR="00BF6C41" w:rsidRPr="0020182A" w:rsidRDefault="00BF6C41" w:rsidP="00BF6C41">
      <w:pPr>
        <w:pStyle w:val="BodyText1"/>
        <w:spacing w:before="80" w:after="80"/>
        <w:rPr>
          <w:rFonts w:cs="Arial"/>
          <w:szCs w:val="20"/>
        </w:rPr>
      </w:pPr>
      <w:r w:rsidRPr="0020182A">
        <w:rPr>
          <w:rFonts w:cs="Arial"/>
          <w:szCs w:val="20"/>
        </w:rPr>
        <w:t>High level guidance on the events that would trigger benchmark price changes, or a review of specific pricing assumptions, should be detailed in the SDA Framework and/or articulated in the SDA Rules. Guidance should be issued to clarify when the provision should be applied, and how pricing parameters would monitored in order to identify trigger events.</w:t>
      </w:r>
    </w:p>
    <w:p w:rsidR="00BF6C41" w:rsidRPr="0020182A" w:rsidRDefault="00BF6C41" w:rsidP="00BF6C41">
      <w:pPr>
        <w:pStyle w:val="Heading4"/>
        <w:spacing w:before="80" w:after="80"/>
        <w:rPr>
          <w:rFonts w:cs="Arial"/>
          <w:b w:val="0"/>
          <w:sz w:val="20"/>
          <w:szCs w:val="20"/>
        </w:rPr>
      </w:pPr>
      <w:r w:rsidRPr="0020182A">
        <w:rPr>
          <w:rFonts w:cs="Arial"/>
          <w:b w:val="0"/>
          <w:sz w:val="20"/>
          <w:szCs w:val="20"/>
        </w:rPr>
        <w:t xml:space="preserve">The identification of trigger events should be included as part of the next Price Review. </w:t>
      </w:r>
    </w:p>
    <w:p w:rsidR="00BF6C41" w:rsidRPr="000E758D" w:rsidRDefault="00BF6C41" w:rsidP="000E758D">
      <w:pPr>
        <w:pStyle w:val="BodyText2"/>
        <w:rPr>
          <w:sz w:val="20"/>
        </w:rPr>
      </w:pPr>
      <w:r w:rsidRPr="000E758D">
        <w:rPr>
          <w:sz w:val="20"/>
        </w:rPr>
        <w:t>Recommendation 11: Bring forward the scheduled 2021 Price Review to early 2019 to make changes to the Price Guide to address immediate concerns as outlined below.</w:t>
      </w:r>
    </w:p>
    <w:p w:rsidR="00BF6C41" w:rsidRPr="0020182A" w:rsidRDefault="00BF6C41" w:rsidP="00BF6C41">
      <w:pPr>
        <w:pStyle w:val="BodyText1"/>
        <w:spacing w:before="80" w:after="80"/>
        <w:rPr>
          <w:rFonts w:cs="Arial"/>
          <w:szCs w:val="20"/>
        </w:rPr>
      </w:pPr>
      <w:r w:rsidRPr="0020182A">
        <w:rPr>
          <w:rFonts w:cs="Arial"/>
          <w:szCs w:val="20"/>
        </w:rPr>
        <w:t xml:space="preserve">These immediate changes are likely to include fixing assumptions about loadings for different regions. </w:t>
      </w:r>
    </w:p>
    <w:p w:rsidR="00BF6C41" w:rsidRPr="000B6202" w:rsidRDefault="00BF6C41" w:rsidP="00BF6C41">
      <w:pPr>
        <w:pStyle w:val="BodyText1"/>
        <w:spacing w:before="80" w:after="80"/>
        <w:rPr>
          <w:rFonts w:cs="Arial"/>
          <w:szCs w:val="20"/>
        </w:rPr>
      </w:pPr>
      <w:r w:rsidRPr="0020182A">
        <w:rPr>
          <w:rFonts w:cs="Arial"/>
          <w:szCs w:val="20"/>
        </w:rPr>
        <w:t>In order to support the development and testing of t</w:t>
      </w:r>
      <w:r w:rsidR="00360AF1">
        <w:rPr>
          <w:rFonts w:cs="Arial"/>
          <w:szCs w:val="20"/>
        </w:rPr>
        <w:t xml:space="preserve">he revised </w:t>
      </w:r>
      <w:r w:rsidR="00EE16FD">
        <w:rPr>
          <w:rFonts w:cs="Arial"/>
          <w:szCs w:val="20"/>
        </w:rPr>
        <w:t xml:space="preserve">pricing review approach </w:t>
      </w:r>
      <w:r>
        <w:rPr>
          <w:rFonts w:cs="Arial"/>
          <w:szCs w:val="20"/>
        </w:rPr>
        <w:t xml:space="preserve">(see recommendation 9); </w:t>
      </w:r>
      <w:r w:rsidRPr="0020182A">
        <w:rPr>
          <w:rFonts w:cs="Arial"/>
          <w:szCs w:val="20"/>
        </w:rPr>
        <w:t>address areas of pricing that are creating disincentives to building some dwelling types or living arrangements</w:t>
      </w:r>
      <w:r>
        <w:rPr>
          <w:rFonts w:cs="Arial"/>
          <w:szCs w:val="20"/>
        </w:rPr>
        <w:t>;</w:t>
      </w:r>
      <w:r w:rsidRPr="0020182A">
        <w:rPr>
          <w:rFonts w:cs="Arial"/>
          <w:szCs w:val="20"/>
        </w:rPr>
        <w:t xml:space="preserve"> and create neutrality for investment decisions, the 2021 price review should be brought forward to 2019 (</w:t>
      </w:r>
      <w:r w:rsidRPr="000B6202">
        <w:rPr>
          <w:rFonts w:cs="Arial"/>
          <w:szCs w:val="20"/>
        </w:rPr>
        <w:t xml:space="preserve">once a detailed </w:t>
      </w:r>
      <w:r w:rsidR="00360AF1" w:rsidRPr="000B6202">
        <w:rPr>
          <w:rFonts w:cs="Arial"/>
          <w:szCs w:val="20"/>
        </w:rPr>
        <w:t>approach</w:t>
      </w:r>
      <w:r w:rsidRPr="000B6202">
        <w:rPr>
          <w:rFonts w:cs="Arial"/>
          <w:szCs w:val="20"/>
        </w:rPr>
        <w:t xml:space="preserve"> has been developed with sector involvement). This will assist in correcting the existing supply mix to better align with demand from participants. </w:t>
      </w:r>
    </w:p>
    <w:p w:rsidR="00BF6C41" w:rsidRPr="000B6202" w:rsidRDefault="00BF6C41" w:rsidP="00BF6C41">
      <w:pPr>
        <w:pStyle w:val="BodyText1"/>
        <w:spacing w:before="80" w:after="80"/>
        <w:rPr>
          <w:rFonts w:cs="Arial"/>
          <w:szCs w:val="20"/>
        </w:rPr>
      </w:pPr>
      <w:r w:rsidRPr="000B6202">
        <w:rPr>
          <w:rFonts w:cs="Arial"/>
          <w:szCs w:val="20"/>
        </w:rPr>
        <w:t xml:space="preserve">The particular areas of pricing that should be specifically reviewed (in addition to the price review </w:t>
      </w:r>
      <w:r w:rsidR="00360AF1" w:rsidRPr="000B6202">
        <w:rPr>
          <w:rFonts w:cs="Arial"/>
          <w:szCs w:val="20"/>
        </w:rPr>
        <w:t>approach</w:t>
      </w:r>
      <w:r w:rsidRPr="000B6202">
        <w:rPr>
          <w:rFonts w:cs="Arial"/>
          <w:szCs w:val="20"/>
        </w:rPr>
        <w:t xml:space="preserve"> developed in recommendation 9) should include:</w:t>
      </w:r>
    </w:p>
    <w:p w:rsidR="00BF6C41" w:rsidRPr="000B6202" w:rsidRDefault="00BF6C41" w:rsidP="00BF6C41">
      <w:pPr>
        <w:pStyle w:val="BodyText1"/>
        <w:numPr>
          <w:ilvl w:val="0"/>
          <w:numId w:val="20"/>
        </w:numPr>
        <w:tabs>
          <w:tab w:val="clear" w:pos="340"/>
          <w:tab w:val="num" w:pos="1026"/>
        </w:tabs>
        <w:spacing w:before="80" w:after="80"/>
        <w:rPr>
          <w:rFonts w:cs="Arial"/>
          <w:szCs w:val="20"/>
        </w:rPr>
      </w:pPr>
      <w:r w:rsidRPr="000B6202">
        <w:rPr>
          <w:rFonts w:cs="Arial"/>
          <w:szCs w:val="20"/>
        </w:rPr>
        <w:t>The relativity of cost inputs (including build and maintenance costs), and hence prices between design categories, especially between high physical support dwellings and robust and fully accessible dwellings, to ensure that prices do not create incentives that do not match demand from participants.</w:t>
      </w:r>
    </w:p>
    <w:p w:rsidR="00BF6C41" w:rsidRPr="000B6202" w:rsidRDefault="00BF6C41" w:rsidP="00BF6C41">
      <w:pPr>
        <w:pStyle w:val="BodyText1"/>
        <w:numPr>
          <w:ilvl w:val="0"/>
          <w:numId w:val="20"/>
        </w:numPr>
        <w:tabs>
          <w:tab w:val="clear" w:pos="340"/>
          <w:tab w:val="num" w:pos="1026"/>
        </w:tabs>
        <w:spacing w:before="80" w:after="80"/>
        <w:rPr>
          <w:rFonts w:cs="Arial"/>
          <w:szCs w:val="20"/>
        </w:rPr>
      </w:pPr>
      <w:r w:rsidRPr="000B6202">
        <w:rPr>
          <w:rFonts w:cs="Arial"/>
          <w:szCs w:val="20"/>
        </w:rPr>
        <w:t xml:space="preserve">The variability of location factor adequacy across SA4 geographies, to ensure they promote location preferences and do not create incentives that do not match the location of participants. This should also consider the use of SA3 areas to reduce variability in adequacy of location factors across broad SA4 geographies. </w:t>
      </w:r>
    </w:p>
    <w:p w:rsidR="00BB45E5" w:rsidRPr="000B6202" w:rsidRDefault="00CA03B1" w:rsidP="00BB45E5">
      <w:pPr>
        <w:pStyle w:val="BodyText1"/>
        <w:numPr>
          <w:ilvl w:val="0"/>
          <w:numId w:val="20"/>
        </w:numPr>
        <w:tabs>
          <w:tab w:val="clear" w:pos="340"/>
          <w:tab w:val="num" w:pos="1026"/>
        </w:tabs>
        <w:spacing w:before="80" w:after="80"/>
        <w:rPr>
          <w:rFonts w:cs="Arial"/>
          <w:szCs w:val="20"/>
        </w:rPr>
      </w:pPr>
      <w:r w:rsidRPr="000B6202">
        <w:rPr>
          <w:rFonts w:cs="Arial"/>
          <w:szCs w:val="20"/>
        </w:rPr>
        <w:t>Exploring possible</w:t>
      </w:r>
      <w:r w:rsidR="00BB45E5" w:rsidRPr="000B6202">
        <w:rPr>
          <w:rFonts w:cs="Arial"/>
          <w:szCs w:val="20"/>
        </w:rPr>
        <w:t xml:space="preserve"> arrangements that facilitate living arrangements with a mixture of SDA and non-SDA residents, to remove disincentives that exist for providers to meet participant preferences to live with people who are not eligible for SDA if they choose to (see recommendation 2 in Demand).</w:t>
      </w:r>
    </w:p>
    <w:p w:rsidR="00BF6C41" w:rsidRPr="000B6202" w:rsidRDefault="00BF6C41" w:rsidP="00BF6C41">
      <w:pPr>
        <w:pStyle w:val="BodyText1"/>
        <w:numPr>
          <w:ilvl w:val="0"/>
          <w:numId w:val="20"/>
        </w:numPr>
        <w:tabs>
          <w:tab w:val="clear" w:pos="340"/>
          <w:tab w:val="num" w:pos="1026"/>
        </w:tabs>
        <w:spacing w:before="80" w:after="80"/>
        <w:rPr>
          <w:rFonts w:cs="Arial"/>
          <w:szCs w:val="20"/>
        </w:rPr>
      </w:pPr>
      <w:r w:rsidRPr="000B6202">
        <w:rPr>
          <w:rFonts w:cs="Arial"/>
          <w:szCs w:val="20"/>
        </w:rPr>
        <w:t>The current accuracy of key cost inputs and pricing assumptions that underpin SDA funding, including land price inflation rates and building costs across design categories and building types.</w:t>
      </w:r>
    </w:p>
    <w:p w:rsidR="00BF6C41" w:rsidRPr="000B6202" w:rsidRDefault="00BF6C41" w:rsidP="00BF6C41">
      <w:pPr>
        <w:pStyle w:val="BodyText1"/>
        <w:numPr>
          <w:ilvl w:val="0"/>
          <w:numId w:val="20"/>
        </w:numPr>
        <w:tabs>
          <w:tab w:val="clear" w:pos="340"/>
          <w:tab w:val="num" w:pos="1026"/>
        </w:tabs>
        <w:spacing w:before="80" w:after="80"/>
        <w:rPr>
          <w:rFonts w:cs="Arial"/>
          <w:szCs w:val="20"/>
        </w:rPr>
      </w:pPr>
      <w:r w:rsidRPr="000B6202">
        <w:rPr>
          <w:rFonts w:cs="Arial"/>
          <w:szCs w:val="20"/>
        </w:rPr>
        <w:t xml:space="preserve">Confirming the nature of benchmark prices for SDA and the consistent use of terminology, including price “benchmarks”, “caps” and “ceilings” </w:t>
      </w:r>
    </w:p>
    <w:p w:rsidR="00BF6C41" w:rsidRPr="000B6202" w:rsidRDefault="00BF6C41" w:rsidP="00BF6C41">
      <w:pPr>
        <w:pStyle w:val="BodyText1"/>
        <w:numPr>
          <w:ilvl w:val="0"/>
          <w:numId w:val="20"/>
        </w:numPr>
        <w:tabs>
          <w:tab w:val="clear" w:pos="340"/>
          <w:tab w:val="num" w:pos="1026"/>
        </w:tabs>
        <w:spacing w:before="80" w:after="80"/>
        <w:rPr>
          <w:rFonts w:cs="Arial"/>
          <w:szCs w:val="20"/>
        </w:rPr>
      </w:pPr>
      <w:r w:rsidRPr="000B6202">
        <w:rPr>
          <w:rFonts w:cs="Arial"/>
          <w:szCs w:val="20"/>
        </w:rPr>
        <w:t xml:space="preserve">Considering the impact of new quality and safeguarding requirements imposed by the NDIS Commission and whether this should be addressed in the pricing arrangements. </w:t>
      </w:r>
    </w:p>
    <w:p w:rsidR="00BF6C41" w:rsidRPr="000B6202" w:rsidRDefault="00BF6C41" w:rsidP="00BF6C41">
      <w:pPr>
        <w:pStyle w:val="BodyText1"/>
        <w:spacing w:before="80" w:after="80"/>
        <w:rPr>
          <w:rFonts w:cs="Arial"/>
          <w:szCs w:val="20"/>
        </w:rPr>
      </w:pPr>
      <w:r w:rsidRPr="000B6202">
        <w:rPr>
          <w:rFonts w:cs="Arial"/>
          <w:szCs w:val="20"/>
        </w:rPr>
        <w:t xml:space="preserve">The Price Review should be conducted </w:t>
      </w:r>
      <w:r w:rsidR="004D4B90" w:rsidRPr="000B6202">
        <w:rPr>
          <w:rFonts w:cs="Arial"/>
          <w:szCs w:val="20"/>
        </w:rPr>
        <w:t>in a</w:t>
      </w:r>
      <w:r w:rsidRPr="000B6202">
        <w:rPr>
          <w:rFonts w:cs="Arial"/>
          <w:szCs w:val="20"/>
        </w:rPr>
        <w:t xml:space="preserve"> transparent way</w:t>
      </w:r>
      <w:r w:rsidR="004D4B90" w:rsidRPr="000B6202">
        <w:rPr>
          <w:rFonts w:cs="Arial"/>
          <w:szCs w:val="20"/>
        </w:rPr>
        <w:t xml:space="preserve"> with independent </w:t>
      </w:r>
      <w:r w:rsidR="00E54683" w:rsidRPr="000B6202">
        <w:rPr>
          <w:rFonts w:cs="Arial"/>
          <w:szCs w:val="20"/>
        </w:rPr>
        <w:t>input</w:t>
      </w:r>
      <w:r w:rsidRPr="000B6202">
        <w:rPr>
          <w:rFonts w:cs="Arial"/>
          <w:szCs w:val="20"/>
        </w:rPr>
        <w:t xml:space="preserve">, in line with the newly designed </w:t>
      </w:r>
      <w:r w:rsidR="00360AF1" w:rsidRPr="000B6202">
        <w:rPr>
          <w:rFonts w:cs="Arial"/>
          <w:szCs w:val="20"/>
        </w:rPr>
        <w:t>approach</w:t>
      </w:r>
      <w:r w:rsidRPr="000B6202">
        <w:rPr>
          <w:rFonts w:cs="Arial"/>
          <w:szCs w:val="20"/>
        </w:rPr>
        <w:t xml:space="preserve"> for price reviews (refer </w:t>
      </w:r>
      <w:r w:rsidR="00F61B99" w:rsidRPr="000B6202">
        <w:rPr>
          <w:rFonts w:cs="Arial"/>
          <w:szCs w:val="20"/>
        </w:rPr>
        <w:t>to recommendation</w:t>
      </w:r>
      <w:r w:rsidRPr="000B6202">
        <w:rPr>
          <w:rFonts w:cs="Arial"/>
          <w:szCs w:val="20"/>
        </w:rPr>
        <w:t xml:space="preserve"> 9).</w:t>
      </w:r>
    </w:p>
    <w:p w:rsidR="00BF6C41" w:rsidRPr="0020182A" w:rsidRDefault="00BF6C41" w:rsidP="00BF6C41">
      <w:pPr>
        <w:pStyle w:val="BodyText1"/>
        <w:spacing w:before="80" w:after="80"/>
        <w:rPr>
          <w:rFonts w:cs="Arial"/>
          <w:szCs w:val="20"/>
        </w:rPr>
      </w:pPr>
      <w:r w:rsidRPr="000B6202">
        <w:rPr>
          <w:rFonts w:cs="Arial"/>
          <w:szCs w:val="20"/>
        </w:rPr>
        <w:t>Following conclusion of the Price Review and agreement to recommendations, methods for determining key pricing assumptions (such as accepted public indicators) should</w:t>
      </w:r>
      <w:r w:rsidRPr="0020182A">
        <w:rPr>
          <w:rFonts w:cs="Arial"/>
          <w:szCs w:val="20"/>
        </w:rPr>
        <w:t xml:space="preserve"> be captured in the SDA rules and/or Framework. Existing prices should continue to apply until 2021, and any price changes recommended by the price review should apply from July 2021. This will ensure that no providers or investors who have already made investment decisions based on existing prices will be disadvantaged by the review being brought forward.</w:t>
      </w:r>
    </w:p>
    <w:p w:rsidR="00BF6C41" w:rsidRPr="000E758D" w:rsidRDefault="00BF6C41" w:rsidP="000E758D">
      <w:pPr>
        <w:pStyle w:val="BodyText2"/>
        <w:rPr>
          <w:sz w:val="20"/>
        </w:rPr>
      </w:pPr>
      <w:r w:rsidRPr="000E758D">
        <w:rPr>
          <w:sz w:val="20"/>
        </w:rPr>
        <w:t>Recommendation 12: The SDA Framework should embed a requirement for consultation on any significant SDA pricing or policy changes.</w:t>
      </w:r>
    </w:p>
    <w:p w:rsidR="00BF6C41" w:rsidRPr="0020182A" w:rsidRDefault="00BF6C41" w:rsidP="00BF6C41">
      <w:pPr>
        <w:pStyle w:val="BodyText1"/>
        <w:spacing w:before="80" w:after="80"/>
        <w:rPr>
          <w:rFonts w:cs="Arial"/>
          <w:szCs w:val="20"/>
        </w:rPr>
      </w:pPr>
      <w:r w:rsidRPr="0020182A">
        <w:rPr>
          <w:rFonts w:cs="Arial"/>
          <w:szCs w:val="20"/>
        </w:rPr>
        <w:lastRenderedPageBreak/>
        <w:t>This should include release of a draft policy position by DSS and the NDIA, a consultation process, publication of submissions, and release of the final statement.</w:t>
      </w:r>
    </w:p>
    <w:p w:rsidR="00BF6C41" w:rsidRPr="0020182A" w:rsidRDefault="00BF6C41" w:rsidP="00BF6C41">
      <w:pPr>
        <w:pStyle w:val="BodyText1"/>
        <w:spacing w:before="80" w:after="80"/>
        <w:rPr>
          <w:rFonts w:cs="Arial"/>
          <w:szCs w:val="20"/>
        </w:rPr>
      </w:pPr>
      <w:r w:rsidRPr="0020182A">
        <w:rPr>
          <w:rFonts w:cs="Arial"/>
          <w:szCs w:val="20"/>
        </w:rPr>
        <w:t>DSS and the NDIA should establish an industry reference group for consultation on pricing changes.</w:t>
      </w:r>
    </w:p>
    <w:p w:rsidR="009B671C" w:rsidRPr="0020182A" w:rsidRDefault="009B671C" w:rsidP="009B671C">
      <w:pPr>
        <w:pStyle w:val="Heading3"/>
      </w:pPr>
      <w:r w:rsidRPr="0020182A">
        <w:t>Better managing risks associated with SDA investment</w:t>
      </w:r>
    </w:p>
    <w:p w:rsidR="006A1B9E" w:rsidRPr="000E758D" w:rsidRDefault="006A1B9E" w:rsidP="000E758D">
      <w:pPr>
        <w:pStyle w:val="BodyText2"/>
        <w:rPr>
          <w:sz w:val="20"/>
        </w:rPr>
      </w:pPr>
      <w:r w:rsidRPr="000E758D">
        <w:rPr>
          <w:sz w:val="20"/>
        </w:rPr>
        <w:t xml:space="preserve">Recommendation 13: Establish greater certainty in SDA policy settings through the SDA Framework, which </w:t>
      </w:r>
      <w:r w:rsidRPr="000E758D">
        <w:rPr>
          <w:rFonts w:cs="Arial"/>
          <w:sz w:val="20"/>
        </w:rPr>
        <w:t>should be the primary mechanism for providing policy guidance on SDA</w:t>
      </w:r>
      <w:r w:rsidRPr="000E758D">
        <w:rPr>
          <w:iCs/>
          <w:sz w:val="20"/>
        </w:rPr>
        <w:t>.</w:t>
      </w:r>
      <w:r w:rsidRPr="000E758D">
        <w:rPr>
          <w:sz w:val="20"/>
        </w:rPr>
        <w:t xml:space="preserve"> </w:t>
      </w:r>
    </w:p>
    <w:p w:rsidR="006A1B9E" w:rsidRPr="0020182A" w:rsidRDefault="006A1B9E" w:rsidP="006A1B9E">
      <w:pPr>
        <w:pStyle w:val="BodyText1"/>
        <w:spacing w:before="80" w:after="80"/>
        <w:rPr>
          <w:rFonts w:cs="Arial"/>
          <w:szCs w:val="20"/>
        </w:rPr>
      </w:pPr>
      <w:r w:rsidRPr="0020182A">
        <w:rPr>
          <w:rFonts w:cs="Arial"/>
          <w:szCs w:val="20"/>
        </w:rPr>
        <w:t xml:space="preserve">At this early stage of market development, the main purpose of the </w:t>
      </w:r>
      <w:r>
        <w:rPr>
          <w:rFonts w:cs="Arial"/>
          <w:szCs w:val="20"/>
        </w:rPr>
        <w:t>F</w:t>
      </w:r>
      <w:r w:rsidRPr="0020182A">
        <w:rPr>
          <w:rFonts w:cs="Arial"/>
          <w:szCs w:val="20"/>
        </w:rPr>
        <w:t xml:space="preserve">ramework should be to provide overarching guidance for the market that focuses on the core objectives of SDA, and indicate how the complement of SDA documentation and rules are achieving these objectives, </w:t>
      </w:r>
      <w:r>
        <w:rPr>
          <w:rFonts w:cs="Arial"/>
          <w:szCs w:val="20"/>
        </w:rPr>
        <w:t>this should include</w:t>
      </w:r>
      <w:r w:rsidRPr="0020182A">
        <w:rPr>
          <w:rFonts w:cs="Arial"/>
          <w:szCs w:val="20"/>
        </w:rPr>
        <w:t>:</w:t>
      </w:r>
    </w:p>
    <w:p w:rsidR="006A1B9E" w:rsidRPr="0020182A" w:rsidRDefault="006A1B9E" w:rsidP="006A1B9E">
      <w:pPr>
        <w:pStyle w:val="Bullet1stlevel"/>
        <w:numPr>
          <w:ilvl w:val="0"/>
          <w:numId w:val="62"/>
        </w:numPr>
        <w:spacing w:before="80" w:after="80"/>
        <w:rPr>
          <w:rFonts w:cs="Arial"/>
          <w:szCs w:val="20"/>
        </w:rPr>
      </w:pPr>
      <w:r>
        <w:rPr>
          <w:rFonts w:cs="Arial"/>
          <w:szCs w:val="20"/>
        </w:rPr>
        <w:t>b</w:t>
      </w:r>
      <w:r w:rsidRPr="0020182A">
        <w:rPr>
          <w:rFonts w:cs="Arial"/>
          <w:szCs w:val="20"/>
        </w:rPr>
        <w:t>ringing together the array of SDA documentation and guidance</w:t>
      </w:r>
    </w:p>
    <w:p w:rsidR="006A1B9E" w:rsidRPr="0020182A" w:rsidRDefault="006A1B9E" w:rsidP="006A1B9E">
      <w:pPr>
        <w:pStyle w:val="Bullet1stlevel"/>
        <w:numPr>
          <w:ilvl w:val="0"/>
          <w:numId w:val="62"/>
        </w:numPr>
        <w:spacing w:before="80" w:after="80"/>
        <w:rPr>
          <w:rFonts w:cs="Arial"/>
          <w:szCs w:val="20"/>
        </w:rPr>
      </w:pPr>
      <w:r>
        <w:rPr>
          <w:rFonts w:cs="Arial"/>
          <w:szCs w:val="20"/>
        </w:rPr>
        <w:t>d</w:t>
      </w:r>
      <w:r w:rsidRPr="0020182A">
        <w:rPr>
          <w:rFonts w:cs="Arial"/>
          <w:szCs w:val="20"/>
        </w:rPr>
        <w:t xml:space="preserve">escribing the objective and aims of SDA and the intended recipients </w:t>
      </w:r>
    </w:p>
    <w:p w:rsidR="006A1B9E" w:rsidRPr="0020182A" w:rsidRDefault="006A1B9E" w:rsidP="006A1B9E">
      <w:pPr>
        <w:pStyle w:val="Bullet1stlevel"/>
        <w:numPr>
          <w:ilvl w:val="0"/>
          <w:numId w:val="62"/>
        </w:numPr>
        <w:spacing w:before="80" w:after="80"/>
        <w:rPr>
          <w:rFonts w:cs="Arial"/>
          <w:szCs w:val="20"/>
        </w:rPr>
      </w:pPr>
      <w:r>
        <w:rPr>
          <w:rFonts w:cs="Arial"/>
          <w:szCs w:val="20"/>
        </w:rPr>
        <w:t>e</w:t>
      </w:r>
      <w:r w:rsidRPr="0020182A">
        <w:rPr>
          <w:rFonts w:cs="Arial"/>
          <w:szCs w:val="20"/>
        </w:rPr>
        <w:t>xplaining the methodology and underlying assumptions for SDA funding in a detailed and clear format</w:t>
      </w:r>
    </w:p>
    <w:p w:rsidR="006A1B9E" w:rsidRPr="0020182A" w:rsidRDefault="006A1B9E" w:rsidP="006A1B9E">
      <w:pPr>
        <w:pStyle w:val="Bullet1stlevel"/>
        <w:numPr>
          <w:ilvl w:val="0"/>
          <w:numId w:val="62"/>
        </w:numPr>
        <w:spacing w:before="80" w:after="80"/>
        <w:rPr>
          <w:rFonts w:cs="Arial"/>
          <w:szCs w:val="20"/>
        </w:rPr>
      </w:pPr>
      <w:r>
        <w:rPr>
          <w:rFonts w:cs="Arial"/>
          <w:szCs w:val="20"/>
        </w:rPr>
        <w:t>l</w:t>
      </w:r>
      <w:r w:rsidRPr="0020182A">
        <w:rPr>
          <w:rFonts w:cs="Arial"/>
          <w:szCs w:val="20"/>
        </w:rPr>
        <w:t>aying out the core components of SDA to provide a holistic picture of SDA requirements and processes.</w:t>
      </w:r>
    </w:p>
    <w:p w:rsidR="006A1B9E" w:rsidRPr="0020182A" w:rsidRDefault="006A1B9E" w:rsidP="006A1B9E">
      <w:pPr>
        <w:pStyle w:val="Bullet1stlevel"/>
        <w:spacing w:before="80" w:after="80"/>
        <w:rPr>
          <w:rFonts w:cs="Arial"/>
          <w:szCs w:val="20"/>
        </w:rPr>
      </w:pPr>
      <w:r w:rsidRPr="0020182A">
        <w:rPr>
          <w:rFonts w:cs="Arial"/>
          <w:szCs w:val="20"/>
        </w:rPr>
        <w:t>The SDA Framework should be the primary mechanism for providing policy guidance on SDA</w:t>
      </w:r>
      <w:r>
        <w:rPr>
          <w:rFonts w:cs="Arial"/>
          <w:szCs w:val="20"/>
        </w:rPr>
        <w:t>.</w:t>
      </w:r>
      <w:r w:rsidRPr="00851F7D">
        <w:rPr>
          <w:rFonts w:cs="Arial"/>
          <w:szCs w:val="20"/>
        </w:rPr>
        <w:t xml:space="preserve"> </w:t>
      </w:r>
      <w:r>
        <w:rPr>
          <w:rFonts w:cs="Arial"/>
          <w:szCs w:val="20"/>
        </w:rPr>
        <w:t>W</w:t>
      </w:r>
      <w:r w:rsidRPr="00DD3308">
        <w:rPr>
          <w:rFonts w:cs="Arial"/>
          <w:szCs w:val="20"/>
        </w:rPr>
        <w:t>hile the market remains immature and market participants seek clear guidance on requirements to participate</w:t>
      </w:r>
      <w:r>
        <w:rPr>
          <w:rFonts w:cs="Arial"/>
          <w:szCs w:val="20"/>
        </w:rPr>
        <w:t xml:space="preserve"> it should also be the </w:t>
      </w:r>
      <w:r w:rsidRPr="0020182A">
        <w:rPr>
          <w:rFonts w:cs="Arial"/>
          <w:szCs w:val="20"/>
        </w:rPr>
        <w:t xml:space="preserve">mechanism for presenting future policy changes, details or interpretation </w:t>
      </w:r>
      <w:r>
        <w:rPr>
          <w:rFonts w:cs="Arial"/>
          <w:szCs w:val="20"/>
        </w:rPr>
        <w:t>that</w:t>
      </w:r>
      <w:r w:rsidRPr="0020182A">
        <w:rPr>
          <w:rFonts w:cs="Arial"/>
          <w:szCs w:val="20"/>
        </w:rPr>
        <w:t xml:space="preserve"> relates to the operationalisation of SDA.</w:t>
      </w:r>
    </w:p>
    <w:p w:rsidR="006A1B9E" w:rsidRPr="0020182A" w:rsidRDefault="006A1B9E" w:rsidP="006A1B9E">
      <w:pPr>
        <w:pStyle w:val="Bullet1stlevel"/>
        <w:spacing w:before="80" w:after="80"/>
        <w:rPr>
          <w:rFonts w:cs="Arial"/>
          <w:szCs w:val="20"/>
        </w:rPr>
      </w:pPr>
      <w:r w:rsidRPr="0020182A">
        <w:rPr>
          <w:rFonts w:cs="Arial"/>
          <w:szCs w:val="20"/>
        </w:rPr>
        <w:t>Given the Price Guide now clearly establish the pricing and payments arrangements, and are the most appropriate mechanism to provide further detail, including methodology and assumptions, the Framework should set the high level principles and objectives for the development for SDA over time.</w:t>
      </w:r>
    </w:p>
    <w:p w:rsidR="006A1B9E" w:rsidRPr="0020182A" w:rsidRDefault="006A1B9E" w:rsidP="006A1B9E">
      <w:pPr>
        <w:pStyle w:val="BodyText1"/>
        <w:spacing w:before="80" w:after="80"/>
        <w:rPr>
          <w:rFonts w:cs="Arial"/>
          <w:szCs w:val="20"/>
        </w:rPr>
      </w:pPr>
      <w:r w:rsidRPr="0020182A">
        <w:rPr>
          <w:rFonts w:cs="Arial"/>
          <w:szCs w:val="20"/>
        </w:rPr>
        <w:t xml:space="preserve">To the greatest extent possible, the Rules should be the avenue for providing clarity on pricing, payments, eligibility and dwelling registration. Any overlapping or inconsistent elements in the SDA Framework should be removed. The Framework should provide overarching guidance to continue to support and direct the development of the SDA market. The </w:t>
      </w:r>
      <w:r>
        <w:rPr>
          <w:rFonts w:cs="Arial"/>
          <w:szCs w:val="20"/>
        </w:rPr>
        <w:t>F</w:t>
      </w:r>
      <w:r w:rsidRPr="0020182A">
        <w:rPr>
          <w:rFonts w:cs="Arial"/>
          <w:szCs w:val="20"/>
        </w:rPr>
        <w:t>ramework should become a tool for policy setting and market development.</w:t>
      </w:r>
    </w:p>
    <w:p w:rsidR="006A1B9E" w:rsidRPr="0020182A" w:rsidRDefault="006A1B9E" w:rsidP="006A1B9E">
      <w:pPr>
        <w:pStyle w:val="Bullet1stlevel"/>
        <w:spacing w:before="80" w:after="80"/>
        <w:rPr>
          <w:rFonts w:eastAsiaTheme="majorEastAsia" w:cs="Arial"/>
          <w:iCs/>
          <w:szCs w:val="20"/>
        </w:rPr>
      </w:pPr>
      <w:r w:rsidRPr="0020182A">
        <w:rPr>
          <w:rFonts w:cs="Arial"/>
          <w:szCs w:val="20"/>
        </w:rPr>
        <w:t>Where policy changes are required, the SDA Framework should be amended to set out a clear and transparent mechanism for policy change, which involves engaging with participants, providers and investors on the nature of the proposed policy changes – either to provide sufficient notice of changes in policy, or to provide opportunities for participant/provider/ investor input into the policy process.</w:t>
      </w:r>
      <w:r>
        <w:rPr>
          <w:rFonts w:cs="Arial"/>
          <w:szCs w:val="20"/>
        </w:rPr>
        <w:t xml:space="preserve">  </w:t>
      </w:r>
      <w:r w:rsidRPr="0020182A">
        <w:rPr>
          <w:rFonts w:eastAsiaTheme="majorEastAsia" w:cs="Arial"/>
          <w:iCs/>
          <w:szCs w:val="20"/>
        </w:rPr>
        <w:t>The SDA Framework should remain as the mechanism for this, with clear amendment processes through DRC. An industry consultation group mechanism could be established for consulting on policy and Rule changes.</w:t>
      </w:r>
    </w:p>
    <w:p w:rsidR="009B671C" w:rsidRPr="0020182A" w:rsidRDefault="009B671C" w:rsidP="009B671C">
      <w:pPr>
        <w:pStyle w:val="Heading3"/>
      </w:pPr>
      <w:r w:rsidRPr="0020182A">
        <w:t xml:space="preserve">Greater clarity around quality requirements </w:t>
      </w:r>
    </w:p>
    <w:p w:rsidR="00BF6C41" w:rsidRPr="003C6F49" w:rsidRDefault="00BF6C41" w:rsidP="003C6F49">
      <w:pPr>
        <w:pStyle w:val="BodyText2"/>
        <w:rPr>
          <w:sz w:val="20"/>
        </w:rPr>
      </w:pPr>
      <w:r w:rsidRPr="003C6F49">
        <w:rPr>
          <w:sz w:val="20"/>
        </w:rPr>
        <w:t>Recommendation 14: When revising the process for provisional dwelling certification, as per recommendation 5 above, establish clear dwelling eligibility and quality requirements to underpin the provisional dwelling certification process and maintain quality and safeguards.</w:t>
      </w:r>
    </w:p>
    <w:p w:rsidR="00BF6C41" w:rsidRPr="0020182A" w:rsidRDefault="00BF6C41" w:rsidP="00BF6C41">
      <w:pPr>
        <w:spacing w:before="80" w:after="80"/>
        <w:rPr>
          <w:rFonts w:cs="Arial"/>
          <w:szCs w:val="20"/>
        </w:rPr>
      </w:pPr>
      <w:r w:rsidRPr="0020182A">
        <w:rPr>
          <w:rFonts w:cs="Arial"/>
          <w:szCs w:val="20"/>
        </w:rPr>
        <w:t>This could include:</w:t>
      </w:r>
    </w:p>
    <w:p w:rsidR="00BF6C41" w:rsidRPr="0020182A" w:rsidRDefault="00BF6C41" w:rsidP="00BF6C41">
      <w:pPr>
        <w:pStyle w:val="ListParagraph"/>
        <w:numPr>
          <w:ilvl w:val="0"/>
          <w:numId w:val="63"/>
        </w:numPr>
        <w:spacing w:before="80" w:after="80"/>
        <w:contextualSpacing w:val="0"/>
        <w:rPr>
          <w:rFonts w:cs="Arial"/>
          <w:szCs w:val="20"/>
        </w:rPr>
      </w:pPr>
      <w:r>
        <w:rPr>
          <w:rFonts w:cs="Arial"/>
          <w:szCs w:val="20"/>
        </w:rPr>
        <w:t>i</w:t>
      </w:r>
      <w:r w:rsidRPr="0020182A">
        <w:rPr>
          <w:rFonts w:cs="Arial"/>
          <w:szCs w:val="20"/>
        </w:rPr>
        <w:t>ssuing standards which are required to be met for particular categories of dwelling</w:t>
      </w:r>
    </w:p>
    <w:p w:rsidR="00BF6C41" w:rsidRPr="0020182A" w:rsidRDefault="00BF6C41" w:rsidP="00BF6C41">
      <w:pPr>
        <w:pStyle w:val="ListParagraph"/>
        <w:numPr>
          <w:ilvl w:val="0"/>
          <w:numId w:val="63"/>
        </w:numPr>
        <w:spacing w:before="80" w:after="80"/>
        <w:contextualSpacing w:val="0"/>
        <w:rPr>
          <w:rFonts w:cs="Arial"/>
          <w:szCs w:val="20"/>
        </w:rPr>
      </w:pPr>
      <w:r>
        <w:rPr>
          <w:rFonts w:cs="Arial"/>
          <w:szCs w:val="20"/>
        </w:rPr>
        <w:t>a</w:t>
      </w:r>
      <w:r w:rsidRPr="0020182A">
        <w:rPr>
          <w:rFonts w:cs="Arial"/>
          <w:szCs w:val="20"/>
        </w:rPr>
        <w:t xml:space="preserve"> post-build inspection to confirm standards have been met before confirming final enrolment</w:t>
      </w:r>
    </w:p>
    <w:p w:rsidR="00BF6C41" w:rsidRPr="0020182A" w:rsidRDefault="00BF6C41" w:rsidP="00BF6C41">
      <w:pPr>
        <w:pStyle w:val="ListParagraph"/>
        <w:numPr>
          <w:ilvl w:val="0"/>
          <w:numId w:val="63"/>
        </w:numPr>
        <w:spacing w:before="80" w:after="80"/>
        <w:contextualSpacing w:val="0"/>
        <w:rPr>
          <w:rFonts w:cs="Arial"/>
          <w:szCs w:val="20"/>
        </w:rPr>
      </w:pPr>
      <w:r>
        <w:rPr>
          <w:rFonts w:cs="Arial"/>
          <w:szCs w:val="20"/>
        </w:rPr>
        <w:t>s</w:t>
      </w:r>
      <w:r w:rsidRPr="0020182A">
        <w:rPr>
          <w:rFonts w:cs="Arial"/>
          <w:szCs w:val="20"/>
        </w:rPr>
        <w:t>etting out responsibility for maintenance requirements, particularly for robust and high physical support categories where these are more frequent and high cost.</w:t>
      </w:r>
    </w:p>
    <w:p w:rsidR="00BF6C41" w:rsidRPr="00357916" w:rsidRDefault="00BF6C41" w:rsidP="00360AF1">
      <w:pPr>
        <w:pStyle w:val="BodyText1"/>
        <w:numPr>
          <w:ilvl w:val="0"/>
          <w:numId w:val="20"/>
        </w:numPr>
        <w:tabs>
          <w:tab w:val="clear" w:pos="340"/>
          <w:tab w:val="num" w:pos="1026"/>
        </w:tabs>
        <w:spacing w:before="80" w:after="80"/>
        <w:rPr>
          <w:rFonts w:eastAsiaTheme="majorEastAsia" w:cs="Arial"/>
          <w:iCs/>
          <w:szCs w:val="20"/>
        </w:rPr>
      </w:pPr>
      <w:r w:rsidRPr="00357916">
        <w:rPr>
          <w:rFonts w:eastAsiaTheme="majorEastAsia" w:cs="Arial"/>
          <w:iCs/>
          <w:szCs w:val="20"/>
        </w:rPr>
        <w:t xml:space="preserve">It is important that this is integrated with, and aligned to, the </w:t>
      </w:r>
      <w:r w:rsidR="00357916" w:rsidRPr="00357916">
        <w:t>quality and safeguarding requirements enacted through the NDIS Act 2013 and being implemented by the NDIS Commission</w:t>
      </w:r>
      <w:r w:rsidR="00357916">
        <w:t xml:space="preserve"> </w:t>
      </w:r>
      <w:r w:rsidRPr="00357916">
        <w:rPr>
          <w:rFonts w:eastAsiaTheme="majorEastAsia" w:cs="Arial"/>
          <w:iCs/>
          <w:szCs w:val="20"/>
        </w:rPr>
        <w:t xml:space="preserve">in relation to SDA. </w:t>
      </w:r>
    </w:p>
    <w:p w:rsidR="00BF6C41" w:rsidRPr="003C6F49" w:rsidRDefault="00BF6C41" w:rsidP="003C6F49">
      <w:pPr>
        <w:pStyle w:val="BodyText2"/>
        <w:rPr>
          <w:sz w:val="20"/>
        </w:rPr>
      </w:pPr>
      <w:r w:rsidRPr="003C6F49">
        <w:rPr>
          <w:sz w:val="20"/>
        </w:rPr>
        <w:t xml:space="preserve">Recommendation 15: DRC should clarify the roles and responsibilities of the NDIS Commission and NDIA with respect to SDA. </w:t>
      </w:r>
    </w:p>
    <w:p w:rsidR="00BF6C41" w:rsidRPr="0020182A" w:rsidRDefault="00BF6C41" w:rsidP="00BF6C41">
      <w:pPr>
        <w:pStyle w:val="Bullet1stlevel"/>
        <w:spacing w:before="80" w:after="80"/>
        <w:rPr>
          <w:rFonts w:cs="Arial"/>
          <w:szCs w:val="20"/>
        </w:rPr>
      </w:pPr>
      <w:r w:rsidRPr="0020182A">
        <w:rPr>
          <w:rFonts w:cs="Arial"/>
          <w:szCs w:val="20"/>
        </w:rPr>
        <w:lastRenderedPageBreak/>
        <w:t xml:space="preserve">In particular, transitional arrangements for jurisdictions that are yet to be governed by the NDIS Commission with respect to SDA should be made clear to provide sufficient certainty for providers on the quality and safeguards requirements they must meet for registration and ongoing SDA provision.  </w:t>
      </w:r>
    </w:p>
    <w:p w:rsidR="00BF6C41" w:rsidRPr="00357916" w:rsidRDefault="00BF6C41" w:rsidP="00BF6C41">
      <w:pPr>
        <w:pStyle w:val="Bullet1stlevel"/>
        <w:spacing w:before="80" w:after="80"/>
        <w:rPr>
          <w:rFonts w:cs="Arial"/>
        </w:rPr>
      </w:pPr>
      <w:r w:rsidRPr="0020182A">
        <w:rPr>
          <w:rFonts w:cs="Arial"/>
          <w:szCs w:val="20"/>
        </w:rPr>
        <w:t xml:space="preserve">The NDIS Commission should continue to engage with industry regarding the implications of any changes to </w:t>
      </w:r>
      <w:r w:rsidR="00357916">
        <w:rPr>
          <w:rFonts w:cs="Arial"/>
          <w:szCs w:val="20"/>
        </w:rPr>
        <w:t>the</w:t>
      </w:r>
      <w:r w:rsidRPr="0020182A">
        <w:rPr>
          <w:rFonts w:cs="Arial"/>
          <w:sz w:val="18"/>
        </w:rPr>
        <w:t xml:space="preserve"> </w:t>
      </w:r>
      <w:r w:rsidRPr="00357916">
        <w:rPr>
          <w:rFonts w:cs="Arial"/>
        </w:rPr>
        <w:t>quality and safeguarding requirements.</w:t>
      </w:r>
    </w:p>
    <w:p w:rsidR="009B671C" w:rsidRPr="0020182A" w:rsidRDefault="009B671C" w:rsidP="009B671C">
      <w:pPr>
        <w:pStyle w:val="Heading3"/>
      </w:pPr>
      <w:r w:rsidRPr="0020182A">
        <w:t>Information and incentives for innovation in SDA supply`</w:t>
      </w:r>
    </w:p>
    <w:p w:rsidR="00BF6C41" w:rsidRPr="003C6F49" w:rsidRDefault="00BF6C41" w:rsidP="003C6F49">
      <w:pPr>
        <w:pStyle w:val="BodyText2"/>
        <w:rPr>
          <w:sz w:val="20"/>
        </w:rPr>
      </w:pPr>
      <w:r w:rsidRPr="003C6F49">
        <w:rPr>
          <w:sz w:val="20"/>
        </w:rPr>
        <w:t xml:space="preserve">Recommendation 16: Remove further unnecessary prescription from the SDA Framework that is inhibiting a varied or innovative response in the market. </w:t>
      </w:r>
    </w:p>
    <w:p w:rsidR="00BF6C41" w:rsidRPr="0020182A" w:rsidRDefault="00BF6C41" w:rsidP="00BF6C41">
      <w:pPr>
        <w:pStyle w:val="Bullet1stlevel"/>
        <w:spacing w:before="80" w:after="80"/>
        <w:rPr>
          <w:rFonts w:cs="Arial"/>
          <w:szCs w:val="20"/>
        </w:rPr>
      </w:pPr>
      <w:r w:rsidRPr="0020182A">
        <w:rPr>
          <w:rFonts w:cs="Arial"/>
          <w:szCs w:val="20"/>
        </w:rPr>
        <w:t>This includes:</w:t>
      </w:r>
    </w:p>
    <w:p w:rsidR="00BF6C41" w:rsidRPr="0020182A" w:rsidRDefault="00BF6C41" w:rsidP="00BF6C41">
      <w:pPr>
        <w:pStyle w:val="Bullet1stlevel"/>
        <w:numPr>
          <w:ilvl w:val="0"/>
          <w:numId w:val="82"/>
        </w:numPr>
        <w:spacing w:before="80" w:after="80"/>
        <w:rPr>
          <w:rFonts w:cs="Arial"/>
          <w:szCs w:val="20"/>
        </w:rPr>
      </w:pPr>
      <w:r w:rsidRPr="0020182A">
        <w:rPr>
          <w:rFonts w:cs="Arial"/>
          <w:szCs w:val="20"/>
        </w:rPr>
        <w:t>assumptions around the ‘rental model’ and rental contributions preventing responses that integrate broader ownership and non-tenancy arrangements.</w:t>
      </w:r>
    </w:p>
    <w:p w:rsidR="00BF6C41" w:rsidRPr="0020182A" w:rsidRDefault="00BF6C41" w:rsidP="00BF6C41">
      <w:pPr>
        <w:pStyle w:val="BodyText1"/>
        <w:numPr>
          <w:ilvl w:val="0"/>
          <w:numId w:val="82"/>
        </w:numPr>
        <w:spacing w:before="80" w:after="80"/>
        <w:rPr>
          <w:rFonts w:cs="Arial"/>
          <w:szCs w:val="20"/>
        </w:rPr>
      </w:pPr>
      <w:r w:rsidRPr="0020182A">
        <w:rPr>
          <w:rFonts w:cs="Arial"/>
          <w:szCs w:val="20"/>
        </w:rPr>
        <w:t xml:space="preserve">removing specific restrictions </w:t>
      </w:r>
      <w:r>
        <w:rPr>
          <w:rFonts w:cs="Arial"/>
          <w:szCs w:val="20"/>
        </w:rPr>
        <w:t>that</w:t>
      </w:r>
      <w:r w:rsidRPr="0020182A">
        <w:rPr>
          <w:rFonts w:cs="Arial"/>
          <w:szCs w:val="20"/>
        </w:rPr>
        <w:t xml:space="preserve"> limit a participant’s ability to live with others without disability (such as their partner, children, friends or others) (as per </w:t>
      </w:r>
      <w:r>
        <w:rPr>
          <w:rFonts w:cs="Arial"/>
          <w:szCs w:val="20"/>
        </w:rPr>
        <w:t>r</w:t>
      </w:r>
      <w:r w:rsidRPr="0020182A">
        <w:rPr>
          <w:rFonts w:cs="Arial"/>
          <w:szCs w:val="20"/>
        </w:rPr>
        <w:t>ecommendation 2)</w:t>
      </w:r>
    </w:p>
    <w:p w:rsidR="00BF6C41" w:rsidRPr="0020182A" w:rsidRDefault="00BF6C41" w:rsidP="00BF6C41">
      <w:pPr>
        <w:pStyle w:val="BodyText1"/>
        <w:numPr>
          <w:ilvl w:val="0"/>
          <w:numId w:val="64"/>
        </w:numPr>
        <w:spacing w:before="80" w:after="80"/>
        <w:rPr>
          <w:rFonts w:cs="Arial"/>
          <w:szCs w:val="20"/>
        </w:rPr>
      </w:pPr>
      <w:r w:rsidRPr="0020182A">
        <w:rPr>
          <w:rFonts w:cs="Arial"/>
          <w:szCs w:val="20"/>
        </w:rPr>
        <w:t xml:space="preserve">examining provider disincentives which limit a participant’s ability to live with others without disability (noting that the NDIS does not fund or subsidise living arrangements for people without disability) (as per </w:t>
      </w:r>
      <w:r>
        <w:rPr>
          <w:rFonts w:cs="Arial"/>
          <w:szCs w:val="20"/>
        </w:rPr>
        <w:t>r</w:t>
      </w:r>
      <w:r w:rsidRPr="0020182A">
        <w:rPr>
          <w:rFonts w:cs="Arial"/>
          <w:szCs w:val="20"/>
        </w:rPr>
        <w:t>ecommendation 2).</w:t>
      </w:r>
    </w:p>
    <w:p w:rsidR="00BF6C41" w:rsidRPr="0020182A" w:rsidRDefault="00BF6C41" w:rsidP="00BF6C41">
      <w:pPr>
        <w:pStyle w:val="Bullet1stlevel"/>
        <w:spacing w:before="80" w:after="80"/>
        <w:rPr>
          <w:rFonts w:cs="Arial"/>
          <w:szCs w:val="20"/>
        </w:rPr>
      </w:pPr>
      <w:r w:rsidRPr="0020182A">
        <w:rPr>
          <w:rFonts w:cs="Arial"/>
          <w:szCs w:val="20"/>
        </w:rPr>
        <w:t>In the longer term, consideration should be given to removing prescription relating to dwelling types from NDIS plans to provide for more innovative solutions in response to demand from participants.</w:t>
      </w:r>
    </w:p>
    <w:p w:rsidR="00BF6C41" w:rsidRPr="003C6F49" w:rsidRDefault="00BF6C41" w:rsidP="003C6F49">
      <w:pPr>
        <w:pStyle w:val="BodyText2"/>
        <w:rPr>
          <w:sz w:val="20"/>
        </w:rPr>
      </w:pPr>
      <w:r w:rsidRPr="003C6F49">
        <w:rPr>
          <w:sz w:val="20"/>
        </w:rPr>
        <w:t xml:space="preserve">Recommendation 17: Provide research and information to the market on innovative housing design – to provide a catalyst for greater investment in more innovative SDA housing models. </w:t>
      </w:r>
    </w:p>
    <w:p w:rsidR="00BF6C41" w:rsidRPr="0020182A" w:rsidRDefault="00BF6C41" w:rsidP="00BF6C41">
      <w:pPr>
        <w:pStyle w:val="Bullet1stlevel"/>
        <w:spacing w:before="80" w:after="80"/>
        <w:rPr>
          <w:rFonts w:cs="Arial"/>
          <w:szCs w:val="20"/>
        </w:rPr>
      </w:pPr>
      <w:r w:rsidRPr="0020182A">
        <w:rPr>
          <w:rFonts w:cs="Arial"/>
          <w:szCs w:val="20"/>
        </w:rPr>
        <w:t xml:space="preserve">While leadership in innovation needs to come from providers, participants, governments and the broader community, at this stage of market development the NDIA is uniquely placed to play a leadership role. </w:t>
      </w:r>
    </w:p>
    <w:p w:rsidR="00BF6C41" w:rsidRPr="0020182A" w:rsidRDefault="00BF6C41" w:rsidP="00BF6C41">
      <w:pPr>
        <w:pStyle w:val="Bullet1stlevel"/>
        <w:spacing w:before="80" w:after="80"/>
        <w:rPr>
          <w:rFonts w:cs="Arial"/>
          <w:szCs w:val="20"/>
        </w:rPr>
      </w:pPr>
      <w:r w:rsidRPr="0020182A">
        <w:rPr>
          <w:rFonts w:cs="Arial"/>
          <w:szCs w:val="20"/>
        </w:rPr>
        <w:t>Key to this should be leading the development of a research and evidence base which illustrates how participant outcomes are being achieved through innovative SDA models and designs and disseminating this evidence to the market and participants.   This could be in the form of ‘</w:t>
      </w:r>
      <w:r>
        <w:rPr>
          <w:rFonts w:cs="Arial"/>
          <w:szCs w:val="20"/>
        </w:rPr>
        <w:t>i</w:t>
      </w:r>
      <w:r w:rsidRPr="0020182A">
        <w:rPr>
          <w:rFonts w:cs="Arial"/>
          <w:szCs w:val="20"/>
        </w:rPr>
        <w:t>nnovation briefs’, publishing case studies on innovative SDA design, and holding an Innovation Summit (similar to the Housing Innovation Showcases hosted by the NDIA in 2016).</w:t>
      </w:r>
    </w:p>
    <w:p w:rsidR="0046239C" w:rsidRPr="0020182A" w:rsidRDefault="0046239C">
      <w:pPr>
        <w:spacing w:before="0" w:after="160" w:line="259" w:lineRule="auto"/>
        <w:rPr>
          <w:b/>
        </w:rPr>
      </w:pPr>
      <w:r w:rsidRPr="0020182A">
        <w:rPr>
          <w:b/>
        </w:rPr>
        <w:br w:type="page"/>
      </w:r>
    </w:p>
    <w:p w:rsidR="006A71E3" w:rsidRPr="0020182A" w:rsidRDefault="009B671C" w:rsidP="00105237">
      <w:pPr>
        <w:pStyle w:val="Heading2"/>
      </w:pPr>
      <w:bookmarkStart w:id="74" w:name="_Toc530648958"/>
      <w:r w:rsidRPr="0020182A">
        <w:lastRenderedPageBreak/>
        <w:t>E</w:t>
      </w:r>
      <w:r w:rsidR="006A71E3" w:rsidRPr="0020182A">
        <w:t>fficiency and value for money</w:t>
      </w:r>
      <w:bookmarkEnd w:id="73"/>
      <w:bookmarkEnd w:id="74"/>
    </w:p>
    <w:tbl>
      <w:tblPr>
        <w:tblStyle w:val="TableGrid"/>
        <w:tblW w:w="9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mmary of key findings"/>
        <w:tblDescription w:val="Key findings relating to efficiency and value for money."/>
      </w:tblPr>
      <w:tblGrid>
        <w:gridCol w:w="284"/>
        <w:gridCol w:w="8810"/>
      </w:tblGrid>
      <w:tr w:rsidR="006A71E3" w:rsidRPr="0020182A" w:rsidTr="00612CC4">
        <w:trPr>
          <w:trHeight w:val="2381"/>
          <w:tblHeader/>
        </w:trPr>
        <w:tc>
          <w:tcPr>
            <w:tcW w:w="284" w:type="dxa"/>
            <w:tcMar>
              <w:left w:w="0" w:type="dxa"/>
              <w:right w:w="0" w:type="dxa"/>
            </w:tcMar>
          </w:tcPr>
          <w:p w:rsidR="006A71E3" w:rsidRPr="0020182A" w:rsidRDefault="006A71E3" w:rsidP="00F7662C">
            <w:pPr>
              <w:spacing w:before="0" w:after="0"/>
              <w:rPr>
                <w:color w:val="FFFFFF" w:themeColor="background1"/>
              </w:rPr>
            </w:pPr>
          </w:p>
        </w:tc>
        <w:tc>
          <w:tcPr>
            <w:tcW w:w="8810" w:type="dxa"/>
            <w:shd w:val="clear" w:color="auto" w:fill="0091DA" w:themeFill="accent2"/>
            <w:tcMar>
              <w:left w:w="255" w:type="dxa"/>
              <w:right w:w="255" w:type="dxa"/>
            </w:tcMar>
            <w:vAlign w:val="center"/>
          </w:tcPr>
          <w:p w:rsidR="006A71E3" w:rsidRPr="0020182A" w:rsidRDefault="006A71E3" w:rsidP="00F7662C">
            <w:pPr>
              <w:pStyle w:val="Heading3"/>
              <w:spacing w:after="240"/>
              <w:outlineLvl w:val="2"/>
              <w:rPr>
                <w:color w:val="FFFFFF" w:themeColor="background1"/>
              </w:rPr>
            </w:pPr>
            <w:r w:rsidRPr="0020182A">
              <w:rPr>
                <w:color w:val="FFFFFF" w:themeColor="background1"/>
              </w:rPr>
              <w:t>Summary of key findings</w:t>
            </w:r>
          </w:p>
          <w:p w:rsidR="00F82F6B" w:rsidRPr="0020182A" w:rsidRDefault="00F82F6B" w:rsidP="009B671C">
            <w:pPr>
              <w:pStyle w:val="Numberbullet1stlevel"/>
              <w:numPr>
                <w:ilvl w:val="0"/>
                <w:numId w:val="32"/>
              </w:numPr>
              <w:rPr>
                <w:color w:val="FFFFFF" w:themeColor="background1"/>
              </w:rPr>
            </w:pPr>
            <w:r w:rsidRPr="0020182A">
              <w:rPr>
                <w:color w:val="FFFFFF" w:themeColor="background1"/>
              </w:rPr>
              <w:t>The SDA Framework supports ongoing sustainability of the Scheme.</w:t>
            </w:r>
          </w:p>
          <w:p w:rsidR="00F82F6B" w:rsidRPr="0020182A" w:rsidRDefault="00F82F6B" w:rsidP="009B671C">
            <w:pPr>
              <w:pStyle w:val="Numberbullet1stlevel"/>
              <w:numPr>
                <w:ilvl w:val="0"/>
                <w:numId w:val="32"/>
              </w:numPr>
              <w:rPr>
                <w:color w:val="FFFFFF" w:themeColor="background1"/>
              </w:rPr>
            </w:pPr>
            <w:r w:rsidRPr="0020182A">
              <w:rPr>
                <w:color w:val="FFFFFF" w:themeColor="background1"/>
              </w:rPr>
              <w:t>The SDA Framework does not consider how the participant can be actively involved in making decisions about different combinations of SDA and other support funding that would best help them meet their goals</w:t>
            </w:r>
          </w:p>
          <w:p w:rsidR="006A71E3" w:rsidRPr="0020182A" w:rsidRDefault="006A71E3" w:rsidP="00F7662C">
            <w:pPr>
              <w:pStyle w:val="BodyText2"/>
              <w:rPr>
                <w:sz w:val="2"/>
                <w:szCs w:val="2"/>
              </w:rPr>
            </w:pPr>
          </w:p>
        </w:tc>
      </w:tr>
    </w:tbl>
    <w:p w:rsidR="006A71E3" w:rsidRPr="0020182A" w:rsidRDefault="006A71E3" w:rsidP="006A71E3">
      <w:pPr>
        <w:pStyle w:val="Heading3"/>
      </w:pPr>
      <w:r w:rsidRPr="0020182A">
        <w:t>Context</w:t>
      </w:r>
    </w:p>
    <w:p w:rsidR="006A71E3" w:rsidRPr="0020182A" w:rsidRDefault="008D10DA" w:rsidP="006A71E3">
      <w:pPr>
        <w:pStyle w:val="BodyText1"/>
      </w:pPr>
      <w:r w:rsidRPr="0020182A">
        <w:t xml:space="preserve">The </w:t>
      </w:r>
      <w:r w:rsidR="006A71E3" w:rsidRPr="0020182A">
        <w:t>SDA Framework intends to support a sustainable SDA market that provides continuity of supply and financial sustainability for governments, participants and providers alike. Part of this involves finding the right balance between allocating individual funding for support services and individual funding for accommodation to promote value for individual participants.</w:t>
      </w:r>
    </w:p>
    <w:p w:rsidR="006A71E3" w:rsidRPr="0020182A" w:rsidRDefault="006A71E3" w:rsidP="006A71E3">
      <w:pPr>
        <w:pStyle w:val="BodyText1"/>
      </w:pPr>
      <w:r w:rsidRPr="0020182A">
        <w:t>Value for money from a transactional basis can lead to short term decisions that may impact on longer term sustainability, both</w:t>
      </w:r>
      <w:r w:rsidR="00BF6C41">
        <w:t xml:space="preserve"> in terms of</w:t>
      </w:r>
      <w:r w:rsidRPr="0020182A">
        <w:t xml:space="preserve"> social and economic</w:t>
      </w:r>
      <w:r w:rsidR="00BF6C41">
        <w:t xml:space="preserve"> sustainability</w:t>
      </w:r>
      <w:r w:rsidRPr="0020182A">
        <w:t xml:space="preserve">. Much of the impetus behind the NDIS was aligned to the social insurance model, which sought to bias investment for supports for people with disability early in their life to enable them greater opportunities to actively engage in the community and workforce. The benefits of this early intervention would be a reduction in scheme (and broader society) costs for that individual in the longer term. </w:t>
      </w:r>
    </w:p>
    <w:p w:rsidR="006A71E3" w:rsidRPr="0020182A" w:rsidRDefault="006A71E3" w:rsidP="006A71E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ovider submission"/>
        <w:tblDescription w:val="Provider submission states “Value as with anything is based on the individual’s experience of the system for the participant value is not based on the income stream generated for an investor but rather they are able to access the accommodation type in the location and configuration of their choice. For the reasons noted above it is unlikely for this to currently occur.”"/>
      </w:tblPr>
      <w:tblGrid>
        <w:gridCol w:w="8072"/>
      </w:tblGrid>
      <w:tr w:rsidR="00612CC4" w:rsidRPr="0020182A" w:rsidTr="00612CC4">
        <w:trPr>
          <w:tblHeader/>
        </w:trPr>
        <w:tc>
          <w:tcPr>
            <w:tcW w:w="8072" w:type="dxa"/>
          </w:tcPr>
          <w:p w:rsidR="00DD5D11" w:rsidRDefault="00612CC4" w:rsidP="00DD5D11">
            <w:pPr>
              <w:pStyle w:val="BodyText"/>
              <w:spacing w:before="0"/>
            </w:pPr>
            <w:r>
              <w:t>“</w:t>
            </w:r>
            <w:r w:rsidRPr="0020182A">
              <w:t>Value as with anything is based on the individual’s experience of the system for the participant value is not based on the income stream generated for an investor but rather they are able to access the accommodation type in the location and configuration of their choice. For the reasons noted above it is unlikely for this to currently occur.”</w:t>
            </w:r>
          </w:p>
          <w:p w:rsidR="00612CC4" w:rsidRPr="0020182A" w:rsidRDefault="00612CC4" w:rsidP="00DD5D11">
            <w:pPr>
              <w:pStyle w:val="BodyText"/>
              <w:spacing w:before="0"/>
              <w:jc w:val="right"/>
              <w:rPr>
                <w:sz w:val="16"/>
                <w:szCs w:val="16"/>
              </w:rPr>
            </w:pPr>
            <w:r w:rsidRPr="0020182A">
              <w:rPr>
                <w:sz w:val="16"/>
                <w:szCs w:val="16"/>
              </w:rPr>
              <w:t>– Provider Submission</w:t>
            </w:r>
          </w:p>
        </w:tc>
      </w:tr>
    </w:tbl>
    <w:p w:rsidR="000967AC" w:rsidRPr="0020182A" w:rsidRDefault="000967AC" w:rsidP="00F64167">
      <w:pPr>
        <w:pStyle w:val="BodyText"/>
      </w:pPr>
      <w:r w:rsidRPr="0020182A">
        <w:t>The NDIS Act and Rules require the NDIA to balance a range of objectives when making decisions, including social and economic participation, and how best to meet the participant’s support needs. However, it should be recognised that under the NDIS, funding is allocated against a participant’s goals, not just funding of supports untied to goals.</w:t>
      </w:r>
    </w:p>
    <w:p w:rsidR="004C4901" w:rsidRPr="0020182A" w:rsidRDefault="004C4901" w:rsidP="004C4901">
      <w:pPr>
        <w:pStyle w:val="Heading3"/>
      </w:pPr>
      <w:r w:rsidRPr="0020182A">
        <w:t>1. Optimal outcomes and value for money</w:t>
      </w:r>
    </w:p>
    <w:p w:rsidR="000967AC" w:rsidRPr="0020182A" w:rsidRDefault="000967AC" w:rsidP="00F64167">
      <w:pPr>
        <w:pStyle w:val="BodyText"/>
      </w:pPr>
      <w:r w:rsidRPr="0020182A">
        <w:t>A well-functioning regulated market balances efficient use of participant funding and achievement of optimal outcomes (supports that help participants meet their goals)</w:t>
      </w:r>
      <w:r w:rsidR="00306333">
        <w:t xml:space="preserve"> with</w:t>
      </w:r>
      <w:r w:rsidRPr="0020182A">
        <w:t xml:space="preserve"> providing value for money for Government. The SDA Framework should support sustainability of the NDIS, including the SDA component of the Scheme, while delivering better outcomes for participants. </w:t>
      </w:r>
    </w:p>
    <w:p w:rsidR="000967AC" w:rsidRPr="0020182A" w:rsidRDefault="000967AC" w:rsidP="000967AC">
      <w:pPr>
        <w:pStyle w:val="Heading4"/>
        <w:rPr>
          <w:rFonts w:ascii="Arial" w:hAnsi="Arial" w:cs="Arial"/>
          <w:sz w:val="22"/>
        </w:rPr>
      </w:pPr>
      <w:r w:rsidRPr="0020182A">
        <w:rPr>
          <w:rFonts w:ascii="Arial" w:hAnsi="Arial" w:cs="Arial"/>
          <w:sz w:val="22"/>
        </w:rPr>
        <w:t>The SDA Framework supports ongoing sustainability of the Scheme</w:t>
      </w:r>
    </w:p>
    <w:p w:rsidR="000967AC" w:rsidRPr="0020182A" w:rsidRDefault="000967AC" w:rsidP="00F64167">
      <w:pPr>
        <w:pStyle w:val="BodyText"/>
      </w:pPr>
      <w:r w:rsidRPr="0020182A">
        <w:t>Scheme sustainability is a central focus of the SDA Framework, with particular emphasis placed on efficient price setting, eligibility determination</w:t>
      </w:r>
      <w:r w:rsidR="00306333">
        <w:t xml:space="preserve"> and</w:t>
      </w:r>
      <w:r w:rsidRPr="0020182A">
        <w:t xml:space="preserve"> dwelling requirements. The SDA Framework also includes operational guidance to ensure immediate costs are managed</w:t>
      </w:r>
      <w:r w:rsidR="0081240A" w:rsidRPr="0020182A">
        <w:t xml:space="preserve"> </w:t>
      </w:r>
      <w:r w:rsidRPr="0020182A">
        <w:t>and explicitly recognises it would not be possible to support all participants to live alone.</w:t>
      </w:r>
    </w:p>
    <w:p w:rsidR="000967AC" w:rsidRPr="0020182A" w:rsidRDefault="000967AC" w:rsidP="00F64167">
      <w:pPr>
        <w:pStyle w:val="BodyText"/>
      </w:pPr>
      <w:r w:rsidRPr="0020182A">
        <w:lastRenderedPageBreak/>
        <w:t xml:space="preserve">What is not clear in the SDA Framework is how facilitating choice will either support or diminish sustainability. </w:t>
      </w:r>
      <w:r w:rsidR="0001098F" w:rsidRPr="0020182A">
        <w:t>In many</w:t>
      </w:r>
      <w:r w:rsidRPr="0020182A">
        <w:t xml:space="preserve"> cases a focus on short term costs (sustainability) could distract from discussions about the lifetime costs of support. There may be situations where allowing choice may have better outcomes for participants and reduce the lifetime costs of support. For instance, it is possible that allowing participants to live in one</w:t>
      </w:r>
      <w:r w:rsidR="00306333">
        <w:t>-</w:t>
      </w:r>
      <w:r w:rsidRPr="0020182A">
        <w:t xml:space="preserve">bedroom apartments could have long-term benefits to both the individual and the Scheme, as they may make greater use of informal supports (through living with a partner, friend or sibling) and this may be a more stable tenancy arrangement (which is more preferable to a provider).  </w:t>
      </w:r>
    </w:p>
    <w:p w:rsidR="000967AC" w:rsidRPr="0020182A" w:rsidRDefault="000967AC" w:rsidP="00F64167">
      <w:pPr>
        <w:pStyle w:val="BodyText"/>
      </w:pPr>
      <w:r w:rsidRPr="0020182A">
        <w:t>This is not fully reflected in the SDA Framework or Rules. At a high level, the SDA Framework suggests that factors such as independence and choice are central elements of an emerging SDA market. As it states in Clauses 10-11:</w:t>
      </w:r>
    </w:p>
    <w:p w:rsidR="000967AC" w:rsidRPr="0020182A" w:rsidRDefault="00F64167" w:rsidP="004C4901">
      <w:pPr>
        <w:pStyle w:val="BodyText"/>
        <w:ind w:left="720"/>
        <w:rPr>
          <w:snapToGrid w:val="0"/>
        </w:rPr>
      </w:pPr>
      <w:r w:rsidRPr="0020182A">
        <w:rPr>
          <w:snapToGrid w:val="0"/>
        </w:rPr>
        <w:t xml:space="preserve">10.  </w:t>
      </w:r>
      <w:r w:rsidR="000967AC" w:rsidRPr="0020182A">
        <w:rPr>
          <w:snapToGrid w:val="0"/>
        </w:rPr>
        <w:t>The framework is designed to give effect to the objects of the NDIS Act 2013, in particular, to promote the provision of high quality and innovative supports that enable people with disability to maximise independent lifestyles and full inclusion in the community</w:t>
      </w:r>
      <w:r w:rsidR="00306333">
        <w:rPr>
          <w:snapToGrid w:val="0"/>
        </w:rPr>
        <w:t>.</w:t>
      </w:r>
    </w:p>
    <w:p w:rsidR="000967AC" w:rsidRPr="0020182A" w:rsidRDefault="00F64167" w:rsidP="004C4901">
      <w:pPr>
        <w:pStyle w:val="BodyText"/>
        <w:ind w:left="720"/>
        <w:rPr>
          <w:snapToGrid w:val="0"/>
        </w:rPr>
      </w:pPr>
      <w:r w:rsidRPr="0020182A">
        <w:rPr>
          <w:snapToGrid w:val="0"/>
        </w:rPr>
        <w:t xml:space="preserve">11.  </w:t>
      </w:r>
      <w:r w:rsidR="000967AC" w:rsidRPr="0020182A">
        <w:rPr>
          <w:snapToGrid w:val="0"/>
        </w:rPr>
        <w:t>This Framework will play a key role in moving, over time, towards a market that achieves this vision.</w:t>
      </w:r>
    </w:p>
    <w:p w:rsidR="000967AC" w:rsidRPr="0020182A" w:rsidRDefault="000967AC" w:rsidP="004C4901">
      <w:pPr>
        <w:pStyle w:val="BodyText"/>
      </w:pPr>
      <w:r w:rsidRPr="0020182A">
        <w:t>This objective is qualified in later sections, stating that Scheme sustainability would be compromised if independence is valued as a primary objective:</w:t>
      </w:r>
    </w:p>
    <w:p w:rsidR="000967AC" w:rsidRPr="0020182A" w:rsidRDefault="00F64167" w:rsidP="004C4901">
      <w:pPr>
        <w:pStyle w:val="BodyText"/>
        <w:ind w:left="720"/>
      </w:pPr>
      <w:r w:rsidRPr="0020182A">
        <w:t>70. A</w:t>
      </w:r>
      <w:r w:rsidR="000967AC" w:rsidRPr="0020182A">
        <w:t xml:space="preserve">ny participant could live independently if unlimited funds are available to support them in their </w:t>
      </w:r>
      <w:r w:rsidR="000967AC" w:rsidRPr="0020182A">
        <w:rPr>
          <w:snapToGrid w:val="0"/>
        </w:rPr>
        <w:t>home</w:t>
      </w:r>
      <w:r w:rsidR="000967AC" w:rsidRPr="0020182A">
        <w:t>. Enabling every NDIS participant to live independently with their required levels of supports would be prohibitively expensive for the NDIS.</w:t>
      </w:r>
    </w:p>
    <w:p w:rsidR="00F64167" w:rsidRPr="0020182A" w:rsidRDefault="00877267" w:rsidP="00F64167">
      <w:pPr>
        <w:pStyle w:val="BodyText"/>
      </w:pPr>
      <w:r>
        <w:t>S</w:t>
      </w:r>
      <w:r w:rsidR="000967AC" w:rsidRPr="0020182A">
        <w:t xml:space="preserve">ustainability </w:t>
      </w:r>
      <w:r>
        <w:t>considerations are embedded within the “reasonable and necessary” test.</w:t>
      </w:r>
      <w:r w:rsidR="000967AC" w:rsidRPr="0020182A">
        <w:t xml:space="preserve"> </w:t>
      </w:r>
      <w:r>
        <w:t>However, t</w:t>
      </w:r>
      <w:r w:rsidR="000967AC" w:rsidRPr="0020182A">
        <w:t>here is a perception in the market that short-term cost management concerns were driving SDA decision-making at the expense of greater choice and control. There is nothing in the SDA Framework to suggest that this should be driving decision-making, with choice and control and sustainability both being called out as important considerations. With limited data available it is difficult to find evidence for this at the current point in time, but it is clearly a market concern.</w:t>
      </w:r>
    </w:p>
    <w:p w:rsidR="000967AC" w:rsidRPr="0020182A" w:rsidRDefault="000967AC" w:rsidP="00F64167">
      <w:pPr>
        <w:pStyle w:val="BodyText"/>
      </w:pPr>
      <w:r w:rsidRPr="0020182A">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ritten submission"/>
        <w:tblDescription w:val="Written submission states: “Perpetuating out-dated views about “SDA models” and “support models” in the operation of the SDA framework, with the aim of cost-effectiveness, will minimise options and opportunities for participants, stifle opportunities to achieve flexible solutions and long-term benefits and distort the profile of the new SDA supply. Given the evidence suggests lifetime costs of group homes are higher, short-term cost savings will create higher long time liabilities for NDIA.” "/>
      </w:tblPr>
      <w:tblGrid>
        <w:gridCol w:w="8072"/>
      </w:tblGrid>
      <w:tr w:rsidR="00612CC4" w:rsidRPr="0020182A" w:rsidTr="00612CC4">
        <w:trPr>
          <w:tblHeader/>
        </w:trPr>
        <w:tc>
          <w:tcPr>
            <w:tcW w:w="8072" w:type="dxa"/>
          </w:tcPr>
          <w:p w:rsidR="00DD5D11" w:rsidRPr="0020182A" w:rsidRDefault="00612CC4" w:rsidP="00DD5D11">
            <w:pPr>
              <w:pStyle w:val="BodyText"/>
              <w:rPr>
                <w:rFonts w:ascii="Arial" w:hAnsi="Arial" w:cs="Arial"/>
                <w:sz w:val="14"/>
                <w:szCs w:val="16"/>
              </w:rPr>
            </w:pPr>
            <w:r>
              <w:t>“</w:t>
            </w:r>
            <w:r w:rsidRPr="0020182A">
              <w:t>Perpetuating out-dated views about “SDA models” and “support models” in the operation of the SDA framework, with the aim of cost-effectiveness, will minimise options and opportunities for participants, stifle opportunities to achieve flexible solutions and long-term benefits and distort the profile of the new SDA supply. Given the evidence suggests lifetime costs of group homes are higher, short-term cost savings will create higher long time liabilities for NDIA.”</w:t>
            </w:r>
          </w:p>
          <w:p w:rsidR="00612CC4" w:rsidRPr="0020182A" w:rsidRDefault="00612CC4" w:rsidP="0070209D">
            <w:pPr>
              <w:pStyle w:val="BodyText"/>
              <w:spacing w:before="0"/>
              <w:jc w:val="right"/>
              <w:rPr>
                <w:rFonts w:ascii="Arial" w:hAnsi="Arial" w:cs="Arial"/>
                <w:sz w:val="14"/>
                <w:szCs w:val="16"/>
              </w:rPr>
            </w:pPr>
            <w:r w:rsidRPr="0020182A">
              <w:rPr>
                <w:rFonts w:ascii="Arial" w:hAnsi="Arial" w:cs="Arial"/>
                <w:sz w:val="14"/>
                <w:szCs w:val="16"/>
              </w:rPr>
              <w:t xml:space="preserve">– </w:t>
            </w:r>
            <w:r w:rsidRPr="00DD5D11">
              <w:rPr>
                <w:sz w:val="16"/>
                <w:szCs w:val="16"/>
              </w:rPr>
              <w:t>Written Submission</w:t>
            </w:r>
          </w:p>
        </w:tc>
      </w:tr>
    </w:tbl>
    <w:p w:rsidR="000967AC" w:rsidRPr="0020182A" w:rsidRDefault="000967AC" w:rsidP="000967AC">
      <w:pPr>
        <w:pStyle w:val="BodyText"/>
        <w:rPr>
          <w:rFonts w:ascii="Arial" w:hAnsi="Arial" w:cs="Arial"/>
          <w:sz w:val="18"/>
        </w:rPr>
      </w:pPr>
    </w:p>
    <w:p w:rsidR="000967AC" w:rsidRPr="0020182A" w:rsidRDefault="000967AC" w:rsidP="00F64167">
      <w:pPr>
        <w:pStyle w:val="BodyText"/>
      </w:pPr>
      <w:r w:rsidRPr="0020182A">
        <w:t xml:space="preserve">While the SDA Framework does have a focus on sustainability, further guidance is required to assist decision-makers in balancing sustainability with participant </w:t>
      </w:r>
      <w:r w:rsidR="00570FBF">
        <w:t>preferences</w:t>
      </w:r>
      <w:r w:rsidRPr="0020182A">
        <w:t xml:space="preserve"> and other considerations in determining SDA.</w:t>
      </w:r>
    </w:p>
    <w:p w:rsidR="000967AC" w:rsidRPr="003C6F49" w:rsidRDefault="000967AC" w:rsidP="003C6F49">
      <w:pPr>
        <w:pStyle w:val="BodyText2"/>
        <w:rPr>
          <w:b/>
          <w:sz w:val="24"/>
        </w:rPr>
      </w:pPr>
      <w:r w:rsidRPr="003C6F49">
        <w:rPr>
          <w:b/>
          <w:sz w:val="24"/>
        </w:rPr>
        <w:t xml:space="preserve">The SDA Framework does not consider how SDA and other support funding can be used flexibly to achieve better value and improved participant outcomes </w:t>
      </w:r>
    </w:p>
    <w:p w:rsidR="000967AC" w:rsidRPr="0020182A" w:rsidRDefault="000967AC" w:rsidP="00F64167">
      <w:pPr>
        <w:pStyle w:val="BodyText"/>
      </w:pPr>
      <w:r w:rsidRPr="0020182A">
        <w:t xml:space="preserve">At a macro level, SDA has the potential to contribute to greater scheme sustainability by facilitating specialised housing and support models that will ultimately create long term savings and improved participant outcomes. In order for this to be achievable, decisions around SDA need to consider both capital and support funding streams to balance efficient use of funds with effective long term Participant outcomes. </w:t>
      </w:r>
    </w:p>
    <w:p w:rsidR="000967AC" w:rsidRPr="0020182A" w:rsidRDefault="000967AC" w:rsidP="00F64167">
      <w:pPr>
        <w:pStyle w:val="BodyText"/>
      </w:pPr>
      <w:r w:rsidRPr="0020182A">
        <w:t xml:space="preserve">Under the SDA </w:t>
      </w:r>
      <w:r w:rsidR="0081240A" w:rsidRPr="0020182A">
        <w:t>Framework, SDA is applied</w:t>
      </w:r>
      <w:r w:rsidRPr="0020182A">
        <w:t xml:space="preserve"> as a capital subsidy stream, with savings being contemplated in terms of pooling support funding through shared housing arrangements. Viewing SDA purely as a capital subsidy is likely to prevent greater opportunities for value for money and improved sustainability of the scheme by segmenting it away from other support arrangements. Many stakeholders asserted that as a result, value was not being realised as decisions around eligibility, </w:t>
      </w:r>
      <w:r w:rsidRPr="0020182A">
        <w:lastRenderedPageBreak/>
        <w:t>funding and pricing were too disjointed in an environment where participants needed to be more engaged in decisions about how their entire support package can b</w:t>
      </w:r>
      <w:r w:rsidR="00F64167" w:rsidRPr="0020182A">
        <w:t>est meet their long-term goals.</w:t>
      </w:r>
    </w:p>
    <w:p w:rsidR="00F64167" w:rsidRPr="0020182A" w:rsidRDefault="00F64167" w:rsidP="00F64167">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ritten submission"/>
        <w:tblDescription w:val="Written submission states “The separation of the analysis of the cost of SDA from the evaluation of a person’s total cost of care…can lead to less than optimal results from a value for money perspective” "/>
      </w:tblPr>
      <w:tblGrid>
        <w:gridCol w:w="8072"/>
      </w:tblGrid>
      <w:tr w:rsidR="00612CC4" w:rsidRPr="0020182A" w:rsidTr="00612CC4">
        <w:trPr>
          <w:tblHeader/>
        </w:trPr>
        <w:tc>
          <w:tcPr>
            <w:tcW w:w="8072" w:type="dxa"/>
          </w:tcPr>
          <w:p w:rsidR="00DD5D11" w:rsidRPr="0020182A" w:rsidRDefault="00612CC4" w:rsidP="00DD5D11">
            <w:pPr>
              <w:pStyle w:val="BodyText"/>
              <w:rPr>
                <w:sz w:val="14"/>
                <w:szCs w:val="16"/>
              </w:rPr>
            </w:pPr>
            <w:r>
              <w:t>“</w:t>
            </w:r>
            <w:r w:rsidRPr="0020182A">
              <w:t>The separation of the analysis of the cost of SDA from the evaluation of a person’s total cost of care…can lead to less than optimal results from a value for money perspective”</w:t>
            </w:r>
          </w:p>
          <w:p w:rsidR="00612CC4" w:rsidRPr="0020182A" w:rsidRDefault="00612CC4" w:rsidP="00F64167">
            <w:pPr>
              <w:pStyle w:val="BodyText"/>
              <w:jc w:val="right"/>
              <w:rPr>
                <w:sz w:val="14"/>
                <w:szCs w:val="16"/>
              </w:rPr>
            </w:pPr>
            <w:r w:rsidRPr="0020182A">
              <w:rPr>
                <w:sz w:val="14"/>
                <w:szCs w:val="16"/>
              </w:rPr>
              <w:t xml:space="preserve">– Written submission </w:t>
            </w:r>
          </w:p>
        </w:tc>
      </w:tr>
    </w:tbl>
    <w:p w:rsidR="000967AC" w:rsidRPr="0020182A" w:rsidRDefault="000967AC" w:rsidP="000967AC">
      <w:pPr>
        <w:pStyle w:val="BodyText1"/>
        <w:rPr>
          <w:rFonts w:ascii="Arial" w:hAnsi="Arial" w:cs="Arial"/>
          <w:sz w:val="18"/>
        </w:rPr>
      </w:pPr>
    </w:p>
    <w:p w:rsidR="000967AC" w:rsidRPr="00DD5D11" w:rsidRDefault="000967AC" w:rsidP="00DD5D11">
      <w:pPr>
        <w:pStyle w:val="BodyText"/>
      </w:pPr>
      <w:r w:rsidRPr="0020182A">
        <w:t xml:space="preserve">Participants require greater flexibility and opportunity to make more decisions about how to tailor their allocated funding to meet their goals and objectives. As the SDA Framework is currently drafted, there is no incentive to consider SDA payments in the context of the broader funding budget and no guidance or advice on how to achieve the best outcomes from a combination of SDA and other supports such as SIL and transport assistance.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ote from participants and families roundtable"/>
        <w:tblDescription w:val="Quote is “We agree that people should be able to spend more money on housing in order to lower the cost of care, however SDA payments can’t be removed, because it is a payment for long term capital investment” "/>
      </w:tblPr>
      <w:tblGrid>
        <w:gridCol w:w="8072"/>
      </w:tblGrid>
      <w:tr w:rsidR="00612CC4" w:rsidRPr="0020182A" w:rsidTr="00612CC4">
        <w:trPr>
          <w:tblHeader/>
        </w:trPr>
        <w:tc>
          <w:tcPr>
            <w:tcW w:w="8072" w:type="dxa"/>
          </w:tcPr>
          <w:p w:rsidR="00DD5D11" w:rsidRPr="0020182A" w:rsidRDefault="00612CC4" w:rsidP="00DD5D11">
            <w:pPr>
              <w:pStyle w:val="BodyText"/>
              <w:rPr>
                <w:rFonts w:cs="Arial"/>
                <w:sz w:val="14"/>
                <w:szCs w:val="16"/>
              </w:rPr>
            </w:pPr>
            <w:r>
              <w:t>“</w:t>
            </w:r>
            <w:r w:rsidRPr="0020182A">
              <w:t>We agree that people should be able to spend more money on housing in order to lower the cost of care, however SDA payments can’t be removed, because it is a payment for long term capital investment”</w:t>
            </w:r>
          </w:p>
          <w:p w:rsidR="00612CC4" w:rsidRPr="0020182A" w:rsidRDefault="00612CC4" w:rsidP="0070209D">
            <w:pPr>
              <w:pStyle w:val="BodyText"/>
              <w:spacing w:before="0"/>
              <w:jc w:val="right"/>
              <w:rPr>
                <w:rFonts w:cs="Arial"/>
                <w:sz w:val="14"/>
                <w:szCs w:val="16"/>
              </w:rPr>
            </w:pPr>
            <w:r w:rsidRPr="0020182A">
              <w:rPr>
                <w:rFonts w:cs="Arial"/>
                <w:sz w:val="14"/>
                <w:szCs w:val="16"/>
              </w:rPr>
              <w:t>– Participants and Families Roundtable</w:t>
            </w:r>
          </w:p>
        </w:tc>
      </w:tr>
    </w:tbl>
    <w:p w:rsidR="00F64167" w:rsidRPr="0020182A" w:rsidRDefault="00F64167" w:rsidP="004C4901">
      <w:pPr>
        <w:pStyle w:val="BodyText2"/>
      </w:pPr>
    </w:p>
    <w:p w:rsidR="000967AC" w:rsidRPr="0020182A" w:rsidRDefault="000967AC" w:rsidP="004C4901">
      <w:pPr>
        <w:pStyle w:val="Heading3"/>
      </w:pPr>
      <w:r w:rsidRPr="0020182A">
        <w:t>SDA market maturity: Efficiency and Value for Money</w:t>
      </w:r>
    </w:p>
    <w:p w:rsidR="000967AC" w:rsidRPr="0020182A" w:rsidRDefault="000967AC" w:rsidP="00F64167">
      <w:pPr>
        <w:pStyle w:val="BodyText"/>
      </w:pPr>
      <w:r w:rsidRPr="0020182A">
        <w:t xml:space="preserve">The table below provides an overview of the current state of the SDA market in relation to efficiency and value for money, based on the findings from this Review. </w:t>
      </w:r>
    </w:p>
    <w:p w:rsidR="000967AC" w:rsidRPr="0020182A" w:rsidRDefault="000967AC" w:rsidP="000967AC">
      <w:pPr>
        <w:pStyle w:val="Caption"/>
        <w:keepNext/>
        <w:rPr>
          <w:rFonts w:cs="Arial"/>
        </w:rPr>
      </w:pPr>
      <w:r w:rsidRPr="0020182A">
        <w:rPr>
          <w:rFonts w:cs="Arial"/>
        </w:rPr>
        <w:t xml:space="preserve">Table </w:t>
      </w:r>
      <w:r w:rsidRPr="0020182A">
        <w:rPr>
          <w:rFonts w:cs="Arial"/>
          <w:noProof/>
        </w:rPr>
        <w:fldChar w:fldCharType="begin"/>
      </w:r>
      <w:r w:rsidRPr="0020182A">
        <w:rPr>
          <w:rFonts w:cs="Arial"/>
          <w:noProof/>
        </w:rPr>
        <w:instrText xml:space="preserve"> SEQ Table \* ARABIC </w:instrText>
      </w:r>
      <w:r w:rsidRPr="0020182A">
        <w:rPr>
          <w:rFonts w:cs="Arial"/>
          <w:noProof/>
        </w:rPr>
        <w:fldChar w:fldCharType="separate"/>
      </w:r>
      <w:r w:rsidR="00502D19">
        <w:rPr>
          <w:rFonts w:cs="Arial"/>
          <w:noProof/>
        </w:rPr>
        <w:t>10</w:t>
      </w:r>
      <w:r w:rsidRPr="0020182A">
        <w:rPr>
          <w:rFonts w:cs="Arial"/>
          <w:noProof/>
        </w:rPr>
        <w:fldChar w:fldCharType="end"/>
      </w:r>
      <w:r w:rsidRPr="0020182A">
        <w:rPr>
          <w:rFonts w:cs="Arial"/>
        </w:rPr>
        <w:t xml:space="preserve"> Assessment of current level of maturity of the SDA market in relation to efficiency and value for money elements</w:t>
      </w:r>
    </w:p>
    <w:tbl>
      <w:tblPr>
        <w:tblStyle w:val="TableGrid"/>
        <w:tblW w:w="9077" w:type="dxa"/>
        <w:tblInd w:w="-10" w:type="dxa"/>
        <w:tblBorders>
          <w:top w:val="single" w:sz="4" w:space="0" w:color="0091DA" w:themeColor="accent2"/>
          <w:left w:val="none" w:sz="0" w:space="0" w:color="auto"/>
          <w:bottom w:val="single" w:sz="4" w:space="0" w:color="0091DA" w:themeColor="accent2"/>
          <w:right w:val="none" w:sz="0" w:space="0" w:color="auto"/>
          <w:insideH w:val="none" w:sz="0" w:space="0" w:color="auto"/>
          <w:insideV w:val="none" w:sz="0" w:space="0" w:color="auto"/>
        </w:tblBorders>
        <w:tblLook w:val="04A0" w:firstRow="1" w:lastRow="0" w:firstColumn="1" w:lastColumn="0" w:noHBand="0" w:noVBand="1"/>
        <w:tblCaption w:val="Table 10 Assessment of current level of maturity of the SDA market in relation to efficiency and value for money elements"/>
        <w:tblDescription w:val="Assessment of current level of maturity of the SDA market in relation to optimal outcomes and value for money. "/>
      </w:tblPr>
      <w:tblGrid>
        <w:gridCol w:w="8079"/>
        <w:gridCol w:w="998"/>
      </w:tblGrid>
      <w:tr w:rsidR="000967AC" w:rsidRPr="0020182A" w:rsidTr="00612CC4">
        <w:trPr>
          <w:trHeight w:val="1223"/>
          <w:tblHeader/>
        </w:trPr>
        <w:tc>
          <w:tcPr>
            <w:tcW w:w="8075" w:type="dxa"/>
          </w:tcPr>
          <w:p w:rsidR="000967AC" w:rsidRPr="0020182A" w:rsidRDefault="000967AC" w:rsidP="0070209D">
            <w:pPr>
              <w:rPr>
                <w:rFonts w:cs="Arial"/>
                <w:color w:val="0091DA" w:themeColor="accent2"/>
                <w:szCs w:val="20"/>
              </w:rPr>
            </w:pPr>
            <w:r w:rsidRPr="0020182A">
              <w:rPr>
                <w:rFonts w:cs="Arial"/>
                <w:b/>
                <w:i/>
                <w:color w:val="0091DA" w:themeColor="accent2"/>
                <w:szCs w:val="20"/>
              </w:rPr>
              <w:t>Optimal outcomes and value for money:</w:t>
            </w:r>
            <w:r w:rsidRPr="0020182A">
              <w:rPr>
                <w:rFonts w:cs="Arial"/>
                <w:color w:val="0091DA" w:themeColor="accent2"/>
                <w:szCs w:val="20"/>
              </w:rPr>
              <w:t xml:space="preserve"> </w:t>
            </w:r>
          </w:p>
          <w:p w:rsidR="00E7742C" w:rsidRPr="0020182A" w:rsidRDefault="00E7742C" w:rsidP="00E7742C">
            <w:pPr>
              <w:pStyle w:val="Heading5"/>
              <w:outlineLvl w:val="4"/>
            </w:pPr>
            <w:r w:rsidRPr="0020182A">
              <w:t>A well-functioning, regulated SDA market balances efficient use of participant funding and achievement of optimal outcomes, while providing value for money for Government</w:t>
            </w:r>
          </w:p>
          <w:p w:rsidR="00E7742C" w:rsidRPr="0020182A" w:rsidRDefault="00E7742C" w:rsidP="00E7742C">
            <w:pPr>
              <w:pStyle w:val="TableBullet1"/>
              <w:numPr>
                <w:ilvl w:val="0"/>
                <w:numId w:val="0"/>
              </w:numPr>
              <w:tabs>
                <w:tab w:val="left" w:pos="357"/>
              </w:tabs>
              <w:spacing w:before="80" w:after="80"/>
              <w:contextualSpacing w:val="0"/>
              <w:rPr>
                <w:rFonts w:cs="Arial"/>
                <w:szCs w:val="20"/>
              </w:rPr>
            </w:pPr>
            <w:r w:rsidRPr="0020182A">
              <w:rPr>
                <w:rFonts w:cs="Arial"/>
                <w:szCs w:val="20"/>
              </w:rPr>
              <w:t xml:space="preserve">Scheme sustainability is a central focus of the SDA Framework, with particular emphasis placed on efficient price setting, eligibility determination, dwelling requirements. The SDA Framework also includes operational guidance to ensure immediate costs are managed and emphasises economies of scale. </w:t>
            </w:r>
          </w:p>
          <w:p w:rsidR="000967AC" w:rsidRPr="0020182A" w:rsidRDefault="00E7742C" w:rsidP="00F61B99">
            <w:pPr>
              <w:pStyle w:val="TableBullet1"/>
              <w:numPr>
                <w:ilvl w:val="0"/>
                <w:numId w:val="0"/>
              </w:numPr>
              <w:tabs>
                <w:tab w:val="left" w:pos="357"/>
              </w:tabs>
              <w:spacing w:before="80" w:after="80"/>
              <w:contextualSpacing w:val="0"/>
              <w:rPr>
                <w:szCs w:val="18"/>
              </w:rPr>
            </w:pPr>
            <w:r w:rsidRPr="0020182A">
              <w:rPr>
                <w:rFonts w:cs="Arial"/>
                <w:szCs w:val="20"/>
              </w:rPr>
              <w:t>The SDA Framework is not clear on how choice for participants and Scheme sustainability and value for money can be balanced, and whether choice needs to be limited to achieve Scheme sustainability or whether these two objectives can be achieved together.  The SDA Framework also does not consider how SDA and other support funding can be used flexibly to better achieve participant goals or how participants can be engaged in making decisions about using their entire package of supports achieve their long term goals</w:t>
            </w:r>
          </w:p>
        </w:tc>
        <w:tc>
          <w:tcPr>
            <w:tcW w:w="997" w:type="dxa"/>
          </w:tcPr>
          <w:p w:rsidR="000967AC" w:rsidRPr="0020182A" w:rsidRDefault="000967AC" w:rsidP="0070209D">
            <w:pPr>
              <w:jc w:val="center"/>
              <w:rPr>
                <w:rFonts w:ascii="Arial" w:hAnsi="Arial" w:cs="Arial"/>
                <w:sz w:val="18"/>
              </w:rPr>
            </w:pPr>
          </w:p>
        </w:tc>
      </w:tr>
    </w:tbl>
    <w:p w:rsidR="000967AC" w:rsidRPr="0020182A" w:rsidRDefault="000967AC" w:rsidP="000967AC">
      <w:pPr>
        <w:rPr>
          <w:rFonts w:ascii="Arial" w:hAnsi="Arial" w:cs="Arial"/>
          <w:sz w:val="18"/>
        </w:rPr>
      </w:pPr>
    </w:p>
    <w:tbl>
      <w:tblPr>
        <w:tblStyle w:val="TableGrid"/>
        <w:tblW w:w="907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ecommendations"/>
        <w:tblDescription w:val="Recommendation 18 to improve the level and scope of information provided to participants, families, Planners, Support Coordinators and other intermediaries on the options available to use SDA, SIL and other support funding to achieve positive outcomes, while also delivering deliver value for money for the Scheme."/>
      </w:tblPr>
      <w:tblGrid>
        <w:gridCol w:w="989"/>
        <w:gridCol w:w="8088"/>
      </w:tblGrid>
      <w:tr w:rsidR="000967AC" w:rsidRPr="0020182A" w:rsidTr="00612CC4">
        <w:trPr>
          <w:tblHeader/>
        </w:trPr>
        <w:tc>
          <w:tcPr>
            <w:tcW w:w="989" w:type="dxa"/>
          </w:tcPr>
          <w:p w:rsidR="000967AC" w:rsidRPr="0020182A" w:rsidRDefault="000967AC" w:rsidP="0070209D">
            <w:pPr>
              <w:pStyle w:val="BodyText"/>
              <w:rPr>
                <w:rFonts w:ascii="Arial" w:hAnsi="Arial" w:cs="Arial"/>
                <w:color w:val="00A3A1" w:themeColor="accent6"/>
                <w:sz w:val="18"/>
              </w:rPr>
            </w:pPr>
          </w:p>
        </w:tc>
        <w:tc>
          <w:tcPr>
            <w:tcW w:w="8088" w:type="dxa"/>
            <w:vAlign w:val="center"/>
          </w:tcPr>
          <w:p w:rsidR="000967AC" w:rsidRPr="0020182A" w:rsidRDefault="000967AC" w:rsidP="0070209D">
            <w:pPr>
              <w:pStyle w:val="Heading3"/>
              <w:outlineLvl w:val="2"/>
              <w:rPr>
                <w:rFonts w:ascii="Arial" w:hAnsi="Arial" w:cs="Arial"/>
                <w:color w:val="00A3A1" w:themeColor="accent6"/>
                <w:sz w:val="28"/>
              </w:rPr>
            </w:pPr>
            <w:r w:rsidRPr="0020182A">
              <w:rPr>
                <w:rFonts w:ascii="Arial" w:hAnsi="Arial" w:cs="Arial"/>
                <w:color w:val="00A3A1" w:themeColor="accent6"/>
                <w:sz w:val="28"/>
              </w:rPr>
              <w:t xml:space="preserve">Recommendations </w:t>
            </w:r>
          </w:p>
        </w:tc>
      </w:tr>
    </w:tbl>
    <w:p w:rsidR="008F33D9" w:rsidRPr="003C6F49" w:rsidRDefault="008F33D9" w:rsidP="003C6F49">
      <w:pPr>
        <w:pStyle w:val="BodyText2"/>
        <w:rPr>
          <w:sz w:val="20"/>
        </w:rPr>
      </w:pPr>
      <w:r w:rsidRPr="003C6F49">
        <w:rPr>
          <w:sz w:val="20"/>
        </w:rPr>
        <w:t>Recommendation 18: Improve the level and scope of information provided to participants, families, Planners, Support Coordinators and other intermediaries on the options available to use SDA, SIL and other support funding to achieve positive outcomes, while also delivering deliver value for money for the Scheme.</w:t>
      </w:r>
    </w:p>
    <w:p w:rsidR="008F33D9" w:rsidRPr="0020182A" w:rsidRDefault="008F33D9" w:rsidP="008F33D9">
      <w:pPr>
        <w:spacing w:before="80" w:after="80"/>
        <w:rPr>
          <w:rFonts w:cs="Arial"/>
          <w:szCs w:val="20"/>
        </w:rPr>
      </w:pPr>
      <w:r w:rsidRPr="0020182A">
        <w:rPr>
          <w:rFonts w:cs="Arial"/>
          <w:szCs w:val="20"/>
        </w:rPr>
        <w:t>There are a number of actions that should be taken to address this:</w:t>
      </w:r>
    </w:p>
    <w:p w:rsidR="008F33D9" w:rsidRDefault="008F33D9" w:rsidP="008F33D9">
      <w:pPr>
        <w:pStyle w:val="BodyText1"/>
        <w:numPr>
          <w:ilvl w:val="0"/>
          <w:numId w:val="65"/>
        </w:numPr>
        <w:tabs>
          <w:tab w:val="clear" w:pos="340"/>
          <w:tab w:val="num" w:pos="723"/>
        </w:tabs>
        <w:spacing w:before="80" w:after="80"/>
        <w:rPr>
          <w:rFonts w:cs="Arial"/>
          <w:szCs w:val="20"/>
        </w:rPr>
      </w:pPr>
      <w:r w:rsidRPr="0020182A">
        <w:rPr>
          <w:rFonts w:cs="Arial"/>
          <w:szCs w:val="20"/>
        </w:rPr>
        <w:lastRenderedPageBreak/>
        <w:t xml:space="preserve">Provide information to participants and families on options available </w:t>
      </w:r>
      <w:r>
        <w:rPr>
          <w:rFonts w:cs="Arial"/>
          <w:szCs w:val="20"/>
        </w:rPr>
        <w:t xml:space="preserve">for using </w:t>
      </w:r>
      <w:r w:rsidRPr="0020182A">
        <w:rPr>
          <w:rFonts w:cs="Arial"/>
          <w:szCs w:val="20"/>
        </w:rPr>
        <w:t>SDA</w:t>
      </w:r>
      <w:r>
        <w:rPr>
          <w:rFonts w:cs="Arial"/>
          <w:szCs w:val="20"/>
        </w:rPr>
        <w:t xml:space="preserve">, SIL and other support funding together or flexibly to </w:t>
      </w:r>
      <w:r w:rsidRPr="0020182A">
        <w:rPr>
          <w:rFonts w:cs="Arial"/>
          <w:szCs w:val="20"/>
        </w:rPr>
        <w:t>help participants achieve their goals. This should be supplemented with real participant examples.</w:t>
      </w:r>
    </w:p>
    <w:p w:rsidR="008F33D9" w:rsidRPr="0020182A" w:rsidRDefault="008F33D9" w:rsidP="008F33D9">
      <w:pPr>
        <w:pStyle w:val="BodyText1"/>
        <w:numPr>
          <w:ilvl w:val="0"/>
          <w:numId w:val="65"/>
        </w:numPr>
        <w:tabs>
          <w:tab w:val="clear" w:pos="340"/>
          <w:tab w:val="num" w:pos="723"/>
        </w:tabs>
        <w:spacing w:before="80" w:after="80"/>
        <w:rPr>
          <w:rFonts w:cs="Arial"/>
          <w:szCs w:val="20"/>
        </w:rPr>
      </w:pPr>
      <w:r w:rsidRPr="0020182A">
        <w:rPr>
          <w:rFonts w:cs="Arial"/>
          <w:szCs w:val="20"/>
        </w:rPr>
        <w:t>Consider the training and specialist understanding needs of Planners to successfully facilitate this process for participants and families and provide guidance in assessing available options and the steps involved in making a long term value for money decision.</w:t>
      </w:r>
    </w:p>
    <w:p w:rsidR="008F33D9" w:rsidRPr="0020182A" w:rsidRDefault="008F33D9" w:rsidP="008F33D9">
      <w:pPr>
        <w:pStyle w:val="BodyText1"/>
        <w:numPr>
          <w:ilvl w:val="0"/>
          <w:numId w:val="65"/>
        </w:numPr>
        <w:tabs>
          <w:tab w:val="clear" w:pos="340"/>
          <w:tab w:val="num" w:pos="723"/>
        </w:tabs>
        <w:spacing w:before="80" w:after="80"/>
        <w:rPr>
          <w:rFonts w:cs="Arial"/>
          <w:szCs w:val="20"/>
        </w:rPr>
      </w:pPr>
      <w:r w:rsidRPr="0020182A">
        <w:rPr>
          <w:rFonts w:cs="Arial"/>
          <w:szCs w:val="20"/>
        </w:rPr>
        <w:t>Actively engag</w:t>
      </w:r>
      <w:r>
        <w:rPr>
          <w:rFonts w:cs="Arial"/>
          <w:szCs w:val="20"/>
        </w:rPr>
        <w:t>e</w:t>
      </w:r>
      <w:r w:rsidRPr="0020182A">
        <w:rPr>
          <w:rFonts w:cs="Arial"/>
          <w:szCs w:val="20"/>
        </w:rPr>
        <w:t xml:space="preserve"> participants in decision making about different combinations of SDA and other support funding that will best help them meet their long-term goals</w:t>
      </w:r>
    </w:p>
    <w:p w:rsidR="008F33D9" w:rsidRDefault="008F33D9" w:rsidP="008F33D9">
      <w:pPr>
        <w:pStyle w:val="BodyText1"/>
        <w:keepNext/>
        <w:numPr>
          <w:ilvl w:val="0"/>
          <w:numId w:val="65"/>
        </w:numPr>
        <w:tabs>
          <w:tab w:val="clear" w:pos="340"/>
          <w:tab w:val="num" w:pos="723"/>
        </w:tabs>
        <w:spacing w:before="80" w:after="80"/>
        <w:rPr>
          <w:rFonts w:cs="Arial"/>
          <w:szCs w:val="20"/>
        </w:rPr>
      </w:pPr>
      <w:r>
        <w:rPr>
          <w:rFonts w:cs="Arial"/>
          <w:szCs w:val="20"/>
        </w:rPr>
        <w:t>U</w:t>
      </w:r>
      <w:r w:rsidRPr="0020182A">
        <w:rPr>
          <w:rFonts w:cs="Arial"/>
          <w:szCs w:val="20"/>
        </w:rPr>
        <w:t>ndertake and collate research</w:t>
      </w:r>
      <w:r>
        <w:rPr>
          <w:rFonts w:cs="Arial"/>
          <w:szCs w:val="20"/>
        </w:rPr>
        <w:t xml:space="preserve"> </w:t>
      </w:r>
      <w:r w:rsidRPr="0020182A">
        <w:rPr>
          <w:rFonts w:cs="Arial"/>
          <w:szCs w:val="20"/>
        </w:rPr>
        <w:t>on long term benefits and outcomes of particular SDA options and plan combinations to support value for money decision making. This should be communicated to Planners and participants to be drawn upon in the decision-making process, and how this can be implemented in a way that is consistent with participant choice and control.</w:t>
      </w:r>
    </w:p>
    <w:p w:rsidR="008F33D9" w:rsidRPr="0020182A" w:rsidRDefault="008F33D9" w:rsidP="008F33D9">
      <w:pPr>
        <w:pStyle w:val="BodyText1"/>
        <w:numPr>
          <w:ilvl w:val="0"/>
          <w:numId w:val="65"/>
        </w:numPr>
        <w:tabs>
          <w:tab w:val="clear" w:pos="340"/>
          <w:tab w:val="num" w:pos="723"/>
        </w:tabs>
        <w:spacing w:before="80" w:after="80"/>
        <w:rPr>
          <w:rFonts w:cs="Arial"/>
          <w:szCs w:val="20"/>
        </w:rPr>
      </w:pPr>
      <w:r>
        <w:rPr>
          <w:rFonts w:cs="Arial"/>
          <w:szCs w:val="20"/>
        </w:rPr>
        <w:t xml:space="preserve">Showcase how innovative SDA design can contribute to reducing SIL and other support costs. </w:t>
      </w:r>
    </w:p>
    <w:p w:rsidR="00E7742C" w:rsidRPr="0020182A" w:rsidRDefault="00E7742C" w:rsidP="00E7742C">
      <w:pPr>
        <w:pStyle w:val="Caption"/>
        <w:rPr>
          <w:sz w:val="20"/>
          <w:szCs w:val="20"/>
        </w:rPr>
        <w:sectPr w:rsidR="00E7742C" w:rsidRPr="0020182A" w:rsidSect="007C09E2">
          <w:headerReference w:type="default" r:id="rId59"/>
          <w:footerReference w:type="default" r:id="rId60"/>
          <w:pgSz w:w="11906" w:h="16838"/>
          <w:pgMar w:top="1418" w:right="1418" w:bottom="1418" w:left="1418" w:header="340" w:footer="453" w:gutter="0"/>
          <w:cols w:space="708"/>
          <w:docGrid w:linePitch="360"/>
        </w:sectPr>
      </w:pPr>
    </w:p>
    <w:p w:rsidR="0081240A" w:rsidRPr="0020182A" w:rsidRDefault="0081240A" w:rsidP="00FE4B7E">
      <w:pPr>
        <w:pStyle w:val="Heading2"/>
      </w:pPr>
      <w:bookmarkStart w:id="75" w:name="_Toc530648959"/>
      <w:r w:rsidRPr="0020182A">
        <w:lastRenderedPageBreak/>
        <w:t>Summary of findings</w:t>
      </w:r>
      <w:bookmarkEnd w:id="75"/>
      <w:r w:rsidRPr="0020182A">
        <w:t xml:space="preserve"> </w:t>
      </w:r>
    </w:p>
    <w:p w:rsidR="0049047D" w:rsidRPr="0020182A" w:rsidRDefault="0081240A" w:rsidP="0049047D">
      <w:pPr>
        <w:rPr>
          <w:rFonts w:cs="Arial"/>
          <w:szCs w:val="20"/>
        </w:rPr>
      </w:pPr>
      <w:r w:rsidRPr="0020182A">
        <w:rPr>
          <w:rFonts w:cs="Arial"/>
          <w:szCs w:val="20"/>
        </w:rPr>
        <w:t xml:space="preserve">Section 4 provides a detailed description of the findings of the Review and recommendations for improving and revising the SDA Framework, improving aspects of SDA operation, and further facilitating SDA market development and supply growth. </w:t>
      </w:r>
      <w:r w:rsidR="00E854BA" w:rsidRPr="0020182A">
        <w:rPr>
          <w:rFonts w:cs="Arial"/>
          <w:szCs w:val="20"/>
        </w:rPr>
        <w:t xml:space="preserve"> The main findings are:</w:t>
      </w:r>
    </w:p>
    <w:p w:rsidR="0049047D" w:rsidRPr="0020182A" w:rsidRDefault="0049047D" w:rsidP="0049047D">
      <w:pPr>
        <w:pStyle w:val="Heading3"/>
      </w:pPr>
      <w:r w:rsidRPr="0020182A">
        <w:t>Demand</w:t>
      </w:r>
    </w:p>
    <w:p w:rsidR="002351C9" w:rsidRPr="003C6F49" w:rsidRDefault="002351C9" w:rsidP="003C6F49">
      <w:pPr>
        <w:pStyle w:val="BodyText2"/>
        <w:rPr>
          <w:sz w:val="20"/>
        </w:rPr>
      </w:pPr>
      <w:r w:rsidRPr="003C6F49">
        <w:rPr>
          <w:sz w:val="20"/>
        </w:rPr>
        <w:t>Consumer choice: In a well-functioning SDA market, participants should be able to express their preferences to the market and influence the development and provision of SDA which meets their preferences, consistent with the notions of choice and control and reasonable and necessary supports.</w:t>
      </w:r>
    </w:p>
    <w:p w:rsidR="002351C9" w:rsidRPr="0020182A" w:rsidRDefault="002351C9" w:rsidP="002351C9">
      <w:pPr>
        <w:pStyle w:val="TableBullet1"/>
        <w:numPr>
          <w:ilvl w:val="0"/>
          <w:numId w:val="0"/>
        </w:numPr>
        <w:spacing w:before="80" w:after="80"/>
        <w:contextualSpacing w:val="0"/>
        <w:rPr>
          <w:rFonts w:cs="Arial"/>
          <w:szCs w:val="20"/>
        </w:rPr>
      </w:pPr>
      <w:r w:rsidRPr="0020182A">
        <w:rPr>
          <w:rFonts w:cs="Arial"/>
          <w:szCs w:val="20"/>
        </w:rPr>
        <w:t>Review findings in relation to consumer choice are:</w:t>
      </w:r>
    </w:p>
    <w:p w:rsidR="002351C9" w:rsidRPr="0020182A" w:rsidRDefault="002351C9" w:rsidP="002351C9">
      <w:pPr>
        <w:pStyle w:val="TableBullet1"/>
        <w:numPr>
          <w:ilvl w:val="0"/>
          <w:numId w:val="0"/>
        </w:numPr>
        <w:spacing w:before="80" w:after="80"/>
        <w:contextualSpacing w:val="0"/>
        <w:rPr>
          <w:rFonts w:cs="Arial"/>
          <w:i/>
          <w:szCs w:val="20"/>
        </w:rPr>
      </w:pPr>
      <w:r w:rsidRPr="0020182A">
        <w:rPr>
          <w:rFonts w:cs="Arial"/>
          <w:i/>
          <w:szCs w:val="20"/>
        </w:rPr>
        <w:t xml:space="preserve">Finding 1: The concept of choice is articulated at a theoretical level in the SDA Framework, and the SDA Framework provides guidance to balance choice with reasonable and necessary requirements and cost effectiveness. </w:t>
      </w:r>
    </w:p>
    <w:p w:rsidR="002351C9" w:rsidRPr="0020182A" w:rsidRDefault="002351C9" w:rsidP="002351C9">
      <w:pPr>
        <w:pStyle w:val="TableBullet1"/>
        <w:numPr>
          <w:ilvl w:val="0"/>
          <w:numId w:val="0"/>
        </w:numPr>
        <w:spacing w:before="80" w:after="80"/>
        <w:contextualSpacing w:val="0"/>
        <w:rPr>
          <w:rFonts w:cs="Arial"/>
          <w:szCs w:val="20"/>
        </w:rPr>
      </w:pPr>
      <w:r w:rsidRPr="0020182A">
        <w:rPr>
          <w:rFonts w:cs="Arial"/>
          <w:szCs w:val="20"/>
        </w:rPr>
        <w:t>However, in practice participants eligible for SDA, and in particular those who are not already living in an existing SDA property, have limited choice due to a lack of SDA dwellings and vacancies.  Further, the Rules mean that the SDA participant planning process is relatively complex, and does not facilitate a discussion about options and possible funding trade-offs in decisions around SDA and other supports.</w:t>
      </w:r>
    </w:p>
    <w:p w:rsidR="002351C9" w:rsidRPr="0020182A" w:rsidRDefault="00570FBF" w:rsidP="002351C9">
      <w:pPr>
        <w:pStyle w:val="TableBullet1"/>
        <w:numPr>
          <w:ilvl w:val="0"/>
          <w:numId w:val="0"/>
        </w:numPr>
        <w:spacing w:before="120" w:after="80"/>
        <w:contextualSpacing w:val="0"/>
        <w:rPr>
          <w:rFonts w:cs="Arial"/>
          <w:i/>
          <w:szCs w:val="20"/>
        </w:rPr>
      </w:pPr>
      <w:r>
        <w:rPr>
          <w:rFonts w:cs="Arial"/>
          <w:i/>
          <w:szCs w:val="20"/>
        </w:rPr>
        <w:t xml:space="preserve">Finding 2: The SDA Framework and </w:t>
      </w:r>
      <w:r w:rsidR="002351C9" w:rsidRPr="0020182A">
        <w:rPr>
          <w:rFonts w:cs="Arial"/>
          <w:i/>
          <w:szCs w:val="20"/>
        </w:rPr>
        <w:t xml:space="preserve">Rules do not fully consider the range of preferences being expressed by participants in relation to their living arrangements, and the market has not yet responded to the range of participant preferences. </w:t>
      </w:r>
    </w:p>
    <w:p w:rsidR="00FD1A5D" w:rsidRPr="0020182A" w:rsidRDefault="00FD1A5D" w:rsidP="002351C9">
      <w:pPr>
        <w:pStyle w:val="TableBullet1"/>
        <w:numPr>
          <w:ilvl w:val="0"/>
          <w:numId w:val="0"/>
        </w:numPr>
        <w:spacing w:before="80" w:after="80"/>
        <w:contextualSpacing w:val="0"/>
        <w:rPr>
          <w:rFonts w:cs="Arial"/>
          <w:szCs w:val="20"/>
        </w:rPr>
      </w:pPr>
      <w:r w:rsidRPr="0020182A">
        <w:rPr>
          <w:rFonts w:cs="Arial"/>
          <w:szCs w:val="20"/>
        </w:rPr>
        <w:t xml:space="preserve">At this stage of market development, there is still a predominance of the group home model, reflecting the fact that most existing and legacy stock are group homes.  </w:t>
      </w:r>
      <w:r>
        <w:rPr>
          <w:rFonts w:cs="Arial"/>
          <w:szCs w:val="20"/>
        </w:rPr>
        <w:t>I</w:t>
      </w:r>
      <w:r w:rsidRPr="0020182A">
        <w:rPr>
          <w:rFonts w:cs="Arial"/>
          <w:szCs w:val="20"/>
        </w:rPr>
        <w:t xml:space="preserve">t is expected that the market will respond over time to meet a broader range of participant preferences, </w:t>
      </w:r>
      <w:r>
        <w:rPr>
          <w:rFonts w:cs="Arial"/>
          <w:szCs w:val="20"/>
        </w:rPr>
        <w:t xml:space="preserve">and </w:t>
      </w:r>
      <w:r w:rsidRPr="0020182A">
        <w:rPr>
          <w:rFonts w:cs="Arial"/>
          <w:szCs w:val="20"/>
        </w:rPr>
        <w:t>there is some early evidence that the</w:t>
      </w:r>
      <w:r>
        <w:rPr>
          <w:rFonts w:cs="Arial"/>
          <w:szCs w:val="20"/>
        </w:rPr>
        <w:t>re</w:t>
      </w:r>
      <w:r w:rsidRPr="0020182A">
        <w:rPr>
          <w:rFonts w:cs="Arial"/>
          <w:szCs w:val="20"/>
        </w:rPr>
        <w:t xml:space="preserve"> </w:t>
      </w:r>
      <w:r>
        <w:rPr>
          <w:rFonts w:cs="Arial"/>
          <w:szCs w:val="20"/>
        </w:rPr>
        <w:t xml:space="preserve">have been a number of new, smaller SDA dwellings (1-3 residents) enrolled.  </w:t>
      </w:r>
    </w:p>
    <w:p w:rsidR="002351C9" w:rsidRPr="0020182A" w:rsidRDefault="002351C9" w:rsidP="002351C9">
      <w:pPr>
        <w:pStyle w:val="TableBullet1"/>
        <w:numPr>
          <w:ilvl w:val="0"/>
          <w:numId w:val="0"/>
        </w:numPr>
        <w:spacing w:before="80" w:after="80"/>
        <w:contextualSpacing w:val="0"/>
        <w:rPr>
          <w:rFonts w:cs="Arial"/>
          <w:szCs w:val="20"/>
        </w:rPr>
      </w:pPr>
      <w:r w:rsidRPr="0020182A">
        <w:rPr>
          <w:rFonts w:cs="Arial"/>
          <w:szCs w:val="20"/>
        </w:rPr>
        <w:t xml:space="preserve">Further, some participants would like to live alone or with people without disability (such as partners, family, friends), though at this point in time these options are not widely available.  Despite early market interest and activity in developing single-person SDA dwellings the NDIA </w:t>
      </w:r>
      <w:r w:rsidR="00804ECF">
        <w:rPr>
          <w:rFonts w:cs="Arial"/>
          <w:szCs w:val="20"/>
        </w:rPr>
        <w:t xml:space="preserve">has signalled through the Investor Brief </w:t>
      </w:r>
      <w:r w:rsidRPr="0020182A">
        <w:rPr>
          <w:rFonts w:cs="Arial"/>
          <w:szCs w:val="20"/>
        </w:rPr>
        <w:t>that only a limited number of SDA-eligible participants will be able to live alone</w:t>
      </w:r>
      <w:r w:rsidR="00804ECF">
        <w:rPr>
          <w:rFonts w:cs="Arial"/>
          <w:szCs w:val="20"/>
        </w:rPr>
        <w:t xml:space="preserve">.  In addition, </w:t>
      </w:r>
      <w:r w:rsidRPr="0020182A">
        <w:rPr>
          <w:rFonts w:cs="Arial"/>
          <w:szCs w:val="20"/>
        </w:rPr>
        <w:t xml:space="preserve">pricing arrangements mean that the market has shown little interest to date in developing SDA dwellings </w:t>
      </w:r>
      <w:r>
        <w:rPr>
          <w:rFonts w:cs="Arial"/>
          <w:szCs w:val="20"/>
        </w:rPr>
        <w:t>that</w:t>
      </w:r>
      <w:r w:rsidRPr="0020182A">
        <w:rPr>
          <w:rFonts w:cs="Arial"/>
          <w:szCs w:val="20"/>
        </w:rPr>
        <w:t xml:space="preserve"> can accommodate both SDA-eligible participants and others without disability given the lower returns this will generate.</w:t>
      </w:r>
    </w:p>
    <w:p w:rsidR="002351C9" w:rsidRPr="003C6F49" w:rsidRDefault="002351C9" w:rsidP="003C6F49">
      <w:pPr>
        <w:pStyle w:val="BodyText2"/>
        <w:rPr>
          <w:sz w:val="20"/>
        </w:rPr>
      </w:pPr>
      <w:r w:rsidRPr="003C6F49">
        <w:rPr>
          <w:sz w:val="20"/>
        </w:rPr>
        <w:t xml:space="preserve">Access:  In a well-functioning, demand-regulated SDA market, rules and processes for determining eligibility for SDA should be clear and transparent and consistently applied, and result in participants most in need and most likely to benefit gaining access to SDA </w:t>
      </w:r>
    </w:p>
    <w:p w:rsidR="002351C9" w:rsidRPr="0020182A" w:rsidRDefault="002351C9" w:rsidP="002351C9">
      <w:pPr>
        <w:pStyle w:val="TableBullet1"/>
        <w:numPr>
          <w:ilvl w:val="0"/>
          <w:numId w:val="0"/>
        </w:numPr>
        <w:spacing w:before="80" w:after="80"/>
        <w:contextualSpacing w:val="0"/>
        <w:rPr>
          <w:rFonts w:cs="Arial"/>
          <w:szCs w:val="20"/>
        </w:rPr>
      </w:pPr>
      <w:r w:rsidRPr="0020182A">
        <w:rPr>
          <w:rFonts w:cs="Arial"/>
          <w:szCs w:val="20"/>
        </w:rPr>
        <w:t>Review findings in relation to access are:</w:t>
      </w:r>
    </w:p>
    <w:p w:rsidR="00C47443" w:rsidRPr="0020182A" w:rsidRDefault="00C47443" w:rsidP="00C47443">
      <w:pPr>
        <w:pStyle w:val="TableBullet1"/>
        <w:numPr>
          <w:ilvl w:val="0"/>
          <w:numId w:val="0"/>
        </w:numPr>
        <w:spacing w:before="80" w:after="80"/>
        <w:contextualSpacing w:val="0"/>
        <w:rPr>
          <w:rFonts w:cs="Arial"/>
          <w:i/>
          <w:szCs w:val="20"/>
        </w:rPr>
      </w:pPr>
      <w:r w:rsidRPr="0020182A">
        <w:rPr>
          <w:rFonts w:cs="Arial"/>
          <w:i/>
          <w:szCs w:val="20"/>
        </w:rPr>
        <w:t xml:space="preserve">Finding 3: The </w:t>
      </w:r>
      <w:r>
        <w:rPr>
          <w:rFonts w:cs="Arial"/>
          <w:i/>
          <w:szCs w:val="20"/>
        </w:rPr>
        <w:t xml:space="preserve">Rules and </w:t>
      </w:r>
      <w:r w:rsidRPr="0020182A">
        <w:rPr>
          <w:rFonts w:cs="Arial"/>
          <w:i/>
          <w:szCs w:val="20"/>
        </w:rPr>
        <w:t>process</w:t>
      </w:r>
      <w:r>
        <w:rPr>
          <w:rFonts w:cs="Arial"/>
          <w:i/>
          <w:szCs w:val="20"/>
        </w:rPr>
        <w:t>es</w:t>
      </w:r>
      <w:r w:rsidRPr="0020182A">
        <w:rPr>
          <w:rFonts w:cs="Arial"/>
          <w:i/>
          <w:szCs w:val="20"/>
        </w:rPr>
        <w:t xml:space="preserve"> for confirming eligibility for SDA and having SDA funding includ</w:t>
      </w:r>
      <w:r>
        <w:rPr>
          <w:rFonts w:cs="Arial"/>
          <w:i/>
          <w:szCs w:val="20"/>
        </w:rPr>
        <w:t>ed</w:t>
      </w:r>
      <w:r w:rsidRPr="0020182A">
        <w:rPr>
          <w:rFonts w:cs="Arial"/>
          <w:i/>
          <w:szCs w:val="20"/>
        </w:rPr>
        <w:t xml:space="preserve"> in a participant’s plan is complex and delaying access to SDA. </w:t>
      </w:r>
    </w:p>
    <w:p w:rsidR="00C47443" w:rsidRPr="0020182A" w:rsidRDefault="00C47443" w:rsidP="00C47443">
      <w:pPr>
        <w:pStyle w:val="BodyText1"/>
        <w:rPr>
          <w:rFonts w:cs="Arial"/>
          <w:szCs w:val="20"/>
        </w:rPr>
      </w:pPr>
      <w:r w:rsidRPr="0020182A">
        <w:t xml:space="preserve">Eligibility criteria are clearly established within the SDA Framework, with additional clarity provided in the SDA Rules. However, the Review found that the </w:t>
      </w:r>
      <w:r>
        <w:t xml:space="preserve">Rules and subsequent </w:t>
      </w:r>
      <w:r w:rsidRPr="0020182A">
        <w:t>process</w:t>
      </w:r>
      <w:r>
        <w:t>es</w:t>
      </w:r>
      <w:r w:rsidRPr="0020182A">
        <w:t xml:space="preserve"> for confirming eligibility for SDA and having SDA funding includ</w:t>
      </w:r>
      <w:r>
        <w:t>ed</w:t>
      </w:r>
      <w:r w:rsidRPr="0020182A">
        <w:t xml:space="preserve"> in a participant’s plan is complex, and this was creating delays in accessing SDA. </w:t>
      </w:r>
      <w:r w:rsidRPr="0020182A">
        <w:rPr>
          <w:rFonts w:cs="Arial"/>
          <w:szCs w:val="20"/>
        </w:rPr>
        <w:t xml:space="preserve"> </w:t>
      </w:r>
    </w:p>
    <w:p w:rsidR="00C47443" w:rsidRPr="003C6F49" w:rsidRDefault="00C47443" w:rsidP="003C6F49">
      <w:pPr>
        <w:pStyle w:val="BodyText2"/>
        <w:rPr>
          <w:sz w:val="20"/>
        </w:rPr>
      </w:pPr>
      <w:r w:rsidRPr="003C6F49">
        <w:rPr>
          <w:sz w:val="20"/>
        </w:rPr>
        <w:t>In particular, there is requirement in the Rules which states that, even if a participant is eligible for SDA, funding will not be allocated to that participant unless an SDA dwelling is, or will very soon be, available.  In reality this means that participants are unable to secure SDA funding without finding an SDA place, but an SDA provider is unwilling to make an offer without a guarantee of SDA funding.</w:t>
      </w:r>
    </w:p>
    <w:p w:rsidR="002351C9" w:rsidRPr="003C6F49" w:rsidRDefault="002351C9" w:rsidP="003C6F49">
      <w:pPr>
        <w:pStyle w:val="BodyText2"/>
        <w:rPr>
          <w:sz w:val="20"/>
        </w:rPr>
      </w:pPr>
      <w:r w:rsidRPr="003C6F49">
        <w:rPr>
          <w:sz w:val="20"/>
        </w:rPr>
        <w:t xml:space="preserve">In particular, there is requirement in the Rules which states that, even if a participant is eligible for SDA, funding will not be allocated to that participant unless an SDA dwelling is, or will very soon be, </w:t>
      </w:r>
      <w:r w:rsidRPr="003C6F49">
        <w:rPr>
          <w:sz w:val="20"/>
        </w:rPr>
        <w:lastRenderedPageBreak/>
        <w:t>available.  In reality this means that participants are unable to secure SDA funding without finding an SDA place, but an SDA provider is unwilling to make an offer without a guarantee of SDA funding.</w:t>
      </w:r>
    </w:p>
    <w:p w:rsidR="002351C9" w:rsidRPr="003C6F49" w:rsidRDefault="002351C9" w:rsidP="003C6F49">
      <w:pPr>
        <w:pStyle w:val="BodyText2"/>
        <w:rPr>
          <w:sz w:val="20"/>
        </w:rPr>
      </w:pPr>
      <w:r w:rsidRPr="003C6F49">
        <w:rPr>
          <w:sz w:val="20"/>
        </w:rPr>
        <w:t>Information:  In a well-functioning SDA market, participants should have access to sufficient information on SDA supply and availability to enable them to exercise choice and control</w:t>
      </w:r>
    </w:p>
    <w:p w:rsidR="002351C9" w:rsidRPr="0020182A" w:rsidRDefault="002351C9" w:rsidP="002351C9">
      <w:pPr>
        <w:pStyle w:val="TableBullet1"/>
        <w:numPr>
          <w:ilvl w:val="0"/>
          <w:numId w:val="0"/>
        </w:numPr>
        <w:spacing w:before="80" w:after="80"/>
        <w:contextualSpacing w:val="0"/>
        <w:rPr>
          <w:rFonts w:cs="Arial"/>
          <w:szCs w:val="20"/>
        </w:rPr>
      </w:pPr>
      <w:r w:rsidRPr="0020182A">
        <w:rPr>
          <w:rFonts w:cs="Arial"/>
          <w:szCs w:val="20"/>
        </w:rPr>
        <w:t>Review findings in relation to participant information are:</w:t>
      </w:r>
    </w:p>
    <w:p w:rsidR="002351C9" w:rsidRPr="0020182A" w:rsidRDefault="002351C9" w:rsidP="002351C9">
      <w:pPr>
        <w:spacing w:before="80" w:after="80"/>
        <w:rPr>
          <w:rFonts w:cs="Arial"/>
          <w:i/>
          <w:noProof/>
          <w:szCs w:val="20"/>
          <w:lang w:eastAsia="en-AU"/>
        </w:rPr>
      </w:pPr>
      <w:r w:rsidRPr="0020182A">
        <w:rPr>
          <w:rFonts w:cs="Arial"/>
          <w:i/>
          <w:noProof/>
          <w:szCs w:val="20"/>
          <w:lang w:eastAsia="en-AU"/>
        </w:rPr>
        <w:t xml:space="preserve">Finding 4: Information about SDA properties and vacancies is starting to emerge, but currently participants and families are finding it difficult to find and connect with SDA providers </w:t>
      </w:r>
      <w:r>
        <w:rPr>
          <w:rFonts w:cs="Arial"/>
          <w:i/>
          <w:noProof/>
          <w:szCs w:val="20"/>
          <w:lang w:eastAsia="en-AU"/>
        </w:rPr>
        <w:t>that have</w:t>
      </w:r>
      <w:r w:rsidRPr="0020182A">
        <w:rPr>
          <w:rFonts w:cs="Arial"/>
          <w:i/>
          <w:noProof/>
          <w:szCs w:val="20"/>
          <w:lang w:eastAsia="en-AU"/>
        </w:rPr>
        <w:t xml:space="preserve"> vacancies</w:t>
      </w:r>
    </w:p>
    <w:p w:rsidR="002351C9" w:rsidRPr="0020182A" w:rsidRDefault="002351C9" w:rsidP="002351C9">
      <w:pPr>
        <w:spacing w:before="80" w:after="80"/>
        <w:rPr>
          <w:rFonts w:cs="Arial"/>
          <w:noProof/>
          <w:szCs w:val="20"/>
          <w:lang w:eastAsia="en-AU"/>
        </w:rPr>
      </w:pPr>
      <w:r w:rsidRPr="0020182A">
        <w:rPr>
          <w:rFonts w:cs="Arial"/>
          <w:noProof/>
          <w:szCs w:val="20"/>
          <w:lang w:eastAsia="en-AU"/>
        </w:rPr>
        <w:t xml:space="preserve">The Review found that there is a lack of information available on existing and planned SDA dwellings and SDA vancancies, though </w:t>
      </w:r>
      <w:r>
        <w:rPr>
          <w:rFonts w:cs="Arial"/>
          <w:noProof/>
          <w:szCs w:val="20"/>
          <w:lang w:eastAsia="en-AU"/>
        </w:rPr>
        <w:t xml:space="preserve">it is </w:t>
      </w:r>
      <w:r w:rsidRPr="0020182A">
        <w:rPr>
          <w:rFonts w:cs="Arial"/>
          <w:noProof/>
          <w:szCs w:val="20"/>
          <w:lang w:eastAsia="en-AU"/>
        </w:rPr>
        <w:t xml:space="preserve">noted that there are a number of web-based platforms that are  emerging that will provide this information (for example the ‘Nest’ and ’Housing Hub’ platforms). These platforms would benefit from the inclusion of information held by Government and providers in relation to SDA provider registrations, and enrolled and planned dwellings. </w:t>
      </w:r>
    </w:p>
    <w:p w:rsidR="002351C9" w:rsidRPr="0020182A" w:rsidRDefault="002351C9" w:rsidP="002351C9">
      <w:pPr>
        <w:spacing w:before="80" w:after="80"/>
        <w:rPr>
          <w:rFonts w:cs="Arial"/>
          <w:noProof/>
          <w:szCs w:val="20"/>
          <w:lang w:eastAsia="en-AU"/>
        </w:rPr>
      </w:pPr>
      <w:r w:rsidRPr="0020182A">
        <w:rPr>
          <w:rFonts w:cs="Arial"/>
          <w:noProof/>
          <w:szCs w:val="20"/>
          <w:lang w:eastAsia="en-AU"/>
        </w:rPr>
        <w:t>The Review also found that, to date, only a small number of participants have had the opportunity to engage with providers and investors to express their preferences with respect to SDA design.</w:t>
      </w:r>
    </w:p>
    <w:p w:rsidR="0049047D" w:rsidRPr="0020182A" w:rsidRDefault="0049047D" w:rsidP="0049047D">
      <w:pPr>
        <w:pStyle w:val="Heading3"/>
      </w:pPr>
      <w:r w:rsidRPr="0020182A">
        <w:t>Supply</w:t>
      </w:r>
    </w:p>
    <w:p w:rsidR="002351C9" w:rsidRPr="007942B3" w:rsidRDefault="002351C9" w:rsidP="007942B3">
      <w:pPr>
        <w:pStyle w:val="BodyText2"/>
      </w:pPr>
      <w:r w:rsidRPr="007942B3">
        <w:t>Confidence:  In a well-functioning SDA market, current and potential SDA market players have confidence in the market and policy settings to generate sufficient interest and investment to ensure optimal supply</w:t>
      </w:r>
    </w:p>
    <w:p w:rsidR="002351C9" w:rsidRPr="0020182A" w:rsidRDefault="002351C9" w:rsidP="002351C9">
      <w:pPr>
        <w:pStyle w:val="TableBullet1"/>
        <w:numPr>
          <w:ilvl w:val="0"/>
          <w:numId w:val="0"/>
        </w:numPr>
        <w:spacing w:before="80" w:after="80"/>
        <w:contextualSpacing w:val="0"/>
        <w:rPr>
          <w:rFonts w:cs="Arial"/>
          <w:szCs w:val="20"/>
        </w:rPr>
      </w:pPr>
      <w:r w:rsidRPr="0020182A">
        <w:rPr>
          <w:rFonts w:cs="Arial"/>
          <w:szCs w:val="20"/>
        </w:rPr>
        <w:t>Review findings in relation to market confidence are:</w:t>
      </w:r>
    </w:p>
    <w:p w:rsidR="002351C9" w:rsidRPr="0020182A" w:rsidRDefault="002351C9" w:rsidP="002351C9">
      <w:pPr>
        <w:pStyle w:val="Numberbullet1stlevel"/>
        <w:numPr>
          <w:ilvl w:val="0"/>
          <w:numId w:val="0"/>
        </w:numPr>
        <w:spacing w:before="80" w:after="80"/>
        <w:rPr>
          <w:rStyle w:val="White"/>
          <w:rFonts w:cs="Arial"/>
          <w:i/>
          <w:color w:val="auto"/>
          <w:szCs w:val="20"/>
        </w:rPr>
      </w:pPr>
      <w:r w:rsidRPr="0020182A">
        <w:rPr>
          <w:rFonts w:cs="Arial"/>
          <w:i/>
          <w:szCs w:val="20"/>
        </w:rPr>
        <w:t xml:space="preserve">Finding 5: </w:t>
      </w:r>
      <w:r w:rsidRPr="0020182A">
        <w:rPr>
          <w:rStyle w:val="White"/>
          <w:rFonts w:cs="Arial"/>
          <w:i/>
          <w:color w:val="auto"/>
          <w:szCs w:val="20"/>
        </w:rPr>
        <w:t xml:space="preserve">There is substantial amount of interest in SDA from providers and investors, though this has not yet translated into significant levels of new investment or supply. </w:t>
      </w:r>
    </w:p>
    <w:p w:rsidR="002351C9" w:rsidRPr="0020182A" w:rsidRDefault="002351C9" w:rsidP="002351C9">
      <w:pPr>
        <w:pStyle w:val="TableBullet1"/>
        <w:numPr>
          <w:ilvl w:val="0"/>
          <w:numId w:val="0"/>
        </w:numPr>
        <w:spacing w:before="80" w:after="80"/>
        <w:contextualSpacing w:val="0"/>
        <w:rPr>
          <w:rFonts w:cs="Arial"/>
          <w:szCs w:val="20"/>
        </w:rPr>
      </w:pPr>
      <w:r w:rsidRPr="0020182A">
        <w:rPr>
          <w:rFonts w:cs="Arial"/>
          <w:szCs w:val="20"/>
        </w:rPr>
        <w:t xml:space="preserve">The Review found there is substantial amount of interest in SDA from providers and investors (including both existing disability service providers as well as community housing providers, newly formed service providers and private and institutional investors), though this has not yet translated into significant levels of new investment or supply.   Further, despite considerable interest in SDA overall, there is limited evidence of substantial investments being made in SDA to date or of significant increase in SDA supply. </w:t>
      </w:r>
    </w:p>
    <w:p w:rsidR="002351C9" w:rsidRPr="0020182A" w:rsidRDefault="002351C9" w:rsidP="002351C9">
      <w:pPr>
        <w:pStyle w:val="TableBullet1"/>
        <w:numPr>
          <w:ilvl w:val="0"/>
          <w:numId w:val="0"/>
        </w:numPr>
        <w:spacing w:before="80" w:after="80"/>
        <w:contextualSpacing w:val="0"/>
        <w:rPr>
          <w:rFonts w:cs="Arial"/>
          <w:noProof/>
          <w:szCs w:val="20"/>
          <w:lang w:eastAsia="en-AU"/>
        </w:rPr>
      </w:pPr>
      <w:r w:rsidRPr="0020182A">
        <w:rPr>
          <w:rFonts w:cs="Arial"/>
          <w:szCs w:val="20"/>
        </w:rPr>
        <w:t xml:space="preserve">While limited growth at this point in time is not unsurprising, the Review found that there is some hesitancy in making large scale investments in SDA – particularly among private and institutional investors – due to perceived risks and uncertainties with respect to SDA policy settings and pricing, and a lack of information available to the market to inform investment decisions. </w:t>
      </w:r>
    </w:p>
    <w:p w:rsidR="002351C9" w:rsidRPr="003C6F49" w:rsidRDefault="002351C9" w:rsidP="003C6F49">
      <w:pPr>
        <w:pStyle w:val="BodyText2"/>
        <w:rPr>
          <w:sz w:val="20"/>
        </w:rPr>
      </w:pPr>
      <w:r w:rsidRPr="003C6F49">
        <w:rPr>
          <w:sz w:val="20"/>
        </w:rPr>
        <w:t>Information:  In a well-functioning SDA market, suppliers (providers and investors) should have access to sufficient market information on current and potential future demand and supply to make informed investment and supply decisions – through market mechanisms and through non-market mechanisms where there is a lack of information or information asymmetry</w:t>
      </w:r>
    </w:p>
    <w:p w:rsidR="002351C9" w:rsidRPr="0020182A" w:rsidRDefault="002351C9" w:rsidP="002351C9">
      <w:pPr>
        <w:pStyle w:val="TableBullet1"/>
        <w:numPr>
          <w:ilvl w:val="0"/>
          <w:numId w:val="0"/>
        </w:numPr>
        <w:spacing w:before="80" w:after="80"/>
        <w:contextualSpacing w:val="0"/>
        <w:rPr>
          <w:rFonts w:cs="Arial"/>
          <w:szCs w:val="20"/>
        </w:rPr>
      </w:pPr>
      <w:r w:rsidRPr="0020182A">
        <w:rPr>
          <w:rFonts w:cs="Arial"/>
          <w:szCs w:val="20"/>
        </w:rPr>
        <w:t>Review findings in relation to market information are:</w:t>
      </w:r>
    </w:p>
    <w:p w:rsidR="002351C9" w:rsidRPr="0020182A" w:rsidRDefault="002351C9" w:rsidP="002351C9">
      <w:pPr>
        <w:pStyle w:val="Numberbullet1stlevel"/>
        <w:numPr>
          <w:ilvl w:val="0"/>
          <w:numId w:val="0"/>
        </w:numPr>
        <w:spacing w:before="80" w:after="80"/>
        <w:rPr>
          <w:rStyle w:val="White"/>
          <w:rFonts w:cs="Arial"/>
          <w:i/>
          <w:color w:val="auto"/>
          <w:szCs w:val="20"/>
        </w:rPr>
      </w:pPr>
      <w:r w:rsidRPr="0020182A">
        <w:rPr>
          <w:rFonts w:cs="Arial"/>
          <w:i/>
          <w:szCs w:val="20"/>
        </w:rPr>
        <w:t xml:space="preserve">Finding 6: </w:t>
      </w:r>
      <w:r w:rsidRPr="0020182A">
        <w:rPr>
          <w:rStyle w:val="White"/>
          <w:rFonts w:cs="Arial"/>
          <w:i/>
          <w:color w:val="auto"/>
          <w:szCs w:val="20"/>
        </w:rPr>
        <w:t>Lack of market information is having a detrimental impact on providers and investors’ willingness to invest in SDA.</w:t>
      </w:r>
    </w:p>
    <w:p w:rsidR="002351C9" w:rsidRPr="0020182A" w:rsidRDefault="002351C9" w:rsidP="002351C9">
      <w:pPr>
        <w:pStyle w:val="BodyText1"/>
        <w:spacing w:before="80" w:after="80"/>
        <w:rPr>
          <w:rFonts w:cs="Arial"/>
          <w:szCs w:val="20"/>
        </w:rPr>
      </w:pPr>
      <w:r w:rsidRPr="0020182A">
        <w:rPr>
          <w:rFonts w:cs="Arial"/>
          <w:szCs w:val="20"/>
        </w:rPr>
        <w:t>The Review found that there is a lack of robust, quantitative information for the market on SDA demand, as well as a lack of data on supply or market gaps. In the absence of this data, providers and investors are basing decisions on local knowledge and needs of specific cohort</w:t>
      </w:r>
      <w:r>
        <w:rPr>
          <w:rFonts w:cs="Arial"/>
          <w:szCs w:val="20"/>
        </w:rPr>
        <w:t>s</w:t>
      </w:r>
      <w:r w:rsidRPr="0020182A">
        <w:rPr>
          <w:rFonts w:cs="Arial"/>
          <w:szCs w:val="20"/>
        </w:rPr>
        <w:t>, pricing factors and potential returns for different SDA property types in specific locations, and belief in the “potential” of the SDA market. Lack of market information, especially in an immature, price-regulated market, further contributes to provider/investor risk and hesitanc</w:t>
      </w:r>
      <w:r>
        <w:rPr>
          <w:rFonts w:cs="Arial"/>
          <w:szCs w:val="20"/>
        </w:rPr>
        <w:t>e</w:t>
      </w:r>
      <w:r w:rsidRPr="0020182A">
        <w:rPr>
          <w:rFonts w:cs="Arial"/>
          <w:szCs w:val="20"/>
        </w:rPr>
        <w:t xml:space="preserve"> in investing in SDA and is a barrier to greater investment in SDA.  </w:t>
      </w:r>
    </w:p>
    <w:p w:rsidR="002351C9" w:rsidRPr="0020182A" w:rsidRDefault="002351C9" w:rsidP="002351C9">
      <w:pPr>
        <w:pStyle w:val="BodyText1"/>
        <w:spacing w:before="80" w:after="80"/>
        <w:rPr>
          <w:rFonts w:cs="Arial"/>
          <w:szCs w:val="20"/>
        </w:rPr>
      </w:pPr>
      <w:r w:rsidRPr="0020182A">
        <w:rPr>
          <w:rFonts w:cs="Arial"/>
          <w:szCs w:val="20"/>
        </w:rPr>
        <w:t xml:space="preserve">It is also recognised that, as with any market, investors and providers need to undertake their own market research and engagement with potential consumers to complement more quantitative information from government, and to date this type of consumer engagement and market research appears to have been limited. </w:t>
      </w:r>
    </w:p>
    <w:p w:rsidR="002351C9" w:rsidRPr="003C6F49" w:rsidRDefault="002351C9" w:rsidP="003C6F49">
      <w:pPr>
        <w:pStyle w:val="BodyText2"/>
        <w:rPr>
          <w:sz w:val="20"/>
        </w:rPr>
      </w:pPr>
      <w:r w:rsidRPr="003C6F49">
        <w:rPr>
          <w:sz w:val="20"/>
        </w:rPr>
        <w:t xml:space="preserve">Pricing:  In a price-regulated SDA market, pricing and funding arrangements should provide appropriate signals to the market to guide supply and investment decisions, and are sufficient to cover </w:t>
      </w:r>
      <w:r w:rsidRPr="003C6F49">
        <w:rPr>
          <w:sz w:val="20"/>
        </w:rPr>
        <w:lastRenderedPageBreak/>
        <w:t xml:space="preserve">costs and provide a reasonable rate of return over the long-term, and result in an optimal level of supply and supply mix  </w:t>
      </w:r>
    </w:p>
    <w:p w:rsidR="002351C9" w:rsidRPr="0020182A" w:rsidRDefault="002351C9" w:rsidP="002351C9">
      <w:pPr>
        <w:pStyle w:val="TableBullet1"/>
        <w:numPr>
          <w:ilvl w:val="0"/>
          <w:numId w:val="0"/>
        </w:numPr>
        <w:spacing w:before="80" w:after="80"/>
        <w:contextualSpacing w:val="0"/>
        <w:rPr>
          <w:rFonts w:cs="Arial"/>
          <w:szCs w:val="20"/>
        </w:rPr>
      </w:pPr>
      <w:r w:rsidRPr="0020182A">
        <w:rPr>
          <w:rFonts w:cs="Arial"/>
          <w:szCs w:val="20"/>
        </w:rPr>
        <w:t>Review findings in relation to SDA pricing are:</w:t>
      </w:r>
    </w:p>
    <w:p w:rsidR="002351C9" w:rsidRPr="0020182A" w:rsidRDefault="002351C9" w:rsidP="002351C9">
      <w:pPr>
        <w:pStyle w:val="Numberbullet1stlevel"/>
        <w:numPr>
          <w:ilvl w:val="0"/>
          <w:numId w:val="0"/>
        </w:numPr>
        <w:spacing w:before="80" w:after="80"/>
        <w:rPr>
          <w:rStyle w:val="White"/>
          <w:rFonts w:cs="Arial"/>
          <w:i/>
          <w:szCs w:val="20"/>
        </w:rPr>
      </w:pPr>
      <w:r w:rsidRPr="0020182A">
        <w:rPr>
          <w:rStyle w:val="White"/>
          <w:rFonts w:cs="Arial"/>
          <w:i/>
          <w:color w:val="auto"/>
          <w:szCs w:val="20"/>
        </w:rPr>
        <w:t xml:space="preserve">Finding 7: The form of benchmark prices, and </w:t>
      </w:r>
      <w:r w:rsidRPr="0020182A">
        <w:rPr>
          <w:rFonts w:cs="Arial"/>
          <w:i/>
          <w:szCs w:val="20"/>
        </w:rPr>
        <w:t xml:space="preserve">components considered in </w:t>
      </w:r>
      <w:r>
        <w:rPr>
          <w:rFonts w:cs="Arial"/>
          <w:i/>
          <w:szCs w:val="20"/>
        </w:rPr>
        <w:t xml:space="preserve">the price </w:t>
      </w:r>
      <w:r w:rsidRPr="0020182A">
        <w:rPr>
          <w:rFonts w:cs="Arial"/>
          <w:i/>
          <w:szCs w:val="20"/>
        </w:rPr>
        <w:t>setting process, are appropriate, though some of the underpinning assumptions relating to some components may not reflect actual values or costs</w:t>
      </w:r>
      <w:r w:rsidRPr="0020182A">
        <w:rPr>
          <w:rStyle w:val="White"/>
          <w:rFonts w:cs="Arial"/>
          <w:i/>
          <w:szCs w:val="20"/>
        </w:rPr>
        <w:t xml:space="preserve">. </w:t>
      </w:r>
    </w:p>
    <w:p w:rsidR="002351C9" w:rsidRPr="0020182A" w:rsidRDefault="002351C9" w:rsidP="002351C9">
      <w:pPr>
        <w:spacing w:before="80" w:after="80"/>
        <w:rPr>
          <w:rFonts w:cs="Arial"/>
          <w:szCs w:val="20"/>
        </w:rPr>
      </w:pPr>
      <w:r w:rsidRPr="0020182A">
        <w:rPr>
          <w:rFonts w:cs="Arial"/>
          <w:szCs w:val="20"/>
        </w:rPr>
        <w:t>The SDA Framework sets out the form for benchmark prices, including the components that will be considered in setting an efficient price. These factors include consumption costs, opportunity costs of capital, costs of ownership, land price inflation and resident rent contributions.  Providers and investors consulted as part of the Review largely indicated that these components were appropriate for setting prices, though stated that some of the underpinning assumptions for each of these components do not reflect actual values or costs.</w:t>
      </w:r>
    </w:p>
    <w:p w:rsidR="002351C9" w:rsidRPr="0020182A" w:rsidRDefault="002351C9" w:rsidP="002351C9">
      <w:pPr>
        <w:pStyle w:val="Numberbullet1stlevel"/>
        <w:numPr>
          <w:ilvl w:val="0"/>
          <w:numId w:val="0"/>
        </w:numPr>
        <w:spacing w:before="80" w:after="80"/>
        <w:rPr>
          <w:rStyle w:val="White"/>
          <w:rFonts w:cs="Arial"/>
          <w:i/>
          <w:color w:val="auto"/>
          <w:szCs w:val="20"/>
        </w:rPr>
      </w:pPr>
      <w:r w:rsidRPr="0020182A">
        <w:rPr>
          <w:rStyle w:val="White"/>
          <w:rFonts w:cs="Arial"/>
          <w:i/>
          <w:color w:val="auto"/>
          <w:szCs w:val="20"/>
        </w:rPr>
        <w:t xml:space="preserve">Finding 8: Current </w:t>
      </w:r>
      <w:r w:rsidR="00570FBF">
        <w:rPr>
          <w:rStyle w:val="White"/>
          <w:rFonts w:cs="Arial"/>
          <w:i/>
          <w:color w:val="auto"/>
          <w:szCs w:val="20"/>
        </w:rPr>
        <w:t>prices</w:t>
      </w:r>
      <w:r w:rsidRPr="0020182A">
        <w:rPr>
          <w:rStyle w:val="White"/>
          <w:rFonts w:cs="Arial"/>
          <w:i/>
          <w:color w:val="auto"/>
          <w:szCs w:val="20"/>
        </w:rPr>
        <w:t xml:space="preserve"> are contributing to a risk that future growth in supply may not result in an optimal supply mix.</w:t>
      </w:r>
    </w:p>
    <w:p w:rsidR="002351C9" w:rsidRPr="0020182A" w:rsidRDefault="002351C9" w:rsidP="002351C9">
      <w:pPr>
        <w:pStyle w:val="TableBullet1"/>
        <w:numPr>
          <w:ilvl w:val="0"/>
          <w:numId w:val="0"/>
        </w:numPr>
        <w:spacing w:before="80" w:after="80"/>
        <w:contextualSpacing w:val="0"/>
        <w:rPr>
          <w:rFonts w:cs="Arial"/>
          <w:szCs w:val="20"/>
        </w:rPr>
      </w:pPr>
      <w:r w:rsidRPr="0020182A">
        <w:rPr>
          <w:rFonts w:cs="Arial"/>
          <w:szCs w:val="20"/>
        </w:rPr>
        <w:t xml:space="preserve">During the Review, providers and investors indicated that some SDA prices are sufficient to make a return on investment in SDA (and in some cases a relatively generous return), while others are not. In particular, they indicated that there were issues with some prices skewing investment interest towards particular design categories and dwelling types and away from other types.  For example, providers and investors indicated that one- or two-bedroom </w:t>
      </w:r>
      <w:r>
        <w:rPr>
          <w:rFonts w:cs="Arial"/>
          <w:szCs w:val="20"/>
        </w:rPr>
        <w:t>“</w:t>
      </w:r>
      <w:r w:rsidRPr="0020182A">
        <w:rPr>
          <w:rFonts w:cs="Arial"/>
          <w:szCs w:val="20"/>
        </w:rPr>
        <w:t>high physical support</w:t>
      </w:r>
      <w:r>
        <w:rPr>
          <w:rFonts w:cs="Arial"/>
          <w:szCs w:val="20"/>
        </w:rPr>
        <w:t>”</w:t>
      </w:r>
      <w:r w:rsidRPr="0020182A">
        <w:rPr>
          <w:rFonts w:cs="Arial"/>
          <w:szCs w:val="20"/>
        </w:rPr>
        <w:t xml:space="preserve"> dwellings provide a reasonable return (though potential returns are less for </w:t>
      </w:r>
      <w:r>
        <w:rPr>
          <w:rFonts w:cs="Arial"/>
          <w:szCs w:val="20"/>
        </w:rPr>
        <w:t>“</w:t>
      </w:r>
      <w:r w:rsidRPr="0020182A">
        <w:rPr>
          <w:rFonts w:cs="Arial"/>
          <w:szCs w:val="20"/>
        </w:rPr>
        <w:t>Robust</w:t>
      </w:r>
      <w:r>
        <w:rPr>
          <w:rFonts w:cs="Arial"/>
          <w:szCs w:val="20"/>
        </w:rPr>
        <w:t>”</w:t>
      </w:r>
      <w:r w:rsidRPr="0020182A">
        <w:rPr>
          <w:rFonts w:cs="Arial"/>
          <w:szCs w:val="20"/>
        </w:rPr>
        <w:t xml:space="preserve"> dwellings and </w:t>
      </w:r>
      <w:r>
        <w:rPr>
          <w:rFonts w:cs="Arial"/>
          <w:szCs w:val="20"/>
        </w:rPr>
        <w:t>“</w:t>
      </w:r>
      <w:r w:rsidRPr="0020182A">
        <w:rPr>
          <w:rFonts w:cs="Arial"/>
          <w:szCs w:val="20"/>
        </w:rPr>
        <w:t>Fully accessible</w:t>
      </w:r>
      <w:r>
        <w:rPr>
          <w:rFonts w:cs="Arial"/>
          <w:szCs w:val="20"/>
        </w:rPr>
        <w:t>”</w:t>
      </w:r>
      <w:r w:rsidRPr="0020182A">
        <w:rPr>
          <w:rFonts w:cs="Arial"/>
          <w:szCs w:val="20"/>
        </w:rPr>
        <w:t xml:space="preserve"> dwellings), and that dwellings in some locations delivered a greater return than others.</w:t>
      </w:r>
    </w:p>
    <w:p w:rsidR="002351C9" w:rsidRPr="0020182A" w:rsidRDefault="002351C9" w:rsidP="002351C9">
      <w:pPr>
        <w:pStyle w:val="Numberbullet1stlevel"/>
        <w:numPr>
          <w:ilvl w:val="0"/>
          <w:numId w:val="0"/>
        </w:numPr>
        <w:spacing w:before="80" w:after="80"/>
        <w:rPr>
          <w:rStyle w:val="White"/>
          <w:rFonts w:cs="Arial"/>
          <w:i/>
          <w:color w:val="auto"/>
          <w:szCs w:val="20"/>
        </w:rPr>
      </w:pPr>
      <w:r w:rsidRPr="0020182A">
        <w:rPr>
          <w:rStyle w:val="White"/>
          <w:rFonts w:cs="Arial"/>
          <w:i/>
          <w:color w:val="auto"/>
          <w:szCs w:val="20"/>
        </w:rPr>
        <w:t>Finding 9: Investors have a strong preference for certainty regarding return on investment over the life of their investment</w:t>
      </w:r>
    </w:p>
    <w:p w:rsidR="002351C9" w:rsidRPr="0020182A" w:rsidRDefault="002351C9" w:rsidP="002351C9">
      <w:pPr>
        <w:pStyle w:val="BodyText1"/>
        <w:spacing w:before="80" w:after="80"/>
        <w:rPr>
          <w:rFonts w:cs="Arial"/>
          <w:szCs w:val="20"/>
        </w:rPr>
      </w:pPr>
      <w:r w:rsidRPr="0020182A">
        <w:rPr>
          <w:rFonts w:cs="Arial"/>
          <w:szCs w:val="20"/>
        </w:rPr>
        <w:t>The SDA Framework currently states that the Agency will review benchmark pricing every five years, and that prices will have effect for five years from their publication. Providers and investors noted that the five yearly review cycle does not match the 20+ year time horizon for SDA investment, and that providers and investors must bear the risk of any price reductions.</w:t>
      </w:r>
    </w:p>
    <w:p w:rsidR="002351C9" w:rsidRPr="0020182A" w:rsidRDefault="002351C9" w:rsidP="002351C9">
      <w:pPr>
        <w:pStyle w:val="BodyText1"/>
        <w:spacing w:before="80" w:after="80"/>
        <w:rPr>
          <w:rFonts w:cs="Arial"/>
          <w:strike/>
          <w:szCs w:val="20"/>
        </w:rPr>
      </w:pPr>
      <w:r w:rsidRPr="0020182A">
        <w:rPr>
          <w:rFonts w:cs="Arial"/>
          <w:szCs w:val="20"/>
        </w:rPr>
        <w:t xml:space="preserve">It is noted, however, that </w:t>
      </w:r>
      <w:r w:rsidR="00CD5AA9">
        <w:t>infrastructure</w:t>
      </w:r>
      <w:r w:rsidR="00CD5AA9" w:rsidRPr="0020182A">
        <w:rPr>
          <w:rFonts w:cs="Arial"/>
          <w:szCs w:val="20"/>
        </w:rPr>
        <w:t xml:space="preserve"> </w:t>
      </w:r>
      <w:r w:rsidRPr="0020182A">
        <w:rPr>
          <w:rFonts w:cs="Arial"/>
          <w:szCs w:val="20"/>
        </w:rPr>
        <w:t xml:space="preserve">investment of any kind has risks, including those associated with market downturn and reductions in rental income, and SDA investment is no different. Five year price certainty is a longer guarantee than other investments may provide. </w:t>
      </w:r>
    </w:p>
    <w:p w:rsidR="002351C9" w:rsidRPr="003F7423" w:rsidRDefault="002351C9" w:rsidP="003F7423">
      <w:pPr>
        <w:pStyle w:val="BodyText2"/>
        <w:rPr>
          <w:sz w:val="20"/>
        </w:rPr>
      </w:pPr>
      <w:r w:rsidRPr="003F7423">
        <w:rPr>
          <w:sz w:val="20"/>
        </w:rPr>
        <w:t xml:space="preserve">Risk:  In a well-functioning SDA market, provider and investor risks associated with participating in the market are well-understood, managed where possible, and taken into consideration when making supply and investment decisions  </w:t>
      </w:r>
    </w:p>
    <w:p w:rsidR="002351C9" w:rsidRPr="0020182A" w:rsidRDefault="002351C9" w:rsidP="002351C9">
      <w:pPr>
        <w:pStyle w:val="TableBullet1"/>
        <w:numPr>
          <w:ilvl w:val="0"/>
          <w:numId w:val="0"/>
        </w:numPr>
        <w:spacing w:before="80" w:after="80"/>
        <w:contextualSpacing w:val="0"/>
        <w:rPr>
          <w:rFonts w:cs="Arial"/>
          <w:szCs w:val="20"/>
        </w:rPr>
      </w:pPr>
      <w:r w:rsidRPr="0020182A">
        <w:rPr>
          <w:rFonts w:cs="Arial"/>
          <w:szCs w:val="20"/>
        </w:rPr>
        <w:t>Review findings in relation to provider and investor risk are:</w:t>
      </w:r>
    </w:p>
    <w:p w:rsidR="002351C9" w:rsidRPr="0020182A" w:rsidRDefault="002351C9" w:rsidP="002351C9">
      <w:pPr>
        <w:pStyle w:val="Numberbullet1stlevel"/>
        <w:numPr>
          <w:ilvl w:val="0"/>
          <w:numId w:val="0"/>
        </w:numPr>
        <w:spacing w:before="80" w:after="80"/>
        <w:rPr>
          <w:rStyle w:val="White"/>
          <w:rFonts w:cs="Arial"/>
          <w:i/>
          <w:color w:val="auto"/>
          <w:szCs w:val="20"/>
        </w:rPr>
      </w:pPr>
      <w:r w:rsidRPr="0020182A">
        <w:rPr>
          <w:rStyle w:val="White"/>
          <w:rFonts w:cs="Arial"/>
          <w:i/>
          <w:color w:val="auto"/>
          <w:szCs w:val="20"/>
        </w:rPr>
        <w:t>Finding 10: There are a range of risks and uncertainties that contribute to providers and investors’ reluctance to invest in SDA, and achieve short-term SDA supply growth.</w:t>
      </w:r>
    </w:p>
    <w:p w:rsidR="002351C9" w:rsidRPr="0020182A" w:rsidRDefault="002351C9" w:rsidP="002351C9">
      <w:pPr>
        <w:pStyle w:val="BodyText1"/>
        <w:spacing w:before="80" w:after="80"/>
        <w:rPr>
          <w:rFonts w:cs="Arial"/>
          <w:szCs w:val="20"/>
        </w:rPr>
      </w:pPr>
      <w:r w:rsidRPr="0020182A">
        <w:rPr>
          <w:rFonts w:cs="Arial"/>
          <w:szCs w:val="20"/>
        </w:rPr>
        <w:t>The Review found that there appears to be some hesitanc</w:t>
      </w:r>
      <w:r>
        <w:rPr>
          <w:rFonts w:cs="Arial"/>
          <w:szCs w:val="20"/>
        </w:rPr>
        <w:t>e</w:t>
      </w:r>
      <w:r w:rsidRPr="0020182A">
        <w:rPr>
          <w:rFonts w:cs="Arial"/>
          <w:szCs w:val="20"/>
        </w:rPr>
        <w:t xml:space="preserve"> among providers and investors in making large scale investment in SDA at this point in time due to real or perceived risks and uncertainties that are present in the market, over and above risks which are inherent in </w:t>
      </w:r>
      <w:r w:rsidR="00CD5AA9">
        <w:t>infrastructure</w:t>
      </w:r>
      <w:r w:rsidR="00CD5AA9" w:rsidRPr="0020182A">
        <w:rPr>
          <w:rFonts w:cs="Arial"/>
          <w:szCs w:val="20"/>
        </w:rPr>
        <w:t xml:space="preserve"> </w:t>
      </w:r>
      <w:r w:rsidRPr="0020182A">
        <w:rPr>
          <w:rFonts w:cs="Arial"/>
          <w:szCs w:val="20"/>
        </w:rPr>
        <w:t>investment generally.</w:t>
      </w:r>
    </w:p>
    <w:p w:rsidR="002351C9" w:rsidRPr="0020182A" w:rsidRDefault="002351C9" w:rsidP="002351C9">
      <w:pPr>
        <w:pStyle w:val="BodyText1"/>
        <w:spacing w:before="80" w:after="80"/>
        <w:rPr>
          <w:rFonts w:cs="Arial"/>
          <w:szCs w:val="20"/>
        </w:rPr>
      </w:pPr>
      <w:r w:rsidRPr="0020182A">
        <w:rPr>
          <w:rFonts w:cs="Arial"/>
          <w:szCs w:val="20"/>
        </w:rPr>
        <w:t xml:space="preserve">To some extent these risks and uncertainties are associated with the “newness” of the NDIS and SDA as a “product’, and </w:t>
      </w:r>
      <w:r>
        <w:rPr>
          <w:rFonts w:cs="Arial"/>
          <w:szCs w:val="20"/>
        </w:rPr>
        <w:t>a</w:t>
      </w:r>
      <w:r w:rsidRPr="0020182A">
        <w:rPr>
          <w:rFonts w:cs="Arial"/>
          <w:szCs w:val="20"/>
        </w:rPr>
        <w:t xml:space="preserve"> largely untested </w:t>
      </w:r>
      <w:r>
        <w:rPr>
          <w:rFonts w:cs="Arial"/>
          <w:szCs w:val="20"/>
        </w:rPr>
        <w:t xml:space="preserve">market </w:t>
      </w:r>
      <w:r w:rsidRPr="0020182A">
        <w:rPr>
          <w:rFonts w:cs="Arial"/>
          <w:szCs w:val="20"/>
        </w:rPr>
        <w:t xml:space="preserve">– </w:t>
      </w:r>
      <w:r>
        <w:rPr>
          <w:rFonts w:cs="Arial"/>
          <w:szCs w:val="20"/>
        </w:rPr>
        <w:t>factors that are</w:t>
      </w:r>
      <w:r w:rsidRPr="0020182A">
        <w:rPr>
          <w:rFonts w:cs="Arial"/>
          <w:szCs w:val="20"/>
        </w:rPr>
        <w:t xml:space="preserve"> likely to reduce as the NDIS and SDA market matures.   However, there were a number of factors identified by providers and investors which were impacting negatively on provider and investor willingness to invest in SDA:</w:t>
      </w:r>
    </w:p>
    <w:p w:rsidR="002351C9" w:rsidRPr="0020182A" w:rsidRDefault="002351C9" w:rsidP="00B11F02">
      <w:pPr>
        <w:pStyle w:val="BodyText1"/>
        <w:numPr>
          <w:ilvl w:val="0"/>
          <w:numId w:val="89"/>
        </w:numPr>
        <w:spacing w:before="80" w:after="80"/>
        <w:rPr>
          <w:rFonts w:cs="Arial"/>
          <w:szCs w:val="20"/>
        </w:rPr>
      </w:pPr>
      <w:r w:rsidRPr="0020182A">
        <w:rPr>
          <w:rFonts w:cs="Arial"/>
          <w:i/>
          <w:szCs w:val="20"/>
        </w:rPr>
        <w:t>Uncertainty around pricing:</w:t>
      </w:r>
      <w:r w:rsidRPr="0020182A">
        <w:rPr>
          <w:rFonts w:cs="Arial"/>
          <w:szCs w:val="20"/>
        </w:rPr>
        <w:t xml:space="preserve"> Uncertainty of longer term pricing relative to investment time horizon, and risks associated with changing (reducing) prices at each five-year price review</w:t>
      </w:r>
      <w:r w:rsidR="00B11F02">
        <w:rPr>
          <w:rFonts w:cs="Arial"/>
          <w:szCs w:val="20"/>
        </w:rPr>
        <w:t>.</w:t>
      </w:r>
    </w:p>
    <w:p w:rsidR="002351C9" w:rsidRPr="0020182A" w:rsidRDefault="002351C9" w:rsidP="00B11F02">
      <w:pPr>
        <w:pStyle w:val="BodyText1"/>
        <w:numPr>
          <w:ilvl w:val="0"/>
          <w:numId w:val="89"/>
        </w:numPr>
        <w:spacing w:before="80" w:after="80"/>
        <w:rPr>
          <w:rFonts w:cs="Arial"/>
          <w:szCs w:val="20"/>
        </w:rPr>
      </w:pPr>
      <w:r w:rsidRPr="0020182A">
        <w:rPr>
          <w:rFonts w:cs="Arial"/>
          <w:i/>
          <w:szCs w:val="20"/>
        </w:rPr>
        <w:t>Policy uncertainty:</w:t>
      </w:r>
      <w:r w:rsidRPr="0020182A">
        <w:rPr>
          <w:rFonts w:cs="Arial"/>
          <w:szCs w:val="20"/>
        </w:rPr>
        <w:t xml:space="preserve"> Perceptions that SDA policy is still developing, and risks and uncertainties associated with stability of SDA policy settings and future directions (and expectations that SDA policy will continue to change – particularly at an operational level).</w:t>
      </w:r>
    </w:p>
    <w:p w:rsidR="002351C9" w:rsidRPr="0020182A" w:rsidRDefault="002351C9" w:rsidP="00B11F02">
      <w:pPr>
        <w:pStyle w:val="BodyText1"/>
        <w:numPr>
          <w:ilvl w:val="0"/>
          <w:numId w:val="89"/>
        </w:numPr>
        <w:spacing w:before="80" w:after="80"/>
        <w:rPr>
          <w:rFonts w:cs="Arial"/>
          <w:szCs w:val="20"/>
        </w:rPr>
      </w:pPr>
      <w:r w:rsidRPr="0020182A">
        <w:rPr>
          <w:rFonts w:cs="Arial"/>
          <w:i/>
          <w:szCs w:val="20"/>
        </w:rPr>
        <w:t>Implementation issues and associated risks:</w:t>
      </w:r>
      <w:r w:rsidRPr="0020182A">
        <w:rPr>
          <w:rFonts w:cs="Arial"/>
          <w:szCs w:val="20"/>
        </w:rPr>
        <w:t xml:space="preserve"> Issues and risks associated with processes, timing and consistency of NDIA decisions relating to SDA eligibility and funding and interplay with SIL funding decisions.</w:t>
      </w:r>
    </w:p>
    <w:p w:rsidR="002351C9" w:rsidRPr="003F7423" w:rsidRDefault="002351C9" w:rsidP="003F7423">
      <w:pPr>
        <w:pStyle w:val="BodyText2"/>
        <w:rPr>
          <w:sz w:val="20"/>
        </w:rPr>
      </w:pPr>
      <w:r w:rsidRPr="003F7423">
        <w:rPr>
          <w:sz w:val="20"/>
        </w:rPr>
        <w:t>Quality:  In a well-functioning SDA market, appropriate standards, processes and consumer protections are in place to ensure a minimum level of quality of supply</w:t>
      </w:r>
    </w:p>
    <w:p w:rsidR="002351C9" w:rsidRPr="0020182A" w:rsidRDefault="002351C9" w:rsidP="002351C9">
      <w:pPr>
        <w:pStyle w:val="TableBullet1"/>
        <w:numPr>
          <w:ilvl w:val="0"/>
          <w:numId w:val="0"/>
        </w:numPr>
        <w:spacing w:before="80" w:after="80"/>
        <w:contextualSpacing w:val="0"/>
        <w:rPr>
          <w:rFonts w:cs="Arial"/>
          <w:szCs w:val="20"/>
        </w:rPr>
      </w:pPr>
      <w:r w:rsidRPr="0020182A">
        <w:rPr>
          <w:rFonts w:cs="Arial"/>
          <w:szCs w:val="20"/>
        </w:rPr>
        <w:lastRenderedPageBreak/>
        <w:t>Review findings in relation to quality are:</w:t>
      </w:r>
    </w:p>
    <w:p w:rsidR="002351C9" w:rsidRPr="0020182A" w:rsidRDefault="002351C9" w:rsidP="002351C9">
      <w:pPr>
        <w:pStyle w:val="Numberbullet1stlevel"/>
        <w:numPr>
          <w:ilvl w:val="0"/>
          <w:numId w:val="0"/>
        </w:numPr>
        <w:spacing w:before="80" w:after="80"/>
        <w:rPr>
          <w:rStyle w:val="White"/>
          <w:rFonts w:cs="Arial"/>
          <w:i/>
          <w:color w:val="auto"/>
          <w:szCs w:val="20"/>
        </w:rPr>
      </w:pPr>
      <w:r w:rsidRPr="0020182A">
        <w:rPr>
          <w:rStyle w:val="White"/>
          <w:rFonts w:cs="Arial"/>
          <w:i/>
          <w:color w:val="auto"/>
          <w:szCs w:val="20"/>
        </w:rPr>
        <w:t>Finding 11: While the design guidelines used for SDA promote quality building and design, it is too early to determine whether this is being achieved.</w:t>
      </w:r>
    </w:p>
    <w:p w:rsidR="002351C9" w:rsidRPr="0020182A" w:rsidRDefault="002351C9" w:rsidP="002351C9">
      <w:pPr>
        <w:pStyle w:val="TableBullet1"/>
        <w:numPr>
          <w:ilvl w:val="0"/>
          <w:numId w:val="0"/>
        </w:numPr>
        <w:spacing w:before="80" w:after="80"/>
        <w:contextualSpacing w:val="0"/>
        <w:rPr>
          <w:rFonts w:cs="Arial"/>
          <w:szCs w:val="20"/>
        </w:rPr>
      </w:pPr>
      <w:r w:rsidRPr="0020182A">
        <w:rPr>
          <w:rFonts w:cs="Arial"/>
          <w:szCs w:val="20"/>
        </w:rPr>
        <w:t>The new quality arrangements provide an opportunity to establish a transparent and effective provisional enrolment process which enables dwellings to be approved earlier in the build process, while also providing a final approval of the implementation of required standards.</w:t>
      </w:r>
    </w:p>
    <w:p w:rsidR="002351C9" w:rsidRPr="0020182A" w:rsidRDefault="002351C9" w:rsidP="002351C9">
      <w:pPr>
        <w:pStyle w:val="TableBullet1"/>
        <w:numPr>
          <w:ilvl w:val="0"/>
          <w:numId w:val="0"/>
        </w:numPr>
        <w:spacing w:before="80" w:after="80"/>
        <w:contextualSpacing w:val="0"/>
        <w:rPr>
          <w:rFonts w:cs="Arial"/>
          <w:szCs w:val="20"/>
        </w:rPr>
      </w:pPr>
      <w:r w:rsidRPr="0020182A">
        <w:rPr>
          <w:rFonts w:cs="Arial"/>
          <w:szCs w:val="20"/>
        </w:rPr>
        <w:t>While the design standards used for SDA aim to promote quality building and design, it is too early to determine whether this is being achieved. It was noted that the majority of current stock is existing or legacy stock, which in most cases only meets the Basic design category.</w:t>
      </w:r>
    </w:p>
    <w:p w:rsidR="002351C9" w:rsidRPr="0020182A" w:rsidRDefault="002351C9" w:rsidP="002351C9">
      <w:pPr>
        <w:pStyle w:val="Numberbullet1stlevel"/>
        <w:numPr>
          <w:ilvl w:val="0"/>
          <w:numId w:val="0"/>
        </w:numPr>
        <w:spacing w:before="80" w:after="80"/>
        <w:rPr>
          <w:rStyle w:val="White"/>
          <w:rFonts w:cs="Arial"/>
          <w:i/>
          <w:color w:val="auto"/>
          <w:szCs w:val="20"/>
        </w:rPr>
      </w:pPr>
      <w:r w:rsidRPr="0020182A">
        <w:rPr>
          <w:rStyle w:val="White"/>
          <w:rFonts w:cs="Arial"/>
          <w:i/>
          <w:color w:val="auto"/>
          <w:szCs w:val="20"/>
        </w:rPr>
        <w:t xml:space="preserve">Finding 12: Some providers, particularly in jurisdictions where the NDIS Commission is yet to come online, remain uncertain about the new quality and safeguarding requirements for SDA under the </w:t>
      </w:r>
      <w:r>
        <w:rPr>
          <w:rStyle w:val="White"/>
          <w:rFonts w:cs="Arial"/>
          <w:i/>
          <w:color w:val="auto"/>
          <w:szCs w:val="20"/>
        </w:rPr>
        <w:t xml:space="preserve">NDIS </w:t>
      </w:r>
      <w:r w:rsidRPr="0020182A">
        <w:rPr>
          <w:rStyle w:val="White"/>
          <w:rFonts w:cs="Arial"/>
          <w:i/>
          <w:color w:val="auto"/>
          <w:szCs w:val="20"/>
        </w:rPr>
        <w:t>Commission, and there are concerns about the cost implications of new quality requirements.</w:t>
      </w:r>
    </w:p>
    <w:p w:rsidR="002351C9" w:rsidRPr="0020182A" w:rsidRDefault="002351C9" w:rsidP="002351C9">
      <w:pPr>
        <w:pStyle w:val="CommentText"/>
      </w:pPr>
      <w:r w:rsidRPr="0020182A">
        <w:t>The Rules and SDA Guidelines set out the role and requirement of the NDIS Commission with respect to SDA, however providers remain uncertain about t</w:t>
      </w:r>
      <w:r w:rsidRPr="0020182A">
        <w:rPr>
          <w:rFonts w:cs="Arial"/>
        </w:rPr>
        <w:t xml:space="preserve">he quality assurance processes for SDA dwellings, and the cost implications relating to the implementation of new requirements. </w:t>
      </w:r>
      <w:r w:rsidRPr="0020182A">
        <w:t xml:space="preserve">Although there may be costs associated with quality and safety uplift (i.e. audit costs), the benefits in terms of reducing harm to participants and improving service quality through better practice is expected to offset many of these costs. </w:t>
      </w:r>
    </w:p>
    <w:p w:rsidR="002351C9" w:rsidRPr="003F7423" w:rsidRDefault="002351C9" w:rsidP="003F7423">
      <w:pPr>
        <w:pStyle w:val="BodyText2"/>
        <w:rPr>
          <w:sz w:val="20"/>
        </w:rPr>
      </w:pPr>
      <w:r w:rsidRPr="003F7423">
        <w:rPr>
          <w:sz w:val="20"/>
        </w:rPr>
        <w:t>Innovation:  In a well-functioning SDA market, there should be sufficient information and incentives (and no disincentives) for promote and achieve innovation in SDA supply</w:t>
      </w:r>
    </w:p>
    <w:p w:rsidR="002351C9" w:rsidRPr="0020182A" w:rsidRDefault="002351C9" w:rsidP="002351C9">
      <w:pPr>
        <w:pStyle w:val="TableBullet1"/>
        <w:numPr>
          <w:ilvl w:val="0"/>
          <w:numId w:val="0"/>
        </w:numPr>
        <w:spacing w:before="80" w:after="80"/>
        <w:contextualSpacing w:val="0"/>
        <w:rPr>
          <w:rFonts w:cs="Arial"/>
          <w:szCs w:val="20"/>
        </w:rPr>
      </w:pPr>
      <w:r w:rsidRPr="0020182A">
        <w:rPr>
          <w:rFonts w:cs="Arial"/>
          <w:szCs w:val="20"/>
        </w:rPr>
        <w:t>Review findings in relation to innovation are:</w:t>
      </w:r>
    </w:p>
    <w:p w:rsidR="002351C9" w:rsidRPr="0020182A" w:rsidRDefault="002351C9" w:rsidP="002351C9">
      <w:pPr>
        <w:pStyle w:val="Numberbullet1stlevel"/>
        <w:numPr>
          <w:ilvl w:val="0"/>
          <w:numId w:val="0"/>
        </w:numPr>
        <w:spacing w:before="80" w:after="80"/>
        <w:rPr>
          <w:rStyle w:val="White"/>
          <w:rFonts w:cs="Arial"/>
          <w:i/>
          <w:color w:val="auto"/>
          <w:szCs w:val="20"/>
        </w:rPr>
      </w:pPr>
      <w:r w:rsidRPr="0020182A">
        <w:rPr>
          <w:rStyle w:val="White"/>
          <w:rFonts w:cs="Arial"/>
          <w:i/>
          <w:color w:val="auto"/>
          <w:szCs w:val="20"/>
        </w:rPr>
        <w:t>Finding 13: The immaturity of the SDA market means that the notions of innovation are still being determined.</w:t>
      </w:r>
    </w:p>
    <w:p w:rsidR="002351C9" w:rsidRPr="0020182A" w:rsidRDefault="002351C9" w:rsidP="002351C9">
      <w:pPr>
        <w:pStyle w:val="TableBullet1"/>
        <w:numPr>
          <w:ilvl w:val="0"/>
          <w:numId w:val="0"/>
        </w:numPr>
        <w:spacing w:before="80" w:after="80"/>
        <w:contextualSpacing w:val="0"/>
        <w:rPr>
          <w:rFonts w:cs="Arial"/>
          <w:szCs w:val="20"/>
        </w:rPr>
      </w:pPr>
      <w:r w:rsidRPr="0020182A">
        <w:rPr>
          <w:rFonts w:cs="Arial"/>
          <w:szCs w:val="20"/>
        </w:rPr>
        <w:t xml:space="preserve">The existing commentary in the SDA Framework supports innovation in SDA design and delivery, and this is critical to the development of a market which provides contemporary housing options </w:t>
      </w:r>
      <w:r>
        <w:rPr>
          <w:rFonts w:cs="Arial"/>
          <w:szCs w:val="20"/>
        </w:rPr>
        <w:t>that</w:t>
      </w:r>
      <w:r w:rsidRPr="0020182A">
        <w:rPr>
          <w:rFonts w:cs="Arial"/>
          <w:szCs w:val="20"/>
        </w:rPr>
        <w:t xml:space="preserve"> contribute to positive outcomes for participants.  However, what is meant by ‘innovation’ in this new market context is still being determined, and at this early stage, innovation and quality is largely being defined by providers in terms of new or alternative housing design and built forms, innovative use of technology, and co-location with other housing options (such as SDA dwellings located in larger apartment buildings). </w:t>
      </w:r>
    </w:p>
    <w:p w:rsidR="002351C9" w:rsidRPr="0020182A" w:rsidRDefault="002351C9" w:rsidP="002351C9">
      <w:pPr>
        <w:pStyle w:val="Numberbullet1stlevel"/>
        <w:numPr>
          <w:ilvl w:val="0"/>
          <w:numId w:val="0"/>
        </w:numPr>
        <w:spacing w:before="80" w:after="80"/>
        <w:rPr>
          <w:rStyle w:val="White"/>
          <w:rFonts w:cs="Arial"/>
          <w:i/>
          <w:color w:val="auto"/>
          <w:szCs w:val="20"/>
        </w:rPr>
      </w:pPr>
      <w:r w:rsidRPr="0020182A">
        <w:rPr>
          <w:rStyle w:val="White"/>
          <w:rFonts w:cs="Arial"/>
          <w:i/>
          <w:color w:val="auto"/>
          <w:szCs w:val="20"/>
        </w:rPr>
        <w:t xml:space="preserve">Finding 14: Participants are limited in their ability to drive or influence innovative SDA designs. </w:t>
      </w:r>
    </w:p>
    <w:p w:rsidR="002351C9" w:rsidRPr="0020182A" w:rsidRDefault="002351C9" w:rsidP="002351C9">
      <w:pPr>
        <w:pStyle w:val="Numberbullet1stlevel"/>
        <w:numPr>
          <w:ilvl w:val="0"/>
          <w:numId w:val="0"/>
        </w:numPr>
        <w:spacing w:before="80" w:after="80"/>
        <w:rPr>
          <w:rStyle w:val="White"/>
          <w:b/>
          <w:color w:val="auto"/>
          <w:szCs w:val="20"/>
        </w:rPr>
      </w:pPr>
      <w:r w:rsidRPr="0020182A">
        <w:rPr>
          <w:rFonts w:cs="Arial"/>
          <w:szCs w:val="20"/>
        </w:rPr>
        <w:t>Participants and their families have a much broader view of innovation, encompassing considerations such as ownership models and shared equity models, innovative arrangements which allow for people with disability to live with family, and innovative support delivery and implications for housing, such as home-share arrangements. The Framework does not allow for many of these potential innovations, and instead assumes a “rental model” for SDA (much like social housing or defence housing), whereby providers and investors develop and own properties which are made available for ‘rent’ to eligible SDA participants (who utilise their SDA funding as well as pay a co-contribution).</w:t>
      </w:r>
    </w:p>
    <w:p w:rsidR="002351C9" w:rsidRPr="0020182A" w:rsidRDefault="002351C9" w:rsidP="002351C9">
      <w:pPr>
        <w:pStyle w:val="Numberbullet1stlevel"/>
        <w:numPr>
          <w:ilvl w:val="0"/>
          <w:numId w:val="0"/>
        </w:numPr>
        <w:spacing w:before="80" w:after="80"/>
        <w:rPr>
          <w:rStyle w:val="White"/>
          <w:rFonts w:cs="Arial"/>
          <w:i/>
          <w:color w:val="auto"/>
          <w:szCs w:val="20"/>
        </w:rPr>
      </w:pPr>
      <w:r w:rsidRPr="0020182A">
        <w:rPr>
          <w:rStyle w:val="White"/>
          <w:rFonts w:cs="Arial"/>
          <w:i/>
          <w:color w:val="auto"/>
          <w:szCs w:val="20"/>
        </w:rPr>
        <w:t>Finding 15: There are some aspects of the SDA Framework and implementation of SDA that are creating barriers to achieving innovation.</w:t>
      </w:r>
    </w:p>
    <w:p w:rsidR="002351C9" w:rsidRPr="0020182A" w:rsidRDefault="002351C9" w:rsidP="002351C9">
      <w:pPr>
        <w:pStyle w:val="TableBullet1"/>
        <w:numPr>
          <w:ilvl w:val="0"/>
          <w:numId w:val="0"/>
        </w:numPr>
        <w:tabs>
          <w:tab w:val="left" w:pos="357"/>
        </w:tabs>
        <w:spacing w:before="80" w:after="80"/>
        <w:contextualSpacing w:val="0"/>
        <w:rPr>
          <w:rFonts w:cs="Arial"/>
          <w:b/>
          <w:i/>
          <w:szCs w:val="20"/>
        </w:rPr>
      </w:pPr>
      <w:r w:rsidRPr="0020182A">
        <w:rPr>
          <w:rFonts w:cs="Arial"/>
          <w:szCs w:val="20"/>
        </w:rPr>
        <w:t>Achieving innovative and high quality SDA designs, and potentially other innovations relating to pathways to home ownership, are only likely to emerge over time. However, at this stage, uncertainty relating to SDA policy settings and pricing, and the lack of market information relating to demand and supply, means that many providers and investors are unwilling to invest in more complex, innovative SDA solutions.  Further, the Rules and Framework in some instances are quite specific, for example in in relation to dwelling configurations and building categories, which can have the unintended consequence of limiting innovative market responses.</w:t>
      </w:r>
    </w:p>
    <w:p w:rsidR="0049047D" w:rsidRPr="0020182A" w:rsidRDefault="0049047D" w:rsidP="0049047D">
      <w:pPr>
        <w:pStyle w:val="Heading3"/>
      </w:pPr>
      <w:r w:rsidRPr="0020182A">
        <w:t>Efficiency and value for money</w:t>
      </w:r>
    </w:p>
    <w:p w:rsidR="002351C9" w:rsidRPr="003F7423" w:rsidRDefault="002351C9" w:rsidP="003F7423">
      <w:pPr>
        <w:pStyle w:val="BodyText2"/>
        <w:rPr>
          <w:sz w:val="20"/>
        </w:rPr>
      </w:pPr>
      <w:r w:rsidRPr="003F7423">
        <w:rPr>
          <w:sz w:val="20"/>
        </w:rPr>
        <w:t>Optimal outcomes and value for money:  A well-functioning, regulated SDA market balances efficient use of participant funding and achievement of optimal outcomes, while providing value for money for Government</w:t>
      </w:r>
    </w:p>
    <w:p w:rsidR="002351C9" w:rsidRPr="0020182A" w:rsidRDefault="002351C9" w:rsidP="002351C9">
      <w:pPr>
        <w:pStyle w:val="TableBullet1"/>
        <w:numPr>
          <w:ilvl w:val="0"/>
          <w:numId w:val="0"/>
        </w:numPr>
        <w:spacing w:before="80" w:after="80"/>
        <w:contextualSpacing w:val="0"/>
        <w:rPr>
          <w:rFonts w:cs="Arial"/>
          <w:szCs w:val="20"/>
        </w:rPr>
      </w:pPr>
      <w:r w:rsidRPr="0020182A">
        <w:rPr>
          <w:rFonts w:cs="Arial"/>
          <w:szCs w:val="20"/>
        </w:rPr>
        <w:t>Review findings in relation to efficiency and value for money are:</w:t>
      </w:r>
    </w:p>
    <w:p w:rsidR="002351C9" w:rsidRPr="0020182A" w:rsidRDefault="002351C9" w:rsidP="002351C9">
      <w:pPr>
        <w:pStyle w:val="Numberbullet1stlevel"/>
        <w:numPr>
          <w:ilvl w:val="0"/>
          <w:numId w:val="0"/>
        </w:numPr>
        <w:spacing w:before="80" w:after="80"/>
        <w:rPr>
          <w:rStyle w:val="White"/>
          <w:rFonts w:cs="Arial"/>
          <w:i/>
          <w:color w:val="auto"/>
          <w:szCs w:val="20"/>
        </w:rPr>
      </w:pPr>
      <w:r w:rsidRPr="0020182A">
        <w:rPr>
          <w:rStyle w:val="White"/>
          <w:rFonts w:cs="Arial"/>
          <w:i/>
          <w:color w:val="auto"/>
          <w:szCs w:val="20"/>
        </w:rPr>
        <w:lastRenderedPageBreak/>
        <w:t xml:space="preserve">Finding 16: Broadly, the SDA Framework supports ongoing sustainability of the Scheme, though is not clear on how choice for participants and Scheme sustainability and value for money can be balanced. </w:t>
      </w:r>
    </w:p>
    <w:p w:rsidR="002351C9" w:rsidRPr="0020182A" w:rsidRDefault="002351C9" w:rsidP="002351C9">
      <w:pPr>
        <w:pStyle w:val="TableBullet1"/>
        <w:numPr>
          <w:ilvl w:val="0"/>
          <w:numId w:val="0"/>
        </w:numPr>
        <w:tabs>
          <w:tab w:val="left" w:pos="357"/>
        </w:tabs>
        <w:spacing w:before="80" w:after="80"/>
        <w:contextualSpacing w:val="0"/>
        <w:rPr>
          <w:rFonts w:cs="Arial"/>
          <w:szCs w:val="20"/>
        </w:rPr>
      </w:pPr>
      <w:r w:rsidRPr="0020182A">
        <w:rPr>
          <w:rFonts w:cs="Arial"/>
          <w:szCs w:val="20"/>
        </w:rPr>
        <w:t xml:space="preserve">Scheme sustainability is a central focus of the SDA Framework, with particular emphasis placed on efficient price setting, eligibility determination, dwelling requirements. The SDA Framework also includes operational guidance to ensure immediate costs are managed and emphasises economies of scale. </w:t>
      </w:r>
    </w:p>
    <w:p w:rsidR="002351C9" w:rsidRPr="0020182A" w:rsidRDefault="002351C9" w:rsidP="002351C9">
      <w:pPr>
        <w:pStyle w:val="TableBullet1"/>
        <w:numPr>
          <w:ilvl w:val="0"/>
          <w:numId w:val="0"/>
        </w:numPr>
        <w:tabs>
          <w:tab w:val="left" w:pos="357"/>
        </w:tabs>
        <w:spacing w:before="80" w:after="80"/>
        <w:contextualSpacing w:val="0"/>
        <w:rPr>
          <w:rFonts w:cs="Arial"/>
          <w:szCs w:val="20"/>
        </w:rPr>
      </w:pPr>
      <w:r w:rsidRPr="0020182A">
        <w:rPr>
          <w:rFonts w:cs="Arial"/>
          <w:szCs w:val="20"/>
        </w:rPr>
        <w:t xml:space="preserve">The SDA Framework is not clear on how choice for participants and Scheme sustainability and value for money can be balanced, and whether choice needs to be limited to achieve Scheme sustainability or whether these two objectives can be achieved together. </w:t>
      </w:r>
    </w:p>
    <w:p w:rsidR="002351C9" w:rsidRPr="0020182A" w:rsidRDefault="002351C9" w:rsidP="002351C9">
      <w:pPr>
        <w:pStyle w:val="TableBullet1"/>
        <w:numPr>
          <w:ilvl w:val="0"/>
          <w:numId w:val="0"/>
        </w:numPr>
        <w:tabs>
          <w:tab w:val="left" w:pos="357"/>
        </w:tabs>
        <w:spacing w:before="80" w:after="80"/>
        <w:contextualSpacing w:val="0"/>
        <w:rPr>
          <w:i/>
          <w:iCs/>
          <w:szCs w:val="20"/>
        </w:rPr>
        <w:sectPr w:rsidR="002351C9" w:rsidRPr="0020182A" w:rsidSect="00DC34BF">
          <w:headerReference w:type="default" r:id="rId61"/>
          <w:footerReference w:type="default" r:id="rId62"/>
          <w:pgSz w:w="11906" w:h="16838"/>
          <w:pgMar w:top="1418" w:right="1418" w:bottom="1418" w:left="1418" w:header="340" w:footer="453" w:gutter="0"/>
          <w:cols w:space="708"/>
          <w:docGrid w:linePitch="360"/>
        </w:sectPr>
      </w:pPr>
      <w:r w:rsidRPr="0020182A">
        <w:rPr>
          <w:rFonts w:cs="Arial"/>
          <w:szCs w:val="20"/>
        </w:rPr>
        <w:t xml:space="preserve">The SDA Framework does not currently consider how SDA and other support funding can be used flexibly to better achieve participant goals, or how participants can be engaged in making decisions about using their entire package of supports achieve their long term goals.   </w:t>
      </w:r>
    </w:p>
    <w:p w:rsidR="0049047D" w:rsidRPr="0020182A" w:rsidRDefault="0049047D" w:rsidP="0049047D">
      <w:pPr>
        <w:pStyle w:val="HeadingLevel2NoNumber"/>
      </w:pPr>
      <w:r w:rsidRPr="0020182A">
        <w:lastRenderedPageBreak/>
        <w:t>Recommendations</w:t>
      </w:r>
    </w:p>
    <w:p w:rsidR="0049047D" w:rsidRPr="0020182A" w:rsidRDefault="0049047D" w:rsidP="0049047D">
      <w:pPr>
        <w:pStyle w:val="Heading3"/>
      </w:pPr>
      <w:r w:rsidRPr="0020182A">
        <w:t>Enhancing participant choice and control</w:t>
      </w:r>
    </w:p>
    <w:p w:rsidR="003245E8" w:rsidRPr="003F7423" w:rsidRDefault="003245E8" w:rsidP="003F7423">
      <w:pPr>
        <w:pStyle w:val="BodyText2"/>
        <w:rPr>
          <w:sz w:val="20"/>
        </w:rPr>
      </w:pPr>
      <w:r w:rsidRPr="003F7423">
        <w:rPr>
          <w:sz w:val="20"/>
        </w:rPr>
        <w:t xml:space="preserve">Recommendation 1: Clearly articulate how participant preferences will be taken into account in determining their SIL and SDA arrangements. </w:t>
      </w:r>
    </w:p>
    <w:p w:rsidR="003245E8" w:rsidRPr="0020182A" w:rsidRDefault="003245E8" w:rsidP="003245E8">
      <w:pPr>
        <w:spacing w:before="80" w:after="80"/>
        <w:rPr>
          <w:rFonts w:cs="Arial"/>
          <w:szCs w:val="20"/>
        </w:rPr>
      </w:pPr>
      <w:r w:rsidRPr="0020182A">
        <w:rPr>
          <w:rFonts w:cs="Arial"/>
          <w:szCs w:val="20"/>
        </w:rPr>
        <w:t>This includes clarity on:</w:t>
      </w:r>
    </w:p>
    <w:p w:rsidR="003245E8" w:rsidRDefault="003245E8" w:rsidP="003245E8">
      <w:pPr>
        <w:pStyle w:val="BodyText1"/>
        <w:numPr>
          <w:ilvl w:val="0"/>
          <w:numId w:val="52"/>
        </w:numPr>
        <w:tabs>
          <w:tab w:val="clear" w:pos="340"/>
          <w:tab w:val="num" w:pos="374"/>
        </w:tabs>
        <w:spacing w:before="80" w:after="80"/>
        <w:ind w:left="374"/>
        <w:rPr>
          <w:rFonts w:cs="Arial"/>
          <w:b/>
          <w:szCs w:val="20"/>
        </w:rPr>
      </w:pPr>
      <w:r>
        <w:rPr>
          <w:rFonts w:cs="Arial"/>
          <w:szCs w:val="20"/>
        </w:rPr>
        <w:t xml:space="preserve">How participant preferences relating to </w:t>
      </w:r>
      <w:r w:rsidRPr="0020182A">
        <w:rPr>
          <w:rFonts w:cs="Arial"/>
          <w:i/>
          <w:szCs w:val="20"/>
        </w:rPr>
        <w:t>where</w:t>
      </w:r>
      <w:r w:rsidRPr="0020182A">
        <w:rPr>
          <w:rFonts w:cs="Arial"/>
          <w:szCs w:val="20"/>
        </w:rPr>
        <w:t xml:space="preserve"> they want to live, </w:t>
      </w:r>
      <w:r w:rsidRPr="0020182A">
        <w:rPr>
          <w:rFonts w:cs="Arial"/>
          <w:i/>
          <w:szCs w:val="20"/>
        </w:rPr>
        <w:t>who</w:t>
      </w:r>
      <w:r w:rsidRPr="0020182A">
        <w:rPr>
          <w:rFonts w:cs="Arial"/>
          <w:szCs w:val="20"/>
        </w:rPr>
        <w:t xml:space="preserve"> they want to live with, and the </w:t>
      </w:r>
      <w:r w:rsidRPr="0020182A">
        <w:rPr>
          <w:rFonts w:cs="Arial"/>
          <w:i/>
          <w:szCs w:val="20"/>
        </w:rPr>
        <w:t>type of dwelling</w:t>
      </w:r>
      <w:r w:rsidRPr="0020182A">
        <w:rPr>
          <w:rFonts w:cs="Arial"/>
          <w:szCs w:val="20"/>
        </w:rPr>
        <w:t xml:space="preserve"> they want to live in</w:t>
      </w:r>
      <w:r>
        <w:rPr>
          <w:rFonts w:cs="Arial"/>
          <w:szCs w:val="20"/>
        </w:rPr>
        <w:t>, will be taken into consideration in the determination of ‘reasonable and necessary’</w:t>
      </w:r>
      <w:r>
        <w:rPr>
          <w:rFonts w:cs="Arial"/>
          <w:b/>
          <w:szCs w:val="20"/>
        </w:rPr>
        <w:t>.</w:t>
      </w:r>
    </w:p>
    <w:p w:rsidR="003245E8" w:rsidRPr="00C93446" w:rsidRDefault="003245E8" w:rsidP="003245E8">
      <w:pPr>
        <w:pStyle w:val="BodyText1"/>
        <w:numPr>
          <w:ilvl w:val="0"/>
          <w:numId w:val="52"/>
        </w:numPr>
        <w:tabs>
          <w:tab w:val="clear" w:pos="340"/>
          <w:tab w:val="num" w:pos="374"/>
        </w:tabs>
        <w:spacing w:before="80" w:after="80"/>
        <w:ind w:left="374"/>
        <w:rPr>
          <w:rFonts w:cs="Arial"/>
          <w:b/>
          <w:szCs w:val="20"/>
        </w:rPr>
      </w:pPr>
      <w:r>
        <w:rPr>
          <w:rFonts w:cs="Arial"/>
          <w:szCs w:val="20"/>
        </w:rPr>
        <w:t xml:space="preserve">Communicating more clearly to participants and families, and the market more broadly, </w:t>
      </w:r>
      <w:r w:rsidRPr="00C93446">
        <w:rPr>
          <w:rFonts w:cs="Arial"/>
          <w:szCs w:val="20"/>
        </w:rPr>
        <w:t xml:space="preserve">the circumstances </w:t>
      </w:r>
      <w:r>
        <w:rPr>
          <w:rFonts w:cs="Arial"/>
          <w:szCs w:val="20"/>
        </w:rPr>
        <w:t xml:space="preserve">in which </w:t>
      </w:r>
      <w:r w:rsidRPr="00C93446">
        <w:rPr>
          <w:rFonts w:cs="Arial"/>
          <w:szCs w:val="20"/>
        </w:rPr>
        <w:t>a participant may be able to live alone</w:t>
      </w:r>
      <w:r>
        <w:rPr>
          <w:rFonts w:cs="Arial"/>
          <w:szCs w:val="20"/>
        </w:rPr>
        <w:t xml:space="preserve"> (as per the Rules).</w:t>
      </w:r>
    </w:p>
    <w:p w:rsidR="003245E8" w:rsidRDefault="003245E8" w:rsidP="003245E8">
      <w:pPr>
        <w:pStyle w:val="BodyText1"/>
        <w:numPr>
          <w:ilvl w:val="0"/>
          <w:numId w:val="53"/>
        </w:numPr>
        <w:spacing w:before="80" w:after="80"/>
        <w:rPr>
          <w:rFonts w:cs="Arial"/>
          <w:szCs w:val="20"/>
        </w:rPr>
      </w:pPr>
      <w:r w:rsidRPr="009B43EC">
        <w:rPr>
          <w:rFonts w:cs="Arial"/>
          <w:szCs w:val="20"/>
        </w:rPr>
        <w:t xml:space="preserve">How participants can use their SDA funding more flexibly than present, including </w:t>
      </w:r>
      <w:r>
        <w:rPr>
          <w:rFonts w:cs="Arial"/>
          <w:szCs w:val="20"/>
        </w:rPr>
        <w:t xml:space="preserve">how </w:t>
      </w:r>
      <w:r w:rsidRPr="009B43EC">
        <w:rPr>
          <w:rFonts w:cs="Arial"/>
          <w:szCs w:val="20"/>
        </w:rPr>
        <w:t xml:space="preserve">participants </w:t>
      </w:r>
      <w:r>
        <w:rPr>
          <w:rFonts w:cs="Arial"/>
          <w:szCs w:val="20"/>
        </w:rPr>
        <w:t xml:space="preserve">can be engaged </w:t>
      </w:r>
      <w:r w:rsidRPr="009B43EC">
        <w:rPr>
          <w:rFonts w:cs="Arial"/>
          <w:szCs w:val="20"/>
        </w:rPr>
        <w:t>in decision making about different combinations of SDA and other support funding t</w:t>
      </w:r>
      <w:r>
        <w:rPr>
          <w:rFonts w:cs="Arial"/>
          <w:szCs w:val="20"/>
        </w:rPr>
        <w:t>o</w:t>
      </w:r>
      <w:r w:rsidRPr="009B43EC">
        <w:rPr>
          <w:rFonts w:cs="Arial"/>
          <w:szCs w:val="20"/>
        </w:rPr>
        <w:t xml:space="preserve"> them meet their long-term goals</w:t>
      </w:r>
      <w:r>
        <w:rPr>
          <w:rFonts w:cs="Arial"/>
          <w:szCs w:val="20"/>
        </w:rPr>
        <w:t>.</w:t>
      </w:r>
    </w:p>
    <w:p w:rsidR="003245E8" w:rsidRPr="0020182A" w:rsidRDefault="003245E8" w:rsidP="003245E8">
      <w:pPr>
        <w:pStyle w:val="BodyText1"/>
        <w:spacing w:before="80" w:after="80"/>
        <w:rPr>
          <w:rFonts w:cs="Arial"/>
          <w:szCs w:val="20"/>
        </w:rPr>
      </w:pPr>
      <w:r w:rsidRPr="0020182A">
        <w:rPr>
          <w:rFonts w:cs="Arial"/>
          <w:szCs w:val="20"/>
        </w:rPr>
        <w:t>The publication of precedents or case studies could be used to improve clarity, and these can be used to provide guidance and training to those responsible for determining eligibility and the provision of SDA funding.</w:t>
      </w:r>
    </w:p>
    <w:p w:rsidR="002351C9" w:rsidRPr="003F7423" w:rsidRDefault="002351C9" w:rsidP="003F7423">
      <w:pPr>
        <w:pStyle w:val="BodyText2"/>
        <w:rPr>
          <w:sz w:val="20"/>
        </w:rPr>
      </w:pPr>
      <w:r w:rsidRPr="003F7423">
        <w:rPr>
          <w:sz w:val="20"/>
        </w:rPr>
        <w:t>Recommendation 2: Make changes to the Framework, Rules and Price Guide to remove restrictions for participants to live in SDA dwellings with people who are not eligible for SDA (such as their partner, children, other family and friends).</w:t>
      </w:r>
    </w:p>
    <w:p w:rsidR="002351C9" w:rsidRPr="0020182A" w:rsidRDefault="002351C9" w:rsidP="002351C9">
      <w:pPr>
        <w:spacing w:before="80" w:after="80"/>
        <w:rPr>
          <w:rFonts w:cs="Arial"/>
          <w:szCs w:val="20"/>
        </w:rPr>
      </w:pPr>
      <w:r w:rsidRPr="0020182A">
        <w:rPr>
          <w:rFonts w:cs="Arial"/>
          <w:szCs w:val="20"/>
        </w:rPr>
        <w:t>This should include:</w:t>
      </w:r>
    </w:p>
    <w:p w:rsidR="002351C9" w:rsidRPr="0020182A" w:rsidRDefault="002351C9" w:rsidP="002351C9">
      <w:pPr>
        <w:pStyle w:val="ListParagraph"/>
        <w:numPr>
          <w:ilvl w:val="0"/>
          <w:numId w:val="83"/>
        </w:numPr>
        <w:spacing w:before="80" w:after="80"/>
        <w:rPr>
          <w:rFonts w:cs="Arial"/>
          <w:szCs w:val="20"/>
        </w:rPr>
      </w:pPr>
      <w:r w:rsidRPr="0020182A">
        <w:rPr>
          <w:rFonts w:cs="Arial"/>
          <w:szCs w:val="20"/>
        </w:rPr>
        <w:t>Changing the Rules (and subsequently the Framework and other supporting documentation) to:</w:t>
      </w:r>
    </w:p>
    <w:p w:rsidR="002351C9" w:rsidRPr="0020182A" w:rsidRDefault="002351C9" w:rsidP="002351C9">
      <w:pPr>
        <w:pStyle w:val="BodyText1"/>
        <w:numPr>
          <w:ilvl w:val="0"/>
          <w:numId w:val="84"/>
        </w:numPr>
        <w:spacing w:before="80" w:after="80"/>
        <w:rPr>
          <w:rFonts w:cs="Arial"/>
          <w:szCs w:val="20"/>
        </w:rPr>
      </w:pPr>
      <w:r w:rsidRPr="0020182A">
        <w:rPr>
          <w:rFonts w:cs="Arial"/>
          <w:szCs w:val="20"/>
        </w:rPr>
        <w:t xml:space="preserve">remove the rule for dwelling enrolment that requires the majority of bedrooms in a house to be SDA-compliant </w:t>
      </w:r>
    </w:p>
    <w:p w:rsidR="002351C9" w:rsidRPr="0020182A" w:rsidRDefault="002351C9" w:rsidP="002351C9">
      <w:pPr>
        <w:pStyle w:val="BodyText1"/>
        <w:numPr>
          <w:ilvl w:val="0"/>
          <w:numId w:val="84"/>
        </w:numPr>
        <w:spacing w:before="80" w:after="80"/>
        <w:rPr>
          <w:rFonts w:cs="Arial"/>
          <w:szCs w:val="20"/>
        </w:rPr>
      </w:pPr>
      <w:r w:rsidRPr="0020182A">
        <w:rPr>
          <w:rFonts w:cs="Arial"/>
          <w:szCs w:val="20"/>
        </w:rPr>
        <w:t>revise the rule that requires a bedroom for every resident in the house to remove this requirement for couples, participants with children and participants in other limited circumstances where a separate bedroom-like room is not required, while also ensuring sufficient safeguards are in place.</w:t>
      </w:r>
    </w:p>
    <w:p w:rsidR="002351C9" w:rsidRPr="0020182A" w:rsidRDefault="002351C9" w:rsidP="002351C9">
      <w:pPr>
        <w:pStyle w:val="BodyText1"/>
        <w:numPr>
          <w:ilvl w:val="0"/>
          <w:numId w:val="79"/>
        </w:numPr>
        <w:spacing w:before="80" w:after="80"/>
        <w:rPr>
          <w:rFonts w:cs="Arial"/>
          <w:szCs w:val="20"/>
        </w:rPr>
      </w:pPr>
      <w:r w:rsidRPr="0020182A">
        <w:rPr>
          <w:rFonts w:cs="Arial"/>
          <w:szCs w:val="20"/>
        </w:rPr>
        <w:t xml:space="preserve">Examining disincentives for providers </w:t>
      </w:r>
      <w:r>
        <w:rPr>
          <w:rFonts w:cs="Arial"/>
          <w:szCs w:val="20"/>
        </w:rPr>
        <w:t>that</w:t>
      </w:r>
      <w:r w:rsidRPr="0020182A">
        <w:rPr>
          <w:rFonts w:cs="Arial"/>
          <w:szCs w:val="20"/>
        </w:rPr>
        <w:t xml:space="preserve"> limit a participant’s ability to live with others without disability (noting that the NDIS does not fund or subsidise living arrangements for people without disability).</w:t>
      </w:r>
    </w:p>
    <w:p w:rsidR="0049047D" w:rsidRPr="0020182A" w:rsidRDefault="0049047D" w:rsidP="0049047D">
      <w:pPr>
        <w:pStyle w:val="Heading3"/>
      </w:pPr>
      <w:r w:rsidRPr="0020182A">
        <w:t xml:space="preserve">Simplifying the process for participants to access SDA </w:t>
      </w:r>
    </w:p>
    <w:p w:rsidR="002351C9" w:rsidRPr="003F7423" w:rsidRDefault="002351C9" w:rsidP="003F7423">
      <w:pPr>
        <w:pStyle w:val="BodyText2"/>
        <w:rPr>
          <w:sz w:val="20"/>
        </w:rPr>
      </w:pPr>
      <w:r w:rsidRPr="003F7423">
        <w:rPr>
          <w:sz w:val="20"/>
        </w:rPr>
        <w:t>Recommendation 3: Improve and streamline the SDA planning process and participant journey to ensure that the process is efficient, easy to navigate, and does not unduly burden participants and their families or SDA providers.</w:t>
      </w:r>
    </w:p>
    <w:p w:rsidR="002351C9" w:rsidRPr="0020182A" w:rsidRDefault="002351C9" w:rsidP="002351C9">
      <w:pPr>
        <w:pStyle w:val="BodyText1"/>
        <w:spacing w:before="80" w:after="80"/>
        <w:rPr>
          <w:rFonts w:cs="Arial"/>
          <w:szCs w:val="20"/>
        </w:rPr>
      </w:pPr>
      <w:r w:rsidRPr="0020182A">
        <w:rPr>
          <w:rFonts w:cs="Arial"/>
          <w:szCs w:val="20"/>
        </w:rPr>
        <w:t>This should include:</w:t>
      </w:r>
    </w:p>
    <w:p w:rsidR="002351C9" w:rsidRPr="0020182A" w:rsidRDefault="002351C9" w:rsidP="002351C9">
      <w:pPr>
        <w:pStyle w:val="BodyText1"/>
        <w:numPr>
          <w:ilvl w:val="0"/>
          <w:numId w:val="81"/>
        </w:numPr>
        <w:spacing w:before="80" w:after="80"/>
        <w:rPr>
          <w:rFonts w:cs="Arial"/>
          <w:szCs w:val="20"/>
        </w:rPr>
      </w:pPr>
      <w:r w:rsidRPr="0020182A">
        <w:rPr>
          <w:rFonts w:cs="Arial"/>
          <w:szCs w:val="20"/>
        </w:rPr>
        <w:t xml:space="preserve">Examining the Rules and NDIS processes to identify barriers or constraints </w:t>
      </w:r>
      <w:r>
        <w:rPr>
          <w:rFonts w:cs="Arial"/>
          <w:szCs w:val="20"/>
        </w:rPr>
        <w:t>that</w:t>
      </w:r>
      <w:r w:rsidRPr="0020182A">
        <w:rPr>
          <w:rFonts w:cs="Arial"/>
          <w:szCs w:val="20"/>
        </w:rPr>
        <w:t xml:space="preserve"> make the participant planning process overly complex – such as:</w:t>
      </w:r>
    </w:p>
    <w:p w:rsidR="002351C9" w:rsidRPr="0020182A" w:rsidRDefault="002351C9" w:rsidP="002351C9">
      <w:pPr>
        <w:pStyle w:val="BodyText1"/>
        <w:numPr>
          <w:ilvl w:val="0"/>
          <w:numId w:val="80"/>
        </w:numPr>
        <w:spacing w:before="80" w:after="80"/>
        <w:rPr>
          <w:rFonts w:cs="Arial"/>
          <w:szCs w:val="20"/>
        </w:rPr>
      </w:pPr>
      <w:r>
        <w:rPr>
          <w:rFonts w:cs="Arial"/>
          <w:szCs w:val="20"/>
        </w:rPr>
        <w:t>T</w:t>
      </w:r>
      <w:r w:rsidRPr="0020182A">
        <w:rPr>
          <w:rFonts w:cs="Arial"/>
          <w:szCs w:val="20"/>
        </w:rPr>
        <w:t xml:space="preserve">he steps in the SDA process to allow clear decisions on SDA eligibility and funding to be made </w:t>
      </w:r>
      <w:r w:rsidRPr="0020182A">
        <w:rPr>
          <w:rFonts w:cs="Arial"/>
          <w:i/>
          <w:szCs w:val="20"/>
        </w:rPr>
        <w:t>prior to</w:t>
      </w:r>
      <w:r w:rsidRPr="0020182A">
        <w:rPr>
          <w:rFonts w:cs="Arial"/>
          <w:szCs w:val="20"/>
        </w:rPr>
        <w:t xml:space="preserve"> the participant being required to identify a potential SDA dwelling. This will require amendment to the SDA Rule that requires a property to be available or very soon available before an SDA eligibility decision can be made.</w:t>
      </w:r>
    </w:p>
    <w:p w:rsidR="002351C9" w:rsidRPr="0020182A" w:rsidRDefault="002351C9" w:rsidP="002351C9">
      <w:pPr>
        <w:pStyle w:val="BodyText1"/>
        <w:numPr>
          <w:ilvl w:val="0"/>
          <w:numId w:val="80"/>
        </w:numPr>
        <w:spacing w:before="80" w:after="80"/>
        <w:rPr>
          <w:rFonts w:cs="Arial"/>
          <w:szCs w:val="20"/>
        </w:rPr>
      </w:pPr>
      <w:r>
        <w:rPr>
          <w:rFonts w:cs="Arial"/>
          <w:szCs w:val="20"/>
        </w:rPr>
        <w:t>R</w:t>
      </w:r>
      <w:r w:rsidRPr="0020182A">
        <w:rPr>
          <w:rFonts w:cs="Arial"/>
          <w:szCs w:val="20"/>
        </w:rPr>
        <w:t>emoving requirements to demonstrate other housing options are not suitable before a decision is made on eligibility, particularly where participants are already residing in unsuitable accommodation, as by definition, a person who is eligible for SDA has their needs best met by SDA</w:t>
      </w:r>
      <w:r>
        <w:rPr>
          <w:rFonts w:cs="Arial"/>
          <w:szCs w:val="20"/>
        </w:rPr>
        <w:t>.</w:t>
      </w:r>
    </w:p>
    <w:p w:rsidR="002351C9" w:rsidRPr="0020182A" w:rsidRDefault="002351C9" w:rsidP="002351C9">
      <w:pPr>
        <w:pStyle w:val="TableBullet1"/>
        <w:numPr>
          <w:ilvl w:val="0"/>
          <w:numId w:val="55"/>
        </w:numPr>
        <w:spacing w:before="80" w:after="80"/>
        <w:contextualSpacing w:val="0"/>
        <w:rPr>
          <w:rFonts w:cs="Arial"/>
          <w:szCs w:val="20"/>
        </w:rPr>
      </w:pPr>
      <w:r w:rsidRPr="0020182A">
        <w:rPr>
          <w:rFonts w:cs="Arial"/>
          <w:szCs w:val="20"/>
        </w:rPr>
        <w:lastRenderedPageBreak/>
        <w:t xml:space="preserve">Developing a SDA planning framework or guidelines that articulates how interdependent factors should be considered in determining SDA eligibility and the participant planning process (such as building design, ownership status, decision-making authority on any co-tenants, other disability supports and the day-to-day management of supports that are required to be in place for a person to live in SDA). </w:t>
      </w:r>
    </w:p>
    <w:p w:rsidR="002351C9" w:rsidRPr="0020182A" w:rsidRDefault="002351C9" w:rsidP="002351C9">
      <w:pPr>
        <w:pStyle w:val="BodyText1"/>
        <w:numPr>
          <w:ilvl w:val="0"/>
          <w:numId w:val="55"/>
        </w:numPr>
        <w:spacing w:before="80" w:after="80"/>
        <w:rPr>
          <w:rFonts w:cs="Arial"/>
          <w:szCs w:val="20"/>
        </w:rPr>
      </w:pPr>
      <w:r w:rsidRPr="0020182A">
        <w:rPr>
          <w:rFonts w:cs="Arial"/>
          <w:szCs w:val="20"/>
        </w:rPr>
        <w:t>Consider</w:t>
      </w:r>
      <w:r>
        <w:rPr>
          <w:rFonts w:cs="Arial"/>
          <w:szCs w:val="20"/>
        </w:rPr>
        <w:t>ing</w:t>
      </w:r>
      <w:r w:rsidRPr="0020182A">
        <w:rPr>
          <w:rFonts w:cs="Arial"/>
          <w:szCs w:val="20"/>
        </w:rPr>
        <w:t xml:space="preserve"> ways to escalate or prioritise plan review meetings where a vacancy is available or where existing accommodation is unsuitable (in accordance with the commitment in the Framework to prioritising Young People in Nursing Homes and other participants in unsuitable accommodation)</w:t>
      </w:r>
      <w:r>
        <w:rPr>
          <w:rFonts w:cs="Arial"/>
          <w:szCs w:val="20"/>
        </w:rPr>
        <w:t>.</w:t>
      </w:r>
    </w:p>
    <w:p w:rsidR="002351C9" w:rsidRPr="0020182A" w:rsidRDefault="002351C9" w:rsidP="002351C9">
      <w:pPr>
        <w:pStyle w:val="BodyText1"/>
        <w:numPr>
          <w:ilvl w:val="0"/>
          <w:numId w:val="55"/>
        </w:numPr>
        <w:spacing w:before="80" w:after="80"/>
        <w:rPr>
          <w:rFonts w:cs="Arial"/>
          <w:szCs w:val="20"/>
        </w:rPr>
      </w:pPr>
      <w:r w:rsidRPr="0020182A">
        <w:rPr>
          <w:rFonts w:cs="Arial"/>
          <w:szCs w:val="20"/>
        </w:rPr>
        <w:t>Communicating the reasons for eligibility determinations to participants in a way they can easily understand, especially where participants have been deemed ineligible, to assist participants to understand the reasons and considerations under</w:t>
      </w:r>
      <w:r w:rsidR="000D2032">
        <w:rPr>
          <w:rFonts w:cs="Arial"/>
          <w:szCs w:val="20"/>
        </w:rPr>
        <w:t>pinning the eligibility decision</w:t>
      </w:r>
      <w:r>
        <w:rPr>
          <w:rFonts w:cs="Arial"/>
          <w:szCs w:val="20"/>
        </w:rPr>
        <w:t>.</w:t>
      </w:r>
    </w:p>
    <w:p w:rsidR="002351C9" w:rsidRPr="0020182A" w:rsidRDefault="002351C9" w:rsidP="002351C9">
      <w:pPr>
        <w:pStyle w:val="BodyText1"/>
        <w:numPr>
          <w:ilvl w:val="0"/>
          <w:numId w:val="55"/>
        </w:numPr>
        <w:spacing w:before="80" w:after="80"/>
        <w:rPr>
          <w:rFonts w:cs="Arial"/>
          <w:szCs w:val="20"/>
        </w:rPr>
      </w:pPr>
      <w:r w:rsidRPr="0020182A">
        <w:rPr>
          <w:rFonts w:cs="Arial"/>
          <w:szCs w:val="20"/>
        </w:rPr>
        <w:t>Publishing indicative timeframes for eligibility decision-making, based on the type of application and participant characteristics, and examples of circumstances that would impact on the length of time take to make an eligibility determination (including guidance to participants around supporting documentation and evidence that could be improve timeliness of decision making in these circumstances)</w:t>
      </w:r>
      <w:r>
        <w:rPr>
          <w:rFonts w:cs="Arial"/>
          <w:szCs w:val="20"/>
        </w:rPr>
        <w:t>.</w:t>
      </w:r>
    </w:p>
    <w:p w:rsidR="002351C9" w:rsidRPr="0020182A" w:rsidRDefault="002351C9" w:rsidP="002351C9">
      <w:pPr>
        <w:pStyle w:val="BodyText1"/>
        <w:numPr>
          <w:ilvl w:val="0"/>
          <w:numId w:val="55"/>
        </w:numPr>
        <w:spacing w:before="80" w:after="80"/>
        <w:rPr>
          <w:rFonts w:cs="Arial"/>
          <w:szCs w:val="20"/>
        </w:rPr>
      </w:pPr>
      <w:r w:rsidRPr="0020182A">
        <w:rPr>
          <w:rFonts w:cs="Arial"/>
          <w:szCs w:val="20"/>
        </w:rPr>
        <w:t xml:space="preserve">Tracking timeliness of SDA eligibility decisions by capturing when participants first apply for SDA compared to when eligibility is determined and reporting on the </w:t>
      </w:r>
      <w:r>
        <w:rPr>
          <w:rFonts w:cs="Arial"/>
          <w:szCs w:val="20"/>
        </w:rPr>
        <w:t xml:space="preserve">average </w:t>
      </w:r>
      <w:r w:rsidRPr="0020182A">
        <w:rPr>
          <w:rFonts w:cs="Arial"/>
          <w:szCs w:val="20"/>
        </w:rPr>
        <w:t>time taken to progress through each stage</w:t>
      </w:r>
      <w:r>
        <w:rPr>
          <w:rFonts w:cs="Arial"/>
          <w:szCs w:val="20"/>
        </w:rPr>
        <w:t>.</w:t>
      </w:r>
    </w:p>
    <w:p w:rsidR="002351C9" w:rsidRPr="0020182A" w:rsidRDefault="002351C9" w:rsidP="002351C9">
      <w:pPr>
        <w:pStyle w:val="BodyText1"/>
        <w:numPr>
          <w:ilvl w:val="0"/>
          <w:numId w:val="55"/>
        </w:numPr>
        <w:spacing w:before="80" w:after="80"/>
        <w:rPr>
          <w:rFonts w:cs="Arial"/>
          <w:szCs w:val="20"/>
        </w:rPr>
      </w:pPr>
      <w:r w:rsidRPr="0020182A">
        <w:rPr>
          <w:rFonts w:cs="Arial"/>
          <w:szCs w:val="20"/>
        </w:rPr>
        <w:t>Reporting regularly on the number of SDA decisions, the number of people with SDA in plans, and the number of days SDA places remain vacant, to indicate progress in SDA access.</w:t>
      </w:r>
    </w:p>
    <w:p w:rsidR="002351C9" w:rsidRPr="0020182A" w:rsidRDefault="002351C9" w:rsidP="002351C9">
      <w:pPr>
        <w:pStyle w:val="BodyText1"/>
        <w:spacing w:before="80" w:after="80"/>
        <w:rPr>
          <w:rFonts w:cs="Arial"/>
          <w:szCs w:val="20"/>
        </w:rPr>
      </w:pPr>
      <w:r w:rsidRPr="0020182A">
        <w:rPr>
          <w:rFonts w:cs="Arial"/>
          <w:szCs w:val="20"/>
        </w:rPr>
        <w:t xml:space="preserve">Once the above mechanisms are in place, specific timeframes should be established within the Agency for decision-making, including Key Performance Indicators (KPIs). For example, a percentage of eligibility decisions made within committed timeframes or the number of participants with SDA in their plans at particular timing intervals. </w:t>
      </w:r>
    </w:p>
    <w:p w:rsidR="002351C9" w:rsidRPr="0020182A" w:rsidRDefault="002351C9" w:rsidP="002351C9">
      <w:pPr>
        <w:pStyle w:val="BodyText1"/>
        <w:spacing w:before="80" w:after="80"/>
        <w:rPr>
          <w:rFonts w:cs="Arial"/>
          <w:szCs w:val="20"/>
        </w:rPr>
      </w:pPr>
      <w:r w:rsidRPr="0020182A">
        <w:rPr>
          <w:rFonts w:cs="Arial"/>
          <w:szCs w:val="20"/>
        </w:rPr>
        <w:t xml:space="preserve">The ultimate objective of refining the process is to achieve an outcome where a participant can confidently participate in the market, and the vendor can have confidence of the certainty around the participants funding stream and options to seriously negotiate with the participant. </w:t>
      </w:r>
    </w:p>
    <w:p w:rsidR="002351C9" w:rsidRPr="003F7423" w:rsidRDefault="002351C9" w:rsidP="003F7423">
      <w:pPr>
        <w:pStyle w:val="BodyText2"/>
        <w:rPr>
          <w:sz w:val="20"/>
        </w:rPr>
      </w:pPr>
      <w:r w:rsidRPr="003F7423">
        <w:rPr>
          <w:sz w:val="20"/>
        </w:rPr>
        <w:t xml:space="preserve">Recommendation 4: Based on the clarification of the process in Recommendation 3, provide greater clarity to participants on the SDA process through guidance for participants and families. </w:t>
      </w:r>
    </w:p>
    <w:p w:rsidR="002351C9" w:rsidRPr="0020182A" w:rsidRDefault="002351C9" w:rsidP="002351C9">
      <w:pPr>
        <w:pStyle w:val="BodyText1"/>
        <w:spacing w:before="80" w:after="80"/>
        <w:rPr>
          <w:rFonts w:cs="Arial"/>
          <w:szCs w:val="20"/>
        </w:rPr>
      </w:pPr>
      <w:r w:rsidRPr="0020182A">
        <w:rPr>
          <w:rFonts w:cs="Arial"/>
          <w:szCs w:val="20"/>
        </w:rPr>
        <w:t>This guidance should clearly set out</w:t>
      </w:r>
      <w:r>
        <w:rPr>
          <w:rFonts w:cs="Arial"/>
          <w:szCs w:val="20"/>
        </w:rPr>
        <w:t xml:space="preserve"> the</w:t>
      </w:r>
      <w:r w:rsidRPr="0020182A">
        <w:rPr>
          <w:rFonts w:cs="Arial"/>
          <w:szCs w:val="20"/>
        </w:rPr>
        <w:t>:</w:t>
      </w:r>
    </w:p>
    <w:p w:rsidR="002351C9" w:rsidRPr="0020182A" w:rsidRDefault="002351C9" w:rsidP="002351C9">
      <w:pPr>
        <w:pStyle w:val="BodyText1"/>
        <w:numPr>
          <w:ilvl w:val="0"/>
          <w:numId w:val="56"/>
        </w:numPr>
        <w:tabs>
          <w:tab w:val="clear" w:pos="340"/>
          <w:tab w:val="num" w:pos="723"/>
        </w:tabs>
        <w:spacing w:before="80" w:after="80"/>
        <w:rPr>
          <w:rFonts w:cs="Arial"/>
          <w:szCs w:val="20"/>
        </w:rPr>
      </w:pPr>
      <w:r w:rsidRPr="0020182A">
        <w:rPr>
          <w:rFonts w:cs="Arial"/>
          <w:szCs w:val="20"/>
        </w:rPr>
        <w:t>pathway to SDA, from decision-making through to identifying appropriate accommodation options</w:t>
      </w:r>
    </w:p>
    <w:p w:rsidR="002351C9" w:rsidRPr="0020182A" w:rsidRDefault="002351C9" w:rsidP="002351C9">
      <w:pPr>
        <w:pStyle w:val="BodyText1"/>
        <w:numPr>
          <w:ilvl w:val="0"/>
          <w:numId w:val="56"/>
        </w:numPr>
        <w:tabs>
          <w:tab w:val="clear" w:pos="340"/>
          <w:tab w:val="num" w:pos="723"/>
        </w:tabs>
        <w:spacing w:before="80" w:after="80"/>
        <w:rPr>
          <w:rFonts w:cs="Arial"/>
          <w:szCs w:val="20"/>
        </w:rPr>
      </w:pPr>
      <w:r w:rsidRPr="0020182A">
        <w:rPr>
          <w:rFonts w:cs="Arial"/>
          <w:szCs w:val="20"/>
        </w:rPr>
        <w:t xml:space="preserve">supporting documentation necessary to meet evidentiary requirements. </w:t>
      </w:r>
    </w:p>
    <w:p w:rsidR="002351C9" w:rsidRPr="0020182A" w:rsidRDefault="002351C9" w:rsidP="002351C9">
      <w:pPr>
        <w:pStyle w:val="BodyText1"/>
        <w:spacing w:before="80" w:after="80"/>
        <w:rPr>
          <w:rFonts w:cs="Arial"/>
          <w:szCs w:val="20"/>
        </w:rPr>
      </w:pPr>
      <w:r w:rsidRPr="0020182A">
        <w:rPr>
          <w:rFonts w:cs="Arial"/>
          <w:szCs w:val="20"/>
        </w:rPr>
        <w:t>Ultimately, guidance should prepare the participant, family and/or carer to participate in SDA eligibility and planning discussions.</w:t>
      </w:r>
    </w:p>
    <w:p w:rsidR="0049047D" w:rsidRPr="0020182A" w:rsidRDefault="0049047D" w:rsidP="0049047D">
      <w:pPr>
        <w:pStyle w:val="Heading3"/>
      </w:pPr>
      <w:r w:rsidRPr="0020182A">
        <w:t xml:space="preserve">Improving information for participants </w:t>
      </w:r>
    </w:p>
    <w:p w:rsidR="002351C9" w:rsidRPr="000C0F97" w:rsidRDefault="002351C9" w:rsidP="000C0F97">
      <w:pPr>
        <w:pStyle w:val="BodyText2"/>
        <w:rPr>
          <w:sz w:val="20"/>
        </w:rPr>
      </w:pPr>
      <w:r w:rsidRPr="000C0F97">
        <w:rPr>
          <w:sz w:val="20"/>
        </w:rPr>
        <w:t xml:space="preserve">Recommendation 5: Enable the provisional approval of SDA dwellings earlier in the build process to assist in enabling participants to link up with providers and potential new accommodation options earlier in the process and give greater visibility of upcoming SDA builds. </w:t>
      </w:r>
    </w:p>
    <w:p w:rsidR="002351C9" w:rsidRPr="0020182A" w:rsidRDefault="002351C9" w:rsidP="002351C9">
      <w:pPr>
        <w:pStyle w:val="BodyText1"/>
        <w:spacing w:before="80" w:after="80"/>
        <w:rPr>
          <w:rFonts w:eastAsiaTheme="majorEastAsia" w:cs="Arial"/>
          <w:iCs/>
          <w:szCs w:val="20"/>
        </w:rPr>
      </w:pPr>
      <w:r w:rsidRPr="0020182A">
        <w:rPr>
          <w:rFonts w:eastAsiaTheme="majorEastAsia" w:cs="Arial"/>
          <w:iCs/>
          <w:szCs w:val="20"/>
        </w:rPr>
        <w:t>This could be achieved via one of two mechanisms:</w:t>
      </w:r>
    </w:p>
    <w:p w:rsidR="002351C9" w:rsidRPr="0020182A" w:rsidRDefault="002351C9" w:rsidP="002351C9">
      <w:pPr>
        <w:pStyle w:val="BodyText1"/>
        <w:numPr>
          <w:ilvl w:val="0"/>
          <w:numId w:val="57"/>
        </w:numPr>
        <w:spacing w:before="80" w:after="80"/>
        <w:rPr>
          <w:rFonts w:eastAsiaTheme="majorEastAsia" w:cs="Arial"/>
          <w:iCs/>
          <w:szCs w:val="20"/>
        </w:rPr>
      </w:pPr>
      <w:r w:rsidRPr="0020182A">
        <w:rPr>
          <w:rFonts w:eastAsiaTheme="majorEastAsia" w:cs="Arial"/>
          <w:iCs/>
          <w:szCs w:val="20"/>
        </w:rPr>
        <w:t xml:space="preserve">A change to the Rules to allow for a provisional certification of a dwelling based on a number of key criteria to be demonstrated in building plans, with a final certificate of occupancy required prior to a participant moving into the dwelling. In the absence of changes to decouple SDA funding decisions from the availability of an SDA dwelling, a participant could be allocated SDA funding for a dwelling based on the provisional certification. </w:t>
      </w:r>
    </w:p>
    <w:p w:rsidR="002351C9" w:rsidRPr="0020182A" w:rsidRDefault="002351C9" w:rsidP="002351C9">
      <w:pPr>
        <w:pStyle w:val="BodyText1"/>
        <w:numPr>
          <w:ilvl w:val="0"/>
          <w:numId w:val="57"/>
        </w:numPr>
        <w:spacing w:before="80" w:after="80"/>
        <w:rPr>
          <w:rFonts w:eastAsiaTheme="majorEastAsia" w:cs="Arial"/>
          <w:iCs/>
          <w:szCs w:val="20"/>
        </w:rPr>
      </w:pPr>
      <w:r w:rsidRPr="0020182A">
        <w:rPr>
          <w:rFonts w:eastAsiaTheme="majorEastAsia" w:cs="Arial"/>
          <w:iCs/>
          <w:szCs w:val="20"/>
        </w:rPr>
        <w:t xml:space="preserve">An independent certification process undertaken by a certification or building assessment body according to criteria agreed with the body responsible for enrolment. This would include working with the independent body to develop the training curriculum for independent certifiers and empower the certification body to certify dwellings based on dwelling plans. The certification body </w:t>
      </w:r>
      <w:r w:rsidRPr="0020182A">
        <w:rPr>
          <w:rFonts w:eastAsiaTheme="majorEastAsia" w:cs="Arial"/>
          <w:iCs/>
          <w:szCs w:val="20"/>
        </w:rPr>
        <w:lastRenderedPageBreak/>
        <w:t>would be required to keep a register of certified dwellings.</w:t>
      </w:r>
      <w:r w:rsidR="003245E8">
        <w:rPr>
          <w:rFonts w:eastAsiaTheme="majorEastAsia" w:cs="Arial"/>
          <w:iCs/>
          <w:szCs w:val="20"/>
        </w:rPr>
        <w:t xml:space="preserve"> (It is understood that this process is being developed currently).</w:t>
      </w:r>
    </w:p>
    <w:p w:rsidR="002351C9" w:rsidRPr="0020182A" w:rsidRDefault="002351C9" w:rsidP="002351C9">
      <w:pPr>
        <w:pStyle w:val="BodyText1"/>
        <w:spacing w:before="80" w:after="80"/>
        <w:ind w:left="360"/>
        <w:rPr>
          <w:rFonts w:eastAsiaTheme="majorEastAsia" w:cs="Arial"/>
          <w:iCs/>
          <w:szCs w:val="20"/>
        </w:rPr>
      </w:pPr>
      <w:r w:rsidRPr="0020182A">
        <w:rPr>
          <w:rFonts w:eastAsiaTheme="majorEastAsia" w:cs="Arial"/>
          <w:iCs/>
          <w:szCs w:val="20"/>
        </w:rPr>
        <w:t xml:space="preserve">It is important that any process in this regard is aligns with the quality and safeguarding arrangements implemented by the Commission. </w:t>
      </w:r>
    </w:p>
    <w:p w:rsidR="002351C9" w:rsidRPr="000C0F97" w:rsidRDefault="002351C9" w:rsidP="000C0F97">
      <w:pPr>
        <w:pStyle w:val="BodyText2"/>
        <w:rPr>
          <w:sz w:val="20"/>
        </w:rPr>
      </w:pPr>
      <w:r w:rsidRPr="000C0F97">
        <w:rPr>
          <w:sz w:val="20"/>
        </w:rPr>
        <w:t>Recommendation 6: Support the further development of an SDA e-market by publishing real time dwelling enrolment information, in addition to the existing requirements for the NDIS Commission to publish dwelling registration information</w:t>
      </w:r>
    </w:p>
    <w:p w:rsidR="002351C9" w:rsidRPr="000C0F97" w:rsidRDefault="002351C9" w:rsidP="000C0F97">
      <w:pPr>
        <w:pStyle w:val="BodyText2"/>
        <w:rPr>
          <w:rFonts w:eastAsiaTheme="majorEastAsia" w:cs="Arial"/>
          <w:iCs/>
          <w:sz w:val="20"/>
        </w:rPr>
      </w:pPr>
      <w:r w:rsidRPr="000C0F97">
        <w:rPr>
          <w:rFonts w:eastAsiaTheme="majorEastAsia" w:cs="Arial"/>
          <w:iCs/>
          <w:sz w:val="20"/>
        </w:rPr>
        <w:t>This includes information on:</w:t>
      </w:r>
    </w:p>
    <w:p w:rsidR="002351C9" w:rsidRPr="0020182A" w:rsidRDefault="002351C9" w:rsidP="002351C9">
      <w:pPr>
        <w:pStyle w:val="BodyText1"/>
        <w:numPr>
          <w:ilvl w:val="0"/>
          <w:numId w:val="58"/>
        </w:numPr>
        <w:tabs>
          <w:tab w:val="clear" w:pos="340"/>
          <w:tab w:val="num" w:pos="700"/>
        </w:tabs>
        <w:spacing w:before="80" w:after="80"/>
        <w:rPr>
          <w:rFonts w:eastAsiaTheme="majorEastAsia" w:cs="Arial"/>
          <w:iCs/>
          <w:szCs w:val="20"/>
        </w:rPr>
      </w:pPr>
      <w:r w:rsidRPr="0020182A">
        <w:rPr>
          <w:rFonts w:eastAsiaTheme="majorEastAsia" w:cs="Arial"/>
          <w:iCs/>
          <w:szCs w:val="20"/>
        </w:rPr>
        <w:t xml:space="preserve">existing SDA dwellings (this should be supplemented by information provided by accommodation providers/managers on vacancies) </w:t>
      </w:r>
    </w:p>
    <w:p w:rsidR="002351C9" w:rsidRPr="0020182A" w:rsidRDefault="002351C9" w:rsidP="002351C9">
      <w:pPr>
        <w:pStyle w:val="BodyText1"/>
        <w:numPr>
          <w:ilvl w:val="0"/>
          <w:numId w:val="58"/>
        </w:numPr>
        <w:tabs>
          <w:tab w:val="clear" w:pos="340"/>
          <w:tab w:val="num" w:pos="700"/>
        </w:tabs>
        <w:spacing w:before="80" w:after="80"/>
        <w:rPr>
          <w:rFonts w:eastAsiaTheme="majorEastAsia" w:cs="Arial"/>
          <w:iCs/>
          <w:szCs w:val="20"/>
        </w:rPr>
      </w:pPr>
      <w:r w:rsidRPr="0020182A">
        <w:rPr>
          <w:rFonts w:eastAsiaTheme="majorEastAsia" w:cs="Arial"/>
          <w:iCs/>
          <w:szCs w:val="20"/>
        </w:rPr>
        <w:t xml:space="preserve">registered SDA providers </w:t>
      </w:r>
    </w:p>
    <w:p w:rsidR="002351C9" w:rsidRPr="0020182A" w:rsidRDefault="002351C9" w:rsidP="002351C9">
      <w:pPr>
        <w:pStyle w:val="BodyText1"/>
        <w:numPr>
          <w:ilvl w:val="0"/>
          <w:numId w:val="58"/>
        </w:numPr>
        <w:tabs>
          <w:tab w:val="clear" w:pos="340"/>
          <w:tab w:val="num" w:pos="700"/>
        </w:tabs>
        <w:spacing w:before="80" w:after="80"/>
        <w:rPr>
          <w:rFonts w:eastAsiaTheme="majorEastAsia" w:cs="Arial"/>
          <w:b/>
          <w:iCs/>
          <w:szCs w:val="20"/>
        </w:rPr>
      </w:pPr>
      <w:r w:rsidRPr="0020182A">
        <w:rPr>
          <w:rFonts w:eastAsiaTheme="majorEastAsia" w:cs="Arial"/>
          <w:iCs/>
          <w:szCs w:val="20"/>
        </w:rPr>
        <w:t>planned and provisionally approved dwellings (made available through the recommended provisional enrolment process)</w:t>
      </w:r>
      <w:r w:rsidRPr="0020182A">
        <w:rPr>
          <w:rFonts w:eastAsiaTheme="majorEastAsia" w:cs="Arial"/>
          <w:b/>
          <w:iCs/>
          <w:szCs w:val="20"/>
        </w:rPr>
        <w:t>.</w:t>
      </w:r>
    </w:p>
    <w:p w:rsidR="002351C9" w:rsidRPr="0020182A" w:rsidRDefault="002351C9" w:rsidP="002351C9">
      <w:pPr>
        <w:pStyle w:val="BodyText1"/>
        <w:spacing w:before="80" w:after="80"/>
        <w:rPr>
          <w:rFonts w:eastAsiaTheme="majorEastAsia" w:cs="Arial"/>
          <w:iCs/>
          <w:szCs w:val="20"/>
        </w:rPr>
      </w:pPr>
      <w:r w:rsidRPr="0020182A">
        <w:rPr>
          <w:rFonts w:eastAsiaTheme="majorEastAsia" w:cs="Arial"/>
          <w:iCs/>
          <w:szCs w:val="20"/>
        </w:rPr>
        <w:t>This information will inform existing e-market mechanisms</w:t>
      </w:r>
      <w:r>
        <w:rPr>
          <w:rFonts w:eastAsiaTheme="majorEastAsia" w:cs="Arial"/>
          <w:iCs/>
          <w:szCs w:val="20"/>
        </w:rPr>
        <w:t xml:space="preserve"> that are</w:t>
      </w:r>
      <w:r w:rsidRPr="0020182A">
        <w:rPr>
          <w:rFonts w:eastAsiaTheme="majorEastAsia" w:cs="Arial"/>
          <w:iCs/>
          <w:szCs w:val="20"/>
        </w:rPr>
        <w:t xml:space="preserve"> already available and developing in the market (such as Nest and The Housing Hub) which allow participants to access information on existing SDA dwellings and SDA vacancies </w:t>
      </w:r>
      <w:r>
        <w:rPr>
          <w:rFonts w:eastAsiaTheme="majorEastAsia" w:cs="Arial"/>
          <w:iCs/>
          <w:szCs w:val="20"/>
        </w:rPr>
        <w:t>that</w:t>
      </w:r>
      <w:r w:rsidRPr="0020182A">
        <w:rPr>
          <w:rFonts w:eastAsiaTheme="majorEastAsia" w:cs="Arial"/>
          <w:iCs/>
          <w:szCs w:val="20"/>
        </w:rPr>
        <w:t xml:space="preserve"> meet their needs and preferences, and </w:t>
      </w:r>
      <w:r>
        <w:rPr>
          <w:rFonts w:eastAsiaTheme="majorEastAsia" w:cs="Arial"/>
          <w:iCs/>
          <w:szCs w:val="20"/>
        </w:rPr>
        <w:t>that</w:t>
      </w:r>
      <w:r w:rsidRPr="0020182A">
        <w:rPr>
          <w:rFonts w:eastAsiaTheme="majorEastAsia" w:cs="Arial"/>
          <w:iCs/>
          <w:szCs w:val="20"/>
        </w:rPr>
        <w:t xml:space="preserve"> link participants to SDA providers. This will provide opportunities for participants and their representatives and providers/investors to meet to influence the design and development of new SDA dwellings.</w:t>
      </w:r>
    </w:p>
    <w:p w:rsidR="002351C9" w:rsidRPr="000C0F97" w:rsidRDefault="002351C9" w:rsidP="000C0F97">
      <w:pPr>
        <w:pStyle w:val="BodyText2"/>
        <w:rPr>
          <w:sz w:val="20"/>
        </w:rPr>
      </w:pPr>
      <w:r w:rsidRPr="000C0F97">
        <w:rPr>
          <w:sz w:val="20"/>
        </w:rPr>
        <w:t>Recommendation 7: Develop and publish clear, accessible information for participants and investors about the SDA Rules, Framework, and Price Guide.</w:t>
      </w:r>
    </w:p>
    <w:p w:rsidR="002351C9" w:rsidRPr="0020182A" w:rsidRDefault="002351C9" w:rsidP="002351C9">
      <w:pPr>
        <w:pStyle w:val="BodyText1"/>
        <w:spacing w:before="80" w:after="80"/>
        <w:rPr>
          <w:rFonts w:eastAsiaTheme="majorEastAsia" w:cs="Arial"/>
          <w:iCs/>
          <w:szCs w:val="20"/>
        </w:rPr>
      </w:pPr>
      <w:r w:rsidRPr="0020182A">
        <w:rPr>
          <w:rFonts w:eastAsiaTheme="majorEastAsia" w:cs="Arial"/>
          <w:iCs/>
          <w:szCs w:val="20"/>
        </w:rPr>
        <w:t>It is recommended that multiple channels be considered, including the release of plain English documents for distribution by planners, L</w:t>
      </w:r>
      <w:r>
        <w:rPr>
          <w:rFonts w:eastAsiaTheme="majorEastAsia" w:cs="Arial"/>
          <w:iCs/>
          <w:szCs w:val="20"/>
        </w:rPr>
        <w:t>ocal Area Coordinators (L</w:t>
      </w:r>
      <w:r w:rsidRPr="0020182A">
        <w:rPr>
          <w:rFonts w:eastAsiaTheme="majorEastAsia" w:cs="Arial"/>
          <w:iCs/>
          <w:szCs w:val="20"/>
        </w:rPr>
        <w:t>ACs</w:t>
      </w:r>
      <w:r>
        <w:rPr>
          <w:rFonts w:eastAsiaTheme="majorEastAsia" w:cs="Arial"/>
          <w:iCs/>
          <w:szCs w:val="20"/>
        </w:rPr>
        <w:t>)</w:t>
      </w:r>
      <w:r w:rsidRPr="0020182A">
        <w:rPr>
          <w:rFonts w:eastAsiaTheme="majorEastAsia" w:cs="Arial"/>
          <w:iCs/>
          <w:szCs w:val="20"/>
        </w:rPr>
        <w:t xml:space="preserve"> and providers; participant and investor information sessions; and web-based information. This would promote understanding amongst all stakeholders about the operation of SDA, and the roles, responsibilities, options and requirements for all stakeholders.</w:t>
      </w:r>
    </w:p>
    <w:p w:rsidR="0049047D" w:rsidRPr="0020182A" w:rsidRDefault="0049047D" w:rsidP="0049047D">
      <w:pPr>
        <w:pStyle w:val="Heading3"/>
      </w:pPr>
      <w:r w:rsidRPr="0020182A">
        <w:t>Increasing market confidence in SDA</w:t>
      </w:r>
    </w:p>
    <w:p w:rsidR="002351C9" w:rsidRPr="0020182A" w:rsidRDefault="002351C9" w:rsidP="002351C9">
      <w:pPr>
        <w:spacing w:before="80" w:after="80"/>
        <w:rPr>
          <w:rFonts w:cs="Arial"/>
          <w:szCs w:val="20"/>
        </w:rPr>
      </w:pPr>
      <w:r w:rsidRPr="0020182A">
        <w:rPr>
          <w:rFonts w:cs="Arial"/>
          <w:szCs w:val="20"/>
        </w:rPr>
        <w:t>Recommendations relating to increasing market confidence in SDA are addressed elsewhere, and include recommendations on:</w:t>
      </w:r>
    </w:p>
    <w:p w:rsidR="002351C9" w:rsidRPr="0020182A" w:rsidRDefault="002351C9" w:rsidP="002351C9">
      <w:pPr>
        <w:pStyle w:val="ListParagraph"/>
        <w:numPr>
          <w:ilvl w:val="0"/>
          <w:numId w:val="18"/>
        </w:numPr>
        <w:tabs>
          <w:tab w:val="clear" w:pos="340"/>
          <w:tab w:val="num" w:pos="696"/>
        </w:tabs>
        <w:spacing w:before="80" w:after="80"/>
        <w:contextualSpacing w:val="0"/>
        <w:rPr>
          <w:rFonts w:cs="Arial"/>
          <w:szCs w:val="20"/>
        </w:rPr>
      </w:pPr>
      <w:r w:rsidRPr="0020182A">
        <w:rPr>
          <w:rFonts w:cs="Arial"/>
          <w:szCs w:val="20"/>
        </w:rPr>
        <w:t>Providing detailed information to the market to inform investment and supply decisions (recommendation 8).</w:t>
      </w:r>
    </w:p>
    <w:p w:rsidR="002351C9" w:rsidRPr="0020182A" w:rsidRDefault="002351C9" w:rsidP="002351C9">
      <w:pPr>
        <w:pStyle w:val="ListParagraph"/>
        <w:numPr>
          <w:ilvl w:val="0"/>
          <w:numId w:val="18"/>
        </w:numPr>
        <w:tabs>
          <w:tab w:val="clear" w:pos="340"/>
          <w:tab w:val="num" w:pos="696"/>
        </w:tabs>
        <w:spacing w:before="80" w:after="80"/>
        <w:contextualSpacing w:val="0"/>
        <w:rPr>
          <w:rFonts w:cs="Arial"/>
          <w:szCs w:val="20"/>
        </w:rPr>
      </w:pPr>
      <w:r w:rsidRPr="0020182A">
        <w:rPr>
          <w:rFonts w:cs="Arial"/>
          <w:szCs w:val="20"/>
        </w:rPr>
        <w:t>Establishing greater policy certainty around SDA (recommendation 11).</w:t>
      </w:r>
    </w:p>
    <w:p w:rsidR="002351C9" w:rsidRPr="0020182A" w:rsidRDefault="002351C9" w:rsidP="002351C9">
      <w:pPr>
        <w:pStyle w:val="ListParagraph"/>
        <w:numPr>
          <w:ilvl w:val="0"/>
          <w:numId w:val="18"/>
        </w:numPr>
        <w:tabs>
          <w:tab w:val="clear" w:pos="340"/>
          <w:tab w:val="num" w:pos="696"/>
        </w:tabs>
        <w:spacing w:before="80" w:after="80"/>
        <w:contextualSpacing w:val="0"/>
        <w:rPr>
          <w:rFonts w:cs="Arial"/>
          <w:szCs w:val="20"/>
        </w:rPr>
      </w:pPr>
      <w:r w:rsidRPr="0020182A">
        <w:rPr>
          <w:rFonts w:cs="Arial"/>
          <w:szCs w:val="20"/>
        </w:rPr>
        <w:t>Increasing confidence in pricing and the price setting process (recommendation 12 and 13).</w:t>
      </w:r>
    </w:p>
    <w:p w:rsidR="002351C9" w:rsidRPr="0020182A" w:rsidRDefault="002351C9" w:rsidP="002351C9">
      <w:pPr>
        <w:pStyle w:val="ListParagraph"/>
        <w:numPr>
          <w:ilvl w:val="0"/>
          <w:numId w:val="18"/>
        </w:numPr>
        <w:tabs>
          <w:tab w:val="clear" w:pos="340"/>
          <w:tab w:val="num" w:pos="696"/>
        </w:tabs>
        <w:spacing w:before="80" w:after="80"/>
        <w:contextualSpacing w:val="0"/>
        <w:rPr>
          <w:rFonts w:cs="Arial"/>
          <w:szCs w:val="20"/>
        </w:rPr>
      </w:pPr>
      <w:r w:rsidRPr="0020182A">
        <w:rPr>
          <w:rFonts w:cs="Arial"/>
          <w:szCs w:val="20"/>
        </w:rPr>
        <w:t>Addressing implementation issues with respect to confirming eligibility and allocating SDA funding to participants (recommendation 4).</w:t>
      </w:r>
    </w:p>
    <w:p w:rsidR="0049047D" w:rsidRPr="0020182A" w:rsidRDefault="0049047D" w:rsidP="0049047D">
      <w:pPr>
        <w:pStyle w:val="Heading3"/>
        <w:rPr>
          <w:color w:val="FF0000"/>
        </w:rPr>
      </w:pPr>
      <w:r w:rsidRPr="0020182A">
        <w:t xml:space="preserve">Improving and enhancing market information </w:t>
      </w:r>
    </w:p>
    <w:p w:rsidR="002351C9" w:rsidRPr="000C0F97" w:rsidRDefault="002351C9" w:rsidP="000C0F97">
      <w:pPr>
        <w:pStyle w:val="BodyText2"/>
        <w:rPr>
          <w:sz w:val="20"/>
        </w:rPr>
      </w:pPr>
      <w:r w:rsidRPr="000C0F97">
        <w:rPr>
          <w:sz w:val="20"/>
        </w:rPr>
        <w:t>Recommendation 8: Provide detailed, up-to-date demand and supply information to the market to inform investment decisions and contribute to achieving an optimal mix of SDA dwellings</w:t>
      </w:r>
    </w:p>
    <w:p w:rsidR="002351C9" w:rsidRPr="0020182A" w:rsidRDefault="002351C9" w:rsidP="002351C9">
      <w:pPr>
        <w:pStyle w:val="BodyText1"/>
        <w:spacing w:before="80" w:after="80"/>
        <w:rPr>
          <w:rFonts w:cs="Arial"/>
          <w:szCs w:val="20"/>
        </w:rPr>
      </w:pPr>
      <w:r w:rsidRPr="0020182A">
        <w:rPr>
          <w:rFonts w:cs="Arial"/>
          <w:szCs w:val="20"/>
        </w:rPr>
        <w:t>Given the level and nature of information asymmetry in the market currently, releasing detailed demand and supply information (including expressed demand and supply, as well as projections) will assist the market to make more informed investment decisions.  This information should be released as soon as possible, and should be updated and released to the market in real time, or at least quarterly. This should include information relating to:</w:t>
      </w:r>
    </w:p>
    <w:p w:rsidR="002351C9" w:rsidRPr="000B6202" w:rsidRDefault="002351C9" w:rsidP="002351C9">
      <w:pPr>
        <w:pStyle w:val="Bullet1stlevel"/>
        <w:numPr>
          <w:ilvl w:val="0"/>
          <w:numId w:val="59"/>
        </w:numPr>
        <w:spacing w:before="80" w:after="80"/>
        <w:rPr>
          <w:rFonts w:cs="Arial"/>
          <w:szCs w:val="20"/>
        </w:rPr>
      </w:pPr>
      <w:r w:rsidRPr="0020182A">
        <w:rPr>
          <w:rFonts w:cs="Arial"/>
          <w:i/>
          <w:szCs w:val="20"/>
        </w:rPr>
        <w:t>Demand:</w:t>
      </w:r>
      <w:r w:rsidRPr="0020182A">
        <w:rPr>
          <w:rFonts w:cs="Arial"/>
          <w:szCs w:val="20"/>
        </w:rPr>
        <w:t xml:space="preserve"> Number of participants deemed eligible for SDA, and likely to be eligible for SDA over the next </w:t>
      </w:r>
      <w:r>
        <w:rPr>
          <w:rFonts w:cs="Arial"/>
          <w:szCs w:val="20"/>
        </w:rPr>
        <w:t xml:space="preserve">three </w:t>
      </w:r>
      <w:r w:rsidRPr="000B6202">
        <w:rPr>
          <w:rFonts w:cs="Arial"/>
          <w:szCs w:val="20"/>
        </w:rPr>
        <w:t>to five years</w:t>
      </w:r>
      <w:r w:rsidR="00E54683" w:rsidRPr="000B6202">
        <w:rPr>
          <w:rFonts w:cs="Arial"/>
          <w:szCs w:val="20"/>
        </w:rPr>
        <w:t xml:space="preserve"> (projections to be reviewed every five years)</w:t>
      </w:r>
      <w:r w:rsidRPr="000B6202">
        <w:rPr>
          <w:rFonts w:cs="Arial"/>
          <w:szCs w:val="20"/>
        </w:rPr>
        <w:t>, by:</w:t>
      </w:r>
    </w:p>
    <w:p w:rsidR="002351C9" w:rsidRPr="000B6202" w:rsidRDefault="002351C9" w:rsidP="002351C9">
      <w:pPr>
        <w:pStyle w:val="BodyText"/>
        <w:numPr>
          <w:ilvl w:val="0"/>
          <w:numId w:val="86"/>
        </w:numPr>
        <w:spacing w:before="80" w:after="80"/>
        <w:rPr>
          <w:rFonts w:cs="Arial"/>
          <w:szCs w:val="20"/>
        </w:rPr>
      </w:pPr>
      <w:r w:rsidRPr="000B6202">
        <w:rPr>
          <w:rFonts w:cs="Arial"/>
          <w:szCs w:val="20"/>
        </w:rPr>
        <w:t>disability type and support need</w:t>
      </w:r>
    </w:p>
    <w:p w:rsidR="002351C9" w:rsidRPr="000B6202" w:rsidRDefault="002351C9" w:rsidP="002351C9">
      <w:pPr>
        <w:pStyle w:val="BodyText"/>
        <w:numPr>
          <w:ilvl w:val="0"/>
          <w:numId w:val="86"/>
        </w:numPr>
        <w:spacing w:before="80" w:after="80"/>
        <w:rPr>
          <w:rFonts w:cs="Arial"/>
          <w:szCs w:val="20"/>
        </w:rPr>
      </w:pPr>
      <w:r w:rsidRPr="000B6202">
        <w:rPr>
          <w:rFonts w:cs="Arial"/>
          <w:szCs w:val="20"/>
        </w:rPr>
        <w:t>type of SDA or other accommodation required (including SDA design category, where available)</w:t>
      </w:r>
    </w:p>
    <w:p w:rsidR="002351C9" w:rsidRPr="0020182A" w:rsidRDefault="002351C9" w:rsidP="002351C9">
      <w:pPr>
        <w:pStyle w:val="BodyText1"/>
        <w:numPr>
          <w:ilvl w:val="0"/>
          <w:numId w:val="86"/>
        </w:numPr>
        <w:spacing w:before="80" w:after="80"/>
        <w:rPr>
          <w:rFonts w:cs="Arial"/>
          <w:szCs w:val="20"/>
        </w:rPr>
      </w:pPr>
      <w:r>
        <w:rPr>
          <w:rFonts w:cs="Arial"/>
          <w:szCs w:val="20"/>
        </w:rPr>
        <w:lastRenderedPageBreak/>
        <w:t>l</w:t>
      </w:r>
      <w:r w:rsidRPr="0020182A">
        <w:rPr>
          <w:rFonts w:cs="Arial"/>
          <w:szCs w:val="20"/>
        </w:rPr>
        <w:t xml:space="preserve">ocation of participants (at SA4 or sub-regional level) </w:t>
      </w:r>
    </w:p>
    <w:p w:rsidR="002351C9" w:rsidRPr="0020182A" w:rsidRDefault="002351C9" w:rsidP="002351C9">
      <w:pPr>
        <w:pStyle w:val="BodyText1"/>
        <w:numPr>
          <w:ilvl w:val="0"/>
          <w:numId w:val="86"/>
        </w:numPr>
        <w:spacing w:before="80" w:after="80"/>
        <w:rPr>
          <w:rFonts w:cs="Arial"/>
          <w:szCs w:val="20"/>
        </w:rPr>
      </w:pPr>
      <w:r>
        <w:rPr>
          <w:rFonts w:cs="Arial"/>
          <w:szCs w:val="20"/>
        </w:rPr>
        <w:t>w</w:t>
      </w:r>
      <w:r w:rsidRPr="0020182A">
        <w:rPr>
          <w:rFonts w:cs="Arial"/>
          <w:szCs w:val="20"/>
        </w:rPr>
        <w:t>here participants live currently (that is, in existing SDA dwellings, legacy stock, new SDA dwellings; residential aged care; with family; other settings)</w:t>
      </w:r>
    </w:p>
    <w:p w:rsidR="002351C9" w:rsidRPr="0020182A" w:rsidRDefault="002351C9" w:rsidP="002351C9">
      <w:pPr>
        <w:pStyle w:val="Bullet1stlevel"/>
        <w:numPr>
          <w:ilvl w:val="0"/>
          <w:numId w:val="60"/>
        </w:numPr>
        <w:spacing w:before="80" w:after="80"/>
        <w:rPr>
          <w:rFonts w:cs="Arial"/>
          <w:szCs w:val="20"/>
        </w:rPr>
      </w:pPr>
      <w:r w:rsidRPr="0020182A">
        <w:rPr>
          <w:rFonts w:cs="Arial"/>
          <w:i/>
          <w:szCs w:val="20"/>
        </w:rPr>
        <w:t>Supply:</w:t>
      </w:r>
      <w:r w:rsidRPr="0020182A">
        <w:rPr>
          <w:rFonts w:cs="Arial"/>
          <w:szCs w:val="20"/>
        </w:rPr>
        <w:t xml:space="preserve">  Number of SDA dwellings and places currently registered by:</w:t>
      </w:r>
    </w:p>
    <w:p w:rsidR="002351C9" w:rsidRPr="0020182A" w:rsidRDefault="002351C9" w:rsidP="002351C9">
      <w:pPr>
        <w:pStyle w:val="BodyText1"/>
        <w:numPr>
          <w:ilvl w:val="0"/>
          <w:numId w:val="87"/>
        </w:numPr>
        <w:spacing w:before="80" w:after="80"/>
        <w:rPr>
          <w:rFonts w:cs="Arial"/>
          <w:szCs w:val="20"/>
        </w:rPr>
      </w:pPr>
      <w:r w:rsidRPr="0020182A">
        <w:rPr>
          <w:rFonts w:cs="Arial"/>
          <w:szCs w:val="20"/>
        </w:rPr>
        <w:t>SDA design category</w:t>
      </w:r>
    </w:p>
    <w:p w:rsidR="002351C9" w:rsidRPr="0020182A" w:rsidRDefault="002351C9" w:rsidP="002351C9">
      <w:pPr>
        <w:pStyle w:val="BodyText1"/>
        <w:numPr>
          <w:ilvl w:val="0"/>
          <w:numId w:val="87"/>
        </w:numPr>
        <w:spacing w:before="80" w:after="80"/>
        <w:rPr>
          <w:rFonts w:cs="Arial"/>
          <w:szCs w:val="20"/>
        </w:rPr>
      </w:pPr>
      <w:r w:rsidRPr="0020182A">
        <w:rPr>
          <w:rFonts w:cs="Arial"/>
          <w:szCs w:val="20"/>
        </w:rPr>
        <w:t xml:space="preserve">SDA dwelling type </w:t>
      </w:r>
    </w:p>
    <w:p w:rsidR="002351C9" w:rsidRPr="0020182A" w:rsidRDefault="002351C9" w:rsidP="002351C9">
      <w:pPr>
        <w:pStyle w:val="BodyText1"/>
        <w:numPr>
          <w:ilvl w:val="0"/>
          <w:numId w:val="87"/>
        </w:numPr>
        <w:spacing w:before="80" w:after="80"/>
        <w:rPr>
          <w:rFonts w:cs="Arial"/>
          <w:szCs w:val="20"/>
        </w:rPr>
      </w:pPr>
      <w:r w:rsidRPr="0020182A">
        <w:rPr>
          <w:rFonts w:cs="Arial"/>
          <w:szCs w:val="20"/>
        </w:rPr>
        <w:t>SDA dwelling size</w:t>
      </w:r>
    </w:p>
    <w:p w:rsidR="002351C9" w:rsidRPr="0020182A" w:rsidRDefault="002351C9" w:rsidP="002351C9">
      <w:pPr>
        <w:pStyle w:val="BodyText1"/>
        <w:numPr>
          <w:ilvl w:val="0"/>
          <w:numId w:val="87"/>
        </w:numPr>
        <w:spacing w:before="80" w:after="80"/>
        <w:rPr>
          <w:rFonts w:cs="Arial"/>
          <w:szCs w:val="20"/>
        </w:rPr>
      </w:pPr>
      <w:r>
        <w:rPr>
          <w:rFonts w:cs="Arial"/>
          <w:szCs w:val="20"/>
        </w:rPr>
        <w:t>l</w:t>
      </w:r>
      <w:r w:rsidRPr="0020182A">
        <w:rPr>
          <w:rFonts w:cs="Arial"/>
          <w:szCs w:val="20"/>
        </w:rPr>
        <w:t xml:space="preserve">ocation (SA4 or sub-regional level). </w:t>
      </w:r>
    </w:p>
    <w:p w:rsidR="002351C9" w:rsidRPr="000B6202" w:rsidRDefault="002351C9" w:rsidP="00F06A5B">
      <w:pPr>
        <w:pStyle w:val="Bullet1stlevel"/>
        <w:numPr>
          <w:ilvl w:val="0"/>
          <w:numId w:val="59"/>
        </w:numPr>
        <w:spacing w:before="80" w:after="80"/>
        <w:rPr>
          <w:rFonts w:cs="Arial"/>
          <w:szCs w:val="20"/>
        </w:rPr>
      </w:pPr>
      <w:r w:rsidRPr="00F61B99">
        <w:rPr>
          <w:rFonts w:cs="Arial"/>
          <w:szCs w:val="20"/>
        </w:rPr>
        <w:t xml:space="preserve">Qualitative information around the types of SDA </w:t>
      </w:r>
      <w:r w:rsidRPr="000B6202">
        <w:rPr>
          <w:rFonts w:cs="Arial"/>
          <w:szCs w:val="20"/>
        </w:rPr>
        <w:t>dwellings that are emerging – either in the proposal or development stage, particularly case studies of innovative designs that have been approved as SDA, and accounts of outcomes for participants within these dwelling-types.</w:t>
      </w:r>
    </w:p>
    <w:p w:rsidR="0049047D" w:rsidRPr="000B6202" w:rsidRDefault="0049047D" w:rsidP="0049047D">
      <w:pPr>
        <w:pStyle w:val="Heading3"/>
        <w:rPr>
          <w:color w:val="FF0000"/>
        </w:rPr>
      </w:pPr>
      <w:r w:rsidRPr="000B6202">
        <w:t xml:space="preserve">Greater price certainly and clarity </w:t>
      </w:r>
    </w:p>
    <w:p w:rsidR="002351C9" w:rsidRPr="000C0F97" w:rsidRDefault="002351C9" w:rsidP="000C0F97">
      <w:pPr>
        <w:pStyle w:val="BodyText2"/>
        <w:rPr>
          <w:sz w:val="20"/>
        </w:rPr>
      </w:pPr>
      <w:r w:rsidRPr="000C0F97">
        <w:rPr>
          <w:sz w:val="20"/>
        </w:rPr>
        <w:t xml:space="preserve">Recommendation 9: </w:t>
      </w:r>
      <w:r w:rsidR="003C30AE" w:rsidRPr="000C0F97">
        <w:rPr>
          <w:sz w:val="20"/>
        </w:rPr>
        <w:t>D</w:t>
      </w:r>
      <w:r w:rsidRPr="000C0F97">
        <w:rPr>
          <w:sz w:val="20"/>
        </w:rPr>
        <w:t xml:space="preserve">evelop, in consultation with the market (including providers/investors and participant representatives), a detailed </w:t>
      </w:r>
      <w:r w:rsidR="00360AF1" w:rsidRPr="000C0F97">
        <w:rPr>
          <w:sz w:val="20"/>
        </w:rPr>
        <w:t>approach</w:t>
      </w:r>
      <w:r w:rsidRPr="000C0F97">
        <w:rPr>
          <w:sz w:val="20"/>
        </w:rPr>
        <w:t xml:space="preserve"> for conducting price reviews</w:t>
      </w:r>
      <w:r w:rsidRPr="000C0F97">
        <w:rPr>
          <w:iCs/>
          <w:sz w:val="20"/>
        </w:rPr>
        <w:t xml:space="preserve"> t</w:t>
      </w:r>
      <w:r w:rsidRPr="000C0F97">
        <w:rPr>
          <w:sz w:val="20"/>
        </w:rPr>
        <w:t xml:space="preserve">o provide greater clarity around, and confidence in, SDA funding arrangements. </w:t>
      </w:r>
    </w:p>
    <w:p w:rsidR="002351C9" w:rsidRPr="000B6202" w:rsidRDefault="002351C9" w:rsidP="002351C9">
      <w:pPr>
        <w:pStyle w:val="Heading4"/>
        <w:spacing w:before="80" w:after="80"/>
        <w:rPr>
          <w:rFonts w:eastAsiaTheme="minorHAnsi" w:cs="Arial"/>
          <w:b w:val="0"/>
          <w:iCs w:val="0"/>
          <w:sz w:val="20"/>
          <w:szCs w:val="20"/>
        </w:rPr>
      </w:pPr>
      <w:r w:rsidRPr="000B6202">
        <w:rPr>
          <w:rFonts w:cs="Arial"/>
          <w:b w:val="0"/>
          <w:sz w:val="20"/>
          <w:szCs w:val="20"/>
        </w:rPr>
        <w:t>This should set out:</w:t>
      </w:r>
    </w:p>
    <w:p w:rsidR="002351C9" w:rsidRPr="000B6202" w:rsidRDefault="002351C9" w:rsidP="002351C9">
      <w:pPr>
        <w:pStyle w:val="BodyText1"/>
        <w:numPr>
          <w:ilvl w:val="0"/>
          <w:numId w:val="14"/>
        </w:numPr>
        <w:tabs>
          <w:tab w:val="clear" w:pos="340"/>
          <w:tab w:val="num" w:pos="482"/>
        </w:tabs>
        <w:spacing w:before="80" w:after="80"/>
        <w:rPr>
          <w:rFonts w:cs="Arial"/>
          <w:szCs w:val="20"/>
        </w:rPr>
      </w:pPr>
      <w:r w:rsidRPr="000B6202">
        <w:rPr>
          <w:rFonts w:cs="Arial"/>
          <w:szCs w:val="20"/>
        </w:rPr>
        <w:t>How key cost inputs and pricing assumptions, which should be based on reliable public indicators, determine SDA funding.</w:t>
      </w:r>
    </w:p>
    <w:p w:rsidR="002351C9" w:rsidRPr="000B6202" w:rsidRDefault="002351C9" w:rsidP="002351C9">
      <w:pPr>
        <w:pStyle w:val="BodyText1"/>
        <w:numPr>
          <w:ilvl w:val="0"/>
          <w:numId w:val="14"/>
        </w:numPr>
        <w:tabs>
          <w:tab w:val="clear" w:pos="340"/>
          <w:tab w:val="num" w:pos="482"/>
        </w:tabs>
        <w:spacing w:before="80" w:after="80"/>
        <w:rPr>
          <w:rFonts w:cs="Arial"/>
          <w:szCs w:val="20"/>
        </w:rPr>
      </w:pPr>
      <w:r w:rsidRPr="000B6202">
        <w:rPr>
          <w:rFonts w:cs="Arial"/>
          <w:szCs w:val="20"/>
        </w:rPr>
        <w:t>How key cost inputs and pricing assumptions will be determined and set (where applicable).</w:t>
      </w:r>
    </w:p>
    <w:p w:rsidR="002351C9" w:rsidRPr="000B6202" w:rsidRDefault="002351C9" w:rsidP="002351C9">
      <w:pPr>
        <w:pStyle w:val="BodyText1"/>
        <w:numPr>
          <w:ilvl w:val="0"/>
          <w:numId w:val="14"/>
        </w:numPr>
        <w:tabs>
          <w:tab w:val="clear" w:pos="340"/>
          <w:tab w:val="num" w:pos="482"/>
        </w:tabs>
        <w:spacing w:before="80" w:after="80"/>
        <w:rPr>
          <w:rFonts w:cs="Arial"/>
          <w:szCs w:val="20"/>
        </w:rPr>
      </w:pPr>
      <w:r w:rsidRPr="000B6202">
        <w:rPr>
          <w:rFonts w:cs="Arial"/>
          <w:szCs w:val="20"/>
        </w:rPr>
        <w:t>How the market and sector (including participants) will be engaged in each price review (this should be specified in the rules).</w:t>
      </w:r>
    </w:p>
    <w:p w:rsidR="00EE16FD" w:rsidRPr="000B6202" w:rsidRDefault="00EE16FD" w:rsidP="00EE16FD">
      <w:pPr>
        <w:pStyle w:val="BodyText1"/>
        <w:numPr>
          <w:ilvl w:val="0"/>
          <w:numId w:val="14"/>
        </w:numPr>
        <w:tabs>
          <w:tab w:val="clear" w:pos="340"/>
          <w:tab w:val="num" w:pos="482"/>
        </w:tabs>
        <w:spacing w:before="80" w:after="80"/>
        <w:rPr>
          <w:rFonts w:cs="Arial"/>
          <w:szCs w:val="20"/>
        </w:rPr>
      </w:pPr>
      <w:r w:rsidRPr="000B6202">
        <w:rPr>
          <w:rFonts w:cs="Arial"/>
          <w:szCs w:val="20"/>
        </w:rPr>
        <w:t>How independence will be maintained and who will conduct each review. This requirement should be specified in the Rules, and the price review should involve independent experts.</w:t>
      </w:r>
    </w:p>
    <w:p w:rsidR="002351C9" w:rsidRPr="000B6202" w:rsidRDefault="002351C9" w:rsidP="002351C9">
      <w:pPr>
        <w:pStyle w:val="BodyText1"/>
        <w:numPr>
          <w:ilvl w:val="0"/>
          <w:numId w:val="14"/>
        </w:numPr>
        <w:tabs>
          <w:tab w:val="clear" w:pos="340"/>
          <w:tab w:val="num" w:pos="482"/>
        </w:tabs>
        <w:spacing w:before="80" w:after="80"/>
        <w:rPr>
          <w:rFonts w:cs="Arial"/>
          <w:szCs w:val="20"/>
        </w:rPr>
      </w:pPr>
      <w:r w:rsidRPr="000B6202">
        <w:rPr>
          <w:rFonts w:cs="Arial"/>
          <w:szCs w:val="20"/>
        </w:rPr>
        <w:t xml:space="preserve">Any changes to the Framework and/or Rules that may be required to implement this revised </w:t>
      </w:r>
      <w:r w:rsidR="00360AF1" w:rsidRPr="000B6202">
        <w:rPr>
          <w:rFonts w:cs="Arial"/>
          <w:szCs w:val="20"/>
        </w:rPr>
        <w:t>price review approach</w:t>
      </w:r>
      <w:r w:rsidRPr="000B6202">
        <w:rPr>
          <w:rFonts w:cs="Arial"/>
          <w:szCs w:val="20"/>
        </w:rPr>
        <w:t>.</w:t>
      </w:r>
    </w:p>
    <w:p w:rsidR="002351C9" w:rsidRPr="000B6202" w:rsidRDefault="002351C9" w:rsidP="002351C9">
      <w:pPr>
        <w:pStyle w:val="BodyText1"/>
        <w:spacing w:before="80" w:after="80"/>
        <w:rPr>
          <w:rFonts w:cs="Arial"/>
          <w:szCs w:val="20"/>
        </w:rPr>
      </w:pPr>
      <w:r w:rsidRPr="000B6202">
        <w:rPr>
          <w:rFonts w:cs="Arial"/>
          <w:szCs w:val="20"/>
        </w:rPr>
        <w:t>A draft approach should be released in the first half of 2019 for stakeholder consultation.</w:t>
      </w:r>
    </w:p>
    <w:p w:rsidR="002351C9" w:rsidRPr="000B6202" w:rsidRDefault="002351C9" w:rsidP="002351C9">
      <w:pPr>
        <w:pStyle w:val="BodyText1"/>
        <w:spacing w:before="80" w:after="80"/>
        <w:rPr>
          <w:rFonts w:cs="Arial"/>
          <w:szCs w:val="20"/>
        </w:rPr>
      </w:pPr>
      <w:r w:rsidRPr="000B6202">
        <w:rPr>
          <w:rFonts w:cs="Arial"/>
          <w:szCs w:val="20"/>
        </w:rPr>
        <w:t xml:space="preserve">The revised </w:t>
      </w:r>
      <w:r w:rsidR="00360AF1" w:rsidRPr="000B6202">
        <w:rPr>
          <w:rFonts w:cs="Arial"/>
          <w:szCs w:val="20"/>
        </w:rPr>
        <w:t>approach</w:t>
      </w:r>
      <w:r w:rsidRPr="000B6202">
        <w:rPr>
          <w:rFonts w:cs="Arial"/>
          <w:szCs w:val="20"/>
        </w:rPr>
        <w:t xml:space="preserve"> for the price review process should be articulated in the revised Framework and/or Rules to ensure the market has a consistent understanding, and there is transparency to assist the market to anticipate changes that may result from underlying market-based assumptions.</w:t>
      </w:r>
    </w:p>
    <w:p w:rsidR="002351C9" w:rsidRPr="000B6202" w:rsidRDefault="002351C9" w:rsidP="002351C9">
      <w:pPr>
        <w:pStyle w:val="BodyText1"/>
        <w:spacing w:before="80" w:after="80"/>
        <w:rPr>
          <w:rFonts w:cs="Arial"/>
          <w:szCs w:val="20"/>
        </w:rPr>
      </w:pPr>
      <w:r w:rsidRPr="000B6202">
        <w:rPr>
          <w:rFonts w:cs="Arial"/>
          <w:szCs w:val="20"/>
        </w:rPr>
        <w:t>This process may be refined and improved over time based on recommendations from each review and feedback from each consultation process.</w:t>
      </w:r>
    </w:p>
    <w:p w:rsidR="002351C9" w:rsidRPr="000B6202" w:rsidRDefault="002351C9" w:rsidP="002351C9">
      <w:pPr>
        <w:pStyle w:val="BodyText1"/>
        <w:spacing w:before="80" w:after="80"/>
        <w:rPr>
          <w:rFonts w:cs="Arial"/>
          <w:szCs w:val="20"/>
        </w:rPr>
      </w:pPr>
      <w:r w:rsidRPr="000B6202">
        <w:rPr>
          <w:rFonts w:cs="Arial"/>
          <w:szCs w:val="20"/>
        </w:rPr>
        <w:t>Price reviews would continue to occur at five-year intervals.</w:t>
      </w:r>
    </w:p>
    <w:p w:rsidR="002351C9" w:rsidRPr="000C0F97" w:rsidRDefault="002351C9" w:rsidP="000C0F97">
      <w:pPr>
        <w:pStyle w:val="BodyText2"/>
        <w:rPr>
          <w:sz w:val="20"/>
        </w:rPr>
      </w:pPr>
      <w:r w:rsidRPr="000C0F97">
        <w:rPr>
          <w:sz w:val="20"/>
        </w:rPr>
        <w:t>Recommendation 10: Identify in the SDA Framework the specific events that would trigger benchmark price changes as provided in Paragraph 20 in the SDA Framework.</w:t>
      </w:r>
    </w:p>
    <w:p w:rsidR="002351C9" w:rsidRPr="000B6202" w:rsidRDefault="002351C9" w:rsidP="002351C9">
      <w:pPr>
        <w:pStyle w:val="BodyText1"/>
        <w:spacing w:before="80" w:after="80"/>
        <w:rPr>
          <w:rFonts w:cs="Arial"/>
          <w:szCs w:val="20"/>
        </w:rPr>
      </w:pPr>
      <w:r w:rsidRPr="000B6202">
        <w:rPr>
          <w:rFonts w:cs="Arial"/>
          <w:szCs w:val="20"/>
        </w:rPr>
        <w:t>High level guidance on the events that would trigger benchmark price changes, or a review of specific pricing assumptions, should be detailed in the SDA Framework and/or articulated in the SDA Rules. Guidance should be issued to clarify when the provision should be applied, and how pricing parameters would monitored in order to identify trigger events.</w:t>
      </w:r>
    </w:p>
    <w:p w:rsidR="002351C9" w:rsidRPr="000B6202" w:rsidRDefault="002351C9" w:rsidP="002351C9">
      <w:pPr>
        <w:pStyle w:val="Heading4"/>
        <w:spacing w:before="80" w:after="80"/>
        <w:rPr>
          <w:rFonts w:cs="Arial"/>
          <w:b w:val="0"/>
          <w:sz w:val="20"/>
          <w:szCs w:val="20"/>
        </w:rPr>
      </w:pPr>
      <w:r w:rsidRPr="000B6202">
        <w:rPr>
          <w:rFonts w:cs="Arial"/>
          <w:b w:val="0"/>
          <w:sz w:val="20"/>
          <w:szCs w:val="20"/>
        </w:rPr>
        <w:t xml:space="preserve">The identification of trigger events should be included as part of the next Price Review. </w:t>
      </w:r>
    </w:p>
    <w:p w:rsidR="002351C9" w:rsidRPr="000C0F97" w:rsidRDefault="002351C9" w:rsidP="000C0F97">
      <w:pPr>
        <w:pStyle w:val="BodyText2"/>
        <w:rPr>
          <w:sz w:val="20"/>
        </w:rPr>
      </w:pPr>
      <w:r w:rsidRPr="000C0F97">
        <w:rPr>
          <w:sz w:val="20"/>
        </w:rPr>
        <w:t>Recommendation 11: Bring forward the scheduled 2021 Price Review to early 2019 to make changes to the Price Guide to address immediate concerns as outlined below.</w:t>
      </w:r>
    </w:p>
    <w:p w:rsidR="002351C9" w:rsidRPr="000B6202" w:rsidRDefault="002351C9" w:rsidP="002351C9">
      <w:pPr>
        <w:pStyle w:val="BodyText1"/>
        <w:spacing w:before="80" w:after="80"/>
        <w:rPr>
          <w:rFonts w:cs="Arial"/>
          <w:szCs w:val="20"/>
        </w:rPr>
      </w:pPr>
      <w:r w:rsidRPr="000B6202">
        <w:rPr>
          <w:rFonts w:cs="Arial"/>
          <w:szCs w:val="20"/>
        </w:rPr>
        <w:t xml:space="preserve">These immediate changes are likely to include fixing assumptions about loadings for different regions. </w:t>
      </w:r>
    </w:p>
    <w:p w:rsidR="002351C9" w:rsidRPr="000B6202" w:rsidRDefault="002351C9" w:rsidP="002351C9">
      <w:pPr>
        <w:pStyle w:val="BodyText1"/>
        <w:spacing w:before="80" w:after="80"/>
        <w:rPr>
          <w:rFonts w:cs="Arial"/>
          <w:szCs w:val="20"/>
        </w:rPr>
      </w:pPr>
      <w:r w:rsidRPr="000B6202">
        <w:rPr>
          <w:rFonts w:cs="Arial"/>
          <w:szCs w:val="20"/>
        </w:rPr>
        <w:t xml:space="preserve">In order to support the development and testing of the revised </w:t>
      </w:r>
      <w:r w:rsidR="00EE16FD" w:rsidRPr="000B6202">
        <w:rPr>
          <w:rFonts w:cs="Arial"/>
          <w:szCs w:val="20"/>
        </w:rPr>
        <w:t xml:space="preserve">pricing review approach </w:t>
      </w:r>
      <w:r w:rsidRPr="000B6202">
        <w:rPr>
          <w:rFonts w:cs="Arial"/>
          <w:szCs w:val="20"/>
        </w:rPr>
        <w:t xml:space="preserve">(see recommendation 9); address areas of pricing that are creating disincentives to building some dwelling types or living arrangements; and create neutrality for investment decisions, the 2021 price review should be brought forward to 2019 (once a detailed </w:t>
      </w:r>
      <w:r w:rsidR="00360AF1" w:rsidRPr="000B6202">
        <w:rPr>
          <w:rFonts w:cs="Arial"/>
          <w:szCs w:val="20"/>
        </w:rPr>
        <w:t>approach</w:t>
      </w:r>
      <w:r w:rsidRPr="000B6202">
        <w:rPr>
          <w:rFonts w:cs="Arial"/>
          <w:szCs w:val="20"/>
        </w:rPr>
        <w:t xml:space="preserve"> has been developed with sector </w:t>
      </w:r>
      <w:r w:rsidRPr="000B6202">
        <w:rPr>
          <w:rFonts w:cs="Arial"/>
          <w:szCs w:val="20"/>
        </w:rPr>
        <w:lastRenderedPageBreak/>
        <w:t xml:space="preserve">involvement). This will assist in correcting the existing supply mix to better align with demand from participants. </w:t>
      </w:r>
    </w:p>
    <w:p w:rsidR="002351C9" w:rsidRPr="000B6202" w:rsidRDefault="002351C9" w:rsidP="002351C9">
      <w:pPr>
        <w:pStyle w:val="BodyText1"/>
        <w:spacing w:before="80" w:after="80"/>
        <w:rPr>
          <w:rFonts w:cs="Arial"/>
          <w:szCs w:val="20"/>
        </w:rPr>
      </w:pPr>
      <w:r w:rsidRPr="000B6202">
        <w:rPr>
          <w:rFonts w:cs="Arial"/>
          <w:szCs w:val="20"/>
        </w:rPr>
        <w:t xml:space="preserve">The particular areas of pricing that should be specifically reviewed (in addition to the price review </w:t>
      </w:r>
      <w:r w:rsidR="00360AF1" w:rsidRPr="000B6202">
        <w:rPr>
          <w:rFonts w:cs="Arial"/>
          <w:szCs w:val="20"/>
        </w:rPr>
        <w:t>approach</w:t>
      </w:r>
      <w:r w:rsidRPr="000B6202">
        <w:rPr>
          <w:rFonts w:cs="Arial"/>
          <w:szCs w:val="20"/>
        </w:rPr>
        <w:t xml:space="preserve"> developed in recommendation 9) should include:</w:t>
      </w:r>
    </w:p>
    <w:p w:rsidR="002351C9" w:rsidRPr="000B6202" w:rsidRDefault="002351C9" w:rsidP="002351C9">
      <w:pPr>
        <w:pStyle w:val="BodyText1"/>
        <w:numPr>
          <w:ilvl w:val="0"/>
          <w:numId w:val="20"/>
        </w:numPr>
        <w:tabs>
          <w:tab w:val="clear" w:pos="340"/>
          <w:tab w:val="num" w:pos="1026"/>
        </w:tabs>
        <w:spacing w:before="80" w:after="80"/>
        <w:rPr>
          <w:rFonts w:cs="Arial"/>
          <w:szCs w:val="20"/>
        </w:rPr>
      </w:pPr>
      <w:r w:rsidRPr="000B6202">
        <w:rPr>
          <w:rFonts w:cs="Arial"/>
          <w:szCs w:val="20"/>
        </w:rPr>
        <w:t>The relativity of cost inputs (including build and maintenance costs), and hence prices between design categories, especially between high physical support dwellings and robust and fully accessible dwellings, to ensure that prices do not create incentives that do not match demand from participants.</w:t>
      </w:r>
    </w:p>
    <w:p w:rsidR="002351C9" w:rsidRPr="000B6202" w:rsidRDefault="002351C9" w:rsidP="002351C9">
      <w:pPr>
        <w:pStyle w:val="BodyText1"/>
        <w:numPr>
          <w:ilvl w:val="0"/>
          <w:numId w:val="20"/>
        </w:numPr>
        <w:tabs>
          <w:tab w:val="clear" w:pos="340"/>
          <w:tab w:val="num" w:pos="1026"/>
        </w:tabs>
        <w:spacing w:before="80" w:after="80"/>
        <w:rPr>
          <w:rFonts w:cs="Arial"/>
          <w:szCs w:val="20"/>
        </w:rPr>
      </w:pPr>
      <w:r w:rsidRPr="000B6202">
        <w:rPr>
          <w:rFonts w:cs="Arial"/>
          <w:szCs w:val="20"/>
        </w:rPr>
        <w:t xml:space="preserve">The variability of location factor adequacy across SA4 geographies, to ensure they promote location preferences and do not create incentives that do not match the location of participants. This should also consider the use of SA3 areas to reduce variability in adequacy of location factors across broad SA4 geographies. </w:t>
      </w:r>
    </w:p>
    <w:p w:rsidR="002351C9" w:rsidRPr="000B6202" w:rsidRDefault="00CA03B1" w:rsidP="002351C9">
      <w:pPr>
        <w:pStyle w:val="BodyText1"/>
        <w:numPr>
          <w:ilvl w:val="0"/>
          <w:numId w:val="20"/>
        </w:numPr>
        <w:tabs>
          <w:tab w:val="clear" w:pos="340"/>
          <w:tab w:val="num" w:pos="1026"/>
        </w:tabs>
        <w:spacing w:before="80" w:after="80"/>
        <w:rPr>
          <w:rFonts w:cs="Arial"/>
          <w:szCs w:val="20"/>
        </w:rPr>
      </w:pPr>
      <w:r w:rsidRPr="000B6202">
        <w:rPr>
          <w:rFonts w:cs="Arial"/>
          <w:szCs w:val="20"/>
        </w:rPr>
        <w:t xml:space="preserve">Exploring possible </w:t>
      </w:r>
      <w:r w:rsidR="002351C9" w:rsidRPr="000B6202">
        <w:rPr>
          <w:rFonts w:cs="Arial"/>
          <w:szCs w:val="20"/>
        </w:rPr>
        <w:t xml:space="preserve">arrangements that </w:t>
      </w:r>
      <w:r w:rsidR="00BB45E5" w:rsidRPr="000B6202">
        <w:rPr>
          <w:rFonts w:cs="Arial"/>
          <w:szCs w:val="20"/>
        </w:rPr>
        <w:t>facilitate living arrangements with a</w:t>
      </w:r>
      <w:r w:rsidR="002351C9" w:rsidRPr="000B6202">
        <w:rPr>
          <w:rFonts w:cs="Arial"/>
          <w:szCs w:val="20"/>
        </w:rPr>
        <w:t xml:space="preserve"> mixture of SDA and non-SDA residents, to remove disincentives that exist for providers to meet participant preferences to live with people who </w:t>
      </w:r>
      <w:r w:rsidR="00BB45E5" w:rsidRPr="000B6202">
        <w:rPr>
          <w:rFonts w:cs="Arial"/>
          <w:szCs w:val="20"/>
        </w:rPr>
        <w:t>are not e</w:t>
      </w:r>
      <w:r w:rsidR="002351C9" w:rsidRPr="000B6202">
        <w:rPr>
          <w:rFonts w:cs="Arial"/>
          <w:szCs w:val="20"/>
        </w:rPr>
        <w:t>ligible for SDA if they choose to (see recommendation 2 in Demand).</w:t>
      </w:r>
    </w:p>
    <w:p w:rsidR="002351C9" w:rsidRPr="000B6202" w:rsidRDefault="002351C9" w:rsidP="002351C9">
      <w:pPr>
        <w:pStyle w:val="BodyText1"/>
        <w:numPr>
          <w:ilvl w:val="0"/>
          <w:numId w:val="20"/>
        </w:numPr>
        <w:tabs>
          <w:tab w:val="clear" w:pos="340"/>
          <w:tab w:val="num" w:pos="1026"/>
        </w:tabs>
        <w:spacing w:before="80" w:after="80"/>
        <w:rPr>
          <w:rFonts w:cs="Arial"/>
          <w:szCs w:val="20"/>
        </w:rPr>
      </w:pPr>
      <w:r w:rsidRPr="000B6202">
        <w:rPr>
          <w:rFonts w:cs="Arial"/>
          <w:szCs w:val="20"/>
        </w:rPr>
        <w:t>The current accuracy of key cost inputs and pricing assumptions that underpin SDA funding, including land price inflation rates and building costs across design categories and building types.</w:t>
      </w:r>
    </w:p>
    <w:p w:rsidR="002351C9" w:rsidRPr="000B6202" w:rsidRDefault="002351C9" w:rsidP="002351C9">
      <w:pPr>
        <w:pStyle w:val="BodyText1"/>
        <w:numPr>
          <w:ilvl w:val="0"/>
          <w:numId w:val="20"/>
        </w:numPr>
        <w:tabs>
          <w:tab w:val="clear" w:pos="340"/>
          <w:tab w:val="num" w:pos="1026"/>
        </w:tabs>
        <w:spacing w:before="80" w:after="80"/>
        <w:rPr>
          <w:rFonts w:cs="Arial"/>
          <w:szCs w:val="20"/>
        </w:rPr>
      </w:pPr>
      <w:r w:rsidRPr="000B6202">
        <w:rPr>
          <w:rFonts w:cs="Arial"/>
          <w:szCs w:val="20"/>
        </w:rPr>
        <w:t xml:space="preserve">Confirming the nature of benchmark prices for SDA and the consistent use of terminology, including price “benchmarks”, “caps” and “ceilings” </w:t>
      </w:r>
    </w:p>
    <w:p w:rsidR="002351C9" w:rsidRPr="000B6202" w:rsidRDefault="00357916" w:rsidP="00357916">
      <w:pPr>
        <w:pStyle w:val="BodyText1"/>
        <w:numPr>
          <w:ilvl w:val="0"/>
          <w:numId w:val="20"/>
        </w:numPr>
        <w:tabs>
          <w:tab w:val="clear" w:pos="340"/>
          <w:tab w:val="num" w:pos="1026"/>
        </w:tabs>
        <w:spacing w:before="80" w:after="80"/>
        <w:rPr>
          <w:rFonts w:cs="Arial"/>
          <w:szCs w:val="20"/>
        </w:rPr>
      </w:pPr>
      <w:r w:rsidRPr="000B6202">
        <w:rPr>
          <w:rFonts w:cs="Arial"/>
          <w:szCs w:val="20"/>
        </w:rPr>
        <w:t xml:space="preserve">Considering the impact of </w:t>
      </w:r>
      <w:r w:rsidRPr="000B6202">
        <w:t>the new quality and safeguarding requirements enacted through the NDIS Act 2013 and being implemented by the NDIS Commission,</w:t>
      </w:r>
      <w:r w:rsidRPr="000B6202">
        <w:rPr>
          <w:rFonts w:cs="Arial"/>
          <w:szCs w:val="20"/>
        </w:rPr>
        <w:t xml:space="preserve"> and whether this should be addressed in the pricing arrangements.</w:t>
      </w:r>
      <w:r w:rsidR="002351C9" w:rsidRPr="000B6202">
        <w:rPr>
          <w:rFonts w:cs="Arial"/>
          <w:szCs w:val="20"/>
        </w:rPr>
        <w:t xml:space="preserve"> </w:t>
      </w:r>
    </w:p>
    <w:p w:rsidR="003C30AE" w:rsidRPr="000B6202" w:rsidRDefault="003C30AE" w:rsidP="003C30AE">
      <w:pPr>
        <w:pStyle w:val="BodyText1"/>
        <w:spacing w:before="80" w:after="80"/>
        <w:rPr>
          <w:rFonts w:cs="Arial"/>
          <w:szCs w:val="20"/>
        </w:rPr>
      </w:pPr>
      <w:r w:rsidRPr="000B6202">
        <w:rPr>
          <w:rFonts w:cs="Arial"/>
          <w:szCs w:val="20"/>
        </w:rPr>
        <w:t>The Price Review should be conducted in a transparent way with independent input, in line with the newly designed approach for price reviews (refer to recommendation 9).</w:t>
      </w:r>
    </w:p>
    <w:p w:rsidR="002351C9" w:rsidRPr="0020182A" w:rsidRDefault="002351C9" w:rsidP="002351C9">
      <w:pPr>
        <w:pStyle w:val="BodyText1"/>
        <w:spacing w:before="80" w:after="80"/>
        <w:rPr>
          <w:rFonts w:cs="Arial"/>
          <w:szCs w:val="20"/>
        </w:rPr>
      </w:pPr>
      <w:r w:rsidRPr="000B6202">
        <w:rPr>
          <w:rFonts w:cs="Arial"/>
          <w:szCs w:val="20"/>
        </w:rPr>
        <w:t>Following conclusion of the Price Review and agreement to recommendations, methods for determining key pricing assumptions (such as accepted public indicators) should be captured in the SDA rules and/or Framework. Existing prices should continue to apply until 2021, and any price changes recommended by the price review should apply from July 2021. This will ensure that no providers or investors who have already made investment decisions based on existing prices</w:t>
      </w:r>
      <w:r w:rsidRPr="0020182A">
        <w:rPr>
          <w:rFonts w:cs="Arial"/>
          <w:szCs w:val="20"/>
        </w:rPr>
        <w:t xml:space="preserve"> will be disadvantaged by the review being brought forward.</w:t>
      </w:r>
    </w:p>
    <w:p w:rsidR="002351C9" w:rsidRPr="000C0F97" w:rsidRDefault="002351C9" w:rsidP="000C0F97">
      <w:pPr>
        <w:pStyle w:val="BodyText2"/>
        <w:rPr>
          <w:sz w:val="20"/>
        </w:rPr>
      </w:pPr>
      <w:r w:rsidRPr="000C0F97">
        <w:rPr>
          <w:sz w:val="20"/>
        </w:rPr>
        <w:t>Recommendation 12: The SDA Framework should embed a requirement for consultation on any significant SDA pricing or policy changes.</w:t>
      </w:r>
    </w:p>
    <w:p w:rsidR="002351C9" w:rsidRPr="0020182A" w:rsidRDefault="002351C9" w:rsidP="002351C9">
      <w:pPr>
        <w:pStyle w:val="BodyText1"/>
        <w:spacing w:before="80" w:after="80"/>
        <w:rPr>
          <w:rFonts w:cs="Arial"/>
          <w:szCs w:val="20"/>
        </w:rPr>
      </w:pPr>
      <w:r w:rsidRPr="0020182A">
        <w:rPr>
          <w:rFonts w:cs="Arial"/>
          <w:szCs w:val="20"/>
        </w:rPr>
        <w:t>This should include release of a draft policy position by DSS and the NDIA, a consultation process, publication of submissions, and release of the final statement.</w:t>
      </w:r>
    </w:p>
    <w:p w:rsidR="002351C9" w:rsidRPr="0020182A" w:rsidRDefault="002351C9" w:rsidP="002351C9">
      <w:pPr>
        <w:pStyle w:val="BodyText1"/>
        <w:spacing w:before="80" w:after="80"/>
        <w:rPr>
          <w:rFonts w:cs="Arial"/>
          <w:szCs w:val="20"/>
        </w:rPr>
      </w:pPr>
      <w:r w:rsidRPr="0020182A">
        <w:rPr>
          <w:rFonts w:cs="Arial"/>
          <w:szCs w:val="20"/>
        </w:rPr>
        <w:t>DSS and the NDIA should establish an industry reference group for consultation on pricing changes.</w:t>
      </w:r>
    </w:p>
    <w:p w:rsidR="0049047D" w:rsidRPr="0020182A" w:rsidRDefault="0049047D" w:rsidP="0049047D">
      <w:pPr>
        <w:pStyle w:val="Heading3"/>
      </w:pPr>
      <w:r w:rsidRPr="0020182A">
        <w:t>Better managing risks associated with SDA investment</w:t>
      </w:r>
    </w:p>
    <w:p w:rsidR="006A1B9E" w:rsidRPr="000C0F97" w:rsidRDefault="006A1B9E" w:rsidP="000C0F97">
      <w:pPr>
        <w:pStyle w:val="BodyText2"/>
        <w:rPr>
          <w:sz w:val="20"/>
        </w:rPr>
      </w:pPr>
      <w:r w:rsidRPr="000C0F97">
        <w:rPr>
          <w:sz w:val="20"/>
        </w:rPr>
        <w:t xml:space="preserve">Recommendation 13: Establish greater certainty in SDA policy settings through the SDA Framework, which </w:t>
      </w:r>
      <w:r w:rsidRPr="000C0F97">
        <w:rPr>
          <w:rFonts w:cs="Arial"/>
          <w:sz w:val="20"/>
        </w:rPr>
        <w:t>should be the primary mechanism for providing policy guidance on SDA</w:t>
      </w:r>
      <w:r w:rsidRPr="000C0F97">
        <w:rPr>
          <w:iCs/>
          <w:sz w:val="20"/>
        </w:rPr>
        <w:t>.</w:t>
      </w:r>
      <w:r w:rsidRPr="000C0F97">
        <w:rPr>
          <w:sz w:val="20"/>
        </w:rPr>
        <w:t xml:space="preserve"> </w:t>
      </w:r>
    </w:p>
    <w:p w:rsidR="006A1B9E" w:rsidRPr="0020182A" w:rsidRDefault="006A1B9E" w:rsidP="006A1B9E">
      <w:pPr>
        <w:pStyle w:val="BodyText1"/>
        <w:spacing w:before="80" w:after="80"/>
        <w:rPr>
          <w:rFonts w:cs="Arial"/>
          <w:szCs w:val="20"/>
        </w:rPr>
      </w:pPr>
      <w:r w:rsidRPr="0020182A">
        <w:rPr>
          <w:rFonts w:cs="Arial"/>
          <w:szCs w:val="20"/>
        </w:rPr>
        <w:t xml:space="preserve">At this early stage of market development, the main purpose of the </w:t>
      </w:r>
      <w:r>
        <w:rPr>
          <w:rFonts w:cs="Arial"/>
          <w:szCs w:val="20"/>
        </w:rPr>
        <w:t>F</w:t>
      </w:r>
      <w:r w:rsidRPr="0020182A">
        <w:rPr>
          <w:rFonts w:cs="Arial"/>
          <w:szCs w:val="20"/>
        </w:rPr>
        <w:t xml:space="preserve">ramework should be to provide overarching guidance for the market that focuses on the core objectives of SDA, and indicate how the complement of SDA documentation and rules are achieving these objectives, </w:t>
      </w:r>
      <w:r>
        <w:rPr>
          <w:rFonts w:cs="Arial"/>
          <w:szCs w:val="20"/>
        </w:rPr>
        <w:t>this should include</w:t>
      </w:r>
      <w:r w:rsidRPr="0020182A">
        <w:rPr>
          <w:rFonts w:cs="Arial"/>
          <w:szCs w:val="20"/>
        </w:rPr>
        <w:t>:</w:t>
      </w:r>
    </w:p>
    <w:p w:rsidR="006A1B9E" w:rsidRPr="0020182A" w:rsidRDefault="006A1B9E" w:rsidP="006A1B9E">
      <w:pPr>
        <w:pStyle w:val="Bullet1stlevel"/>
        <w:numPr>
          <w:ilvl w:val="0"/>
          <w:numId w:val="62"/>
        </w:numPr>
        <w:spacing w:before="80" w:after="80"/>
        <w:rPr>
          <w:rFonts w:cs="Arial"/>
          <w:szCs w:val="20"/>
        </w:rPr>
      </w:pPr>
      <w:r>
        <w:rPr>
          <w:rFonts w:cs="Arial"/>
          <w:szCs w:val="20"/>
        </w:rPr>
        <w:t>b</w:t>
      </w:r>
      <w:r w:rsidRPr="0020182A">
        <w:rPr>
          <w:rFonts w:cs="Arial"/>
          <w:szCs w:val="20"/>
        </w:rPr>
        <w:t>ringing together the array of SDA documentation and guidance</w:t>
      </w:r>
    </w:p>
    <w:p w:rsidR="006A1B9E" w:rsidRPr="0020182A" w:rsidRDefault="006A1B9E" w:rsidP="006A1B9E">
      <w:pPr>
        <w:pStyle w:val="Bullet1stlevel"/>
        <w:numPr>
          <w:ilvl w:val="0"/>
          <w:numId w:val="62"/>
        </w:numPr>
        <w:spacing w:before="80" w:after="80"/>
        <w:rPr>
          <w:rFonts w:cs="Arial"/>
          <w:szCs w:val="20"/>
        </w:rPr>
      </w:pPr>
      <w:r>
        <w:rPr>
          <w:rFonts w:cs="Arial"/>
          <w:szCs w:val="20"/>
        </w:rPr>
        <w:t>d</w:t>
      </w:r>
      <w:r w:rsidRPr="0020182A">
        <w:rPr>
          <w:rFonts w:cs="Arial"/>
          <w:szCs w:val="20"/>
        </w:rPr>
        <w:t xml:space="preserve">escribing the objective and aims of SDA and the intended recipients </w:t>
      </w:r>
    </w:p>
    <w:p w:rsidR="006A1B9E" w:rsidRPr="0020182A" w:rsidRDefault="006A1B9E" w:rsidP="006A1B9E">
      <w:pPr>
        <w:pStyle w:val="Bullet1stlevel"/>
        <w:numPr>
          <w:ilvl w:val="0"/>
          <w:numId w:val="62"/>
        </w:numPr>
        <w:spacing w:before="80" w:after="80"/>
        <w:rPr>
          <w:rFonts w:cs="Arial"/>
          <w:szCs w:val="20"/>
        </w:rPr>
      </w:pPr>
      <w:r>
        <w:rPr>
          <w:rFonts w:cs="Arial"/>
          <w:szCs w:val="20"/>
        </w:rPr>
        <w:t>e</w:t>
      </w:r>
      <w:r w:rsidRPr="0020182A">
        <w:rPr>
          <w:rFonts w:cs="Arial"/>
          <w:szCs w:val="20"/>
        </w:rPr>
        <w:t>xplaining the methodology and underlying assumptions for SDA funding in a detailed and clear format</w:t>
      </w:r>
    </w:p>
    <w:p w:rsidR="006A1B9E" w:rsidRPr="0020182A" w:rsidRDefault="006A1B9E" w:rsidP="006A1B9E">
      <w:pPr>
        <w:pStyle w:val="Bullet1stlevel"/>
        <w:numPr>
          <w:ilvl w:val="0"/>
          <w:numId w:val="62"/>
        </w:numPr>
        <w:spacing w:before="80" w:after="80"/>
        <w:rPr>
          <w:rFonts w:cs="Arial"/>
          <w:szCs w:val="20"/>
        </w:rPr>
      </w:pPr>
      <w:r>
        <w:rPr>
          <w:rFonts w:cs="Arial"/>
          <w:szCs w:val="20"/>
        </w:rPr>
        <w:t>l</w:t>
      </w:r>
      <w:r w:rsidRPr="0020182A">
        <w:rPr>
          <w:rFonts w:cs="Arial"/>
          <w:szCs w:val="20"/>
        </w:rPr>
        <w:t>aying out the core components of SDA to provide a holistic picture of SDA requirements and processes.</w:t>
      </w:r>
    </w:p>
    <w:p w:rsidR="006A1B9E" w:rsidRPr="0020182A" w:rsidRDefault="006A1B9E" w:rsidP="006A1B9E">
      <w:pPr>
        <w:pStyle w:val="Bullet1stlevel"/>
        <w:spacing w:before="80" w:after="80"/>
        <w:rPr>
          <w:rFonts w:cs="Arial"/>
          <w:szCs w:val="20"/>
        </w:rPr>
      </w:pPr>
      <w:r w:rsidRPr="0020182A">
        <w:rPr>
          <w:rFonts w:cs="Arial"/>
          <w:szCs w:val="20"/>
        </w:rPr>
        <w:t>The SDA Framework should be the primary mechanism for providing policy guidance on SDA</w:t>
      </w:r>
      <w:r>
        <w:rPr>
          <w:rFonts w:cs="Arial"/>
          <w:szCs w:val="20"/>
        </w:rPr>
        <w:t>.</w:t>
      </w:r>
      <w:r w:rsidRPr="00851F7D">
        <w:rPr>
          <w:rFonts w:cs="Arial"/>
          <w:szCs w:val="20"/>
        </w:rPr>
        <w:t xml:space="preserve"> </w:t>
      </w:r>
      <w:r>
        <w:rPr>
          <w:rFonts w:cs="Arial"/>
          <w:szCs w:val="20"/>
        </w:rPr>
        <w:t>W</w:t>
      </w:r>
      <w:r w:rsidRPr="00DD3308">
        <w:rPr>
          <w:rFonts w:cs="Arial"/>
          <w:szCs w:val="20"/>
        </w:rPr>
        <w:t xml:space="preserve">hile the market remains immature and market participants seek clear guidance on requirements to </w:t>
      </w:r>
      <w:r w:rsidRPr="00DD3308">
        <w:rPr>
          <w:rFonts w:cs="Arial"/>
          <w:szCs w:val="20"/>
        </w:rPr>
        <w:lastRenderedPageBreak/>
        <w:t>participate</w:t>
      </w:r>
      <w:r>
        <w:rPr>
          <w:rFonts w:cs="Arial"/>
          <w:szCs w:val="20"/>
        </w:rPr>
        <w:t xml:space="preserve"> it should also be the </w:t>
      </w:r>
      <w:r w:rsidRPr="0020182A">
        <w:rPr>
          <w:rFonts w:cs="Arial"/>
          <w:szCs w:val="20"/>
        </w:rPr>
        <w:t xml:space="preserve">mechanism for presenting future policy changes, details or interpretation </w:t>
      </w:r>
      <w:r>
        <w:rPr>
          <w:rFonts w:cs="Arial"/>
          <w:szCs w:val="20"/>
        </w:rPr>
        <w:t>that</w:t>
      </w:r>
      <w:r w:rsidRPr="0020182A">
        <w:rPr>
          <w:rFonts w:cs="Arial"/>
          <w:szCs w:val="20"/>
        </w:rPr>
        <w:t xml:space="preserve"> relates to the operationalisation of SDA.</w:t>
      </w:r>
    </w:p>
    <w:p w:rsidR="006A1B9E" w:rsidRPr="0020182A" w:rsidRDefault="006A1B9E" w:rsidP="006A1B9E">
      <w:pPr>
        <w:pStyle w:val="Bullet1stlevel"/>
        <w:spacing w:before="80" w:after="80"/>
        <w:rPr>
          <w:rFonts w:cs="Arial"/>
          <w:szCs w:val="20"/>
        </w:rPr>
      </w:pPr>
      <w:r w:rsidRPr="0020182A">
        <w:rPr>
          <w:rFonts w:cs="Arial"/>
          <w:szCs w:val="20"/>
        </w:rPr>
        <w:t>Given Price Guide now clearly establish the pricing and payments arrangements, and are the most appropriate mechanism to provide further detail, including methodology and assumptions, the Framework should set the high level principles and objectives for the development for SDA over time.</w:t>
      </w:r>
    </w:p>
    <w:p w:rsidR="006A1B9E" w:rsidRPr="0020182A" w:rsidRDefault="006A1B9E" w:rsidP="006A1B9E">
      <w:pPr>
        <w:pStyle w:val="BodyText1"/>
        <w:spacing w:before="80" w:after="80"/>
        <w:rPr>
          <w:rFonts w:cs="Arial"/>
          <w:szCs w:val="20"/>
        </w:rPr>
      </w:pPr>
      <w:r w:rsidRPr="0020182A">
        <w:rPr>
          <w:rFonts w:cs="Arial"/>
          <w:szCs w:val="20"/>
        </w:rPr>
        <w:t xml:space="preserve">To the greatest extent possible, the Rules should be the avenue for providing clarity on pricing, payments, eligibility and dwelling registration. Any overlapping or inconsistent elements in the SDA Framework should be removed. The Framework should provide overarching guidance to continue to support and direct the development of the SDA market. The </w:t>
      </w:r>
      <w:r>
        <w:rPr>
          <w:rFonts w:cs="Arial"/>
          <w:szCs w:val="20"/>
        </w:rPr>
        <w:t>F</w:t>
      </w:r>
      <w:r w:rsidRPr="0020182A">
        <w:rPr>
          <w:rFonts w:cs="Arial"/>
          <w:szCs w:val="20"/>
        </w:rPr>
        <w:t>ramework should become a tool for policy setting and market development.</w:t>
      </w:r>
    </w:p>
    <w:p w:rsidR="006A1B9E" w:rsidRPr="0020182A" w:rsidRDefault="006A1B9E" w:rsidP="006A1B9E">
      <w:pPr>
        <w:pStyle w:val="Bullet1stlevel"/>
        <w:spacing w:before="80" w:after="80"/>
        <w:rPr>
          <w:rFonts w:eastAsiaTheme="majorEastAsia" w:cs="Arial"/>
          <w:iCs/>
          <w:szCs w:val="20"/>
        </w:rPr>
      </w:pPr>
      <w:r w:rsidRPr="0020182A">
        <w:rPr>
          <w:rFonts w:cs="Arial"/>
          <w:szCs w:val="20"/>
        </w:rPr>
        <w:t>Where policy changes are required, the SDA Framework should be amended to set out a clear and transparent mechanism for policy change, which involves engaging with participants, providers and investors on the nature of the proposed policy changes – either to provide sufficient notice of changes in policy, or to provide opportunities for participant/provider/ investor input into the policy process.</w:t>
      </w:r>
      <w:r>
        <w:rPr>
          <w:rFonts w:cs="Arial"/>
          <w:szCs w:val="20"/>
        </w:rPr>
        <w:t xml:space="preserve">  </w:t>
      </w:r>
      <w:r w:rsidRPr="0020182A">
        <w:rPr>
          <w:rFonts w:eastAsiaTheme="majorEastAsia" w:cs="Arial"/>
          <w:iCs/>
          <w:szCs w:val="20"/>
        </w:rPr>
        <w:t>The SDA Framework should remain as the mechanism for this, with clear amendment processes through DRC. An industry consultation group mechanism could be established for consulting on policy and Rule changes.</w:t>
      </w:r>
    </w:p>
    <w:p w:rsidR="0049047D" w:rsidRPr="0020182A" w:rsidRDefault="0049047D" w:rsidP="0049047D">
      <w:pPr>
        <w:pStyle w:val="Heading3"/>
      </w:pPr>
      <w:r w:rsidRPr="0020182A">
        <w:t xml:space="preserve">Greater clarity around quality requirements </w:t>
      </w:r>
    </w:p>
    <w:p w:rsidR="002351C9" w:rsidRPr="000C0F97" w:rsidRDefault="002351C9" w:rsidP="000C0F97">
      <w:pPr>
        <w:pStyle w:val="BodyText2"/>
        <w:rPr>
          <w:sz w:val="20"/>
        </w:rPr>
      </w:pPr>
      <w:r w:rsidRPr="000C0F97">
        <w:rPr>
          <w:sz w:val="20"/>
        </w:rPr>
        <w:t>Recommendation 14: When revising the process for provisional dwelling certification, as per recommendation 5 above, establish clear dwelling eligibility and quality requirements to underpin the provisional dwelling certification process and maintain quality and safeguards.</w:t>
      </w:r>
    </w:p>
    <w:p w:rsidR="002351C9" w:rsidRPr="0020182A" w:rsidRDefault="002351C9" w:rsidP="002351C9">
      <w:pPr>
        <w:spacing w:before="80" w:after="80"/>
        <w:rPr>
          <w:rFonts w:cs="Arial"/>
          <w:szCs w:val="20"/>
        </w:rPr>
      </w:pPr>
      <w:r w:rsidRPr="0020182A">
        <w:rPr>
          <w:rFonts w:cs="Arial"/>
          <w:szCs w:val="20"/>
        </w:rPr>
        <w:t>This could include:</w:t>
      </w:r>
    </w:p>
    <w:p w:rsidR="002351C9" w:rsidRPr="0020182A" w:rsidRDefault="002351C9" w:rsidP="002351C9">
      <w:pPr>
        <w:pStyle w:val="ListParagraph"/>
        <w:numPr>
          <w:ilvl w:val="0"/>
          <w:numId w:val="63"/>
        </w:numPr>
        <w:spacing w:before="80" w:after="80"/>
        <w:contextualSpacing w:val="0"/>
        <w:rPr>
          <w:rFonts w:cs="Arial"/>
          <w:szCs w:val="20"/>
        </w:rPr>
      </w:pPr>
      <w:r>
        <w:rPr>
          <w:rFonts w:cs="Arial"/>
          <w:szCs w:val="20"/>
        </w:rPr>
        <w:t>i</w:t>
      </w:r>
      <w:r w:rsidRPr="0020182A">
        <w:rPr>
          <w:rFonts w:cs="Arial"/>
          <w:szCs w:val="20"/>
        </w:rPr>
        <w:t>ssuing standards which are required to be met for particular categories of dwelling</w:t>
      </w:r>
    </w:p>
    <w:p w:rsidR="002351C9" w:rsidRPr="0020182A" w:rsidRDefault="002351C9" w:rsidP="002351C9">
      <w:pPr>
        <w:pStyle w:val="ListParagraph"/>
        <w:numPr>
          <w:ilvl w:val="0"/>
          <w:numId w:val="63"/>
        </w:numPr>
        <w:spacing w:before="80" w:after="80"/>
        <w:contextualSpacing w:val="0"/>
        <w:rPr>
          <w:rFonts w:cs="Arial"/>
          <w:szCs w:val="20"/>
        </w:rPr>
      </w:pPr>
      <w:r>
        <w:rPr>
          <w:rFonts w:cs="Arial"/>
          <w:szCs w:val="20"/>
        </w:rPr>
        <w:t>a</w:t>
      </w:r>
      <w:r w:rsidRPr="0020182A">
        <w:rPr>
          <w:rFonts w:cs="Arial"/>
          <w:szCs w:val="20"/>
        </w:rPr>
        <w:t xml:space="preserve"> post-build inspection to confirm standards have been met before confirming final enrolment</w:t>
      </w:r>
    </w:p>
    <w:p w:rsidR="002351C9" w:rsidRPr="0020182A" w:rsidRDefault="002351C9" w:rsidP="002351C9">
      <w:pPr>
        <w:pStyle w:val="ListParagraph"/>
        <w:numPr>
          <w:ilvl w:val="0"/>
          <w:numId w:val="63"/>
        </w:numPr>
        <w:spacing w:before="80" w:after="80"/>
        <w:contextualSpacing w:val="0"/>
        <w:rPr>
          <w:rFonts w:cs="Arial"/>
          <w:szCs w:val="20"/>
        </w:rPr>
      </w:pPr>
      <w:r>
        <w:rPr>
          <w:rFonts w:cs="Arial"/>
          <w:szCs w:val="20"/>
        </w:rPr>
        <w:t>s</w:t>
      </w:r>
      <w:r w:rsidRPr="0020182A">
        <w:rPr>
          <w:rFonts w:cs="Arial"/>
          <w:szCs w:val="20"/>
        </w:rPr>
        <w:t>etting out responsibility for maintenance requirements, particularly for robust and high physical support categories where these are more frequent and high cost.</w:t>
      </w:r>
    </w:p>
    <w:p w:rsidR="002351C9" w:rsidRPr="0020182A" w:rsidRDefault="002351C9" w:rsidP="002351C9">
      <w:pPr>
        <w:pStyle w:val="BodyText1"/>
        <w:spacing w:before="80" w:after="80"/>
        <w:rPr>
          <w:rFonts w:eastAsiaTheme="majorEastAsia" w:cs="Arial"/>
          <w:iCs/>
          <w:szCs w:val="20"/>
        </w:rPr>
      </w:pPr>
      <w:r w:rsidRPr="0020182A">
        <w:rPr>
          <w:rFonts w:eastAsiaTheme="majorEastAsia" w:cs="Arial"/>
          <w:iCs/>
          <w:szCs w:val="20"/>
        </w:rPr>
        <w:t xml:space="preserve">It is important that this is integrated with, and aligned to, the processes established by the NDIS Commission in relation to SDA. </w:t>
      </w:r>
    </w:p>
    <w:p w:rsidR="002351C9" w:rsidRPr="000C0F97" w:rsidRDefault="002351C9" w:rsidP="000C0F97">
      <w:pPr>
        <w:pStyle w:val="BodyText2"/>
        <w:rPr>
          <w:sz w:val="20"/>
        </w:rPr>
      </w:pPr>
      <w:r w:rsidRPr="000C0F97">
        <w:rPr>
          <w:sz w:val="20"/>
        </w:rPr>
        <w:t xml:space="preserve">Recommendation 15: DRC should clarify the roles and responsibilities of the NDIS Commission and NDIA with respect to SDA. </w:t>
      </w:r>
    </w:p>
    <w:p w:rsidR="002351C9" w:rsidRPr="0020182A" w:rsidRDefault="002351C9" w:rsidP="002351C9">
      <w:pPr>
        <w:pStyle w:val="Bullet1stlevel"/>
        <w:spacing w:before="80" w:after="80"/>
        <w:rPr>
          <w:rFonts w:cs="Arial"/>
          <w:szCs w:val="20"/>
        </w:rPr>
      </w:pPr>
      <w:r w:rsidRPr="0020182A">
        <w:rPr>
          <w:rFonts w:cs="Arial"/>
          <w:szCs w:val="20"/>
        </w:rPr>
        <w:t xml:space="preserve">In particular, transitional arrangements for jurisdictions that are yet to be governed by the NDIS Commission with respect to SDA should be made clear to provide sufficient certainty for providers on the quality and safeguards requirements they must meet for registration and ongoing SDA provision.  </w:t>
      </w:r>
    </w:p>
    <w:p w:rsidR="002351C9" w:rsidRPr="0020182A" w:rsidRDefault="002351C9" w:rsidP="002351C9">
      <w:pPr>
        <w:pStyle w:val="Bullet1stlevel"/>
        <w:spacing w:before="80" w:after="80"/>
        <w:rPr>
          <w:rFonts w:cs="Arial"/>
          <w:sz w:val="18"/>
        </w:rPr>
      </w:pPr>
      <w:r w:rsidRPr="0020182A">
        <w:rPr>
          <w:rFonts w:cs="Arial"/>
          <w:szCs w:val="20"/>
        </w:rPr>
        <w:t>The NDIS Commission should continue to engage with industry regarding the implications of any changes to its</w:t>
      </w:r>
      <w:r w:rsidRPr="0020182A">
        <w:rPr>
          <w:rFonts w:cs="Arial"/>
          <w:sz w:val="18"/>
        </w:rPr>
        <w:t xml:space="preserve"> quality and safeguarding requirements.</w:t>
      </w:r>
    </w:p>
    <w:p w:rsidR="0049047D" w:rsidRPr="0020182A" w:rsidRDefault="0049047D" w:rsidP="0049047D">
      <w:pPr>
        <w:pStyle w:val="Heading3"/>
      </w:pPr>
      <w:r w:rsidRPr="0020182A">
        <w:t>Information and incentives for innovation in SDA supply`</w:t>
      </w:r>
    </w:p>
    <w:p w:rsidR="002351C9" w:rsidRPr="000C0F97" w:rsidRDefault="002351C9" w:rsidP="000C0F97">
      <w:pPr>
        <w:pStyle w:val="BodyText2"/>
        <w:rPr>
          <w:sz w:val="20"/>
        </w:rPr>
      </w:pPr>
      <w:r w:rsidRPr="000C0F97">
        <w:rPr>
          <w:sz w:val="20"/>
        </w:rPr>
        <w:t xml:space="preserve">Recommendation 16: Remove further unnecessary prescription from the SDA Framework that is inhibiting a varied or innovative response in the market. </w:t>
      </w:r>
    </w:p>
    <w:p w:rsidR="002351C9" w:rsidRPr="0020182A" w:rsidRDefault="002351C9" w:rsidP="002351C9">
      <w:pPr>
        <w:pStyle w:val="Bullet1stlevel"/>
        <w:spacing w:before="80" w:after="80"/>
        <w:rPr>
          <w:rFonts w:cs="Arial"/>
          <w:szCs w:val="20"/>
        </w:rPr>
      </w:pPr>
      <w:r w:rsidRPr="0020182A">
        <w:rPr>
          <w:rFonts w:cs="Arial"/>
          <w:szCs w:val="20"/>
        </w:rPr>
        <w:t>This includes:</w:t>
      </w:r>
    </w:p>
    <w:p w:rsidR="002351C9" w:rsidRPr="0020182A" w:rsidRDefault="002351C9" w:rsidP="002351C9">
      <w:pPr>
        <w:pStyle w:val="Bullet1stlevel"/>
        <w:numPr>
          <w:ilvl w:val="0"/>
          <w:numId w:val="82"/>
        </w:numPr>
        <w:spacing w:before="80" w:after="80"/>
        <w:rPr>
          <w:rFonts w:cs="Arial"/>
          <w:szCs w:val="20"/>
        </w:rPr>
      </w:pPr>
      <w:r w:rsidRPr="0020182A">
        <w:rPr>
          <w:rFonts w:cs="Arial"/>
          <w:szCs w:val="20"/>
        </w:rPr>
        <w:t>assumptions around the ‘rental model’ and rental contributions preventing responses that integrate broader ownership and non-tenancy arrangements.</w:t>
      </w:r>
    </w:p>
    <w:p w:rsidR="002351C9" w:rsidRPr="0020182A" w:rsidRDefault="002351C9" w:rsidP="002351C9">
      <w:pPr>
        <w:pStyle w:val="BodyText1"/>
        <w:numPr>
          <w:ilvl w:val="0"/>
          <w:numId w:val="82"/>
        </w:numPr>
        <w:spacing w:before="80" w:after="80"/>
        <w:rPr>
          <w:rFonts w:cs="Arial"/>
          <w:szCs w:val="20"/>
        </w:rPr>
      </w:pPr>
      <w:r w:rsidRPr="0020182A">
        <w:rPr>
          <w:rFonts w:cs="Arial"/>
          <w:szCs w:val="20"/>
        </w:rPr>
        <w:t xml:space="preserve">removing specific restrictions </w:t>
      </w:r>
      <w:r>
        <w:rPr>
          <w:rFonts w:cs="Arial"/>
          <w:szCs w:val="20"/>
        </w:rPr>
        <w:t>that</w:t>
      </w:r>
      <w:r w:rsidRPr="0020182A">
        <w:rPr>
          <w:rFonts w:cs="Arial"/>
          <w:szCs w:val="20"/>
        </w:rPr>
        <w:t xml:space="preserve"> limit a participant’s ability to live with others without disability (such as their partner, children, friends or others) (as per </w:t>
      </w:r>
      <w:r>
        <w:rPr>
          <w:rFonts w:cs="Arial"/>
          <w:szCs w:val="20"/>
        </w:rPr>
        <w:t>r</w:t>
      </w:r>
      <w:r w:rsidRPr="0020182A">
        <w:rPr>
          <w:rFonts w:cs="Arial"/>
          <w:szCs w:val="20"/>
        </w:rPr>
        <w:t>ecommendation 2)</w:t>
      </w:r>
    </w:p>
    <w:p w:rsidR="002351C9" w:rsidRPr="0020182A" w:rsidRDefault="002351C9" w:rsidP="002351C9">
      <w:pPr>
        <w:pStyle w:val="BodyText1"/>
        <w:numPr>
          <w:ilvl w:val="0"/>
          <w:numId w:val="64"/>
        </w:numPr>
        <w:spacing w:before="80" w:after="80"/>
        <w:rPr>
          <w:rFonts w:cs="Arial"/>
          <w:szCs w:val="20"/>
        </w:rPr>
      </w:pPr>
      <w:r w:rsidRPr="0020182A">
        <w:rPr>
          <w:rFonts w:cs="Arial"/>
          <w:szCs w:val="20"/>
        </w:rPr>
        <w:t xml:space="preserve">examining provider disincentives which limit a participant’s ability to live with others without disability (noting that the NDIS does not fund or subsidise living arrangements for people without disability) (as per </w:t>
      </w:r>
      <w:r>
        <w:rPr>
          <w:rFonts w:cs="Arial"/>
          <w:szCs w:val="20"/>
        </w:rPr>
        <w:t>r</w:t>
      </w:r>
      <w:r w:rsidRPr="0020182A">
        <w:rPr>
          <w:rFonts w:cs="Arial"/>
          <w:szCs w:val="20"/>
        </w:rPr>
        <w:t>ecommendation 2).</w:t>
      </w:r>
    </w:p>
    <w:p w:rsidR="002351C9" w:rsidRPr="0020182A" w:rsidRDefault="002351C9" w:rsidP="002351C9">
      <w:pPr>
        <w:pStyle w:val="Bullet1stlevel"/>
        <w:spacing w:before="80" w:after="80"/>
        <w:rPr>
          <w:rFonts w:cs="Arial"/>
          <w:szCs w:val="20"/>
        </w:rPr>
      </w:pPr>
      <w:r w:rsidRPr="0020182A">
        <w:rPr>
          <w:rFonts w:cs="Arial"/>
          <w:szCs w:val="20"/>
        </w:rPr>
        <w:t>In the longer term, consideration should be given to removing prescription relating to dwelling types from NDIS plans to provide for more innovative solutions in response to demand from participants.</w:t>
      </w:r>
    </w:p>
    <w:p w:rsidR="002351C9" w:rsidRPr="000C0F97" w:rsidRDefault="002351C9" w:rsidP="000C0F97">
      <w:pPr>
        <w:pStyle w:val="BodyText2"/>
        <w:rPr>
          <w:sz w:val="20"/>
        </w:rPr>
      </w:pPr>
      <w:r w:rsidRPr="000C0F97">
        <w:rPr>
          <w:sz w:val="20"/>
        </w:rPr>
        <w:lastRenderedPageBreak/>
        <w:t xml:space="preserve">Recommendation 17: Provide research and information to the market on innovative housing design – to provide a catalyst for greater investment in more innovative SDA housing models. </w:t>
      </w:r>
    </w:p>
    <w:p w:rsidR="002351C9" w:rsidRPr="0020182A" w:rsidRDefault="002351C9" w:rsidP="002351C9">
      <w:pPr>
        <w:pStyle w:val="Bullet1stlevel"/>
        <w:spacing w:before="80" w:after="80"/>
        <w:rPr>
          <w:rFonts w:cs="Arial"/>
          <w:szCs w:val="20"/>
        </w:rPr>
      </w:pPr>
      <w:r w:rsidRPr="0020182A">
        <w:rPr>
          <w:rFonts w:cs="Arial"/>
          <w:szCs w:val="20"/>
        </w:rPr>
        <w:t xml:space="preserve">While leadership in innovation needs to come from providers, participants, governments and the broader community, at this stage of market development the NDIA is uniquely placed to play a leadership role. </w:t>
      </w:r>
    </w:p>
    <w:p w:rsidR="002351C9" w:rsidRPr="0020182A" w:rsidRDefault="002351C9" w:rsidP="002351C9">
      <w:pPr>
        <w:pStyle w:val="Bullet1stlevel"/>
        <w:spacing w:before="80" w:after="80"/>
        <w:rPr>
          <w:rFonts w:cs="Arial"/>
          <w:szCs w:val="20"/>
        </w:rPr>
      </w:pPr>
      <w:r w:rsidRPr="0020182A">
        <w:rPr>
          <w:rFonts w:cs="Arial"/>
          <w:szCs w:val="20"/>
        </w:rPr>
        <w:t>Key to this should be leading the development of a research and evidence base which illustrates how participant outcomes are being achieved through innovative SDA models and designs and disseminating this evidence to the market and participants.   This could be in the form of ‘</w:t>
      </w:r>
      <w:r>
        <w:rPr>
          <w:rFonts w:cs="Arial"/>
          <w:szCs w:val="20"/>
        </w:rPr>
        <w:t>i</w:t>
      </w:r>
      <w:r w:rsidRPr="0020182A">
        <w:rPr>
          <w:rFonts w:cs="Arial"/>
          <w:szCs w:val="20"/>
        </w:rPr>
        <w:t>nnovation briefs’, publishing case studies on innovative SDA design, and holding an Innovation Summit (similar to the Housing Innovation Showcases hosted by the NDIA in 2016).</w:t>
      </w:r>
    </w:p>
    <w:p w:rsidR="0049047D" w:rsidRPr="0020182A" w:rsidRDefault="0049047D" w:rsidP="0049047D">
      <w:pPr>
        <w:pStyle w:val="Heading3"/>
      </w:pPr>
      <w:r w:rsidRPr="0020182A">
        <w:t>Achieving optimal outcomes and value for money</w:t>
      </w:r>
    </w:p>
    <w:p w:rsidR="008F33D9" w:rsidRPr="000C0F97" w:rsidRDefault="008F33D9" w:rsidP="000C0F97">
      <w:pPr>
        <w:pStyle w:val="BodyText2"/>
        <w:rPr>
          <w:sz w:val="20"/>
        </w:rPr>
      </w:pPr>
      <w:r w:rsidRPr="000C0F97">
        <w:rPr>
          <w:sz w:val="20"/>
        </w:rPr>
        <w:t>Recommendation 18: Improve the level and scope of information provided to participants, families, Planners, Support Coordinators and other intermediaries on the options available to use SDA, SIL and other support funding to achieve positive outcomes, while also delivering deliver value for money for the Scheme.</w:t>
      </w:r>
    </w:p>
    <w:p w:rsidR="008F33D9" w:rsidRPr="0020182A" w:rsidRDefault="008F33D9" w:rsidP="008F33D9">
      <w:pPr>
        <w:spacing w:before="80" w:after="80"/>
        <w:rPr>
          <w:rFonts w:cs="Arial"/>
          <w:szCs w:val="20"/>
        </w:rPr>
      </w:pPr>
      <w:r w:rsidRPr="0020182A">
        <w:rPr>
          <w:rFonts w:cs="Arial"/>
          <w:szCs w:val="20"/>
        </w:rPr>
        <w:t>There are a number of actions that should be taken to address this:</w:t>
      </w:r>
    </w:p>
    <w:p w:rsidR="008F33D9" w:rsidRDefault="008F33D9" w:rsidP="008F33D9">
      <w:pPr>
        <w:pStyle w:val="BodyText1"/>
        <w:numPr>
          <w:ilvl w:val="0"/>
          <w:numId w:val="65"/>
        </w:numPr>
        <w:tabs>
          <w:tab w:val="clear" w:pos="340"/>
          <w:tab w:val="num" w:pos="723"/>
        </w:tabs>
        <w:spacing w:before="80" w:after="80"/>
        <w:rPr>
          <w:rFonts w:cs="Arial"/>
          <w:szCs w:val="20"/>
        </w:rPr>
      </w:pPr>
      <w:r w:rsidRPr="0020182A">
        <w:rPr>
          <w:rFonts w:cs="Arial"/>
          <w:szCs w:val="20"/>
        </w:rPr>
        <w:t xml:space="preserve">Provide information to participants and families on options available </w:t>
      </w:r>
      <w:r>
        <w:rPr>
          <w:rFonts w:cs="Arial"/>
          <w:szCs w:val="20"/>
        </w:rPr>
        <w:t xml:space="preserve">for using </w:t>
      </w:r>
      <w:r w:rsidRPr="0020182A">
        <w:rPr>
          <w:rFonts w:cs="Arial"/>
          <w:szCs w:val="20"/>
        </w:rPr>
        <w:t>SDA</w:t>
      </w:r>
      <w:r>
        <w:rPr>
          <w:rFonts w:cs="Arial"/>
          <w:szCs w:val="20"/>
        </w:rPr>
        <w:t xml:space="preserve">, SIL and other support funding together or flexibly to </w:t>
      </w:r>
      <w:r w:rsidRPr="0020182A">
        <w:rPr>
          <w:rFonts w:cs="Arial"/>
          <w:szCs w:val="20"/>
        </w:rPr>
        <w:t>help participants achieve their goals. This should be supplemented with real participant examples.</w:t>
      </w:r>
    </w:p>
    <w:p w:rsidR="008F33D9" w:rsidRPr="0020182A" w:rsidRDefault="008F33D9" w:rsidP="008F33D9">
      <w:pPr>
        <w:pStyle w:val="BodyText1"/>
        <w:numPr>
          <w:ilvl w:val="0"/>
          <w:numId w:val="65"/>
        </w:numPr>
        <w:tabs>
          <w:tab w:val="clear" w:pos="340"/>
          <w:tab w:val="num" w:pos="723"/>
        </w:tabs>
        <w:spacing w:before="80" w:after="80"/>
        <w:rPr>
          <w:rFonts w:cs="Arial"/>
          <w:szCs w:val="20"/>
        </w:rPr>
      </w:pPr>
      <w:r w:rsidRPr="0020182A">
        <w:rPr>
          <w:rFonts w:cs="Arial"/>
          <w:szCs w:val="20"/>
        </w:rPr>
        <w:t>Consider the training and specialist understanding needs of Planners to successfully facilitate this process for participants and families and provide guidance in assessing available options and the steps involved in making a long term value for money decision.</w:t>
      </w:r>
    </w:p>
    <w:p w:rsidR="008F33D9" w:rsidRPr="0020182A" w:rsidRDefault="008F33D9" w:rsidP="008F33D9">
      <w:pPr>
        <w:pStyle w:val="BodyText1"/>
        <w:numPr>
          <w:ilvl w:val="0"/>
          <w:numId w:val="65"/>
        </w:numPr>
        <w:tabs>
          <w:tab w:val="clear" w:pos="340"/>
          <w:tab w:val="num" w:pos="723"/>
        </w:tabs>
        <w:spacing w:before="80" w:after="80"/>
        <w:rPr>
          <w:rFonts w:cs="Arial"/>
          <w:szCs w:val="20"/>
        </w:rPr>
      </w:pPr>
      <w:r w:rsidRPr="0020182A">
        <w:rPr>
          <w:rFonts w:cs="Arial"/>
          <w:szCs w:val="20"/>
        </w:rPr>
        <w:t>Actively engag</w:t>
      </w:r>
      <w:r>
        <w:rPr>
          <w:rFonts w:cs="Arial"/>
          <w:szCs w:val="20"/>
        </w:rPr>
        <w:t>e</w:t>
      </w:r>
      <w:r w:rsidRPr="0020182A">
        <w:rPr>
          <w:rFonts w:cs="Arial"/>
          <w:szCs w:val="20"/>
        </w:rPr>
        <w:t xml:space="preserve"> participants in decision making about different combinations of SDA and other support funding that will best help them meet their long-term goals</w:t>
      </w:r>
    </w:p>
    <w:p w:rsidR="008F33D9" w:rsidRDefault="008F33D9" w:rsidP="008F33D9">
      <w:pPr>
        <w:pStyle w:val="BodyText1"/>
        <w:keepNext/>
        <w:numPr>
          <w:ilvl w:val="0"/>
          <w:numId w:val="65"/>
        </w:numPr>
        <w:tabs>
          <w:tab w:val="clear" w:pos="340"/>
          <w:tab w:val="num" w:pos="723"/>
        </w:tabs>
        <w:spacing w:before="80" w:after="80"/>
        <w:rPr>
          <w:rFonts w:cs="Arial"/>
          <w:szCs w:val="20"/>
        </w:rPr>
      </w:pPr>
      <w:r>
        <w:rPr>
          <w:rFonts w:cs="Arial"/>
          <w:szCs w:val="20"/>
        </w:rPr>
        <w:t>U</w:t>
      </w:r>
      <w:r w:rsidRPr="0020182A">
        <w:rPr>
          <w:rFonts w:cs="Arial"/>
          <w:szCs w:val="20"/>
        </w:rPr>
        <w:t>ndertake and collate research</w:t>
      </w:r>
      <w:r>
        <w:rPr>
          <w:rFonts w:cs="Arial"/>
          <w:szCs w:val="20"/>
        </w:rPr>
        <w:t xml:space="preserve"> </w:t>
      </w:r>
      <w:r w:rsidRPr="0020182A">
        <w:rPr>
          <w:rFonts w:cs="Arial"/>
          <w:szCs w:val="20"/>
        </w:rPr>
        <w:t>on long term benefits and outcomes of particular SDA options and plan combinations to support value for money decision making. This should be communicated to Planners and participants to be drawn upon in the decision-making process, and how this can be implemented in a way that is consistent with participant choice and control.</w:t>
      </w:r>
    </w:p>
    <w:p w:rsidR="008F33D9" w:rsidRPr="0020182A" w:rsidRDefault="008F33D9" w:rsidP="008F33D9">
      <w:pPr>
        <w:pStyle w:val="BodyText1"/>
        <w:numPr>
          <w:ilvl w:val="0"/>
          <w:numId w:val="65"/>
        </w:numPr>
        <w:tabs>
          <w:tab w:val="clear" w:pos="340"/>
          <w:tab w:val="num" w:pos="723"/>
        </w:tabs>
        <w:spacing w:before="80" w:after="80"/>
        <w:rPr>
          <w:rFonts w:cs="Arial"/>
          <w:szCs w:val="20"/>
        </w:rPr>
      </w:pPr>
      <w:r>
        <w:rPr>
          <w:rFonts w:cs="Arial"/>
          <w:szCs w:val="20"/>
        </w:rPr>
        <w:t xml:space="preserve">Showcase how innovative SDA design can contribute to reducing SIL and other support costs. </w:t>
      </w:r>
    </w:p>
    <w:p w:rsidR="008F33D9" w:rsidRDefault="008F33D9" w:rsidP="002351C9">
      <w:pPr>
        <w:pStyle w:val="Heading5"/>
        <w:rPr>
          <w:szCs w:val="20"/>
        </w:rPr>
      </w:pPr>
    </w:p>
    <w:p w:rsidR="0049047D" w:rsidRPr="0020182A" w:rsidRDefault="0049047D">
      <w:pPr>
        <w:spacing w:before="0" w:after="160" w:line="259" w:lineRule="auto"/>
        <w:sectPr w:rsidR="0049047D" w:rsidRPr="0020182A" w:rsidSect="00E854BA">
          <w:headerReference w:type="default" r:id="rId63"/>
          <w:footerReference w:type="default" r:id="rId64"/>
          <w:pgSz w:w="11906" w:h="16838"/>
          <w:pgMar w:top="1418" w:right="1418" w:bottom="1418" w:left="1418" w:header="340" w:footer="510" w:gutter="0"/>
          <w:cols w:space="708"/>
          <w:docGrid w:linePitch="360"/>
        </w:sectPr>
      </w:pPr>
    </w:p>
    <w:p w:rsidR="00DD5D11" w:rsidRDefault="00DD5D11" w:rsidP="00612CC4">
      <w:pPr>
        <w:pStyle w:val="Dividernumber"/>
      </w:pPr>
    </w:p>
    <w:p w:rsidR="00190028" w:rsidRDefault="00190028" w:rsidP="00612CC4">
      <w:pPr>
        <w:pStyle w:val="Dividernumber"/>
      </w:pPr>
    </w:p>
    <w:p w:rsidR="00190028" w:rsidRDefault="00190028" w:rsidP="00612CC4">
      <w:pPr>
        <w:pStyle w:val="Dividernumber"/>
      </w:pPr>
    </w:p>
    <w:p w:rsidR="00612CC4" w:rsidRDefault="00612CC4" w:rsidP="00612CC4">
      <w:pPr>
        <w:pStyle w:val="Dividernumber"/>
      </w:pPr>
      <w:r w:rsidRPr="0020182A">
        <w:t>05</w:t>
      </w:r>
    </w:p>
    <w:p w:rsidR="00612CC4" w:rsidRPr="00612CC4" w:rsidRDefault="00612CC4" w:rsidP="00612CC4">
      <w:pPr>
        <w:jc w:val="center"/>
      </w:pPr>
    </w:p>
    <w:p w:rsidR="00DD5D11" w:rsidRPr="00612CC4" w:rsidRDefault="00612CC4" w:rsidP="00DD5D11">
      <w:pPr>
        <w:jc w:val="center"/>
      </w:pPr>
      <w:r w:rsidRPr="00612CC4">
        <w:rPr>
          <w:rFonts w:ascii="KPMG Extralight" w:eastAsiaTheme="majorEastAsia" w:hAnsi="KPMG Extralight" w:cstheme="majorBidi"/>
          <w:color w:val="0091DA" w:themeColor="accent2"/>
          <w:sz w:val="120"/>
          <w:szCs w:val="120"/>
        </w:rPr>
        <w:t>The Future Framework</w:t>
      </w:r>
    </w:p>
    <w:p w:rsidR="006A71E3" w:rsidRPr="00612CC4" w:rsidRDefault="006A71E3" w:rsidP="00612CC4">
      <w:pPr>
        <w:tabs>
          <w:tab w:val="left" w:pos="960"/>
        </w:tabs>
        <w:sectPr w:rsidR="006A71E3" w:rsidRPr="00612CC4" w:rsidSect="00E02C03">
          <w:headerReference w:type="default" r:id="rId65"/>
          <w:footerReference w:type="default" r:id="rId66"/>
          <w:pgSz w:w="11906" w:h="16838"/>
          <w:pgMar w:top="1418" w:right="1418" w:bottom="1418" w:left="1418" w:header="709" w:footer="453" w:gutter="0"/>
          <w:cols w:space="708"/>
          <w:docGrid w:linePitch="360"/>
        </w:sectPr>
      </w:pPr>
    </w:p>
    <w:p w:rsidR="00783137" w:rsidRPr="0020182A" w:rsidRDefault="00CD4818" w:rsidP="00783137">
      <w:pPr>
        <w:pStyle w:val="Heading1"/>
      </w:pPr>
      <w:bookmarkStart w:id="76" w:name="_Toc530648960"/>
      <w:r w:rsidRPr="0020182A">
        <w:lastRenderedPageBreak/>
        <w:t>The f</w:t>
      </w:r>
      <w:r w:rsidR="00783137" w:rsidRPr="0020182A">
        <w:t>uture Framework</w:t>
      </w:r>
      <w:bookmarkEnd w:id="62"/>
      <w:bookmarkEnd w:id="63"/>
      <w:bookmarkEnd w:id="76"/>
    </w:p>
    <w:p w:rsidR="004C3103" w:rsidRPr="0020182A" w:rsidRDefault="004C3103" w:rsidP="001D32E6">
      <w:pPr>
        <w:pStyle w:val="Heading2"/>
      </w:pPr>
      <w:bookmarkStart w:id="77" w:name="_Toc530648961"/>
      <w:bookmarkStart w:id="78" w:name="_Toc518593625"/>
      <w:r w:rsidRPr="0020182A">
        <w:t>The future Framework</w:t>
      </w:r>
      <w:bookmarkEnd w:id="77"/>
    </w:p>
    <w:p w:rsidR="0081240A" w:rsidRPr="0020182A" w:rsidRDefault="0081240A" w:rsidP="0081240A">
      <w:pPr>
        <w:pStyle w:val="TableBullet1"/>
        <w:numPr>
          <w:ilvl w:val="0"/>
          <w:numId w:val="0"/>
        </w:numPr>
        <w:spacing w:before="60" w:after="60"/>
        <w:contextualSpacing w:val="0"/>
        <w:rPr>
          <w:rFonts w:cs="Arial"/>
          <w:szCs w:val="18"/>
        </w:rPr>
      </w:pPr>
      <w:r w:rsidRPr="0020182A">
        <w:rPr>
          <w:rFonts w:cs="Arial"/>
          <w:szCs w:val="18"/>
        </w:rPr>
        <w:t xml:space="preserve">The SDA Framework was agreed to by DRC to establish the policy for pricing and payments arrangements for SDA. The SDA Framework was designed to facilitate growth, change and innovation in the supply of SDA over time, while supporting choice and control, innovation and quality. </w:t>
      </w:r>
    </w:p>
    <w:p w:rsidR="00B11F02" w:rsidRPr="00B11F02" w:rsidRDefault="0081240A" w:rsidP="00B11F02">
      <w:pPr>
        <w:pStyle w:val="TableBullet1"/>
        <w:numPr>
          <w:ilvl w:val="0"/>
          <w:numId w:val="0"/>
        </w:numPr>
        <w:spacing w:before="60" w:after="60"/>
        <w:contextualSpacing w:val="0"/>
        <w:rPr>
          <w:rFonts w:cs="Arial"/>
          <w:szCs w:val="18"/>
        </w:rPr>
      </w:pPr>
      <w:r w:rsidRPr="00B11F02">
        <w:rPr>
          <w:rFonts w:cs="Arial"/>
          <w:szCs w:val="18"/>
        </w:rPr>
        <w:t xml:space="preserve">Since the SDA Framework was developed, the SDA Rules have been </w:t>
      </w:r>
      <w:r w:rsidR="00B87718" w:rsidRPr="00B11F02">
        <w:rPr>
          <w:rFonts w:cs="Arial"/>
          <w:szCs w:val="18"/>
        </w:rPr>
        <w:t xml:space="preserve">developed and implemented and </w:t>
      </w:r>
      <w:r w:rsidRPr="00B11F02">
        <w:rPr>
          <w:rFonts w:cs="Arial"/>
          <w:szCs w:val="18"/>
        </w:rPr>
        <w:t xml:space="preserve">provide formal, legislative standing for SDA eligibility, and dwelling registration. Unlike the SDA Framework, which is a published policy statement by DRC, the SDA Rules legally bind the </w:t>
      </w:r>
      <w:r w:rsidR="002E328D" w:rsidRPr="00B11F02">
        <w:rPr>
          <w:rFonts w:cs="Arial"/>
          <w:szCs w:val="18"/>
        </w:rPr>
        <w:t xml:space="preserve">NDIA in its </w:t>
      </w:r>
      <w:r w:rsidRPr="00B11F02">
        <w:rPr>
          <w:rFonts w:cs="Arial"/>
          <w:szCs w:val="18"/>
        </w:rPr>
        <w:t xml:space="preserve">implementation </w:t>
      </w:r>
      <w:r w:rsidR="002E328D" w:rsidRPr="00B11F02">
        <w:rPr>
          <w:rFonts w:cs="Arial"/>
          <w:szCs w:val="18"/>
        </w:rPr>
        <w:t xml:space="preserve">of </w:t>
      </w:r>
      <w:r w:rsidRPr="00B11F02">
        <w:rPr>
          <w:rFonts w:cs="Arial"/>
          <w:szCs w:val="18"/>
        </w:rPr>
        <w:t xml:space="preserve">SDA. The NDIA has developed the SDA Price Guide in accordance with the Rules and the Framework, and this specifies the range of prices (or price ceilings) to be paid to NDIS participants living in various SDA design and dwelling types across Australia. The NDIA also issues policy statements such as the Investor Brief, which clarify how it will apply the SDA Framework and Rules. </w:t>
      </w:r>
      <w:r w:rsidR="00B11F02" w:rsidRPr="00B11F02">
        <w:rPr>
          <w:rFonts w:cs="Arial"/>
          <w:szCs w:val="18"/>
        </w:rPr>
        <w:t xml:space="preserve"> The range of </w:t>
      </w:r>
      <w:r w:rsidR="00B11F02" w:rsidRPr="00B11F02">
        <w:t>SDA governing documents and mechanisms are outlined in the figure below.</w:t>
      </w:r>
    </w:p>
    <w:p w:rsidR="00CA45FE" w:rsidRPr="00B11F02" w:rsidRDefault="00CA45FE" w:rsidP="00B11F02">
      <w:pPr>
        <w:pStyle w:val="TableBullet1"/>
        <w:numPr>
          <w:ilvl w:val="0"/>
          <w:numId w:val="0"/>
        </w:numPr>
        <w:spacing w:before="60" w:after="60"/>
        <w:contextualSpacing w:val="0"/>
        <w:rPr>
          <w:i/>
        </w:rPr>
      </w:pPr>
      <w:r w:rsidRPr="00B11F02">
        <w:rPr>
          <w:i/>
        </w:rPr>
        <w:t xml:space="preserve">Figure </w:t>
      </w:r>
      <w:r w:rsidR="00A33310" w:rsidRPr="00B11F02">
        <w:rPr>
          <w:i/>
          <w:noProof/>
        </w:rPr>
        <w:fldChar w:fldCharType="begin"/>
      </w:r>
      <w:r w:rsidR="00A33310" w:rsidRPr="00B11F02">
        <w:rPr>
          <w:i/>
          <w:noProof/>
        </w:rPr>
        <w:instrText xml:space="preserve"> SEQ Figure \* ARABIC </w:instrText>
      </w:r>
      <w:r w:rsidR="00A33310" w:rsidRPr="00B11F02">
        <w:rPr>
          <w:i/>
          <w:noProof/>
        </w:rPr>
        <w:fldChar w:fldCharType="separate"/>
      </w:r>
      <w:r w:rsidR="004655BE">
        <w:rPr>
          <w:i/>
          <w:noProof/>
        </w:rPr>
        <w:t>17</w:t>
      </w:r>
      <w:r w:rsidR="00A33310" w:rsidRPr="00B11F02">
        <w:rPr>
          <w:i/>
          <w:noProof/>
        </w:rPr>
        <w:fldChar w:fldCharType="end"/>
      </w:r>
      <w:r w:rsidR="002215B3" w:rsidRPr="00B11F02">
        <w:rPr>
          <w:i/>
          <w:noProof/>
        </w:rPr>
        <w:t>:</w:t>
      </w:r>
      <w:r w:rsidRPr="00B11F02">
        <w:rPr>
          <w:i/>
        </w:rPr>
        <w:t xml:space="preserve"> SDA governing documents and mechanisms</w:t>
      </w:r>
    </w:p>
    <w:p w:rsidR="00EF6863" w:rsidRPr="0020182A" w:rsidRDefault="00952656" w:rsidP="00EF6863">
      <w:pPr>
        <w:keepNext/>
      </w:pPr>
      <w:r w:rsidRPr="00952656">
        <w:rPr>
          <w:noProof/>
          <w:lang w:eastAsia="en-AU"/>
        </w:rPr>
        <w:lastRenderedPageBreak/>
        <w:drawing>
          <wp:inline distT="0" distB="0" distL="0" distR="0" wp14:anchorId="407E8509" wp14:editId="75D960BB">
            <wp:extent cx="5759450" cy="4725703"/>
            <wp:effectExtent l="0" t="0" r="0" b="0"/>
            <wp:docPr id="4" name="Picture 4" descr="Range of governing documents and mechanisms. There are five categories. First category is 'legally binding requirements applicable to the determination and implementation of SDA.' Second category is 'overarching policy mechanism governed by the Disability Reform Council and providing guidance on the underlying intention, objectives and implementation of SDA.' Third category is 'NDIA mechanisms for settting the requirements for providers to participate in the provision of SDA services.' Fourth category is 'NDIA Mechanism for guiding SDA decision-making for planners and other staff.' Fifth category is NDIA produced materials that provide further guidance to the market on the interpreation of the Rules and standards that govern SDA, and the broader policy setting.'" title="Figure 17: SDA governing documents and mechanis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59450" cy="4725703"/>
                    </a:xfrm>
                    <a:prstGeom prst="rect">
                      <a:avLst/>
                    </a:prstGeom>
                    <a:noFill/>
                    <a:ln>
                      <a:noFill/>
                    </a:ln>
                  </pic:spPr>
                </pic:pic>
              </a:graphicData>
            </a:graphic>
          </wp:inline>
        </w:drawing>
      </w:r>
    </w:p>
    <w:p w:rsidR="003D4568" w:rsidRPr="0020182A" w:rsidRDefault="00EF6863" w:rsidP="00EF6863">
      <w:pPr>
        <w:pStyle w:val="Caption"/>
      </w:pPr>
      <w:r w:rsidRPr="0020182A">
        <w:t>Source: KPMG</w:t>
      </w:r>
    </w:p>
    <w:p w:rsidR="0081240A" w:rsidRPr="0020182A" w:rsidRDefault="0081240A">
      <w:pPr>
        <w:spacing w:before="0" w:after="160" w:line="259" w:lineRule="auto"/>
      </w:pPr>
    </w:p>
    <w:p w:rsidR="0081240A" w:rsidRPr="0020182A" w:rsidRDefault="0081240A" w:rsidP="0081240A">
      <w:pPr>
        <w:pStyle w:val="TableBullet1"/>
        <w:numPr>
          <w:ilvl w:val="0"/>
          <w:numId w:val="0"/>
        </w:numPr>
        <w:spacing w:before="60" w:after="60"/>
        <w:contextualSpacing w:val="0"/>
        <w:rPr>
          <w:rFonts w:cs="Arial"/>
          <w:szCs w:val="18"/>
        </w:rPr>
      </w:pPr>
      <w:r w:rsidRPr="0020182A">
        <w:rPr>
          <w:rFonts w:cs="Arial"/>
          <w:szCs w:val="18"/>
        </w:rPr>
        <w:t>While the SDA Rules and Price Guide are now in place, there remains a need for a framework or policy document which establishes the guiding principles and objectives that are important for facilitating SDA market development and to facilitate the ongoing development in the SDA market. This framework will be particularly important in the short-term, given the increase in supply and investment in SDA originally envisaged has not eventuated and there remains a significant degree of market uncertainty and hesitanc</w:t>
      </w:r>
      <w:r w:rsidR="002351C9">
        <w:rPr>
          <w:rFonts w:cs="Arial"/>
          <w:szCs w:val="18"/>
        </w:rPr>
        <w:t>e</w:t>
      </w:r>
      <w:r w:rsidRPr="0020182A">
        <w:rPr>
          <w:rFonts w:cs="Arial"/>
          <w:szCs w:val="18"/>
        </w:rPr>
        <w:t xml:space="preserve"> </w:t>
      </w:r>
      <w:r w:rsidR="002351C9">
        <w:rPr>
          <w:rFonts w:cs="Arial"/>
          <w:szCs w:val="18"/>
        </w:rPr>
        <w:t>in</w:t>
      </w:r>
      <w:r w:rsidR="002351C9" w:rsidRPr="0020182A">
        <w:rPr>
          <w:rFonts w:cs="Arial"/>
          <w:szCs w:val="18"/>
        </w:rPr>
        <w:t xml:space="preserve"> </w:t>
      </w:r>
      <w:r w:rsidRPr="0020182A">
        <w:rPr>
          <w:rFonts w:cs="Arial"/>
          <w:szCs w:val="18"/>
        </w:rPr>
        <w:t xml:space="preserve">making significant investment in SDA currently. Further, there is value in describing the complement of SDA rules, prices and documentation and the relationship between each, and how they collectively contribute to achieving SDA objectives.  </w:t>
      </w:r>
    </w:p>
    <w:p w:rsidR="0081240A" w:rsidRPr="0020182A" w:rsidRDefault="0081240A" w:rsidP="00656DCB">
      <w:pPr>
        <w:pStyle w:val="BodyText"/>
      </w:pPr>
      <w:r w:rsidRPr="0020182A">
        <w:t xml:space="preserve">While there is value in having a SDA strategic framework in place to provide policy certainty to the market and to participants, there appears to be some overlap between the contents of the Framework, the Rules, and policy documents such as the Investor Brief. There is a need to rationalise some of this documentation, and to ensure terminology is used consistently.  </w:t>
      </w:r>
    </w:p>
    <w:p w:rsidR="0081240A" w:rsidRPr="0020182A" w:rsidRDefault="0081240A" w:rsidP="0081240A">
      <w:pPr>
        <w:pStyle w:val="TableBullet1"/>
        <w:numPr>
          <w:ilvl w:val="0"/>
          <w:numId w:val="0"/>
        </w:numPr>
        <w:spacing w:before="60" w:after="60"/>
        <w:contextualSpacing w:val="0"/>
        <w:rPr>
          <w:rFonts w:cs="Arial"/>
          <w:szCs w:val="18"/>
        </w:rPr>
      </w:pPr>
      <w:r w:rsidRPr="0020182A">
        <w:rPr>
          <w:rFonts w:cs="Arial"/>
          <w:szCs w:val="18"/>
        </w:rPr>
        <w:t>It is suggested that in removing duplication in relation to issues addressed by the Rules and consolidating other SDA documentation, this revised framework encompass elements relating to the policy objectives of SDA:</w:t>
      </w:r>
    </w:p>
    <w:p w:rsidR="0081240A" w:rsidRPr="0020182A" w:rsidRDefault="0081240A" w:rsidP="0081240A">
      <w:pPr>
        <w:pStyle w:val="Caption"/>
        <w:keepNext/>
        <w:rPr>
          <w:rFonts w:ascii="Arial" w:hAnsi="Arial" w:cs="Arial"/>
          <w:sz w:val="16"/>
        </w:rPr>
      </w:pPr>
      <w:r w:rsidRPr="0020182A">
        <w:rPr>
          <w:rFonts w:ascii="Arial" w:hAnsi="Arial" w:cs="Arial"/>
          <w:sz w:val="16"/>
        </w:rPr>
        <w:lastRenderedPageBreak/>
        <w:t xml:space="preserve">Table </w:t>
      </w:r>
      <w:r w:rsidRPr="0020182A">
        <w:rPr>
          <w:rFonts w:ascii="Arial" w:hAnsi="Arial" w:cs="Arial"/>
          <w:sz w:val="16"/>
        </w:rPr>
        <w:fldChar w:fldCharType="begin"/>
      </w:r>
      <w:r w:rsidRPr="0020182A">
        <w:rPr>
          <w:rFonts w:ascii="Arial" w:hAnsi="Arial" w:cs="Arial"/>
          <w:sz w:val="16"/>
        </w:rPr>
        <w:instrText xml:space="preserve"> SEQ Table \* ARABIC </w:instrText>
      </w:r>
      <w:r w:rsidRPr="0020182A">
        <w:rPr>
          <w:rFonts w:ascii="Arial" w:hAnsi="Arial" w:cs="Arial"/>
          <w:sz w:val="16"/>
        </w:rPr>
        <w:fldChar w:fldCharType="separate"/>
      </w:r>
      <w:r w:rsidR="00502D19">
        <w:rPr>
          <w:rFonts w:ascii="Arial" w:hAnsi="Arial" w:cs="Arial"/>
          <w:noProof/>
          <w:sz w:val="16"/>
        </w:rPr>
        <w:t>11</w:t>
      </w:r>
      <w:r w:rsidRPr="0020182A">
        <w:rPr>
          <w:rFonts w:ascii="Arial" w:hAnsi="Arial" w:cs="Arial"/>
          <w:sz w:val="16"/>
        </w:rPr>
        <w:fldChar w:fldCharType="end"/>
      </w:r>
      <w:r w:rsidRPr="0020182A">
        <w:rPr>
          <w:rFonts w:ascii="Arial" w:hAnsi="Arial" w:cs="Arial"/>
          <w:sz w:val="16"/>
        </w:rPr>
        <w:t xml:space="preserve"> Potential elements of a revised SDA Framework</w:t>
      </w:r>
    </w:p>
    <w:tbl>
      <w:tblPr>
        <w:tblStyle w:val="GridTable1Light-Accent1"/>
        <w:tblW w:w="5000" w:type="pct"/>
        <w:tblBorders>
          <w:top w:val="single" w:sz="4" w:space="0" w:color="6BA0FF" w:themeColor="background2" w:themeTint="66"/>
          <w:left w:val="none" w:sz="0" w:space="0" w:color="auto"/>
          <w:bottom w:val="single" w:sz="4" w:space="0" w:color="6BA0FF" w:themeColor="background2" w:themeTint="66"/>
          <w:right w:val="none" w:sz="0" w:space="0" w:color="auto"/>
          <w:insideH w:val="single" w:sz="4" w:space="0" w:color="6BA0FF" w:themeColor="background2" w:themeTint="66"/>
          <w:insideV w:val="none" w:sz="0" w:space="0" w:color="auto"/>
        </w:tblBorders>
        <w:tblLook w:val="04A0" w:firstRow="1" w:lastRow="0" w:firstColumn="1" w:lastColumn="0" w:noHBand="0" w:noVBand="1"/>
        <w:tblCaption w:val="Table 11 Potential elements of a revised SDA Framework"/>
        <w:tblDescription w:val="Potential elements fall under 5 different categories. The first category is vision and purpose of SDA, and outcomes sought for participants and the scheme. The second category is participant eligibility, planning and decision-making. The third category is SDA market and market development. The fourth category is SDA pricing and funding arrangements. The fifth category is innovation and quality."/>
      </w:tblPr>
      <w:tblGrid>
        <w:gridCol w:w="2077"/>
        <w:gridCol w:w="6993"/>
      </w:tblGrid>
      <w:tr w:rsidR="00805FDE" w:rsidRPr="0020182A" w:rsidTr="006F35E8">
        <w:trPr>
          <w:cnfStyle w:val="100000000000" w:firstRow="1" w:lastRow="0" w:firstColumn="0" w:lastColumn="0" w:oddVBand="0" w:evenVBand="0" w:oddHBand="0" w:evenHBand="0" w:firstRowFirstColumn="0" w:firstRowLastColumn="0" w:lastRowFirstColumn="0" w:lastRowLastColumn="0"/>
          <w:trHeight w:val="1560"/>
          <w:tblHeader/>
        </w:trPr>
        <w:tc>
          <w:tcPr>
            <w:cnfStyle w:val="001000000000" w:firstRow="0" w:lastRow="0" w:firstColumn="1" w:lastColumn="0" w:oddVBand="0" w:evenVBand="0" w:oddHBand="0" w:evenHBand="0" w:firstRowFirstColumn="0" w:firstRowLastColumn="0" w:lastRowFirstColumn="0" w:lastRowLastColumn="0"/>
            <w:tcW w:w="1145" w:type="pct"/>
            <w:tcBorders>
              <w:bottom w:val="single" w:sz="2" w:space="0" w:color="6BA0FF" w:themeColor="background2" w:themeTint="66"/>
            </w:tcBorders>
            <w:tcMar>
              <w:top w:w="113" w:type="dxa"/>
              <w:bottom w:w="113" w:type="dxa"/>
            </w:tcMar>
          </w:tcPr>
          <w:p w:rsidR="00805FDE" w:rsidRPr="0020182A" w:rsidRDefault="00805FDE" w:rsidP="00D76577">
            <w:pPr>
              <w:rPr>
                <w:color w:val="00338D" w:themeColor="background2"/>
                <w:sz w:val="18"/>
                <w:szCs w:val="18"/>
              </w:rPr>
            </w:pPr>
            <w:r w:rsidRPr="0020182A">
              <w:rPr>
                <w:color w:val="00338D" w:themeColor="background2"/>
                <w:sz w:val="18"/>
                <w:szCs w:val="18"/>
              </w:rPr>
              <w:t>Vision and purpose of SDA, and outcomes sought for participants and the Scheme</w:t>
            </w:r>
          </w:p>
        </w:tc>
        <w:tc>
          <w:tcPr>
            <w:tcW w:w="3855" w:type="pct"/>
            <w:tcBorders>
              <w:bottom w:val="single" w:sz="2" w:space="0" w:color="6BA0FF" w:themeColor="background2" w:themeTint="66"/>
            </w:tcBorders>
            <w:tcMar>
              <w:top w:w="113" w:type="dxa"/>
              <w:bottom w:w="113" w:type="dxa"/>
            </w:tcMar>
          </w:tcPr>
          <w:p w:rsidR="00805FDE" w:rsidRPr="0020182A" w:rsidRDefault="00805FDE" w:rsidP="00D76577">
            <w:pPr>
              <w:pStyle w:val="TableBullet1"/>
              <w:cnfStyle w:val="100000000000" w:firstRow="1" w:lastRow="0" w:firstColumn="0" w:lastColumn="0" w:oddVBand="0" w:evenVBand="0" w:oddHBand="0" w:evenHBand="0" w:firstRowFirstColumn="0" w:firstRowLastColumn="0" w:lastRowFirstColumn="0" w:lastRowLastColumn="0"/>
              <w:rPr>
                <w:b w:val="0"/>
                <w:sz w:val="18"/>
                <w:szCs w:val="18"/>
              </w:rPr>
            </w:pPr>
            <w:r w:rsidRPr="0020182A">
              <w:rPr>
                <w:b w:val="0"/>
                <w:sz w:val="18"/>
                <w:szCs w:val="18"/>
              </w:rPr>
              <w:t>Establish</w:t>
            </w:r>
            <w:r w:rsidR="002215B3" w:rsidRPr="0020182A">
              <w:rPr>
                <w:b w:val="0"/>
                <w:sz w:val="18"/>
                <w:szCs w:val="18"/>
              </w:rPr>
              <w:t>es</w:t>
            </w:r>
            <w:r w:rsidRPr="0020182A">
              <w:rPr>
                <w:b w:val="0"/>
                <w:sz w:val="18"/>
                <w:szCs w:val="18"/>
              </w:rPr>
              <w:t xml:space="preserve"> the vision for SDA</w:t>
            </w:r>
            <w:r w:rsidR="002215B3" w:rsidRPr="0020182A">
              <w:rPr>
                <w:b w:val="0"/>
                <w:sz w:val="18"/>
                <w:szCs w:val="18"/>
              </w:rPr>
              <w:t>.</w:t>
            </w:r>
            <w:r w:rsidRPr="0020182A">
              <w:rPr>
                <w:b w:val="0"/>
                <w:sz w:val="18"/>
                <w:szCs w:val="18"/>
              </w:rPr>
              <w:t xml:space="preserve"> </w:t>
            </w:r>
          </w:p>
          <w:p w:rsidR="00805FDE" w:rsidRPr="0020182A" w:rsidRDefault="00805FDE" w:rsidP="00D76577">
            <w:pPr>
              <w:pStyle w:val="TableBullet1"/>
              <w:cnfStyle w:val="100000000000" w:firstRow="1" w:lastRow="0" w:firstColumn="0" w:lastColumn="0" w:oddVBand="0" w:evenVBand="0" w:oddHBand="0" w:evenHBand="0" w:firstRowFirstColumn="0" w:firstRowLastColumn="0" w:lastRowFirstColumn="0" w:lastRowLastColumn="0"/>
              <w:rPr>
                <w:b w:val="0"/>
                <w:sz w:val="18"/>
                <w:szCs w:val="18"/>
              </w:rPr>
            </w:pPr>
            <w:r w:rsidRPr="0020182A">
              <w:rPr>
                <w:b w:val="0"/>
                <w:sz w:val="18"/>
                <w:szCs w:val="18"/>
              </w:rPr>
              <w:t>Describes the purpose of SDA and outcomes sought</w:t>
            </w:r>
            <w:r w:rsidR="002215B3" w:rsidRPr="0020182A">
              <w:rPr>
                <w:b w:val="0"/>
                <w:sz w:val="18"/>
                <w:szCs w:val="18"/>
              </w:rPr>
              <w:t>.</w:t>
            </w:r>
          </w:p>
          <w:p w:rsidR="00805FDE" w:rsidRPr="0020182A" w:rsidRDefault="00805FDE" w:rsidP="00D76577">
            <w:pPr>
              <w:pStyle w:val="TableBullet1"/>
              <w:cnfStyle w:val="100000000000" w:firstRow="1" w:lastRow="0" w:firstColumn="0" w:lastColumn="0" w:oddVBand="0" w:evenVBand="0" w:oddHBand="0" w:evenHBand="0" w:firstRowFirstColumn="0" w:firstRowLastColumn="0" w:lastRowFirstColumn="0" w:lastRowLastColumn="0"/>
              <w:rPr>
                <w:b w:val="0"/>
                <w:sz w:val="18"/>
                <w:szCs w:val="18"/>
              </w:rPr>
            </w:pPr>
            <w:r w:rsidRPr="0020182A">
              <w:rPr>
                <w:b w:val="0"/>
                <w:sz w:val="18"/>
                <w:szCs w:val="18"/>
              </w:rPr>
              <w:t>Outline</w:t>
            </w:r>
            <w:r w:rsidR="002215B3" w:rsidRPr="0020182A">
              <w:rPr>
                <w:b w:val="0"/>
                <w:sz w:val="18"/>
                <w:szCs w:val="18"/>
              </w:rPr>
              <w:t>s</w:t>
            </w:r>
            <w:r w:rsidRPr="0020182A">
              <w:rPr>
                <w:b w:val="0"/>
                <w:sz w:val="18"/>
                <w:szCs w:val="18"/>
              </w:rPr>
              <w:t xml:space="preserve"> the core principles underpinning the SDA pricing, funding and access, and how funding SDA contributes to Scheme sustainability</w:t>
            </w:r>
            <w:r w:rsidR="002215B3" w:rsidRPr="0020182A">
              <w:rPr>
                <w:b w:val="0"/>
                <w:sz w:val="18"/>
                <w:szCs w:val="18"/>
              </w:rPr>
              <w:t>.</w:t>
            </w:r>
          </w:p>
          <w:p w:rsidR="00805FDE" w:rsidRPr="0020182A" w:rsidRDefault="00805FDE" w:rsidP="00D76577">
            <w:pPr>
              <w:pStyle w:val="TableBullet1"/>
              <w:cnfStyle w:val="100000000000" w:firstRow="1" w:lastRow="0" w:firstColumn="0" w:lastColumn="0" w:oddVBand="0" w:evenVBand="0" w:oddHBand="0" w:evenHBand="0" w:firstRowFirstColumn="0" w:firstRowLastColumn="0" w:lastRowFirstColumn="0" w:lastRowLastColumn="0"/>
              <w:rPr>
                <w:b w:val="0"/>
                <w:sz w:val="18"/>
                <w:szCs w:val="18"/>
              </w:rPr>
            </w:pPr>
            <w:r w:rsidRPr="0020182A">
              <w:rPr>
                <w:b w:val="0"/>
                <w:sz w:val="18"/>
                <w:szCs w:val="18"/>
              </w:rPr>
              <w:t>Describes the relationship between the SDA Framework, SDA Rules and other SDA documentation</w:t>
            </w:r>
            <w:r w:rsidR="002215B3" w:rsidRPr="0020182A">
              <w:rPr>
                <w:b w:val="0"/>
                <w:sz w:val="18"/>
                <w:szCs w:val="18"/>
              </w:rPr>
              <w:t>.</w:t>
            </w:r>
            <w:r w:rsidRPr="0020182A">
              <w:rPr>
                <w:b w:val="0"/>
                <w:sz w:val="18"/>
                <w:szCs w:val="18"/>
              </w:rPr>
              <w:t xml:space="preserve"> </w:t>
            </w:r>
          </w:p>
        </w:tc>
      </w:tr>
      <w:tr w:rsidR="00805FDE" w:rsidRPr="0020182A" w:rsidTr="004C3103">
        <w:trPr>
          <w:trHeight w:val="1644"/>
        </w:trPr>
        <w:tc>
          <w:tcPr>
            <w:cnfStyle w:val="001000000000" w:firstRow="0" w:lastRow="0" w:firstColumn="1" w:lastColumn="0" w:oddVBand="0" w:evenVBand="0" w:oddHBand="0" w:evenHBand="0" w:firstRowFirstColumn="0" w:firstRowLastColumn="0" w:lastRowFirstColumn="0" w:lastRowLastColumn="0"/>
            <w:tcW w:w="1145" w:type="pct"/>
            <w:tcBorders>
              <w:top w:val="single" w:sz="2" w:space="0" w:color="6BA0FF" w:themeColor="background2" w:themeTint="66"/>
            </w:tcBorders>
            <w:tcMar>
              <w:top w:w="113" w:type="dxa"/>
              <w:bottom w:w="113" w:type="dxa"/>
            </w:tcMar>
          </w:tcPr>
          <w:p w:rsidR="00805FDE" w:rsidRPr="0020182A" w:rsidRDefault="00805FDE" w:rsidP="00D76577">
            <w:pPr>
              <w:rPr>
                <w:color w:val="00338D" w:themeColor="background2"/>
                <w:sz w:val="18"/>
                <w:szCs w:val="18"/>
              </w:rPr>
            </w:pPr>
            <w:r w:rsidRPr="0020182A">
              <w:rPr>
                <w:color w:val="00338D" w:themeColor="background2"/>
                <w:sz w:val="18"/>
                <w:szCs w:val="18"/>
              </w:rPr>
              <w:t>Participant eligibility, planning and decision-making</w:t>
            </w:r>
          </w:p>
          <w:p w:rsidR="00805FDE" w:rsidRPr="0020182A" w:rsidRDefault="00805FDE" w:rsidP="00D76577">
            <w:pPr>
              <w:rPr>
                <w:color w:val="00338D" w:themeColor="background2"/>
                <w:sz w:val="18"/>
                <w:szCs w:val="18"/>
              </w:rPr>
            </w:pPr>
          </w:p>
        </w:tc>
        <w:tc>
          <w:tcPr>
            <w:tcW w:w="3855" w:type="pct"/>
            <w:tcBorders>
              <w:top w:val="single" w:sz="2" w:space="0" w:color="6BA0FF" w:themeColor="background2" w:themeTint="66"/>
            </w:tcBorders>
            <w:tcMar>
              <w:top w:w="113" w:type="dxa"/>
              <w:bottom w:w="113" w:type="dxa"/>
            </w:tcMar>
          </w:tcPr>
          <w:p w:rsidR="00805FDE" w:rsidRPr="0020182A" w:rsidRDefault="00805FDE" w:rsidP="00D76577">
            <w:pPr>
              <w:pStyle w:val="TableBullet1"/>
              <w:cnfStyle w:val="000000000000" w:firstRow="0" w:lastRow="0" w:firstColumn="0" w:lastColumn="0" w:oddVBand="0" w:evenVBand="0" w:oddHBand="0" w:evenHBand="0" w:firstRowFirstColumn="0" w:firstRowLastColumn="0" w:lastRowFirstColumn="0" w:lastRowLastColumn="0"/>
              <w:rPr>
                <w:sz w:val="18"/>
                <w:szCs w:val="18"/>
              </w:rPr>
            </w:pPr>
            <w:r w:rsidRPr="0020182A">
              <w:rPr>
                <w:sz w:val="18"/>
                <w:szCs w:val="18"/>
              </w:rPr>
              <w:t>Outlines very clearly who is intended to benefit from SDA and the principles for considering eligibility</w:t>
            </w:r>
            <w:r w:rsidR="002215B3" w:rsidRPr="0020182A">
              <w:rPr>
                <w:sz w:val="18"/>
                <w:szCs w:val="18"/>
              </w:rPr>
              <w:t>.</w:t>
            </w:r>
          </w:p>
          <w:p w:rsidR="00805FDE" w:rsidRPr="0020182A" w:rsidRDefault="002215B3" w:rsidP="00D76577">
            <w:pPr>
              <w:pStyle w:val="TableBullet1"/>
              <w:cnfStyle w:val="000000000000" w:firstRow="0" w:lastRow="0" w:firstColumn="0" w:lastColumn="0" w:oddVBand="0" w:evenVBand="0" w:oddHBand="0" w:evenHBand="0" w:firstRowFirstColumn="0" w:firstRowLastColumn="0" w:lastRowFirstColumn="0" w:lastRowLastColumn="0"/>
              <w:rPr>
                <w:sz w:val="18"/>
                <w:szCs w:val="18"/>
              </w:rPr>
            </w:pPr>
            <w:r w:rsidRPr="0020182A">
              <w:rPr>
                <w:sz w:val="18"/>
                <w:szCs w:val="18"/>
              </w:rPr>
              <w:t xml:space="preserve">Is </w:t>
            </w:r>
            <w:r w:rsidR="00805FDE" w:rsidRPr="0020182A">
              <w:rPr>
                <w:sz w:val="18"/>
                <w:szCs w:val="18"/>
              </w:rPr>
              <w:t>clear on what SDA aims to achieve for eligible participants</w:t>
            </w:r>
            <w:r w:rsidRPr="0020182A">
              <w:rPr>
                <w:sz w:val="18"/>
                <w:szCs w:val="18"/>
              </w:rPr>
              <w:t>.</w:t>
            </w:r>
          </w:p>
          <w:p w:rsidR="00805FDE" w:rsidRPr="0020182A" w:rsidRDefault="00805FDE" w:rsidP="00D76577">
            <w:pPr>
              <w:pStyle w:val="TableBullet1"/>
              <w:cnfStyle w:val="000000000000" w:firstRow="0" w:lastRow="0" w:firstColumn="0" w:lastColumn="0" w:oddVBand="0" w:evenVBand="0" w:oddHBand="0" w:evenHBand="0" w:firstRowFirstColumn="0" w:firstRowLastColumn="0" w:lastRowFirstColumn="0" w:lastRowLastColumn="0"/>
              <w:rPr>
                <w:sz w:val="18"/>
                <w:szCs w:val="18"/>
              </w:rPr>
            </w:pPr>
            <w:r w:rsidRPr="0020182A">
              <w:rPr>
                <w:sz w:val="18"/>
                <w:szCs w:val="18"/>
              </w:rPr>
              <w:t>Describes the intersections between SDA, SIL and other types of suppor</w:t>
            </w:r>
            <w:r w:rsidR="002351C9">
              <w:rPr>
                <w:sz w:val="18"/>
                <w:szCs w:val="18"/>
              </w:rPr>
              <w:t>t</w:t>
            </w:r>
            <w:r w:rsidRPr="0020182A">
              <w:rPr>
                <w:sz w:val="18"/>
                <w:szCs w:val="18"/>
              </w:rPr>
              <w:t xml:space="preserve"> and the extent to which decisions relating to SDA and other support funding (and participant choice relating to application of SDA and other support funding) can be balanced or traded-off.</w:t>
            </w:r>
          </w:p>
          <w:p w:rsidR="00805FDE" w:rsidRPr="0020182A" w:rsidRDefault="00805FDE" w:rsidP="00D76577">
            <w:pPr>
              <w:pStyle w:val="TableBullet1"/>
              <w:cnfStyle w:val="000000000000" w:firstRow="0" w:lastRow="0" w:firstColumn="0" w:lastColumn="0" w:oddVBand="0" w:evenVBand="0" w:oddHBand="0" w:evenHBand="0" w:firstRowFirstColumn="0" w:firstRowLastColumn="0" w:lastRowFirstColumn="0" w:lastRowLastColumn="0"/>
              <w:rPr>
                <w:sz w:val="18"/>
                <w:szCs w:val="18"/>
              </w:rPr>
            </w:pPr>
            <w:r w:rsidRPr="0020182A">
              <w:rPr>
                <w:sz w:val="18"/>
                <w:szCs w:val="18"/>
              </w:rPr>
              <w:t>Establishes the central tenet of choice and control, and provides guidance on how this is balanced against value and sustainability.</w:t>
            </w:r>
          </w:p>
          <w:p w:rsidR="00805FDE" w:rsidRPr="0020182A" w:rsidRDefault="00805FDE" w:rsidP="00D76577">
            <w:pPr>
              <w:pStyle w:val="TableBullet1"/>
              <w:cnfStyle w:val="000000000000" w:firstRow="0" w:lastRow="0" w:firstColumn="0" w:lastColumn="0" w:oddVBand="0" w:evenVBand="0" w:oddHBand="0" w:evenHBand="0" w:firstRowFirstColumn="0" w:firstRowLastColumn="0" w:lastRowFirstColumn="0" w:lastRowLastColumn="0"/>
              <w:rPr>
                <w:sz w:val="18"/>
                <w:szCs w:val="18"/>
              </w:rPr>
            </w:pPr>
            <w:r w:rsidRPr="0020182A">
              <w:rPr>
                <w:sz w:val="18"/>
                <w:szCs w:val="18"/>
              </w:rPr>
              <w:t>References the detailed eligibility, planning and decision-making criteria contained in the SDA Rules</w:t>
            </w:r>
            <w:r w:rsidR="002215B3" w:rsidRPr="0020182A">
              <w:rPr>
                <w:sz w:val="18"/>
                <w:szCs w:val="18"/>
              </w:rPr>
              <w:t>.</w:t>
            </w:r>
          </w:p>
        </w:tc>
      </w:tr>
      <w:tr w:rsidR="00805FDE" w:rsidRPr="0020182A" w:rsidTr="0081240A">
        <w:tc>
          <w:tcPr>
            <w:cnfStyle w:val="001000000000" w:firstRow="0" w:lastRow="0" w:firstColumn="1" w:lastColumn="0" w:oddVBand="0" w:evenVBand="0" w:oddHBand="0" w:evenHBand="0" w:firstRowFirstColumn="0" w:firstRowLastColumn="0" w:lastRowFirstColumn="0" w:lastRowLastColumn="0"/>
            <w:tcW w:w="1145" w:type="pct"/>
            <w:tcMar>
              <w:top w:w="113" w:type="dxa"/>
              <w:bottom w:w="113" w:type="dxa"/>
            </w:tcMar>
          </w:tcPr>
          <w:p w:rsidR="00805FDE" w:rsidRPr="0020182A" w:rsidRDefault="00805FDE" w:rsidP="00D76577">
            <w:pPr>
              <w:rPr>
                <w:color w:val="00338D" w:themeColor="background2"/>
                <w:sz w:val="18"/>
                <w:szCs w:val="18"/>
              </w:rPr>
            </w:pPr>
            <w:r w:rsidRPr="0020182A">
              <w:rPr>
                <w:color w:val="00338D" w:themeColor="background2"/>
                <w:sz w:val="18"/>
                <w:szCs w:val="18"/>
              </w:rPr>
              <w:t>SDA market and market development</w:t>
            </w:r>
          </w:p>
          <w:p w:rsidR="00805FDE" w:rsidRPr="0020182A" w:rsidRDefault="00805FDE" w:rsidP="00D76577">
            <w:pPr>
              <w:rPr>
                <w:color w:val="00338D" w:themeColor="background2"/>
                <w:sz w:val="18"/>
                <w:szCs w:val="18"/>
              </w:rPr>
            </w:pPr>
          </w:p>
        </w:tc>
        <w:tc>
          <w:tcPr>
            <w:tcW w:w="3855" w:type="pct"/>
            <w:tcMar>
              <w:top w:w="113" w:type="dxa"/>
              <w:bottom w:w="113" w:type="dxa"/>
            </w:tcMar>
          </w:tcPr>
          <w:p w:rsidR="00805FDE" w:rsidRPr="0020182A" w:rsidRDefault="00805FDE" w:rsidP="00D76577">
            <w:pPr>
              <w:pStyle w:val="TableBullet1"/>
              <w:cnfStyle w:val="000000000000" w:firstRow="0" w:lastRow="0" w:firstColumn="0" w:lastColumn="0" w:oddVBand="0" w:evenVBand="0" w:oddHBand="0" w:evenHBand="0" w:firstRowFirstColumn="0" w:firstRowLastColumn="0" w:lastRowFirstColumn="0" w:lastRowLastColumn="0"/>
              <w:rPr>
                <w:sz w:val="18"/>
                <w:szCs w:val="18"/>
              </w:rPr>
            </w:pPr>
            <w:r w:rsidRPr="0020182A">
              <w:rPr>
                <w:sz w:val="18"/>
                <w:szCs w:val="18"/>
              </w:rPr>
              <w:t>Describes the features of a robust, well-functioning SDA market</w:t>
            </w:r>
            <w:r w:rsidR="002215B3" w:rsidRPr="0020182A">
              <w:rPr>
                <w:sz w:val="18"/>
                <w:szCs w:val="18"/>
              </w:rPr>
              <w:t>.</w:t>
            </w:r>
          </w:p>
          <w:p w:rsidR="00805FDE" w:rsidRPr="0020182A" w:rsidRDefault="00805FDE" w:rsidP="00D76577">
            <w:pPr>
              <w:pStyle w:val="TableBullet1"/>
              <w:cnfStyle w:val="000000000000" w:firstRow="0" w:lastRow="0" w:firstColumn="0" w:lastColumn="0" w:oddVBand="0" w:evenVBand="0" w:oddHBand="0" w:evenHBand="0" w:firstRowFirstColumn="0" w:firstRowLastColumn="0" w:lastRowFirstColumn="0" w:lastRowLastColumn="0"/>
              <w:rPr>
                <w:sz w:val="18"/>
                <w:szCs w:val="18"/>
              </w:rPr>
            </w:pPr>
            <w:r w:rsidRPr="0020182A">
              <w:rPr>
                <w:sz w:val="18"/>
                <w:szCs w:val="18"/>
              </w:rPr>
              <w:t>Provide</w:t>
            </w:r>
            <w:r w:rsidR="002215B3" w:rsidRPr="0020182A">
              <w:rPr>
                <w:sz w:val="18"/>
                <w:szCs w:val="18"/>
              </w:rPr>
              <w:t>s</w:t>
            </w:r>
            <w:r w:rsidRPr="0020182A">
              <w:rPr>
                <w:sz w:val="18"/>
                <w:szCs w:val="18"/>
              </w:rPr>
              <w:t xml:space="preserve"> an envisaged timeline to market maturity and indicators of success</w:t>
            </w:r>
            <w:r w:rsidR="002215B3" w:rsidRPr="0020182A">
              <w:rPr>
                <w:sz w:val="18"/>
                <w:szCs w:val="18"/>
              </w:rPr>
              <w:t>.</w:t>
            </w:r>
          </w:p>
          <w:p w:rsidR="00805FDE" w:rsidRPr="0020182A" w:rsidRDefault="002215B3">
            <w:pPr>
              <w:pStyle w:val="TableBullet1"/>
              <w:cnfStyle w:val="000000000000" w:firstRow="0" w:lastRow="0" w:firstColumn="0" w:lastColumn="0" w:oddVBand="0" w:evenVBand="0" w:oddHBand="0" w:evenHBand="0" w:firstRowFirstColumn="0" w:firstRowLastColumn="0" w:lastRowFirstColumn="0" w:lastRowLastColumn="0"/>
              <w:rPr>
                <w:sz w:val="18"/>
                <w:szCs w:val="18"/>
              </w:rPr>
            </w:pPr>
            <w:r w:rsidRPr="0020182A">
              <w:rPr>
                <w:sz w:val="18"/>
                <w:szCs w:val="18"/>
              </w:rPr>
              <w:t>Outlines</w:t>
            </w:r>
            <w:r w:rsidR="00D952F7" w:rsidRPr="0020182A">
              <w:rPr>
                <w:sz w:val="18"/>
                <w:szCs w:val="18"/>
              </w:rPr>
              <w:t xml:space="preserve"> the </w:t>
            </w:r>
            <w:r w:rsidR="00805FDE" w:rsidRPr="0020182A">
              <w:rPr>
                <w:sz w:val="18"/>
                <w:szCs w:val="18"/>
              </w:rPr>
              <w:t>nature of supply and demand information which will be required to facilitate market decisions relating to supply and investment</w:t>
            </w:r>
            <w:r w:rsidRPr="0020182A">
              <w:rPr>
                <w:sz w:val="18"/>
                <w:szCs w:val="18"/>
              </w:rPr>
              <w:t>.</w:t>
            </w:r>
          </w:p>
        </w:tc>
      </w:tr>
      <w:tr w:rsidR="00805FDE" w:rsidRPr="0020182A" w:rsidTr="00D76577">
        <w:tc>
          <w:tcPr>
            <w:cnfStyle w:val="001000000000" w:firstRow="0" w:lastRow="0" w:firstColumn="1" w:lastColumn="0" w:oddVBand="0" w:evenVBand="0" w:oddHBand="0" w:evenHBand="0" w:firstRowFirstColumn="0" w:firstRowLastColumn="0" w:lastRowFirstColumn="0" w:lastRowLastColumn="0"/>
            <w:tcW w:w="1145" w:type="pct"/>
            <w:tcMar>
              <w:top w:w="113" w:type="dxa"/>
              <w:bottom w:w="113" w:type="dxa"/>
            </w:tcMar>
          </w:tcPr>
          <w:p w:rsidR="00805FDE" w:rsidRPr="0020182A" w:rsidRDefault="00805FDE" w:rsidP="00D76577">
            <w:pPr>
              <w:rPr>
                <w:color w:val="00338D" w:themeColor="background2"/>
                <w:sz w:val="18"/>
                <w:szCs w:val="18"/>
              </w:rPr>
            </w:pPr>
            <w:r w:rsidRPr="0020182A">
              <w:rPr>
                <w:color w:val="00338D" w:themeColor="background2"/>
                <w:sz w:val="18"/>
                <w:szCs w:val="18"/>
              </w:rPr>
              <w:t xml:space="preserve">SDA pricing and funding arrangements </w:t>
            </w:r>
          </w:p>
          <w:p w:rsidR="00805FDE" w:rsidRPr="0020182A" w:rsidRDefault="00805FDE" w:rsidP="00D76577">
            <w:pPr>
              <w:rPr>
                <w:color w:val="00338D" w:themeColor="background2"/>
                <w:sz w:val="18"/>
                <w:szCs w:val="18"/>
              </w:rPr>
            </w:pPr>
          </w:p>
        </w:tc>
        <w:tc>
          <w:tcPr>
            <w:tcW w:w="3855" w:type="pct"/>
            <w:tcMar>
              <w:top w:w="113" w:type="dxa"/>
              <w:bottom w:w="113" w:type="dxa"/>
            </w:tcMar>
          </w:tcPr>
          <w:p w:rsidR="00805FDE" w:rsidRPr="0020182A" w:rsidRDefault="00805FDE" w:rsidP="00D76577">
            <w:pPr>
              <w:pStyle w:val="TableBullet1"/>
              <w:cnfStyle w:val="000000000000" w:firstRow="0" w:lastRow="0" w:firstColumn="0" w:lastColumn="0" w:oddVBand="0" w:evenVBand="0" w:oddHBand="0" w:evenHBand="0" w:firstRowFirstColumn="0" w:firstRowLastColumn="0" w:lastRowFirstColumn="0" w:lastRowLastColumn="0"/>
              <w:rPr>
                <w:sz w:val="18"/>
                <w:szCs w:val="18"/>
              </w:rPr>
            </w:pPr>
            <w:r w:rsidRPr="0020182A">
              <w:rPr>
                <w:sz w:val="18"/>
                <w:szCs w:val="18"/>
              </w:rPr>
              <w:t>Describe</w:t>
            </w:r>
            <w:r w:rsidR="002215B3" w:rsidRPr="0020182A">
              <w:rPr>
                <w:sz w:val="18"/>
                <w:szCs w:val="18"/>
              </w:rPr>
              <w:t>s</w:t>
            </w:r>
            <w:r w:rsidRPr="0020182A">
              <w:rPr>
                <w:sz w:val="18"/>
                <w:szCs w:val="18"/>
              </w:rPr>
              <w:t xml:space="preserve"> the objectives of pricing and model of SDA the pricing elements are trying to achieve (not just a rental market)</w:t>
            </w:r>
            <w:r w:rsidR="002215B3" w:rsidRPr="0020182A">
              <w:rPr>
                <w:sz w:val="18"/>
                <w:szCs w:val="18"/>
              </w:rPr>
              <w:t>.</w:t>
            </w:r>
          </w:p>
          <w:p w:rsidR="00805FDE" w:rsidRPr="0020182A" w:rsidRDefault="00805FDE" w:rsidP="00D76577">
            <w:pPr>
              <w:pStyle w:val="TableBullet1"/>
              <w:cnfStyle w:val="000000000000" w:firstRow="0" w:lastRow="0" w:firstColumn="0" w:lastColumn="0" w:oddVBand="0" w:evenVBand="0" w:oddHBand="0" w:evenHBand="0" w:firstRowFirstColumn="0" w:firstRowLastColumn="0" w:lastRowFirstColumn="0" w:lastRowLastColumn="0"/>
              <w:rPr>
                <w:sz w:val="18"/>
                <w:szCs w:val="18"/>
              </w:rPr>
            </w:pPr>
            <w:r w:rsidRPr="0020182A">
              <w:rPr>
                <w:sz w:val="18"/>
                <w:szCs w:val="18"/>
              </w:rPr>
              <w:t>Provide</w:t>
            </w:r>
            <w:r w:rsidR="002215B3" w:rsidRPr="0020182A">
              <w:rPr>
                <w:sz w:val="18"/>
                <w:szCs w:val="18"/>
              </w:rPr>
              <w:t>s</w:t>
            </w:r>
            <w:r w:rsidRPr="0020182A">
              <w:rPr>
                <w:sz w:val="18"/>
                <w:szCs w:val="18"/>
              </w:rPr>
              <w:t xml:space="preserve"> high level guidance on the economic assumptions underpinning price setting</w:t>
            </w:r>
            <w:r w:rsidR="002215B3" w:rsidRPr="0020182A">
              <w:rPr>
                <w:sz w:val="18"/>
                <w:szCs w:val="18"/>
              </w:rPr>
              <w:t>.</w:t>
            </w:r>
          </w:p>
          <w:p w:rsidR="00805FDE" w:rsidRPr="0020182A" w:rsidRDefault="00805FDE" w:rsidP="00D76577">
            <w:pPr>
              <w:pStyle w:val="TableBullet1"/>
              <w:cnfStyle w:val="000000000000" w:firstRow="0" w:lastRow="0" w:firstColumn="0" w:lastColumn="0" w:oddVBand="0" w:evenVBand="0" w:oddHBand="0" w:evenHBand="0" w:firstRowFirstColumn="0" w:firstRowLastColumn="0" w:lastRowFirstColumn="0" w:lastRowLastColumn="0"/>
              <w:rPr>
                <w:sz w:val="18"/>
                <w:szCs w:val="18"/>
              </w:rPr>
            </w:pPr>
            <w:r w:rsidRPr="0020182A">
              <w:rPr>
                <w:sz w:val="18"/>
                <w:szCs w:val="18"/>
              </w:rPr>
              <w:t>Describes minimum requirements for price review</w:t>
            </w:r>
            <w:r w:rsidR="002215B3" w:rsidRPr="0020182A">
              <w:rPr>
                <w:sz w:val="18"/>
                <w:szCs w:val="18"/>
              </w:rPr>
              <w:t>.</w:t>
            </w:r>
          </w:p>
          <w:p w:rsidR="00805FDE" w:rsidRPr="0020182A" w:rsidRDefault="00805FDE" w:rsidP="00D76577">
            <w:pPr>
              <w:pStyle w:val="TableBullet1"/>
              <w:cnfStyle w:val="000000000000" w:firstRow="0" w:lastRow="0" w:firstColumn="0" w:lastColumn="0" w:oddVBand="0" w:evenVBand="0" w:oddHBand="0" w:evenHBand="0" w:firstRowFirstColumn="0" w:firstRowLastColumn="0" w:lastRowFirstColumn="0" w:lastRowLastColumn="0"/>
              <w:rPr>
                <w:sz w:val="18"/>
                <w:szCs w:val="18"/>
              </w:rPr>
            </w:pPr>
            <w:r w:rsidRPr="0020182A">
              <w:rPr>
                <w:sz w:val="18"/>
                <w:szCs w:val="18"/>
              </w:rPr>
              <w:t>Describes expectations with respect to participant contributions to SDA costs, whether this be a “rental contribution” or other contribution to meeting the cost of housing (including equity contributions)</w:t>
            </w:r>
            <w:r w:rsidR="002215B3" w:rsidRPr="0020182A">
              <w:rPr>
                <w:sz w:val="18"/>
                <w:szCs w:val="18"/>
              </w:rPr>
              <w:t>.</w:t>
            </w:r>
          </w:p>
          <w:p w:rsidR="00805FDE" w:rsidRPr="0020182A" w:rsidRDefault="00805FDE" w:rsidP="00D76577">
            <w:pPr>
              <w:pStyle w:val="TableBullet1"/>
              <w:cnfStyle w:val="000000000000" w:firstRow="0" w:lastRow="0" w:firstColumn="0" w:lastColumn="0" w:oddVBand="0" w:evenVBand="0" w:oddHBand="0" w:evenHBand="0" w:firstRowFirstColumn="0" w:firstRowLastColumn="0" w:lastRowFirstColumn="0" w:lastRowLastColumn="0"/>
              <w:rPr>
                <w:sz w:val="18"/>
                <w:szCs w:val="18"/>
              </w:rPr>
            </w:pPr>
            <w:r w:rsidRPr="0020182A">
              <w:rPr>
                <w:sz w:val="18"/>
                <w:szCs w:val="18"/>
              </w:rPr>
              <w:t>References the detailed pricing assumptions, values and criteria contained in the NDIA’s Price Guide and SDA Position and Decision Papers.</w:t>
            </w:r>
          </w:p>
        </w:tc>
      </w:tr>
      <w:tr w:rsidR="00805FDE" w:rsidRPr="0020182A" w:rsidTr="00D76577">
        <w:tc>
          <w:tcPr>
            <w:cnfStyle w:val="001000000000" w:firstRow="0" w:lastRow="0" w:firstColumn="1" w:lastColumn="0" w:oddVBand="0" w:evenVBand="0" w:oddHBand="0" w:evenHBand="0" w:firstRowFirstColumn="0" w:firstRowLastColumn="0" w:lastRowFirstColumn="0" w:lastRowLastColumn="0"/>
            <w:tcW w:w="1145" w:type="pct"/>
            <w:tcMar>
              <w:top w:w="113" w:type="dxa"/>
              <w:bottom w:w="113" w:type="dxa"/>
            </w:tcMar>
          </w:tcPr>
          <w:p w:rsidR="00805FDE" w:rsidRPr="0020182A" w:rsidRDefault="00805FDE" w:rsidP="00D76577">
            <w:pPr>
              <w:rPr>
                <w:color w:val="00338D" w:themeColor="background2"/>
                <w:sz w:val="18"/>
                <w:szCs w:val="18"/>
              </w:rPr>
            </w:pPr>
            <w:r w:rsidRPr="0020182A">
              <w:rPr>
                <w:color w:val="00338D" w:themeColor="background2"/>
                <w:sz w:val="18"/>
                <w:szCs w:val="18"/>
              </w:rPr>
              <w:t>Innovation and quality</w:t>
            </w:r>
          </w:p>
          <w:p w:rsidR="00805FDE" w:rsidRPr="0020182A" w:rsidRDefault="00805FDE" w:rsidP="00D76577">
            <w:pPr>
              <w:rPr>
                <w:color w:val="00338D" w:themeColor="background2"/>
                <w:sz w:val="18"/>
                <w:szCs w:val="18"/>
              </w:rPr>
            </w:pPr>
          </w:p>
        </w:tc>
        <w:tc>
          <w:tcPr>
            <w:tcW w:w="3855" w:type="pct"/>
            <w:tcMar>
              <w:top w:w="113" w:type="dxa"/>
              <w:bottom w:w="113" w:type="dxa"/>
            </w:tcMar>
          </w:tcPr>
          <w:p w:rsidR="00805FDE" w:rsidRPr="0020182A" w:rsidRDefault="00805FDE" w:rsidP="00D76577">
            <w:pPr>
              <w:pStyle w:val="TableBullet1"/>
              <w:cnfStyle w:val="000000000000" w:firstRow="0" w:lastRow="0" w:firstColumn="0" w:lastColumn="0" w:oddVBand="0" w:evenVBand="0" w:oddHBand="0" w:evenHBand="0" w:firstRowFirstColumn="0" w:firstRowLastColumn="0" w:lastRowFirstColumn="0" w:lastRowLastColumn="0"/>
              <w:rPr>
                <w:sz w:val="18"/>
                <w:szCs w:val="18"/>
              </w:rPr>
            </w:pPr>
            <w:r w:rsidRPr="0020182A">
              <w:rPr>
                <w:sz w:val="18"/>
                <w:szCs w:val="18"/>
              </w:rPr>
              <w:t>Define</w:t>
            </w:r>
            <w:r w:rsidR="002215B3" w:rsidRPr="0020182A">
              <w:rPr>
                <w:sz w:val="18"/>
                <w:szCs w:val="18"/>
              </w:rPr>
              <w:t>s</w:t>
            </w:r>
            <w:r w:rsidRPr="0020182A">
              <w:rPr>
                <w:sz w:val="18"/>
                <w:szCs w:val="18"/>
              </w:rPr>
              <w:t xml:space="preserve"> innovation broadly to include design, technology, living arrangements, financing models and ownership arrangements</w:t>
            </w:r>
            <w:r w:rsidR="002215B3" w:rsidRPr="0020182A">
              <w:rPr>
                <w:sz w:val="18"/>
                <w:szCs w:val="18"/>
              </w:rPr>
              <w:t>.</w:t>
            </w:r>
          </w:p>
          <w:p w:rsidR="00805FDE" w:rsidRPr="0020182A" w:rsidRDefault="00805FDE" w:rsidP="00D76577">
            <w:pPr>
              <w:pStyle w:val="TableBullet1"/>
              <w:cnfStyle w:val="000000000000" w:firstRow="0" w:lastRow="0" w:firstColumn="0" w:lastColumn="0" w:oddVBand="0" w:evenVBand="0" w:oddHBand="0" w:evenHBand="0" w:firstRowFirstColumn="0" w:firstRowLastColumn="0" w:lastRowFirstColumn="0" w:lastRowLastColumn="0"/>
              <w:rPr>
                <w:sz w:val="18"/>
                <w:szCs w:val="18"/>
              </w:rPr>
            </w:pPr>
            <w:r w:rsidRPr="0020182A">
              <w:rPr>
                <w:sz w:val="18"/>
                <w:szCs w:val="18"/>
              </w:rPr>
              <w:t>Describes, at a high level, the quality requirements relating to SDA, including quality standards, quality assurance and monitoring, and roles and responsibilities.</w:t>
            </w:r>
          </w:p>
          <w:p w:rsidR="00805FDE" w:rsidRPr="0020182A" w:rsidRDefault="00805FDE" w:rsidP="00D952F7">
            <w:pPr>
              <w:pStyle w:val="TableBullet1"/>
              <w:keepNext/>
              <w:cnfStyle w:val="000000000000" w:firstRow="0" w:lastRow="0" w:firstColumn="0" w:lastColumn="0" w:oddVBand="0" w:evenVBand="0" w:oddHBand="0" w:evenHBand="0" w:firstRowFirstColumn="0" w:firstRowLastColumn="0" w:lastRowFirstColumn="0" w:lastRowLastColumn="0"/>
              <w:rPr>
                <w:sz w:val="18"/>
                <w:szCs w:val="18"/>
              </w:rPr>
            </w:pPr>
            <w:r w:rsidRPr="0020182A">
              <w:rPr>
                <w:sz w:val="18"/>
                <w:szCs w:val="18"/>
              </w:rPr>
              <w:t>References the detailed quality requirements and criteria contained in the SDA Price Guide and SDA Decision Paper.</w:t>
            </w:r>
          </w:p>
        </w:tc>
      </w:tr>
    </w:tbl>
    <w:p w:rsidR="00D952F7" w:rsidRPr="0020182A" w:rsidRDefault="00D952F7">
      <w:pPr>
        <w:pStyle w:val="Caption"/>
      </w:pPr>
      <w:r w:rsidRPr="0020182A">
        <w:t>Source: KPMG</w:t>
      </w:r>
    </w:p>
    <w:p w:rsidR="00656DCB" w:rsidRPr="0020182A" w:rsidRDefault="00656DCB" w:rsidP="00656DCB">
      <w:pPr>
        <w:pStyle w:val="BodyText"/>
      </w:pPr>
    </w:p>
    <w:p w:rsidR="0081240A" w:rsidRPr="0020182A" w:rsidRDefault="0081240A" w:rsidP="00656DCB">
      <w:pPr>
        <w:pStyle w:val="BodyText"/>
      </w:pPr>
      <w:r w:rsidRPr="0020182A">
        <w:t xml:space="preserve">It will also be important that the SDA Framework articulates the role of and relationship between the SDA Framework, SDA Rules, SDA Price Guide and other SDA documentation. </w:t>
      </w:r>
    </w:p>
    <w:p w:rsidR="0081240A" w:rsidRPr="0020182A" w:rsidRDefault="0081240A" w:rsidP="00656DCB">
      <w:pPr>
        <w:pStyle w:val="BodyText"/>
        <w:rPr>
          <w:rFonts w:cs="Arial"/>
          <w:szCs w:val="18"/>
        </w:rPr>
      </w:pPr>
      <w:r w:rsidRPr="0020182A">
        <w:rPr>
          <w:rFonts w:cs="Arial"/>
          <w:szCs w:val="18"/>
        </w:rPr>
        <w:t>The SDA Rules, which have a legislative mandate and status</w:t>
      </w:r>
      <w:r w:rsidR="002351C9">
        <w:rPr>
          <w:rFonts w:cs="Arial"/>
          <w:szCs w:val="18"/>
        </w:rPr>
        <w:t>,</w:t>
      </w:r>
      <w:r w:rsidRPr="0020182A">
        <w:rPr>
          <w:rFonts w:cs="Arial"/>
          <w:szCs w:val="18"/>
        </w:rPr>
        <w:t xml:space="preserve"> are the primary decision-making document for SDA. Accordingly, the Rules should be the avenue for providing binding clarity on pricing, payments, eligibility and dwelling registration. Accordingly, any matters of process which </w:t>
      </w:r>
      <w:r w:rsidR="002351C9">
        <w:rPr>
          <w:rFonts w:cs="Arial"/>
          <w:szCs w:val="18"/>
        </w:rPr>
        <w:t>are</w:t>
      </w:r>
      <w:r w:rsidRPr="0020182A">
        <w:rPr>
          <w:rFonts w:cs="Arial"/>
          <w:szCs w:val="18"/>
        </w:rPr>
        <w:t xml:space="preserve"> considered necessary to legally bind the decision making process should be contained in the Rules to provide consistency and certainty to investors and participants. However, while it is important to ensure that the Rules are sufficiently detailed to provide certainty and consistency in process, it is </w:t>
      </w:r>
      <w:r w:rsidRPr="0020182A">
        <w:rPr>
          <w:rFonts w:cs="Arial"/>
          <w:szCs w:val="18"/>
        </w:rPr>
        <w:lastRenderedPageBreak/>
        <w:t xml:space="preserve">important to ensure that they are not unnecessarily prescriptive in a way that could cause unintended consequences. Indeed, this Review has made a number of recommendations designed to allow more flexibility in the Rules to allow them to achieve their intended purpose. </w:t>
      </w:r>
    </w:p>
    <w:p w:rsidR="0081240A" w:rsidRPr="0020182A" w:rsidRDefault="0081240A" w:rsidP="0081240A">
      <w:pPr>
        <w:pStyle w:val="TableBullet1"/>
        <w:numPr>
          <w:ilvl w:val="0"/>
          <w:numId w:val="0"/>
        </w:numPr>
        <w:spacing w:before="60" w:after="60"/>
        <w:contextualSpacing w:val="0"/>
        <w:rPr>
          <w:rFonts w:cs="Arial"/>
          <w:szCs w:val="18"/>
        </w:rPr>
      </w:pPr>
      <w:r w:rsidRPr="0020182A">
        <w:rPr>
          <w:rFonts w:cs="Arial"/>
          <w:szCs w:val="18"/>
        </w:rPr>
        <w:t xml:space="preserve">The NDIA will continue to issue documents such as the Investor Brief, but the Review has recommended a consultation process occur to ensure investors are fully aware of any shifts in policy made by the NDIA. Additionally, SDA is a developing market and this Review found significant investor uncertainty about the policy and legal settings governing the market. The Review thus considers there is a case for educating participants and investors about the SDA Rules, Framework, the Price Guide and the general operational settings of the NDIS, perhaps via some plain English documents and/or investor workshops. This would promote </w:t>
      </w:r>
      <w:r w:rsidR="0056499B" w:rsidRPr="0020182A">
        <w:rPr>
          <w:rFonts w:cs="Arial"/>
          <w:szCs w:val="18"/>
        </w:rPr>
        <w:t xml:space="preserve">greater </w:t>
      </w:r>
      <w:r w:rsidRPr="0020182A">
        <w:rPr>
          <w:rFonts w:cs="Arial"/>
          <w:szCs w:val="18"/>
        </w:rPr>
        <w:t>certainty and understanding amongst investors.</w:t>
      </w:r>
    </w:p>
    <w:p w:rsidR="00805FDE" w:rsidRPr="0020182A" w:rsidRDefault="0081240A" w:rsidP="00805FDE">
      <w:pPr>
        <w:pStyle w:val="Heading2"/>
      </w:pPr>
      <w:bookmarkStart w:id="79" w:name="_Toc530648962"/>
      <w:r w:rsidRPr="0020182A">
        <w:t>Next steps</w:t>
      </w:r>
      <w:bookmarkEnd w:id="79"/>
    </w:p>
    <w:p w:rsidR="0081240A" w:rsidRPr="0020182A" w:rsidRDefault="0081240A" w:rsidP="00656DCB">
      <w:pPr>
        <w:pStyle w:val="BodyText"/>
      </w:pPr>
      <w:r w:rsidRPr="0020182A">
        <w:t xml:space="preserve">DRC commissioned the Review in May 2018 in order to consider the early impact of the SDA Framework on the level of investment in SDA. The Review will be considered by DRC in late 2019. The outcome of the Review will inform DRC’s development of arrangements for SDA into the future.  </w:t>
      </w:r>
    </w:p>
    <w:p w:rsidR="008942AD" w:rsidRPr="0020182A" w:rsidRDefault="0081240A" w:rsidP="004C3103">
      <w:pPr>
        <w:pStyle w:val="BodyText"/>
        <w:sectPr w:rsidR="008942AD" w:rsidRPr="0020182A" w:rsidSect="004C4491">
          <w:headerReference w:type="default" r:id="rId68"/>
          <w:pgSz w:w="11906" w:h="16838"/>
          <w:pgMar w:top="1418" w:right="1418" w:bottom="1418" w:left="1418" w:header="340" w:footer="453" w:gutter="0"/>
          <w:cols w:space="708"/>
          <w:docGrid w:linePitch="360"/>
        </w:sectPr>
      </w:pPr>
      <w:r w:rsidRPr="0020182A">
        <w:t xml:space="preserve">The first priority for DRC will be to determine the purpose and ongoing focus of the SDA Framework into the future, Secondly, there are a number of additional suggestions and recommendations for DRC to improve the operationalisation of SDA beyond the SDA Framework. Where these recommendations require policy changes, engagement with participants, providers and investors on the nature of the proposed policy changes is critical </w:t>
      </w:r>
      <w:r w:rsidR="002351C9">
        <w:t xml:space="preserve">in order </w:t>
      </w:r>
      <w:r w:rsidRPr="0020182A">
        <w:t>to</w:t>
      </w:r>
      <w:r w:rsidR="002351C9">
        <w:t>:</w:t>
      </w:r>
      <w:r w:rsidRPr="0020182A">
        <w:t xml:space="preserve"> understand the effects of the recommendations</w:t>
      </w:r>
      <w:r w:rsidR="002351C9">
        <w:t xml:space="preserve">; to </w:t>
      </w:r>
      <w:r w:rsidRPr="0020182A">
        <w:t>plan successful implementation</w:t>
      </w:r>
      <w:r w:rsidR="002351C9">
        <w:t>;</w:t>
      </w:r>
      <w:r w:rsidRPr="0020182A">
        <w:t xml:space="preserve"> provid</w:t>
      </w:r>
      <w:r w:rsidR="002351C9">
        <w:t>e</w:t>
      </w:r>
      <w:r w:rsidRPr="0020182A">
        <w:t xml:space="preserve"> sufficient notice of changes in policy</w:t>
      </w:r>
      <w:r w:rsidR="002351C9">
        <w:t>;</w:t>
      </w:r>
      <w:r w:rsidRPr="0020182A">
        <w:t xml:space="preserve"> provid</w:t>
      </w:r>
      <w:r w:rsidR="002351C9">
        <w:t>e</w:t>
      </w:r>
      <w:r w:rsidRPr="0020182A">
        <w:t xml:space="preserve"> opportunities for participant/provider/investor input into the policy process</w:t>
      </w:r>
      <w:r w:rsidR="002351C9">
        <w:t>;</w:t>
      </w:r>
      <w:r w:rsidRPr="0020182A">
        <w:t xml:space="preserve"> and to create transparency, which is critical to build public trust and understanding of the SDA Framework and its opera</w:t>
      </w:r>
      <w:r w:rsidR="004C3103" w:rsidRPr="0020182A">
        <w:t>tion.</w:t>
      </w:r>
    </w:p>
    <w:p w:rsidR="008D3F91" w:rsidRDefault="008D3F91" w:rsidP="008D3F91">
      <w:pPr>
        <w:pStyle w:val="Dividernumber"/>
        <w:rPr>
          <w:color w:val="00338D" w:themeColor="background2"/>
        </w:rPr>
      </w:pPr>
    </w:p>
    <w:p w:rsidR="008D3F91" w:rsidRDefault="008D3F91" w:rsidP="00190028">
      <w:pPr>
        <w:pStyle w:val="Dividernumber"/>
        <w:jc w:val="left"/>
        <w:rPr>
          <w:color w:val="00338D" w:themeColor="background2"/>
        </w:rPr>
      </w:pPr>
    </w:p>
    <w:p w:rsidR="004E793A" w:rsidRPr="008D3F91" w:rsidRDefault="008D3F91" w:rsidP="008D3F91">
      <w:pPr>
        <w:pStyle w:val="Dividernumber"/>
        <w:rPr>
          <w:color w:val="00338D" w:themeColor="background2"/>
        </w:rPr>
      </w:pPr>
      <w:r w:rsidRPr="008D3F91">
        <w:rPr>
          <w:color w:val="00338D" w:themeColor="background2"/>
        </w:rPr>
        <w:t>A</w:t>
      </w:r>
    </w:p>
    <w:p w:rsidR="00190028" w:rsidRDefault="00190028" w:rsidP="008D3F91">
      <w:pPr>
        <w:pStyle w:val="Dividertitle"/>
        <w:rPr>
          <w:color w:val="00338D" w:themeColor="background2"/>
        </w:rPr>
      </w:pPr>
    </w:p>
    <w:p w:rsidR="008D3F91" w:rsidRPr="008D3F91" w:rsidRDefault="008D3F91" w:rsidP="008D3F91">
      <w:pPr>
        <w:pStyle w:val="Dividertitle"/>
        <w:rPr>
          <w:color w:val="00338D" w:themeColor="background2"/>
        </w:rPr>
        <w:sectPr w:rsidR="008D3F91" w:rsidRPr="008D3F91" w:rsidSect="00E02C03">
          <w:headerReference w:type="default" r:id="rId69"/>
          <w:footerReference w:type="default" r:id="rId70"/>
          <w:pgSz w:w="11906" w:h="16838"/>
          <w:pgMar w:top="1418" w:right="1418" w:bottom="1418" w:left="1418" w:header="709" w:footer="453" w:gutter="0"/>
          <w:cols w:space="708"/>
          <w:docGrid w:linePitch="360"/>
        </w:sectPr>
      </w:pPr>
      <w:r w:rsidRPr="006F35E8">
        <w:rPr>
          <w:color w:val="00338D" w:themeColor="background2"/>
        </w:rPr>
        <w:t>Appendix A</w:t>
      </w:r>
      <w:r w:rsidRPr="006F35E8">
        <w:rPr>
          <w:color w:val="00338D" w:themeColor="background2"/>
        </w:rPr>
        <w:br/>
        <w:t>Stakeholder consultation</w:t>
      </w:r>
    </w:p>
    <w:p w:rsidR="00783137" w:rsidRPr="0020182A" w:rsidRDefault="00783137" w:rsidP="00783137">
      <w:pPr>
        <w:pStyle w:val="Appendixheading"/>
      </w:pPr>
      <w:bookmarkStart w:id="80" w:name="_Toc523122980"/>
      <w:bookmarkStart w:id="81" w:name="_Toc530648963"/>
      <w:r w:rsidRPr="0020182A">
        <w:lastRenderedPageBreak/>
        <w:t>: Stakeholder consultation</w:t>
      </w:r>
      <w:bookmarkEnd w:id="80"/>
      <w:bookmarkEnd w:id="81"/>
      <w:r w:rsidRPr="0020182A">
        <w:t xml:space="preserve"> </w:t>
      </w:r>
      <w:bookmarkEnd w:id="78"/>
    </w:p>
    <w:p w:rsidR="00EB292C" w:rsidRPr="0020182A" w:rsidRDefault="00EB292C" w:rsidP="00EB292C">
      <w:pPr>
        <w:pStyle w:val="HeadingLevel2NoNumber"/>
      </w:pPr>
      <w:r w:rsidRPr="0020182A">
        <w:t xml:space="preserve">Roundtables </w:t>
      </w:r>
    </w:p>
    <w:p w:rsidR="00EB292C" w:rsidRPr="0020182A" w:rsidRDefault="00EB292C" w:rsidP="00EB292C">
      <w:pPr>
        <w:pStyle w:val="Caption"/>
      </w:pPr>
      <w:r w:rsidRPr="0020182A">
        <w:t xml:space="preserve">Table </w:t>
      </w:r>
      <w:r w:rsidR="005A5471" w:rsidRPr="0020182A">
        <w:rPr>
          <w:noProof/>
        </w:rPr>
        <w:fldChar w:fldCharType="begin"/>
      </w:r>
      <w:r w:rsidR="005A5471" w:rsidRPr="0020182A">
        <w:rPr>
          <w:noProof/>
        </w:rPr>
        <w:instrText xml:space="preserve"> SEQ Table \* ARABIC </w:instrText>
      </w:r>
      <w:r w:rsidR="005A5471" w:rsidRPr="0020182A">
        <w:rPr>
          <w:noProof/>
        </w:rPr>
        <w:fldChar w:fldCharType="separate"/>
      </w:r>
      <w:r w:rsidR="00502D19">
        <w:rPr>
          <w:noProof/>
        </w:rPr>
        <w:t>12</w:t>
      </w:r>
      <w:r w:rsidR="005A5471" w:rsidRPr="0020182A">
        <w:rPr>
          <w:noProof/>
        </w:rPr>
        <w:fldChar w:fldCharType="end"/>
      </w:r>
      <w:r w:rsidRPr="0020182A">
        <w:t>: Number of attendees at roundtables in each location</w:t>
      </w:r>
    </w:p>
    <w:tbl>
      <w:tblPr>
        <w:tblStyle w:val="GridTable1Light-Accent2"/>
        <w:tblW w:w="904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Caption w:val="Table 12: Number of attendees at roundtables in each location"/>
        <w:tblDescription w:val="Total number of provider and investor attendees as well as total number of participant, family and carer attendees for each city location."/>
      </w:tblPr>
      <w:tblGrid>
        <w:gridCol w:w="2260"/>
        <w:gridCol w:w="2261"/>
        <w:gridCol w:w="2261"/>
        <w:gridCol w:w="2261"/>
      </w:tblGrid>
      <w:tr w:rsidR="00EB292C" w:rsidRPr="0020182A" w:rsidTr="002757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0" w:type="dxa"/>
            <w:shd w:val="clear" w:color="auto" w:fill="0091DA" w:themeFill="accent2"/>
            <w:vAlign w:val="bottom"/>
          </w:tcPr>
          <w:p w:rsidR="00EB292C" w:rsidRPr="0020182A" w:rsidRDefault="00EB292C" w:rsidP="004E72E7">
            <w:pPr>
              <w:pStyle w:val="Tableheading"/>
              <w:rPr>
                <w:b w:val="0"/>
              </w:rPr>
            </w:pPr>
            <w:r w:rsidRPr="0020182A">
              <w:t>City</w:t>
            </w:r>
          </w:p>
        </w:tc>
        <w:tc>
          <w:tcPr>
            <w:tcW w:w="2261" w:type="dxa"/>
            <w:shd w:val="clear" w:color="auto" w:fill="0091DA" w:themeFill="accent2"/>
            <w:vAlign w:val="bottom"/>
          </w:tcPr>
          <w:p w:rsidR="00EB292C" w:rsidRPr="0020182A" w:rsidRDefault="00EB292C" w:rsidP="004E72E7">
            <w:pPr>
              <w:pStyle w:val="Tableheading"/>
              <w:cnfStyle w:val="100000000000" w:firstRow="1" w:lastRow="0" w:firstColumn="0" w:lastColumn="0" w:oddVBand="0" w:evenVBand="0" w:oddHBand="0" w:evenHBand="0" w:firstRowFirstColumn="0" w:firstRowLastColumn="0" w:lastRowFirstColumn="0" w:lastRowLastColumn="0"/>
              <w:rPr>
                <w:b w:val="0"/>
              </w:rPr>
            </w:pPr>
            <w:r w:rsidRPr="0020182A">
              <w:t>Date</w:t>
            </w:r>
          </w:p>
        </w:tc>
        <w:tc>
          <w:tcPr>
            <w:tcW w:w="2261" w:type="dxa"/>
            <w:shd w:val="clear" w:color="auto" w:fill="0091DA" w:themeFill="accent2"/>
            <w:vAlign w:val="bottom"/>
          </w:tcPr>
          <w:p w:rsidR="00EB292C" w:rsidRPr="0020182A" w:rsidRDefault="00EB292C" w:rsidP="004E72E7">
            <w:pPr>
              <w:pStyle w:val="Tableheading"/>
              <w:cnfStyle w:val="100000000000" w:firstRow="1" w:lastRow="0" w:firstColumn="0" w:lastColumn="0" w:oddVBand="0" w:evenVBand="0" w:oddHBand="0" w:evenHBand="0" w:firstRowFirstColumn="0" w:firstRowLastColumn="0" w:lastRowFirstColumn="0" w:lastRowLastColumn="0"/>
              <w:rPr>
                <w:b w:val="0"/>
              </w:rPr>
            </w:pPr>
            <w:r w:rsidRPr="0020182A">
              <w:t>Total number of Provider and Investor attendees</w:t>
            </w:r>
          </w:p>
        </w:tc>
        <w:tc>
          <w:tcPr>
            <w:tcW w:w="2261" w:type="dxa"/>
            <w:shd w:val="clear" w:color="auto" w:fill="0091DA" w:themeFill="accent2"/>
            <w:vAlign w:val="bottom"/>
          </w:tcPr>
          <w:p w:rsidR="00EB292C" w:rsidRPr="0020182A" w:rsidRDefault="00EB292C" w:rsidP="00F57A05">
            <w:pPr>
              <w:pStyle w:val="Tableheading"/>
              <w:cnfStyle w:val="100000000000" w:firstRow="1" w:lastRow="0" w:firstColumn="0" w:lastColumn="0" w:oddVBand="0" w:evenVBand="0" w:oddHBand="0" w:evenHBand="0" w:firstRowFirstColumn="0" w:firstRowLastColumn="0" w:lastRowFirstColumn="0" w:lastRowLastColumn="0"/>
              <w:rPr>
                <w:b w:val="0"/>
              </w:rPr>
            </w:pPr>
            <w:r w:rsidRPr="0020182A">
              <w:t xml:space="preserve">Total number of Participant, family and carer attendees </w:t>
            </w:r>
          </w:p>
        </w:tc>
      </w:tr>
      <w:tr w:rsidR="00EB292C" w:rsidRPr="0020182A" w:rsidTr="009F1219">
        <w:tc>
          <w:tcPr>
            <w:cnfStyle w:val="001000000000" w:firstRow="0" w:lastRow="0" w:firstColumn="1" w:lastColumn="0" w:oddVBand="0" w:evenVBand="0" w:oddHBand="0" w:evenHBand="0" w:firstRowFirstColumn="0" w:firstRowLastColumn="0" w:lastRowFirstColumn="0" w:lastRowLastColumn="0"/>
            <w:tcW w:w="2260" w:type="dxa"/>
          </w:tcPr>
          <w:p w:rsidR="00EB292C" w:rsidRPr="0020182A" w:rsidRDefault="00EB292C" w:rsidP="009C3CFC">
            <w:pPr>
              <w:pStyle w:val="BodyText1"/>
              <w:rPr>
                <w:b w:val="0"/>
              </w:rPr>
            </w:pPr>
            <w:r w:rsidRPr="0020182A">
              <w:rPr>
                <w:b w:val="0"/>
              </w:rPr>
              <w:t xml:space="preserve">Melbourne </w:t>
            </w:r>
          </w:p>
        </w:tc>
        <w:tc>
          <w:tcPr>
            <w:tcW w:w="2261" w:type="dxa"/>
          </w:tcPr>
          <w:p w:rsidR="00EB292C" w:rsidRPr="0020182A" w:rsidRDefault="00EB292C" w:rsidP="009C3CFC">
            <w:pPr>
              <w:pStyle w:val="BodyText1"/>
              <w:cnfStyle w:val="000000000000" w:firstRow="0" w:lastRow="0" w:firstColumn="0" w:lastColumn="0" w:oddVBand="0" w:evenVBand="0" w:oddHBand="0" w:evenHBand="0" w:firstRowFirstColumn="0" w:firstRowLastColumn="0" w:lastRowFirstColumn="0" w:lastRowLastColumn="0"/>
            </w:pPr>
            <w:r w:rsidRPr="0020182A">
              <w:t>12 June 2018</w:t>
            </w:r>
          </w:p>
          <w:p w:rsidR="00EB292C" w:rsidRPr="0020182A" w:rsidRDefault="00EB292C" w:rsidP="009C3CFC">
            <w:pPr>
              <w:pStyle w:val="BodyText1"/>
              <w:cnfStyle w:val="000000000000" w:firstRow="0" w:lastRow="0" w:firstColumn="0" w:lastColumn="0" w:oddVBand="0" w:evenVBand="0" w:oddHBand="0" w:evenHBand="0" w:firstRowFirstColumn="0" w:firstRowLastColumn="0" w:lastRowFirstColumn="0" w:lastRowLastColumn="0"/>
            </w:pPr>
            <w:r w:rsidRPr="0020182A">
              <w:t>12 July 2018</w:t>
            </w:r>
          </w:p>
        </w:tc>
        <w:tc>
          <w:tcPr>
            <w:tcW w:w="2261" w:type="dxa"/>
          </w:tcPr>
          <w:p w:rsidR="00EB292C" w:rsidRPr="0020182A" w:rsidRDefault="00EB292C" w:rsidP="009076FA">
            <w:pPr>
              <w:pStyle w:val="BodyText1"/>
              <w:jc w:val="center"/>
              <w:cnfStyle w:val="000000000000" w:firstRow="0" w:lastRow="0" w:firstColumn="0" w:lastColumn="0" w:oddVBand="0" w:evenVBand="0" w:oddHBand="0" w:evenHBand="0" w:firstRowFirstColumn="0" w:firstRowLastColumn="0" w:lastRowFirstColumn="0" w:lastRowLastColumn="0"/>
            </w:pPr>
            <w:r w:rsidRPr="0020182A">
              <w:t>20</w:t>
            </w:r>
          </w:p>
        </w:tc>
        <w:tc>
          <w:tcPr>
            <w:tcW w:w="2261" w:type="dxa"/>
          </w:tcPr>
          <w:p w:rsidR="00EB292C" w:rsidRPr="0020182A" w:rsidRDefault="00EB292C" w:rsidP="009076FA">
            <w:pPr>
              <w:pStyle w:val="BodyText1"/>
              <w:jc w:val="center"/>
              <w:cnfStyle w:val="000000000000" w:firstRow="0" w:lastRow="0" w:firstColumn="0" w:lastColumn="0" w:oddVBand="0" w:evenVBand="0" w:oddHBand="0" w:evenHBand="0" w:firstRowFirstColumn="0" w:firstRowLastColumn="0" w:lastRowFirstColumn="0" w:lastRowLastColumn="0"/>
            </w:pPr>
            <w:r w:rsidRPr="0020182A">
              <w:t>11</w:t>
            </w:r>
          </w:p>
        </w:tc>
      </w:tr>
      <w:tr w:rsidR="00EB292C" w:rsidRPr="0020182A" w:rsidTr="009F1219">
        <w:tc>
          <w:tcPr>
            <w:cnfStyle w:val="001000000000" w:firstRow="0" w:lastRow="0" w:firstColumn="1" w:lastColumn="0" w:oddVBand="0" w:evenVBand="0" w:oddHBand="0" w:evenHBand="0" w:firstRowFirstColumn="0" w:firstRowLastColumn="0" w:lastRowFirstColumn="0" w:lastRowLastColumn="0"/>
            <w:tcW w:w="2260" w:type="dxa"/>
          </w:tcPr>
          <w:p w:rsidR="00EB292C" w:rsidRPr="0020182A" w:rsidRDefault="00EB292C" w:rsidP="009C3CFC">
            <w:pPr>
              <w:pStyle w:val="BodyText1"/>
              <w:rPr>
                <w:b w:val="0"/>
              </w:rPr>
            </w:pPr>
            <w:r w:rsidRPr="0020182A">
              <w:rPr>
                <w:b w:val="0"/>
              </w:rPr>
              <w:t xml:space="preserve">Sydney </w:t>
            </w:r>
          </w:p>
        </w:tc>
        <w:tc>
          <w:tcPr>
            <w:tcW w:w="2261" w:type="dxa"/>
          </w:tcPr>
          <w:p w:rsidR="00EB292C" w:rsidRPr="0020182A" w:rsidRDefault="00EB292C" w:rsidP="009C3CFC">
            <w:pPr>
              <w:pStyle w:val="BodyText1"/>
              <w:cnfStyle w:val="000000000000" w:firstRow="0" w:lastRow="0" w:firstColumn="0" w:lastColumn="0" w:oddVBand="0" w:evenVBand="0" w:oddHBand="0" w:evenHBand="0" w:firstRowFirstColumn="0" w:firstRowLastColumn="0" w:lastRowFirstColumn="0" w:lastRowLastColumn="0"/>
            </w:pPr>
            <w:r w:rsidRPr="0020182A">
              <w:t>12 June 2018</w:t>
            </w:r>
          </w:p>
          <w:p w:rsidR="00EB292C" w:rsidRPr="0020182A" w:rsidRDefault="00EB292C" w:rsidP="009C3CFC">
            <w:pPr>
              <w:pStyle w:val="BodyText1"/>
              <w:cnfStyle w:val="000000000000" w:firstRow="0" w:lastRow="0" w:firstColumn="0" w:lastColumn="0" w:oddVBand="0" w:evenVBand="0" w:oddHBand="0" w:evenHBand="0" w:firstRowFirstColumn="0" w:firstRowLastColumn="0" w:lastRowFirstColumn="0" w:lastRowLastColumn="0"/>
            </w:pPr>
            <w:r w:rsidRPr="0020182A">
              <w:t>12 July 2018</w:t>
            </w:r>
          </w:p>
        </w:tc>
        <w:tc>
          <w:tcPr>
            <w:tcW w:w="2261" w:type="dxa"/>
          </w:tcPr>
          <w:p w:rsidR="00EB292C" w:rsidRPr="0020182A" w:rsidRDefault="00EB292C" w:rsidP="009076FA">
            <w:pPr>
              <w:pStyle w:val="BodyText1"/>
              <w:jc w:val="center"/>
              <w:cnfStyle w:val="000000000000" w:firstRow="0" w:lastRow="0" w:firstColumn="0" w:lastColumn="0" w:oddVBand="0" w:evenVBand="0" w:oddHBand="0" w:evenHBand="0" w:firstRowFirstColumn="0" w:firstRowLastColumn="0" w:lastRowFirstColumn="0" w:lastRowLastColumn="0"/>
            </w:pPr>
            <w:r w:rsidRPr="0020182A">
              <w:t>32</w:t>
            </w:r>
          </w:p>
        </w:tc>
        <w:tc>
          <w:tcPr>
            <w:tcW w:w="2261" w:type="dxa"/>
          </w:tcPr>
          <w:p w:rsidR="00EB292C" w:rsidRPr="0020182A" w:rsidRDefault="00EB292C" w:rsidP="009076FA">
            <w:pPr>
              <w:pStyle w:val="BodyText1"/>
              <w:jc w:val="center"/>
              <w:cnfStyle w:val="000000000000" w:firstRow="0" w:lastRow="0" w:firstColumn="0" w:lastColumn="0" w:oddVBand="0" w:evenVBand="0" w:oddHBand="0" w:evenHBand="0" w:firstRowFirstColumn="0" w:firstRowLastColumn="0" w:lastRowFirstColumn="0" w:lastRowLastColumn="0"/>
            </w:pPr>
            <w:r w:rsidRPr="0020182A">
              <w:t>9</w:t>
            </w:r>
          </w:p>
        </w:tc>
      </w:tr>
      <w:tr w:rsidR="00EB292C" w:rsidRPr="0020182A" w:rsidTr="009F1219">
        <w:tc>
          <w:tcPr>
            <w:cnfStyle w:val="001000000000" w:firstRow="0" w:lastRow="0" w:firstColumn="1" w:lastColumn="0" w:oddVBand="0" w:evenVBand="0" w:oddHBand="0" w:evenHBand="0" w:firstRowFirstColumn="0" w:firstRowLastColumn="0" w:lastRowFirstColumn="0" w:lastRowLastColumn="0"/>
            <w:tcW w:w="2260" w:type="dxa"/>
          </w:tcPr>
          <w:p w:rsidR="00EB292C" w:rsidRPr="0020182A" w:rsidRDefault="00EB292C" w:rsidP="009C3CFC">
            <w:pPr>
              <w:pStyle w:val="BodyText1"/>
              <w:rPr>
                <w:b w:val="0"/>
              </w:rPr>
            </w:pPr>
            <w:r w:rsidRPr="0020182A">
              <w:rPr>
                <w:b w:val="0"/>
              </w:rPr>
              <w:t>Hobart</w:t>
            </w:r>
          </w:p>
        </w:tc>
        <w:tc>
          <w:tcPr>
            <w:tcW w:w="2261" w:type="dxa"/>
          </w:tcPr>
          <w:p w:rsidR="00EB292C" w:rsidRPr="0020182A" w:rsidRDefault="00EB292C" w:rsidP="009C3CFC">
            <w:pPr>
              <w:pStyle w:val="BodyText1"/>
              <w:cnfStyle w:val="000000000000" w:firstRow="0" w:lastRow="0" w:firstColumn="0" w:lastColumn="0" w:oddVBand="0" w:evenVBand="0" w:oddHBand="0" w:evenHBand="0" w:firstRowFirstColumn="0" w:firstRowLastColumn="0" w:lastRowFirstColumn="0" w:lastRowLastColumn="0"/>
            </w:pPr>
            <w:r w:rsidRPr="0020182A">
              <w:t>15 June 2018</w:t>
            </w:r>
          </w:p>
        </w:tc>
        <w:tc>
          <w:tcPr>
            <w:tcW w:w="2261" w:type="dxa"/>
          </w:tcPr>
          <w:p w:rsidR="00EB292C" w:rsidRPr="0020182A" w:rsidRDefault="00EB292C" w:rsidP="009076FA">
            <w:pPr>
              <w:pStyle w:val="BodyText1"/>
              <w:jc w:val="center"/>
              <w:cnfStyle w:val="000000000000" w:firstRow="0" w:lastRow="0" w:firstColumn="0" w:lastColumn="0" w:oddVBand="0" w:evenVBand="0" w:oddHBand="0" w:evenHBand="0" w:firstRowFirstColumn="0" w:firstRowLastColumn="0" w:lastRowFirstColumn="0" w:lastRowLastColumn="0"/>
            </w:pPr>
            <w:r w:rsidRPr="0020182A">
              <w:t>9</w:t>
            </w:r>
          </w:p>
        </w:tc>
        <w:tc>
          <w:tcPr>
            <w:tcW w:w="2261" w:type="dxa"/>
          </w:tcPr>
          <w:p w:rsidR="00EB292C" w:rsidRPr="0020182A" w:rsidRDefault="00EB292C" w:rsidP="009076FA">
            <w:pPr>
              <w:pStyle w:val="BodyText1"/>
              <w:jc w:val="center"/>
              <w:cnfStyle w:val="000000000000" w:firstRow="0" w:lastRow="0" w:firstColumn="0" w:lastColumn="0" w:oddVBand="0" w:evenVBand="0" w:oddHBand="0" w:evenHBand="0" w:firstRowFirstColumn="0" w:firstRowLastColumn="0" w:lastRowFirstColumn="0" w:lastRowLastColumn="0"/>
            </w:pPr>
            <w:r w:rsidRPr="0020182A">
              <w:t>0</w:t>
            </w:r>
          </w:p>
        </w:tc>
      </w:tr>
      <w:tr w:rsidR="00EB292C" w:rsidRPr="0020182A" w:rsidTr="009F1219">
        <w:tc>
          <w:tcPr>
            <w:cnfStyle w:val="001000000000" w:firstRow="0" w:lastRow="0" w:firstColumn="1" w:lastColumn="0" w:oddVBand="0" w:evenVBand="0" w:oddHBand="0" w:evenHBand="0" w:firstRowFirstColumn="0" w:firstRowLastColumn="0" w:lastRowFirstColumn="0" w:lastRowLastColumn="0"/>
            <w:tcW w:w="2260" w:type="dxa"/>
          </w:tcPr>
          <w:p w:rsidR="00EB292C" w:rsidRPr="0020182A" w:rsidRDefault="00EB292C" w:rsidP="009C3CFC">
            <w:pPr>
              <w:pStyle w:val="BodyText1"/>
              <w:rPr>
                <w:b w:val="0"/>
              </w:rPr>
            </w:pPr>
            <w:r w:rsidRPr="0020182A">
              <w:rPr>
                <w:b w:val="0"/>
              </w:rPr>
              <w:t>Canberra</w:t>
            </w:r>
          </w:p>
        </w:tc>
        <w:tc>
          <w:tcPr>
            <w:tcW w:w="2261" w:type="dxa"/>
          </w:tcPr>
          <w:p w:rsidR="00EB292C" w:rsidRPr="0020182A" w:rsidRDefault="00EB292C" w:rsidP="009C3CFC">
            <w:pPr>
              <w:pStyle w:val="BodyText1"/>
              <w:cnfStyle w:val="000000000000" w:firstRow="0" w:lastRow="0" w:firstColumn="0" w:lastColumn="0" w:oddVBand="0" w:evenVBand="0" w:oddHBand="0" w:evenHBand="0" w:firstRowFirstColumn="0" w:firstRowLastColumn="0" w:lastRowFirstColumn="0" w:lastRowLastColumn="0"/>
            </w:pPr>
            <w:r w:rsidRPr="0020182A">
              <w:t>18 June 2018</w:t>
            </w:r>
          </w:p>
        </w:tc>
        <w:tc>
          <w:tcPr>
            <w:tcW w:w="2261" w:type="dxa"/>
          </w:tcPr>
          <w:p w:rsidR="00EB292C" w:rsidRPr="0020182A" w:rsidRDefault="00EB292C" w:rsidP="009076FA">
            <w:pPr>
              <w:pStyle w:val="BodyText1"/>
              <w:jc w:val="center"/>
              <w:cnfStyle w:val="000000000000" w:firstRow="0" w:lastRow="0" w:firstColumn="0" w:lastColumn="0" w:oddVBand="0" w:evenVBand="0" w:oddHBand="0" w:evenHBand="0" w:firstRowFirstColumn="0" w:firstRowLastColumn="0" w:lastRowFirstColumn="0" w:lastRowLastColumn="0"/>
            </w:pPr>
            <w:r w:rsidRPr="0020182A">
              <w:t>10</w:t>
            </w:r>
          </w:p>
        </w:tc>
        <w:tc>
          <w:tcPr>
            <w:tcW w:w="2261" w:type="dxa"/>
          </w:tcPr>
          <w:p w:rsidR="00EB292C" w:rsidRPr="0020182A" w:rsidRDefault="00EB292C" w:rsidP="009076FA">
            <w:pPr>
              <w:pStyle w:val="BodyText1"/>
              <w:jc w:val="center"/>
              <w:cnfStyle w:val="000000000000" w:firstRow="0" w:lastRow="0" w:firstColumn="0" w:lastColumn="0" w:oddVBand="0" w:evenVBand="0" w:oddHBand="0" w:evenHBand="0" w:firstRowFirstColumn="0" w:firstRowLastColumn="0" w:lastRowFirstColumn="0" w:lastRowLastColumn="0"/>
            </w:pPr>
            <w:r w:rsidRPr="0020182A">
              <w:t>4</w:t>
            </w:r>
          </w:p>
        </w:tc>
      </w:tr>
      <w:tr w:rsidR="00EB292C" w:rsidRPr="0020182A" w:rsidTr="009F1219">
        <w:tc>
          <w:tcPr>
            <w:cnfStyle w:val="001000000000" w:firstRow="0" w:lastRow="0" w:firstColumn="1" w:lastColumn="0" w:oddVBand="0" w:evenVBand="0" w:oddHBand="0" w:evenHBand="0" w:firstRowFirstColumn="0" w:firstRowLastColumn="0" w:lastRowFirstColumn="0" w:lastRowLastColumn="0"/>
            <w:tcW w:w="2260" w:type="dxa"/>
          </w:tcPr>
          <w:p w:rsidR="00EB292C" w:rsidRPr="0020182A" w:rsidRDefault="00EB292C" w:rsidP="009C3CFC">
            <w:pPr>
              <w:pStyle w:val="BodyText1"/>
              <w:rPr>
                <w:b w:val="0"/>
              </w:rPr>
            </w:pPr>
            <w:r w:rsidRPr="0020182A">
              <w:rPr>
                <w:b w:val="0"/>
              </w:rPr>
              <w:t xml:space="preserve">Brisbane </w:t>
            </w:r>
          </w:p>
        </w:tc>
        <w:tc>
          <w:tcPr>
            <w:tcW w:w="2261" w:type="dxa"/>
          </w:tcPr>
          <w:p w:rsidR="00EB292C" w:rsidRPr="0020182A" w:rsidRDefault="00EB292C" w:rsidP="009C3CFC">
            <w:pPr>
              <w:pStyle w:val="BodyText1"/>
              <w:cnfStyle w:val="000000000000" w:firstRow="0" w:lastRow="0" w:firstColumn="0" w:lastColumn="0" w:oddVBand="0" w:evenVBand="0" w:oddHBand="0" w:evenHBand="0" w:firstRowFirstColumn="0" w:firstRowLastColumn="0" w:lastRowFirstColumn="0" w:lastRowLastColumn="0"/>
            </w:pPr>
            <w:r w:rsidRPr="0020182A">
              <w:t>19 June 2018</w:t>
            </w:r>
          </w:p>
        </w:tc>
        <w:tc>
          <w:tcPr>
            <w:tcW w:w="2261" w:type="dxa"/>
          </w:tcPr>
          <w:p w:rsidR="00EB292C" w:rsidRPr="0020182A" w:rsidRDefault="00EB292C" w:rsidP="009076FA">
            <w:pPr>
              <w:pStyle w:val="BodyText1"/>
              <w:jc w:val="center"/>
              <w:cnfStyle w:val="000000000000" w:firstRow="0" w:lastRow="0" w:firstColumn="0" w:lastColumn="0" w:oddVBand="0" w:evenVBand="0" w:oddHBand="0" w:evenHBand="0" w:firstRowFirstColumn="0" w:firstRowLastColumn="0" w:lastRowFirstColumn="0" w:lastRowLastColumn="0"/>
            </w:pPr>
            <w:r w:rsidRPr="0020182A">
              <w:t>19</w:t>
            </w:r>
          </w:p>
        </w:tc>
        <w:tc>
          <w:tcPr>
            <w:tcW w:w="2261" w:type="dxa"/>
          </w:tcPr>
          <w:p w:rsidR="00EB292C" w:rsidRPr="0020182A" w:rsidRDefault="00EB292C" w:rsidP="009076FA">
            <w:pPr>
              <w:pStyle w:val="BodyText1"/>
              <w:jc w:val="center"/>
              <w:cnfStyle w:val="000000000000" w:firstRow="0" w:lastRow="0" w:firstColumn="0" w:lastColumn="0" w:oddVBand="0" w:evenVBand="0" w:oddHBand="0" w:evenHBand="0" w:firstRowFirstColumn="0" w:firstRowLastColumn="0" w:lastRowFirstColumn="0" w:lastRowLastColumn="0"/>
            </w:pPr>
            <w:r w:rsidRPr="0020182A">
              <w:t>21</w:t>
            </w:r>
          </w:p>
        </w:tc>
      </w:tr>
      <w:tr w:rsidR="00EB292C" w:rsidRPr="0020182A" w:rsidTr="009F1219">
        <w:tc>
          <w:tcPr>
            <w:cnfStyle w:val="001000000000" w:firstRow="0" w:lastRow="0" w:firstColumn="1" w:lastColumn="0" w:oddVBand="0" w:evenVBand="0" w:oddHBand="0" w:evenHBand="0" w:firstRowFirstColumn="0" w:firstRowLastColumn="0" w:lastRowFirstColumn="0" w:lastRowLastColumn="0"/>
            <w:tcW w:w="2260" w:type="dxa"/>
          </w:tcPr>
          <w:p w:rsidR="00EB292C" w:rsidRPr="0020182A" w:rsidRDefault="00EB292C" w:rsidP="009C3CFC">
            <w:pPr>
              <w:pStyle w:val="BodyText1"/>
              <w:rPr>
                <w:b w:val="0"/>
              </w:rPr>
            </w:pPr>
            <w:r w:rsidRPr="0020182A">
              <w:rPr>
                <w:b w:val="0"/>
              </w:rPr>
              <w:t xml:space="preserve">Darwin </w:t>
            </w:r>
          </w:p>
        </w:tc>
        <w:tc>
          <w:tcPr>
            <w:tcW w:w="2261" w:type="dxa"/>
          </w:tcPr>
          <w:p w:rsidR="00EB292C" w:rsidRPr="0020182A" w:rsidRDefault="00EB292C" w:rsidP="009C3CFC">
            <w:pPr>
              <w:pStyle w:val="BodyText1"/>
              <w:cnfStyle w:val="000000000000" w:firstRow="0" w:lastRow="0" w:firstColumn="0" w:lastColumn="0" w:oddVBand="0" w:evenVBand="0" w:oddHBand="0" w:evenHBand="0" w:firstRowFirstColumn="0" w:firstRowLastColumn="0" w:lastRowFirstColumn="0" w:lastRowLastColumn="0"/>
            </w:pPr>
            <w:r w:rsidRPr="0020182A">
              <w:t>21 June 2018</w:t>
            </w:r>
          </w:p>
        </w:tc>
        <w:tc>
          <w:tcPr>
            <w:tcW w:w="2261" w:type="dxa"/>
          </w:tcPr>
          <w:p w:rsidR="00EB292C" w:rsidRPr="0020182A" w:rsidRDefault="00EB292C" w:rsidP="009076FA">
            <w:pPr>
              <w:pStyle w:val="BodyText1"/>
              <w:jc w:val="center"/>
              <w:cnfStyle w:val="000000000000" w:firstRow="0" w:lastRow="0" w:firstColumn="0" w:lastColumn="0" w:oddVBand="0" w:evenVBand="0" w:oddHBand="0" w:evenHBand="0" w:firstRowFirstColumn="0" w:firstRowLastColumn="0" w:lastRowFirstColumn="0" w:lastRowLastColumn="0"/>
            </w:pPr>
            <w:r w:rsidRPr="0020182A">
              <w:t>3</w:t>
            </w:r>
          </w:p>
        </w:tc>
        <w:tc>
          <w:tcPr>
            <w:tcW w:w="2261" w:type="dxa"/>
          </w:tcPr>
          <w:p w:rsidR="00EB292C" w:rsidRPr="0020182A" w:rsidRDefault="00EB292C" w:rsidP="009076FA">
            <w:pPr>
              <w:pStyle w:val="BodyText1"/>
              <w:jc w:val="center"/>
              <w:cnfStyle w:val="000000000000" w:firstRow="0" w:lastRow="0" w:firstColumn="0" w:lastColumn="0" w:oddVBand="0" w:evenVBand="0" w:oddHBand="0" w:evenHBand="0" w:firstRowFirstColumn="0" w:firstRowLastColumn="0" w:lastRowFirstColumn="0" w:lastRowLastColumn="0"/>
            </w:pPr>
            <w:r w:rsidRPr="0020182A">
              <w:t>1</w:t>
            </w:r>
          </w:p>
        </w:tc>
      </w:tr>
      <w:tr w:rsidR="00EB292C" w:rsidRPr="0020182A" w:rsidTr="009F1219">
        <w:tc>
          <w:tcPr>
            <w:cnfStyle w:val="001000000000" w:firstRow="0" w:lastRow="0" w:firstColumn="1" w:lastColumn="0" w:oddVBand="0" w:evenVBand="0" w:oddHBand="0" w:evenHBand="0" w:firstRowFirstColumn="0" w:firstRowLastColumn="0" w:lastRowFirstColumn="0" w:lastRowLastColumn="0"/>
            <w:tcW w:w="2260" w:type="dxa"/>
          </w:tcPr>
          <w:p w:rsidR="00EB292C" w:rsidRPr="0020182A" w:rsidRDefault="00EB292C" w:rsidP="009C3CFC">
            <w:pPr>
              <w:pStyle w:val="BodyText1"/>
              <w:rPr>
                <w:b w:val="0"/>
              </w:rPr>
            </w:pPr>
            <w:r w:rsidRPr="0020182A">
              <w:rPr>
                <w:b w:val="0"/>
              </w:rPr>
              <w:t xml:space="preserve">Adelaide </w:t>
            </w:r>
          </w:p>
        </w:tc>
        <w:tc>
          <w:tcPr>
            <w:tcW w:w="2261" w:type="dxa"/>
          </w:tcPr>
          <w:p w:rsidR="00EB292C" w:rsidRPr="0020182A" w:rsidRDefault="00EB292C" w:rsidP="009C3CFC">
            <w:pPr>
              <w:pStyle w:val="BodyText1"/>
              <w:cnfStyle w:val="000000000000" w:firstRow="0" w:lastRow="0" w:firstColumn="0" w:lastColumn="0" w:oddVBand="0" w:evenVBand="0" w:oddHBand="0" w:evenHBand="0" w:firstRowFirstColumn="0" w:firstRowLastColumn="0" w:lastRowFirstColumn="0" w:lastRowLastColumn="0"/>
            </w:pPr>
            <w:r w:rsidRPr="0020182A">
              <w:t>25 June 2018</w:t>
            </w:r>
          </w:p>
        </w:tc>
        <w:tc>
          <w:tcPr>
            <w:tcW w:w="2261" w:type="dxa"/>
          </w:tcPr>
          <w:p w:rsidR="00EB292C" w:rsidRPr="0020182A" w:rsidRDefault="00EB292C" w:rsidP="009076FA">
            <w:pPr>
              <w:pStyle w:val="BodyText1"/>
              <w:jc w:val="center"/>
              <w:cnfStyle w:val="000000000000" w:firstRow="0" w:lastRow="0" w:firstColumn="0" w:lastColumn="0" w:oddVBand="0" w:evenVBand="0" w:oddHBand="0" w:evenHBand="0" w:firstRowFirstColumn="0" w:firstRowLastColumn="0" w:lastRowFirstColumn="0" w:lastRowLastColumn="0"/>
            </w:pPr>
            <w:r w:rsidRPr="0020182A">
              <w:t>15</w:t>
            </w:r>
          </w:p>
        </w:tc>
        <w:tc>
          <w:tcPr>
            <w:tcW w:w="2261" w:type="dxa"/>
          </w:tcPr>
          <w:p w:rsidR="00EB292C" w:rsidRPr="0020182A" w:rsidRDefault="00EB292C" w:rsidP="009076FA">
            <w:pPr>
              <w:pStyle w:val="BodyText1"/>
              <w:jc w:val="center"/>
              <w:cnfStyle w:val="000000000000" w:firstRow="0" w:lastRow="0" w:firstColumn="0" w:lastColumn="0" w:oddVBand="0" w:evenVBand="0" w:oddHBand="0" w:evenHBand="0" w:firstRowFirstColumn="0" w:firstRowLastColumn="0" w:lastRowFirstColumn="0" w:lastRowLastColumn="0"/>
            </w:pPr>
            <w:r w:rsidRPr="0020182A">
              <w:t>6</w:t>
            </w:r>
          </w:p>
        </w:tc>
      </w:tr>
      <w:tr w:rsidR="00EB292C" w:rsidRPr="0020182A" w:rsidTr="009F1219">
        <w:tc>
          <w:tcPr>
            <w:cnfStyle w:val="001000000000" w:firstRow="0" w:lastRow="0" w:firstColumn="1" w:lastColumn="0" w:oddVBand="0" w:evenVBand="0" w:oddHBand="0" w:evenHBand="0" w:firstRowFirstColumn="0" w:firstRowLastColumn="0" w:lastRowFirstColumn="0" w:lastRowLastColumn="0"/>
            <w:tcW w:w="2260" w:type="dxa"/>
          </w:tcPr>
          <w:p w:rsidR="00EB292C" w:rsidRPr="0020182A" w:rsidRDefault="00EB292C" w:rsidP="009C3CFC">
            <w:pPr>
              <w:pStyle w:val="BodyText1"/>
              <w:rPr>
                <w:b w:val="0"/>
              </w:rPr>
            </w:pPr>
            <w:r w:rsidRPr="0020182A">
              <w:rPr>
                <w:b w:val="0"/>
              </w:rPr>
              <w:t>Perth</w:t>
            </w:r>
          </w:p>
        </w:tc>
        <w:tc>
          <w:tcPr>
            <w:tcW w:w="2261" w:type="dxa"/>
          </w:tcPr>
          <w:p w:rsidR="00EB292C" w:rsidRPr="0020182A" w:rsidRDefault="00EB292C" w:rsidP="009C3CFC">
            <w:pPr>
              <w:pStyle w:val="BodyText1"/>
              <w:cnfStyle w:val="000000000000" w:firstRow="0" w:lastRow="0" w:firstColumn="0" w:lastColumn="0" w:oddVBand="0" w:evenVBand="0" w:oddHBand="0" w:evenHBand="0" w:firstRowFirstColumn="0" w:firstRowLastColumn="0" w:lastRowFirstColumn="0" w:lastRowLastColumn="0"/>
            </w:pPr>
            <w:r w:rsidRPr="0020182A">
              <w:t>27 June 2018</w:t>
            </w:r>
          </w:p>
        </w:tc>
        <w:tc>
          <w:tcPr>
            <w:tcW w:w="2261" w:type="dxa"/>
          </w:tcPr>
          <w:p w:rsidR="00EB292C" w:rsidRPr="0020182A" w:rsidRDefault="00EB292C" w:rsidP="009076FA">
            <w:pPr>
              <w:pStyle w:val="BodyText1"/>
              <w:jc w:val="center"/>
              <w:cnfStyle w:val="000000000000" w:firstRow="0" w:lastRow="0" w:firstColumn="0" w:lastColumn="0" w:oddVBand="0" w:evenVBand="0" w:oddHBand="0" w:evenHBand="0" w:firstRowFirstColumn="0" w:firstRowLastColumn="0" w:lastRowFirstColumn="0" w:lastRowLastColumn="0"/>
            </w:pPr>
            <w:r w:rsidRPr="0020182A">
              <w:t>23</w:t>
            </w:r>
          </w:p>
        </w:tc>
        <w:tc>
          <w:tcPr>
            <w:tcW w:w="2261" w:type="dxa"/>
          </w:tcPr>
          <w:p w:rsidR="00EB292C" w:rsidRPr="0020182A" w:rsidRDefault="00EB292C" w:rsidP="009076FA">
            <w:pPr>
              <w:pStyle w:val="BodyText1"/>
              <w:jc w:val="center"/>
              <w:cnfStyle w:val="000000000000" w:firstRow="0" w:lastRow="0" w:firstColumn="0" w:lastColumn="0" w:oddVBand="0" w:evenVBand="0" w:oddHBand="0" w:evenHBand="0" w:firstRowFirstColumn="0" w:firstRowLastColumn="0" w:lastRowFirstColumn="0" w:lastRowLastColumn="0"/>
            </w:pPr>
            <w:r w:rsidRPr="0020182A">
              <w:t>13</w:t>
            </w:r>
          </w:p>
        </w:tc>
      </w:tr>
      <w:tr w:rsidR="006B223E" w:rsidRPr="0020182A" w:rsidTr="009F1219">
        <w:tc>
          <w:tcPr>
            <w:cnfStyle w:val="001000000000" w:firstRow="0" w:lastRow="0" w:firstColumn="1" w:lastColumn="0" w:oddVBand="0" w:evenVBand="0" w:oddHBand="0" w:evenHBand="0" w:firstRowFirstColumn="0" w:firstRowLastColumn="0" w:lastRowFirstColumn="0" w:lastRowLastColumn="0"/>
            <w:tcW w:w="2260" w:type="dxa"/>
          </w:tcPr>
          <w:p w:rsidR="006B223E" w:rsidRPr="0020182A" w:rsidRDefault="006B223E" w:rsidP="009C3CFC">
            <w:pPr>
              <w:pStyle w:val="BodyText1"/>
            </w:pPr>
            <w:r w:rsidRPr="0020182A">
              <w:t>Total</w:t>
            </w:r>
          </w:p>
        </w:tc>
        <w:tc>
          <w:tcPr>
            <w:tcW w:w="2261" w:type="dxa"/>
          </w:tcPr>
          <w:p w:rsidR="006B223E" w:rsidRPr="0020182A" w:rsidRDefault="006B223E" w:rsidP="009C3CFC">
            <w:pPr>
              <w:pStyle w:val="BodyText1"/>
              <w:cnfStyle w:val="000000000000" w:firstRow="0" w:lastRow="0" w:firstColumn="0" w:lastColumn="0" w:oddVBand="0" w:evenVBand="0" w:oddHBand="0" w:evenHBand="0" w:firstRowFirstColumn="0" w:firstRowLastColumn="0" w:lastRowFirstColumn="0" w:lastRowLastColumn="0"/>
              <w:rPr>
                <w:b/>
              </w:rPr>
            </w:pPr>
          </w:p>
        </w:tc>
        <w:tc>
          <w:tcPr>
            <w:tcW w:w="2261" w:type="dxa"/>
          </w:tcPr>
          <w:p w:rsidR="006B223E" w:rsidRPr="0020182A" w:rsidRDefault="006B223E" w:rsidP="009076FA">
            <w:pPr>
              <w:pStyle w:val="BodyText1"/>
              <w:jc w:val="center"/>
              <w:cnfStyle w:val="000000000000" w:firstRow="0" w:lastRow="0" w:firstColumn="0" w:lastColumn="0" w:oddVBand="0" w:evenVBand="0" w:oddHBand="0" w:evenHBand="0" w:firstRowFirstColumn="0" w:firstRowLastColumn="0" w:lastRowFirstColumn="0" w:lastRowLastColumn="0"/>
              <w:rPr>
                <w:b/>
              </w:rPr>
            </w:pPr>
            <w:r w:rsidRPr="0020182A">
              <w:rPr>
                <w:b/>
              </w:rPr>
              <w:t>131</w:t>
            </w:r>
          </w:p>
        </w:tc>
        <w:tc>
          <w:tcPr>
            <w:tcW w:w="2261" w:type="dxa"/>
          </w:tcPr>
          <w:p w:rsidR="006B223E" w:rsidRPr="0020182A" w:rsidRDefault="006B223E" w:rsidP="009076FA">
            <w:pPr>
              <w:pStyle w:val="BodyText1"/>
              <w:jc w:val="center"/>
              <w:cnfStyle w:val="000000000000" w:firstRow="0" w:lastRow="0" w:firstColumn="0" w:lastColumn="0" w:oddVBand="0" w:evenVBand="0" w:oddHBand="0" w:evenHBand="0" w:firstRowFirstColumn="0" w:firstRowLastColumn="0" w:lastRowFirstColumn="0" w:lastRowLastColumn="0"/>
              <w:rPr>
                <w:b/>
              </w:rPr>
            </w:pPr>
            <w:r w:rsidRPr="0020182A">
              <w:rPr>
                <w:b/>
              </w:rPr>
              <w:t>65</w:t>
            </w:r>
          </w:p>
        </w:tc>
      </w:tr>
    </w:tbl>
    <w:p w:rsidR="006B223E" w:rsidRPr="0020182A" w:rsidRDefault="006B223E" w:rsidP="007C1F27">
      <w:pPr>
        <w:pStyle w:val="BodyText0"/>
      </w:pPr>
    </w:p>
    <w:p w:rsidR="006B223E" w:rsidRPr="0020182A" w:rsidRDefault="006B223E" w:rsidP="006B223E">
      <w:pPr>
        <w:pStyle w:val="HeadingLevel2NoNumber"/>
      </w:pPr>
      <w:r w:rsidRPr="0020182A">
        <w:t xml:space="preserve">Confidential discussions </w:t>
      </w:r>
    </w:p>
    <w:p w:rsidR="006B223E" w:rsidRPr="0020182A" w:rsidRDefault="006B223E" w:rsidP="006B223E">
      <w:pPr>
        <w:pStyle w:val="Caption"/>
      </w:pPr>
      <w:r w:rsidRPr="0020182A">
        <w:t xml:space="preserve">Table </w:t>
      </w:r>
      <w:r w:rsidR="005A5471" w:rsidRPr="0020182A">
        <w:rPr>
          <w:noProof/>
        </w:rPr>
        <w:fldChar w:fldCharType="begin"/>
      </w:r>
      <w:r w:rsidR="005A5471" w:rsidRPr="0020182A">
        <w:rPr>
          <w:noProof/>
        </w:rPr>
        <w:instrText xml:space="preserve"> SEQ Table \* ARABIC </w:instrText>
      </w:r>
      <w:r w:rsidR="005A5471" w:rsidRPr="0020182A">
        <w:rPr>
          <w:noProof/>
        </w:rPr>
        <w:fldChar w:fldCharType="separate"/>
      </w:r>
      <w:r w:rsidR="00502D19">
        <w:rPr>
          <w:noProof/>
        </w:rPr>
        <w:t>13</w:t>
      </w:r>
      <w:r w:rsidR="005A5471" w:rsidRPr="0020182A">
        <w:rPr>
          <w:noProof/>
        </w:rPr>
        <w:fldChar w:fldCharType="end"/>
      </w:r>
      <w:r w:rsidRPr="0020182A">
        <w:t xml:space="preserve">: Number of confidential discussions held </w:t>
      </w:r>
    </w:p>
    <w:tbl>
      <w:tblPr>
        <w:tblStyle w:val="GridTable1Light-Accent2"/>
        <w:tblW w:w="907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Caption w:val="Table 13: Number of confidential discussions held"/>
        <w:tblDescription w:val="Number of confidential discussions held by location and number of organisations"/>
      </w:tblPr>
      <w:tblGrid>
        <w:gridCol w:w="6180"/>
        <w:gridCol w:w="2891"/>
      </w:tblGrid>
      <w:tr w:rsidR="006B223E" w:rsidRPr="0020182A" w:rsidTr="002757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180" w:type="dxa"/>
            <w:shd w:val="clear" w:color="auto" w:fill="0091DA" w:themeFill="accent2"/>
            <w:vAlign w:val="bottom"/>
          </w:tcPr>
          <w:p w:rsidR="006B223E" w:rsidRPr="0020182A" w:rsidRDefault="006B223E" w:rsidP="004E72E7">
            <w:pPr>
              <w:pStyle w:val="Tableheading"/>
              <w:rPr>
                <w:b w:val="0"/>
              </w:rPr>
            </w:pPr>
            <w:r w:rsidRPr="0020182A">
              <w:lastRenderedPageBreak/>
              <w:t>Location</w:t>
            </w:r>
          </w:p>
        </w:tc>
        <w:tc>
          <w:tcPr>
            <w:tcW w:w="2891" w:type="dxa"/>
            <w:shd w:val="clear" w:color="auto" w:fill="0091DA" w:themeFill="accent2"/>
            <w:vAlign w:val="bottom"/>
          </w:tcPr>
          <w:p w:rsidR="006B223E" w:rsidRPr="0020182A" w:rsidRDefault="006B223E" w:rsidP="004E72E7">
            <w:pPr>
              <w:pStyle w:val="Tableheading"/>
              <w:cnfStyle w:val="100000000000" w:firstRow="1" w:lastRow="0" w:firstColumn="0" w:lastColumn="0" w:oddVBand="0" w:evenVBand="0" w:oddHBand="0" w:evenHBand="0" w:firstRowFirstColumn="0" w:firstRowLastColumn="0" w:lastRowFirstColumn="0" w:lastRowLastColumn="0"/>
              <w:rPr>
                <w:b w:val="0"/>
              </w:rPr>
            </w:pPr>
            <w:r w:rsidRPr="0020182A">
              <w:t>Number of organisations</w:t>
            </w:r>
          </w:p>
        </w:tc>
      </w:tr>
      <w:tr w:rsidR="006B223E" w:rsidRPr="0020182A" w:rsidTr="009F1219">
        <w:tc>
          <w:tcPr>
            <w:cnfStyle w:val="001000000000" w:firstRow="0" w:lastRow="0" w:firstColumn="1" w:lastColumn="0" w:oddVBand="0" w:evenVBand="0" w:oddHBand="0" w:evenHBand="0" w:firstRowFirstColumn="0" w:firstRowLastColumn="0" w:lastRowFirstColumn="0" w:lastRowLastColumn="0"/>
            <w:tcW w:w="6180" w:type="dxa"/>
          </w:tcPr>
          <w:p w:rsidR="006B223E" w:rsidRPr="0020182A" w:rsidRDefault="006B223E" w:rsidP="009C3CFC">
            <w:pPr>
              <w:pStyle w:val="BodyText1"/>
              <w:rPr>
                <w:b w:val="0"/>
              </w:rPr>
            </w:pPr>
            <w:r w:rsidRPr="0020182A">
              <w:rPr>
                <w:b w:val="0"/>
              </w:rPr>
              <w:t>Phone discussions</w:t>
            </w:r>
          </w:p>
        </w:tc>
        <w:tc>
          <w:tcPr>
            <w:tcW w:w="2891" w:type="dxa"/>
          </w:tcPr>
          <w:p w:rsidR="006B223E" w:rsidRPr="0020182A" w:rsidRDefault="006B223E" w:rsidP="009076FA">
            <w:pPr>
              <w:pStyle w:val="BodyText1"/>
              <w:jc w:val="center"/>
              <w:cnfStyle w:val="000000000000" w:firstRow="0" w:lastRow="0" w:firstColumn="0" w:lastColumn="0" w:oddVBand="0" w:evenVBand="0" w:oddHBand="0" w:evenHBand="0" w:firstRowFirstColumn="0" w:firstRowLastColumn="0" w:lastRowFirstColumn="0" w:lastRowLastColumn="0"/>
            </w:pPr>
            <w:r w:rsidRPr="0020182A">
              <w:t>4</w:t>
            </w:r>
          </w:p>
        </w:tc>
      </w:tr>
      <w:tr w:rsidR="006B223E" w:rsidRPr="0020182A" w:rsidTr="009F1219">
        <w:trPr>
          <w:trHeight w:val="482"/>
        </w:trPr>
        <w:tc>
          <w:tcPr>
            <w:cnfStyle w:val="001000000000" w:firstRow="0" w:lastRow="0" w:firstColumn="1" w:lastColumn="0" w:oddVBand="0" w:evenVBand="0" w:oddHBand="0" w:evenHBand="0" w:firstRowFirstColumn="0" w:firstRowLastColumn="0" w:lastRowFirstColumn="0" w:lastRowLastColumn="0"/>
            <w:tcW w:w="6180" w:type="dxa"/>
          </w:tcPr>
          <w:p w:rsidR="006B223E" w:rsidRPr="0020182A" w:rsidRDefault="006B223E" w:rsidP="009C3CFC">
            <w:pPr>
              <w:pStyle w:val="BodyText1"/>
              <w:rPr>
                <w:b w:val="0"/>
              </w:rPr>
            </w:pPr>
            <w:r w:rsidRPr="0020182A">
              <w:rPr>
                <w:b w:val="0"/>
              </w:rPr>
              <w:t>Face-to-face discussions</w:t>
            </w:r>
          </w:p>
        </w:tc>
        <w:tc>
          <w:tcPr>
            <w:tcW w:w="2891" w:type="dxa"/>
          </w:tcPr>
          <w:p w:rsidR="006B223E" w:rsidRPr="0020182A" w:rsidRDefault="006B223E" w:rsidP="009076FA">
            <w:pPr>
              <w:pStyle w:val="BodyText1"/>
              <w:jc w:val="center"/>
              <w:cnfStyle w:val="000000000000" w:firstRow="0" w:lastRow="0" w:firstColumn="0" w:lastColumn="0" w:oddVBand="0" w:evenVBand="0" w:oddHBand="0" w:evenHBand="0" w:firstRowFirstColumn="0" w:firstRowLastColumn="0" w:lastRowFirstColumn="0" w:lastRowLastColumn="0"/>
            </w:pPr>
            <w:r w:rsidRPr="0020182A">
              <w:t>21</w:t>
            </w:r>
          </w:p>
        </w:tc>
      </w:tr>
      <w:tr w:rsidR="006B223E" w:rsidRPr="0020182A" w:rsidTr="009F1219">
        <w:trPr>
          <w:trHeight w:val="482"/>
        </w:trPr>
        <w:tc>
          <w:tcPr>
            <w:cnfStyle w:val="001000000000" w:firstRow="0" w:lastRow="0" w:firstColumn="1" w:lastColumn="0" w:oddVBand="0" w:evenVBand="0" w:oddHBand="0" w:evenHBand="0" w:firstRowFirstColumn="0" w:firstRowLastColumn="0" w:lastRowFirstColumn="0" w:lastRowLastColumn="0"/>
            <w:tcW w:w="6180" w:type="dxa"/>
          </w:tcPr>
          <w:p w:rsidR="006B223E" w:rsidRPr="0020182A" w:rsidRDefault="006B223E" w:rsidP="009C3CFC">
            <w:pPr>
              <w:pStyle w:val="BodyText1"/>
            </w:pPr>
            <w:r w:rsidRPr="0020182A">
              <w:t>Total</w:t>
            </w:r>
          </w:p>
        </w:tc>
        <w:tc>
          <w:tcPr>
            <w:tcW w:w="2891" w:type="dxa"/>
          </w:tcPr>
          <w:p w:rsidR="006B223E" w:rsidRPr="0020182A" w:rsidRDefault="006B223E" w:rsidP="009076FA">
            <w:pPr>
              <w:pStyle w:val="BodyText1"/>
              <w:jc w:val="center"/>
              <w:cnfStyle w:val="000000000000" w:firstRow="0" w:lastRow="0" w:firstColumn="0" w:lastColumn="0" w:oddVBand="0" w:evenVBand="0" w:oddHBand="0" w:evenHBand="0" w:firstRowFirstColumn="0" w:firstRowLastColumn="0" w:lastRowFirstColumn="0" w:lastRowLastColumn="0"/>
              <w:rPr>
                <w:b/>
              </w:rPr>
            </w:pPr>
            <w:r w:rsidRPr="0020182A">
              <w:rPr>
                <w:b/>
              </w:rPr>
              <w:t>25</w:t>
            </w:r>
          </w:p>
        </w:tc>
      </w:tr>
    </w:tbl>
    <w:p w:rsidR="006B223E" w:rsidRPr="0020182A" w:rsidRDefault="006B223E" w:rsidP="006B223E">
      <w:pPr>
        <w:pStyle w:val="BodyText0"/>
      </w:pPr>
    </w:p>
    <w:p w:rsidR="006B223E" w:rsidRPr="0020182A" w:rsidRDefault="006B223E" w:rsidP="006B223E">
      <w:pPr>
        <w:pStyle w:val="HeadingLevel2NoNumber"/>
      </w:pPr>
      <w:r w:rsidRPr="0020182A">
        <w:t>Written submissions</w:t>
      </w:r>
    </w:p>
    <w:p w:rsidR="006B223E" w:rsidRPr="0020182A" w:rsidRDefault="006B223E" w:rsidP="006B223E">
      <w:pPr>
        <w:pStyle w:val="Caption"/>
      </w:pPr>
      <w:r w:rsidRPr="0020182A">
        <w:t xml:space="preserve">Table </w:t>
      </w:r>
      <w:r w:rsidR="005A5471" w:rsidRPr="0020182A">
        <w:rPr>
          <w:noProof/>
        </w:rPr>
        <w:fldChar w:fldCharType="begin"/>
      </w:r>
      <w:r w:rsidR="005A5471" w:rsidRPr="0020182A">
        <w:rPr>
          <w:noProof/>
        </w:rPr>
        <w:instrText xml:space="preserve"> SEQ Table \* ARABIC </w:instrText>
      </w:r>
      <w:r w:rsidR="005A5471" w:rsidRPr="0020182A">
        <w:rPr>
          <w:noProof/>
        </w:rPr>
        <w:fldChar w:fldCharType="separate"/>
      </w:r>
      <w:r w:rsidR="00502D19">
        <w:rPr>
          <w:noProof/>
        </w:rPr>
        <w:t>14</w:t>
      </w:r>
      <w:r w:rsidR="005A5471" w:rsidRPr="0020182A">
        <w:rPr>
          <w:noProof/>
        </w:rPr>
        <w:fldChar w:fldCharType="end"/>
      </w:r>
      <w:r w:rsidRPr="0020182A">
        <w:t xml:space="preserve">: Number of written submissions received </w:t>
      </w:r>
    </w:p>
    <w:tbl>
      <w:tblPr>
        <w:tblStyle w:val="GridTable1Light-Accent2"/>
        <w:tblW w:w="904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Caption w:val="Table 14: Number of written submissions received "/>
        <w:tblDescription w:val="Number of submissions received for each of the four categories. The first category is people with disability, their families and their carers. The second category is organistions that represent people with disability and carers. The third category is provider/investor focussed organisations. The fourth category is government agencies."/>
      </w:tblPr>
      <w:tblGrid>
        <w:gridCol w:w="6232"/>
        <w:gridCol w:w="2811"/>
      </w:tblGrid>
      <w:tr w:rsidR="006B223E" w:rsidRPr="0020182A" w:rsidTr="002757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32" w:type="dxa"/>
            <w:shd w:val="clear" w:color="auto" w:fill="0091DA" w:themeFill="accent2"/>
          </w:tcPr>
          <w:p w:rsidR="006B223E" w:rsidRPr="0020182A" w:rsidRDefault="006B223E" w:rsidP="004E72E7">
            <w:pPr>
              <w:pStyle w:val="Tableheading"/>
              <w:rPr>
                <w:b w:val="0"/>
              </w:rPr>
            </w:pPr>
            <w:r w:rsidRPr="0020182A">
              <w:t>Name</w:t>
            </w:r>
          </w:p>
        </w:tc>
        <w:tc>
          <w:tcPr>
            <w:tcW w:w="2808" w:type="dxa"/>
            <w:shd w:val="clear" w:color="auto" w:fill="0091DA" w:themeFill="accent2"/>
          </w:tcPr>
          <w:p w:rsidR="006B223E" w:rsidRPr="0020182A" w:rsidRDefault="006B223E" w:rsidP="004E72E7">
            <w:pPr>
              <w:pStyle w:val="Tableheading"/>
              <w:cnfStyle w:val="100000000000" w:firstRow="1" w:lastRow="0" w:firstColumn="0" w:lastColumn="0" w:oddVBand="0" w:evenVBand="0" w:oddHBand="0" w:evenHBand="0" w:firstRowFirstColumn="0" w:firstRowLastColumn="0" w:lastRowFirstColumn="0" w:lastRowLastColumn="0"/>
              <w:rPr>
                <w:b w:val="0"/>
              </w:rPr>
            </w:pPr>
            <w:r w:rsidRPr="0020182A">
              <w:t xml:space="preserve">Number of submissions </w:t>
            </w:r>
          </w:p>
        </w:tc>
      </w:tr>
      <w:tr w:rsidR="006B223E" w:rsidRPr="0020182A" w:rsidTr="009F1219">
        <w:tc>
          <w:tcPr>
            <w:cnfStyle w:val="001000000000" w:firstRow="0" w:lastRow="0" w:firstColumn="1" w:lastColumn="0" w:oddVBand="0" w:evenVBand="0" w:oddHBand="0" w:evenHBand="0" w:firstRowFirstColumn="0" w:firstRowLastColumn="0" w:lastRowFirstColumn="0" w:lastRowLastColumn="0"/>
            <w:tcW w:w="6232" w:type="dxa"/>
          </w:tcPr>
          <w:p w:rsidR="006B223E" w:rsidRPr="0020182A" w:rsidRDefault="006B223E" w:rsidP="009C3CFC">
            <w:pPr>
              <w:pStyle w:val="BodyText1"/>
              <w:rPr>
                <w:b w:val="0"/>
              </w:rPr>
            </w:pPr>
            <w:r w:rsidRPr="0020182A">
              <w:rPr>
                <w:b w:val="0"/>
              </w:rPr>
              <w:t>People with disability, their families and their carers</w:t>
            </w:r>
          </w:p>
        </w:tc>
        <w:tc>
          <w:tcPr>
            <w:tcW w:w="2811" w:type="dxa"/>
          </w:tcPr>
          <w:p w:rsidR="006B223E" w:rsidRPr="0020182A" w:rsidRDefault="006B223E" w:rsidP="009076FA">
            <w:pPr>
              <w:pStyle w:val="BodyText1"/>
              <w:jc w:val="center"/>
              <w:cnfStyle w:val="000000000000" w:firstRow="0" w:lastRow="0" w:firstColumn="0" w:lastColumn="0" w:oddVBand="0" w:evenVBand="0" w:oddHBand="0" w:evenHBand="0" w:firstRowFirstColumn="0" w:firstRowLastColumn="0" w:lastRowFirstColumn="0" w:lastRowLastColumn="0"/>
            </w:pPr>
            <w:r w:rsidRPr="0020182A">
              <w:t>10</w:t>
            </w:r>
          </w:p>
        </w:tc>
      </w:tr>
      <w:tr w:rsidR="006B223E" w:rsidRPr="0020182A" w:rsidTr="009F1219">
        <w:tc>
          <w:tcPr>
            <w:cnfStyle w:val="001000000000" w:firstRow="0" w:lastRow="0" w:firstColumn="1" w:lastColumn="0" w:oddVBand="0" w:evenVBand="0" w:oddHBand="0" w:evenHBand="0" w:firstRowFirstColumn="0" w:firstRowLastColumn="0" w:lastRowFirstColumn="0" w:lastRowLastColumn="0"/>
            <w:tcW w:w="6232" w:type="dxa"/>
          </w:tcPr>
          <w:p w:rsidR="006B223E" w:rsidRPr="0020182A" w:rsidRDefault="006B223E" w:rsidP="009C3CFC">
            <w:pPr>
              <w:pStyle w:val="BodyText1"/>
              <w:rPr>
                <w:b w:val="0"/>
              </w:rPr>
            </w:pPr>
            <w:r w:rsidRPr="0020182A">
              <w:rPr>
                <w:b w:val="0"/>
              </w:rPr>
              <w:t>Organisations that represent people with disability and carers</w:t>
            </w:r>
          </w:p>
        </w:tc>
        <w:tc>
          <w:tcPr>
            <w:tcW w:w="2811" w:type="dxa"/>
          </w:tcPr>
          <w:p w:rsidR="006B223E" w:rsidRPr="0020182A" w:rsidRDefault="006B223E" w:rsidP="009076FA">
            <w:pPr>
              <w:pStyle w:val="BodyText1"/>
              <w:jc w:val="center"/>
              <w:cnfStyle w:val="000000000000" w:firstRow="0" w:lastRow="0" w:firstColumn="0" w:lastColumn="0" w:oddVBand="0" w:evenVBand="0" w:oddHBand="0" w:evenHBand="0" w:firstRowFirstColumn="0" w:firstRowLastColumn="0" w:lastRowFirstColumn="0" w:lastRowLastColumn="0"/>
            </w:pPr>
            <w:r w:rsidRPr="0020182A">
              <w:t>7</w:t>
            </w:r>
          </w:p>
        </w:tc>
      </w:tr>
      <w:tr w:rsidR="006B223E" w:rsidRPr="0020182A" w:rsidTr="009F1219">
        <w:tc>
          <w:tcPr>
            <w:cnfStyle w:val="001000000000" w:firstRow="0" w:lastRow="0" w:firstColumn="1" w:lastColumn="0" w:oddVBand="0" w:evenVBand="0" w:oddHBand="0" w:evenHBand="0" w:firstRowFirstColumn="0" w:firstRowLastColumn="0" w:lastRowFirstColumn="0" w:lastRowLastColumn="0"/>
            <w:tcW w:w="6232" w:type="dxa"/>
          </w:tcPr>
          <w:p w:rsidR="006B223E" w:rsidRPr="0020182A" w:rsidRDefault="006B223E" w:rsidP="009C3CFC">
            <w:pPr>
              <w:pStyle w:val="BodyText1"/>
              <w:rPr>
                <w:b w:val="0"/>
              </w:rPr>
            </w:pPr>
            <w:r w:rsidRPr="0020182A">
              <w:rPr>
                <w:b w:val="0"/>
              </w:rPr>
              <w:t>Provider/investor focussed organisations</w:t>
            </w:r>
          </w:p>
        </w:tc>
        <w:tc>
          <w:tcPr>
            <w:tcW w:w="2811" w:type="dxa"/>
          </w:tcPr>
          <w:p w:rsidR="006B223E" w:rsidRPr="0020182A" w:rsidRDefault="006B223E" w:rsidP="009076FA">
            <w:pPr>
              <w:pStyle w:val="BodyText1"/>
              <w:jc w:val="center"/>
              <w:cnfStyle w:val="000000000000" w:firstRow="0" w:lastRow="0" w:firstColumn="0" w:lastColumn="0" w:oddVBand="0" w:evenVBand="0" w:oddHBand="0" w:evenHBand="0" w:firstRowFirstColumn="0" w:firstRowLastColumn="0" w:lastRowFirstColumn="0" w:lastRowLastColumn="0"/>
            </w:pPr>
            <w:r w:rsidRPr="0020182A">
              <w:t>33</w:t>
            </w:r>
          </w:p>
        </w:tc>
      </w:tr>
      <w:tr w:rsidR="006B223E" w:rsidRPr="0020182A" w:rsidTr="009F1219">
        <w:tc>
          <w:tcPr>
            <w:cnfStyle w:val="001000000000" w:firstRow="0" w:lastRow="0" w:firstColumn="1" w:lastColumn="0" w:oddVBand="0" w:evenVBand="0" w:oddHBand="0" w:evenHBand="0" w:firstRowFirstColumn="0" w:firstRowLastColumn="0" w:lastRowFirstColumn="0" w:lastRowLastColumn="0"/>
            <w:tcW w:w="6232" w:type="dxa"/>
          </w:tcPr>
          <w:p w:rsidR="006B223E" w:rsidRPr="0020182A" w:rsidRDefault="006B223E" w:rsidP="009C3CFC">
            <w:pPr>
              <w:pStyle w:val="BodyText1"/>
              <w:rPr>
                <w:b w:val="0"/>
              </w:rPr>
            </w:pPr>
            <w:r w:rsidRPr="0020182A">
              <w:rPr>
                <w:b w:val="0"/>
              </w:rPr>
              <w:t>Government agencies</w:t>
            </w:r>
          </w:p>
        </w:tc>
        <w:tc>
          <w:tcPr>
            <w:tcW w:w="2811" w:type="dxa"/>
          </w:tcPr>
          <w:p w:rsidR="006B223E" w:rsidRPr="0020182A" w:rsidRDefault="006B223E" w:rsidP="009076FA">
            <w:pPr>
              <w:pStyle w:val="BodyText1"/>
              <w:jc w:val="center"/>
              <w:cnfStyle w:val="000000000000" w:firstRow="0" w:lastRow="0" w:firstColumn="0" w:lastColumn="0" w:oddVBand="0" w:evenVBand="0" w:oddHBand="0" w:evenHBand="0" w:firstRowFirstColumn="0" w:firstRowLastColumn="0" w:lastRowFirstColumn="0" w:lastRowLastColumn="0"/>
            </w:pPr>
            <w:r w:rsidRPr="0020182A">
              <w:t>1</w:t>
            </w:r>
          </w:p>
        </w:tc>
      </w:tr>
      <w:tr w:rsidR="006B223E" w:rsidRPr="0020182A" w:rsidTr="009F1219">
        <w:tc>
          <w:tcPr>
            <w:cnfStyle w:val="001000000000" w:firstRow="0" w:lastRow="0" w:firstColumn="1" w:lastColumn="0" w:oddVBand="0" w:evenVBand="0" w:oddHBand="0" w:evenHBand="0" w:firstRowFirstColumn="0" w:firstRowLastColumn="0" w:lastRowFirstColumn="0" w:lastRowLastColumn="0"/>
            <w:tcW w:w="6232" w:type="dxa"/>
          </w:tcPr>
          <w:p w:rsidR="006B223E" w:rsidRPr="0020182A" w:rsidRDefault="006B223E" w:rsidP="009C3CFC">
            <w:pPr>
              <w:pStyle w:val="BodyText1"/>
              <w:rPr>
                <w:b w:val="0"/>
              </w:rPr>
            </w:pPr>
            <w:r w:rsidRPr="0020182A">
              <w:t>Total</w:t>
            </w:r>
          </w:p>
        </w:tc>
        <w:tc>
          <w:tcPr>
            <w:tcW w:w="2811" w:type="dxa"/>
          </w:tcPr>
          <w:p w:rsidR="006B223E" w:rsidRPr="0020182A" w:rsidRDefault="006B223E" w:rsidP="009076FA">
            <w:pPr>
              <w:pStyle w:val="BodyText1"/>
              <w:jc w:val="center"/>
              <w:cnfStyle w:val="000000000000" w:firstRow="0" w:lastRow="0" w:firstColumn="0" w:lastColumn="0" w:oddVBand="0" w:evenVBand="0" w:oddHBand="0" w:evenHBand="0" w:firstRowFirstColumn="0" w:firstRowLastColumn="0" w:lastRowFirstColumn="0" w:lastRowLastColumn="0"/>
              <w:rPr>
                <w:b/>
              </w:rPr>
            </w:pPr>
            <w:r w:rsidRPr="0020182A">
              <w:rPr>
                <w:b/>
              </w:rPr>
              <w:t>51</w:t>
            </w:r>
          </w:p>
        </w:tc>
      </w:tr>
    </w:tbl>
    <w:p w:rsidR="00085869" w:rsidRPr="0020182A" w:rsidRDefault="00085869" w:rsidP="007C1F27">
      <w:pPr>
        <w:pStyle w:val="BodyText0"/>
        <w:sectPr w:rsidR="00085869" w:rsidRPr="0020182A" w:rsidSect="000A46A3">
          <w:headerReference w:type="default" r:id="rId71"/>
          <w:footerReference w:type="default" r:id="rId72"/>
          <w:pgSz w:w="11906" w:h="16838"/>
          <w:pgMar w:top="1418" w:right="1418" w:bottom="1418" w:left="1418" w:header="340" w:footer="453" w:gutter="0"/>
          <w:cols w:space="708"/>
          <w:docGrid w:linePitch="360"/>
        </w:sectPr>
      </w:pPr>
    </w:p>
    <w:p w:rsidR="00DD5D11" w:rsidRDefault="00DD5D11" w:rsidP="002757FC">
      <w:pPr>
        <w:pStyle w:val="Dividernumber"/>
        <w:rPr>
          <w:color w:val="00338D" w:themeColor="background2"/>
        </w:rPr>
      </w:pPr>
    </w:p>
    <w:p w:rsidR="00DD5D11" w:rsidRDefault="00DD5D11" w:rsidP="002757FC">
      <w:pPr>
        <w:pStyle w:val="Dividernumber"/>
        <w:rPr>
          <w:color w:val="00338D" w:themeColor="background2"/>
        </w:rPr>
      </w:pPr>
    </w:p>
    <w:p w:rsidR="002757FC" w:rsidRDefault="002757FC" w:rsidP="002757FC">
      <w:pPr>
        <w:pStyle w:val="Dividernumber"/>
        <w:rPr>
          <w:color w:val="00338D" w:themeColor="background2"/>
        </w:rPr>
      </w:pPr>
      <w:r w:rsidRPr="002757FC">
        <w:rPr>
          <w:color w:val="00338D" w:themeColor="background2"/>
        </w:rPr>
        <w:t>B</w:t>
      </w:r>
    </w:p>
    <w:p w:rsidR="00190028" w:rsidRDefault="00190028" w:rsidP="002757FC">
      <w:pPr>
        <w:pStyle w:val="Dividertitle"/>
        <w:rPr>
          <w:color w:val="00338D" w:themeColor="background2"/>
        </w:rPr>
      </w:pPr>
    </w:p>
    <w:p w:rsidR="002757FC" w:rsidRPr="002757FC" w:rsidRDefault="002757FC" w:rsidP="002757FC">
      <w:pPr>
        <w:pStyle w:val="Dividertitle"/>
        <w:rPr>
          <w:color w:val="00338D" w:themeColor="background2"/>
        </w:rPr>
      </w:pPr>
      <w:r w:rsidRPr="002757FC">
        <w:rPr>
          <w:color w:val="00338D" w:themeColor="background2"/>
        </w:rPr>
        <w:t>Appendix B</w:t>
      </w:r>
      <w:r w:rsidRPr="002757FC">
        <w:rPr>
          <w:color w:val="00338D" w:themeColor="background2"/>
        </w:rPr>
        <w:br/>
        <w:t>Review Framework</w:t>
      </w:r>
    </w:p>
    <w:p w:rsidR="00085869" w:rsidRPr="002757FC" w:rsidRDefault="002757FC" w:rsidP="002757FC">
      <w:pPr>
        <w:tabs>
          <w:tab w:val="left" w:pos="1482"/>
        </w:tabs>
        <w:sectPr w:rsidR="00085869" w:rsidRPr="002757FC" w:rsidSect="00E02C03">
          <w:headerReference w:type="default" r:id="rId73"/>
          <w:footerReference w:type="default" r:id="rId74"/>
          <w:pgSz w:w="11906" w:h="16838"/>
          <w:pgMar w:top="1418" w:right="1418" w:bottom="1418" w:left="1418" w:header="709" w:footer="453" w:gutter="0"/>
          <w:cols w:space="708"/>
          <w:docGrid w:linePitch="360"/>
        </w:sectPr>
      </w:pPr>
      <w:r>
        <w:tab/>
      </w:r>
    </w:p>
    <w:p w:rsidR="00127923" w:rsidRPr="0020182A" w:rsidRDefault="00127923" w:rsidP="00127923">
      <w:pPr>
        <w:pStyle w:val="Appendixheading"/>
      </w:pPr>
      <w:bookmarkStart w:id="82" w:name="_Toc530648964"/>
      <w:bookmarkStart w:id="83" w:name="_Toc515012416"/>
      <w:bookmarkStart w:id="84" w:name="_Toc515212365"/>
      <w:r w:rsidRPr="0020182A">
        <w:lastRenderedPageBreak/>
        <w:t>: Review framework</w:t>
      </w:r>
      <w:bookmarkEnd w:id="82"/>
    </w:p>
    <w:bookmarkEnd w:id="83"/>
    <w:bookmarkEnd w:id="84"/>
    <w:p w:rsidR="006B7E37" w:rsidRPr="0020182A" w:rsidRDefault="006B7E37" w:rsidP="006B7E37">
      <w:pPr>
        <w:pStyle w:val="BodyText1"/>
      </w:pPr>
      <w:r w:rsidRPr="0020182A">
        <w:t xml:space="preserve">The table below sets out the detailed questions to be considered in exploring each of the Review domains (outlined in section 3) and identifies inputs from consultation with stakeholders and other data and information analysis. It summarises the specific questions and topics for exploration regarding each of the six high-level review questions and maps these to the specific </w:t>
      </w:r>
      <w:r w:rsidR="002351C9">
        <w:t>TORs that</w:t>
      </w:r>
      <w:r w:rsidRPr="0020182A">
        <w:t xml:space="preserve"> they address, as well as the key stakeholders</w:t>
      </w:r>
      <w:bookmarkStart w:id="85" w:name="start"/>
      <w:bookmarkEnd w:id="85"/>
      <w:r w:rsidRPr="0020182A">
        <w:t xml:space="preserve"> likely to have perspectives on each question.</w:t>
      </w:r>
    </w:p>
    <w:p w:rsidR="006B7E37" w:rsidRDefault="002351C9" w:rsidP="006B7E37">
      <w:pPr>
        <w:pStyle w:val="BodyText1"/>
      </w:pPr>
      <w:r>
        <w:t>It was expected</w:t>
      </w:r>
      <w:r w:rsidR="006B7E37" w:rsidRPr="0020182A">
        <w:t xml:space="preserve"> that specific issues that have been listed as out of scope in Section 1 w</w:t>
      </w:r>
      <w:r>
        <w:t>ould</w:t>
      </w:r>
      <w:r w:rsidR="006B7E37" w:rsidRPr="0020182A">
        <w:t xml:space="preserve"> be raised during consultations and written submissions from stakeholders. In these circumstances, KPMG </w:t>
      </w:r>
      <w:r>
        <w:t>has</w:t>
      </w:r>
      <w:r w:rsidR="006B7E37" w:rsidRPr="0020182A">
        <w:t xml:space="preserve"> identif</w:t>
      </w:r>
      <w:r>
        <w:t>ied</w:t>
      </w:r>
      <w:r w:rsidR="006B7E37" w:rsidRPr="0020182A">
        <w:t xml:space="preserve"> these issues, however </w:t>
      </w:r>
      <w:r>
        <w:t>such input has</w:t>
      </w:r>
      <w:r w:rsidR="006B7E37" w:rsidRPr="0020182A">
        <w:t xml:space="preserve"> not contribute</w:t>
      </w:r>
      <w:r>
        <w:t>d</w:t>
      </w:r>
      <w:r w:rsidR="006B7E37" w:rsidRPr="0020182A">
        <w:t xml:space="preserve"> to broader analysis or recommendations for the Review.</w:t>
      </w:r>
    </w:p>
    <w:p w:rsidR="002351C9" w:rsidRDefault="002351C9" w:rsidP="00F06A5B">
      <w:pPr>
        <w:pStyle w:val="Caption"/>
      </w:pPr>
      <w:r>
        <w:t xml:space="preserve">Table </w:t>
      </w:r>
      <w:r w:rsidR="00357916">
        <w:rPr>
          <w:noProof/>
        </w:rPr>
        <w:fldChar w:fldCharType="begin"/>
      </w:r>
      <w:r w:rsidR="00357916">
        <w:rPr>
          <w:noProof/>
        </w:rPr>
        <w:instrText xml:space="preserve"> SEQ Table \* ARABIC </w:instrText>
      </w:r>
      <w:r w:rsidR="00357916">
        <w:rPr>
          <w:noProof/>
        </w:rPr>
        <w:fldChar w:fldCharType="separate"/>
      </w:r>
      <w:r w:rsidR="00502D19">
        <w:rPr>
          <w:noProof/>
        </w:rPr>
        <w:t>15</w:t>
      </w:r>
      <w:r w:rsidR="00357916">
        <w:rPr>
          <w:noProof/>
        </w:rPr>
        <w:fldChar w:fldCharType="end"/>
      </w:r>
      <w:r>
        <w:t>: Review Framework</w:t>
      </w:r>
    </w:p>
    <w:p w:rsidR="00FB5414" w:rsidRPr="00FB5414" w:rsidRDefault="00FB5414" w:rsidP="00FB5414"/>
    <w:tbl>
      <w:tblPr>
        <w:tblStyle w:val="ListTable3-Accent1"/>
        <w:tblpPr w:leftFromText="180" w:rightFromText="180" w:vertAnchor="text" w:tblpY="1"/>
        <w:tblOverlap w:val="never"/>
        <w:tblW w:w="13939" w:type="dxa"/>
        <w:tblInd w:w="0" w:type="dxa"/>
        <w:tblLook w:val="04A0" w:firstRow="1" w:lastRow="0" w:firstColumn="1" w:lastColumn="0" w:noHBand="0" w:noVBand="1"/>
        <w:tblCaption w:val="Table 15: Review Framework"/>
        <w:tblDescription w:val="Includes information in regards to review questions, TORs, consultation inputs and data anlysis."/>
      </w:tblPr>
      <w:tblGrid>
        <w:gridCol w:w="4372"/>
        <w:gridCol w:w="1135"/>
        <w:gridCol w:w="1423"/>
        <w:gridCol w:w="389"/>
        <w:gridCol w:w="1642"/>
        <w:gridCol w:w="260"/>
        <w:gridCol w:w="1626"/>
        <w:gridCol w:w="3092"/>
      </w:tblGrid>
      <w:tr w:rsidR="00FB5414" w:rsidRPr="00FB5414" w:rsidTr="000142E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right w:val="single" w:sz="4" w:space="0" w:color="005EB8" w:themeColor="accent1"/>
            </w:tcBorders>
            <w:shd w:val="clear" w:color="auto" w:fill="C4EBFF" w:themeFill="accent2" w:themeFillTint="33"/>
          </w:tcPr>
          <w:p w:rsidR="00FB5414" w:rsidRPr="00FB5414" w:rsidRDefault="00FB5414">
            <w:pPr>
              <w:pStyle w:val="Tablesubheading"/>
              <w:rPr>
                <w:b/>
                <w:bCs/>
                <w:color w:val="auto"/>
              </w:rPr>
            </w:pPr>
            <w:bookmarkStart w:id="86" w:name="_GoBack" w:colFirst="0" w:colLast="5"/>
            <w:r w:rsidRPr="00FB5414">
              <w:rPr>
                <w:color w:val="auto"/>
              </w:rPr>
              <w:t>Review questions for “Supply” – Does the Framework stimulate the required volume of supply?</w:t>
            </w:r>
          </w:p>
        </w:tc>
        <w:tc>
          <w:tcPr>
            <w:tcW w:w="1114" w:type="dxa"/>
            <w:tcBorders>
              <w:top w:val="single" w:sz="4" w:space="0" w:color="D9D9D9" w:themeColor="background1" w:themeShade="D9"/>
              <w:left w:val="single" w:sz="4" w:space="0" w:color="005EB8" w:themeColor="accent1"/>
              <w:bottom w:val="single" w:sz="4" w:space="0" w:color="D9D9D9" w:themeColor="background1" w:themeShade="D9"/>
              <w:right w:val="single" w:sz="4" w:space="0" w:color="005EB8" w:themeColor="accent1"/>
            </w:tcBorders>
            <w:shd w:val="clear" w:color="auto" w:fill="C4EBFF" w:themeFill="accent2" w:themeFillTint="33"/>
          </w:tcPr>
          <w:p w:rsidR="00FB5414" w:rsidRPr="00FB5414" w:rsidRDefault="00FB5414">
            <w:pPr>
              <w:pStyle w:val="Tablesubheading"/>
              <w:cnfStyle w:val="100000000000" w:firstRow="1" w:lastRow="0" w:firstColumn="0" w:lastColumn="0" w:oddVBand="0" w:evenVBand="0" w:oddHBand="0" w:evenHBand="0" w:firstRowFirstColumn="0" w:firstRowLastColumn="0" w:lastRowFirstColumn="0" w:lastRowLastColumn="0"/>
              <w:rPr>
                <w:b/>
                <w:bCs/>
                <w:color w:val="auto"/>
              </w:rPr>
            </w:pPr>
            <w:r w:rsidRPr="00FB5414">
              <w:rPr>
                <w:b/>
                <w:bCs/>
                <w:color w:val="auto"/>
              </w:rPr>
              <w:t>Terms of Reference covered by this question</w:t>
            </w:r>
          </w:p>
        </w:tc>
        <w:tc>
          <w:tcPr>
            <w:tcW w:w="3718" w:type="dxa"/>
            <w:gridSpan w:val="4"/>
            <w:tcBorders>
              <w:top w:val="single" w:sz="4" w:space="0" w:color="D9D9D9" w:themeColor="background1" w:themeShade="D9"/>
              <w:left w:val="single" w:sz="4" w:space="0" w:color="005EB8" w:themeColor="accent1"/>
              <w:bottom w:val="single" w:sz="4" w:space="0" w:color="D9D9D9" w:themeColor="background1" w:themeShade="D9"/>
              <w:right w:val="single" w:sz="4" w:space="0" w:color="005EB8" w:themeColor="accent1"/>
            </w:tcBorders>
            <w:shd w:val="clear" w:color="auto" w:fill="C4EBFF" w:themeFill="accent2" w:themeFillTint="33"/>
          </w:tcPr>
          <w:p w:rsidR="00FB5414" w:rsidRPr="00FB5414" w:rsidRDefault="00FB5414">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FB5414">
              <w:rPr>
                <w:b/>
                <w:bCs/>
                <w:color w:val="auto"/>
              </w:rPr>
              <w:t>Participant consultation input?</w:t>
            </w:r>
          </w:p>
          <w:p w:rsidR="00FB5414" w:rsidRPr="00FB5414" w:rsidRDefault="00FB5414">
            <w:pPr>
              <w:pStyle w:val="Tablesubheading"/>
              <w:cnfStyle w:val="100000000000" w:firstRow="1" w:lastRow="0" w:firstColumn="0" w:lastColumn="0" w:oddVBand="0" w:evenVBand="0" w:oddHBand="0" w:evenHBand="0" w:firstRowFirstColumn="0" w:firstRowLastColumn="0" w:lastRowFirstColumn="0" w:lastRowLastColumn="0"/>
              <w:rPr>
                <w:b/>
                <w:bCs/>
                <w:color w:val="auto"/>
              </w:rPr>
            </w:pPr>
            <w:r w:rsidRPr="00FB5414">
              <w:rPr>
                <w:b/>
                <w:bCs/>
                <w:color w:val="auto"/>
              </w:rPr>
              <w:t>Provider/investor consultation input?</w:t>
            </w:r>
          </w:p>
        </w:tc>
        <w:tc>
          <w:tcPr>
            <w:tcW w:w="1627" w:type="dxa"/>
            <w:tcBorders>
              <w:top w:val="single" w:sz="4" w:space="0" w:color="D9D9D9" w:themeColor="background1" w:themeShade="D9"/>
              <w:left w:val="single" w:sz="4" w:space="0" w:color="005EB8" w:themeColor="accent1"/>
              <w:bottom w:val="single" w:sz="4" w:space="0" w:color="D9D9D9" w:themeColor="background1" w:themeShade="D9"/>
              <w:right w:val="single" w:sz="4" w:space="0" w:color="005EB8" w:themeColor="accent1"/>
            </w:tcBorders>
            <w:shd w:val="clear" w:color="auto" w:fill="C4EBFF" w:themeFill="accent2" w:themeFillTint="33"/>
          </w:tcPr>
          <w:p w:rsidR="00FB5414" w:rsidRPr="00FB5414" w:rsidRDefault="00FB5414">
            <w:pPr>
              <w:pStyle w:val="Tablesubheading"/>
              <w:cnfStyle w:val="100000000000" w:firstRow="1" w:lastRow="0" w:firstColumn="0" w:lastColumn="0" w:oddVBand="0" w:evenVBand="0" w:oddHBand="0" w:evenHBand="0" w:firstRowFirstColumn="0" w:firstRowLastColumn="0" w:lastRowFirstColumn="0" w:lastRowLastColumn="0"/>
              <w:rPr>
                <w:b/>
                <w:bCs/>
                <w:color w:val="auto"/>
              </w:rPr>
            </w:pPr>
            <w:r w:rsidRPr="00FB5414">
              <w:rPr>
                <w:b/>
                <w:bCs/>
                <w:color w:val="auto"/>
              </w:rPr>
              <w:t>Government consultation input?</w:t>
            </w:r>
          </w:p>
        </w:tc>
        <w:tc>
          <w:tcPr>
            <w:tcW w:w="3096" w:type="dxa"/>
            <w:tcBorders>
              <w:top w:val="single" w:sz="4" w:space="0" w:color="D9D9D9" w:themeColor="background1" w:themeShade="D9"/>
              <w:left w:val="single" w:sz="4" w:space="0" w:color="005EB8" w:themeColor="accent1"/>
              <w:bottom w:val="single" w:sz="4" w:space="0" w:color="D9D9D9" w:themeColor="background1" w:themeShade="D9"/>
              <w:right w:val="single" w:sz="4" w:space="0" w:color="005EB8" w:themeColor="accent1"/>
            </w:tcBorders>
            <w:shd w:val="clear" w:color="auto" w:fill="C4EBFF" w:themeFill="accent2" w:themeFillTint="33"/>
          </w:tcPr>
          <w:p w:rsidR="00FB5414" w:rsidRPr="00FB5414" w:rsidRDefault="00FB5414">
            <w:pPr>
              <w:pStyle w:val="Tablesubheading"/>
              <w:cnfStyle w:val="100000000000" w:firstRow="1" w:lastRow="0" w:firstColumn="0" w:lastColumn="0" w:oddVBand="0" w:evenVBand="0" w:oddHBand="0" w:evenHBand="0" w:firstRowFirstColumn="0" w:firstRowLastColumn="0" w:lastRowFirstColumn="0" w:lastRowLastColumn="0"/>
              <w:rPr>
                <w:color w:val="auto"/>
              </w:rPr>
            </w:pPr>
            <w:r w:rsidRPr="00FB5414">
              <w:rPr>
                <w:color w:val="auto"/>
              </w:rPr>
              <w:t>Data analysis undertaken (this relates to the next four rows)</w:t>
            </w:r>
          </w:p>
        </w:tc>
      </w:tr>
      <w:bookmarkEnd w:id="86"/>
      <w:tr w:rsidR="006B7E37" w:rsidRPr="0020182A" w:rsidTr="00FB5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hideMark/>
          </w:tcPr>
          <w:p w:rsidR="006B7E37" w:rsidRPr="0020182A" w:rsidRDefault="006B7E37">
            <w:pPr>
              <w:pStyle w:val="Tabletext"/>
              <w:rPr>
                <w:b w:val="0"/>
              </w:rPr>
            </w:pPr>
            <w:r w:rsidRPr="0020182A">
              <w:rPr>
                <w:b w:val="0"/>
              </w:rPr>
              <w:t xml:space="preserve">What is the nature and level of interest in the SDA market?  </w:t>
            </w:r>
          </w:p>
          <w:p w:rsidR="006B7E37" w:rsidRPr="0020182A" w:rsidRDefault="006B7E37">
            <w:pPr>
              <w:pStyle w:val="Tabletext"/>
              <w:rPr>
                <w:b w:val="0"/>
              </w:rPr>
            </w:pPr>
            <w:r w:rsidRPr="0020182A">
              <w:rPr>
                <w:b w:val="0"/>
              </w:rPr>
              <w:t>Is this interest increasing over time?</w:t>
            </w:r>
          </w:p>
        </w:tc>
        <w:tc>
          <w:tcPr>
            <w:tcW w:w="111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100000" w:firstRow="0" w:lastRow="0" w:firstColumn="0" w:lastColumn="0" w:oddVBand="0" w:evenVBand="0" w:oddHBand="1" w:evenHBand="0" w:firstRowFirstColumn="0" w:firstRowLastColumn="0" w:lastRowFirstColumn="0" w:lastRowLastColumn="0"/>
            </w:pPr>
            <w:r w:rsidRPr="0020182A">
              <w:t>1,2</w:t>
            </w:r>
          </w:p>
        </w:tc>
        <w:tc>
          <w:tcPr>
            <w:tcW w:w="1424" w:type="dxa"/>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Tablecentredtext"/>
              <w:cnfStyle w:val="000000100000" w:firstRow="0" w:lastRow="0" w:firstColumn="0" w:lastColumn="0" w:oddVBand="0" w:evenVBand="0" w:oddHBand="1" w:evenHBand="0" w:firstRowFirstColumn="0" w:firstRowLastColumn="0" w:lastRowFirstColumn="0" w:lastRowLastColumn="0"/>
              <w:rPr>
                <w:sz w:val="19"/>
                <w:szCs w:val="19"/>
              </w:rPr>
            </w:pPr>
            <w:r>
              <w:rPr>
                <w:sz w:val="19"/>
                <w:szCs w:val="19"/>
              </w:rPr>
              <w:t>Nil</w:t>
            </w:r>
          </w:p>
        </w:tc>
        <w:tc>
          <w:tcPr>
            <w:tcW w:w="2294" w:type="dxa"/>
            <w:gridSpan w:val="3"/>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text"/>
              <w:jc w:val="center"/>
              <w:cnfStyle w:val="000000100000" w:firstRow="0" w:lastRow="0" w:firstColumn="0" w:lastColumn="0" w:oddVBand="0" w:evenVBand="0" w:oddHBand="1" w:evenHBand="0" w:firstRowFirstColumn="0" w:firstRowLastColumn="0" w:lastRowFirstColumn="0" w:lastRowLastColumn="0"/>
            </w:pPr>
            <w:r w:rsidRPr="0020182A">
              <w:sym w:font="Wingdings" w:char="F0FC"/>
            </w:r>
          </w:p>
        </w:tc>
        <w:tc>
          <w:tcPr>
            <w:tcW w:w="1627"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100000" w:firstRow="0" w:lastRow="0" w:firstColumn="0" w:lastColumn="0" w:oddVBand="0" w:evenVBand="0" w:oddHBand="1" w:evenHBand="0" w:firstRowFirstColumn="0" w:firstRowLastColumn="0" w:lastRowFirstColumn="0" w:lastRowLastColumn="0"/>
            </w:pPr>
            <w:r w:rsidRPr="0020182A">
              <w:sym w:font="Wingdings" w:char="F0FC"/>
            </w:r>
          </w:p>
        </w:tc>
        <w:tc>
          <w:tcPr>
            <w:tcW w:w="3096" w:type="dxa"/>
            <w:vMerge w:val="restart"/>
            <w:tcBorders>
              <w:top w:val="single" w:sz="4" w:space="0" w:color="D9D9D9" w:themeColor="background1" w:themeShade="D9"/>
              <w:left w:val="nil"/>
              <w:bottom w:val="single" w:sz="4" w:space="0" w:color="D9D9D9" w:themeColor="background1" w:themeShade="D9"/>
              <w:right w:val="single" w:sz="4" w:space="0" w:color="005EB8" w:themeColor="accent1"/>
            </w:tcBorders>
            <w:hideMark/>
          </w:tcPr>
          <w:p w:rsidR="006B7E37" w:rsidRPr="0020182A" w:rsidRDefault="006B7E37" w:rsidP="009B671C">
            <w:pPr>
              <w:pStyle w:val="BodyText"/>
              <w:numPr>
                <w:ilvl w:val="0"/>
                <w:numId w:val="21"/>
              </w:numPr>
              <w:cnfStyle w:val="000000100000" w:firstRow="0" w:lastRow="0" w:firstColumn="0" w:lastColumn="0" w:oddVBand="0" w:evenVBand="0" w:oddHBand="1" w:evenHBand="0" w:firstRowFirstColumn="0" w:firstRowLastColumn="0" w:lastRowFirstColumn="0" w:lastRowLastColumn="0"/>
              <w:rPr>
                <w:sz w:val="19"/>
                <w:szCs w:val="19"/>
              </w:rPr>
            </w:pPr>
            <w:r w:rsidRPr="0020182A">
              <w:rPr>
                <w:sz w:val="19"/>
                <w:szCs w:val="19"/>
              </w:rPr>
              <w:t>Numbers of SDA dwellings and places exist currently</w:t>
            </w:r>
          </w:p>
          <w:p w:rsidR="006B7E37" w:rsidRPr="0020182A" w:rsidRDefault="006B7E37" w:rsidP="009B671C">
            <w:pPr>
              <w:pStyle w:val="BodyText"/>
              <w:numPr>
                <w:ilvl w:val="0"/>
                <w:numId w:val="21"/>
              </w:numPr>
              <w:cnfStyle w:val="000000100000" w:firstRow="0" w:lastRow="0" w:firstColumn="0" w:lastColumn="0" w:oddVBand="0" w:evenVBand="0" w:oddHBand="1" w:evenHBand="0" w:firstRowFirstColumn="0" w:firstRowLastColumn="0" w:lastRowFirstColumn="0" w:lastRowLastColumn="0"/>
              <w:rPr>
                <w:sz w:val="19"/>
                <w:szCs w:val="19"/>
              </w:rPr>
            </w:pPr>
            <w:r w:rsidRPr="0020182A">
              <w:rPr>
                <w:sz w:val="19"/>
                <w:szCs w:val="19"/>
              </w:rPr>
              <w:t>Number of SDA dwellings over time</w:t>
            </w:r>
          </w:p>
          <w:p w:rsidR="006B7E37" w:rsidRPr="0020182A" w:rsidRDefault="006B7E37" w:rsidP="009B671C">
            <w:pPr>
              <w:pStyle w:val="BodyText"/>
              <w:numPr>
                <w:ilvl w:val="0"/>
                <w:numId w:val="21"/>
              </w:numPr>
              <w:cnfStyle w:val="000000100000" w:firstRow="0" w:lastRow="0" w:firstColumn="0" w:lastColumn="0" w:oddVBand="0" w:evenVBand="0" w:oddHBand="1" w:evenHBand="0" w:firstRowFirstColumn="0" w:firstRowLastColumn="0" w:lastRowFirstColumn="0" w:lastRowLastColumn="0"/>
              <w:rPr>
                <w:sz w:val="19"/>
                <w:szCs w:val="19"/>
              </w:rPr>
            </w:pPr>
            <w:r w:rsidRPr="0020182A">
              <w:rPr>
                <w:sz w:val="19"/>
                <w:szCs w:val="19"/>
              </w:rPr>
              <w:t>Numbers of providers registered in relation to existing dwellings and registered but not associated with an existing dwelling</w:t>
            </w:r>
          </w:p>
          <w:p w:rsidR="006B7E37" w:rsidRPr="0020182A" w:rsidRDefault="006B7E37" w:rsidP="009B671C">
            <w:pPr>
              <w:pStyle w:val="BodyText"/>
              <w:numPr>
                <w:ilvl w:val="0"/>
                <w:numId w:val="21"/>
              </w:numPr>
              <w:cnfStyle w:val="000000100000" w:firstRow="0" w:lastRow="0" w:firstColumn="0" w:lastColumn="0" w:oddVBand="0" w:evenVBand="0" w:oddHBand="1" w:evenHBand="0" w:firstRowFirstColumn="0" w:firstRowLastColumn="0" w:lastRowFirstColumn="0" w:lastRowLastColumn="0"/>
              <w:rPr>
                <w:sz w:val="19"/>
                <w:szCs w:val="19"/>
              </w:rPr>
            </w:pPr>
            <w:r w:rsidRPr="0020182A">
              <w:rPr>
                <w:sz w:val="19"/>
                <w:szCs w:val="19"/>
              </w:rPr>
              <w:lastRenderedPageBreak/>
              <w:t>Mix of provider type and dwelling type</w:t>
            </w:r>
          </w:p>
        </w:tc>
      </w:tr>
      <w:tr w:rsidR="006B7E37" w:rsidRPr="0020182A" w:rsidTr="00FB5414">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hideMark/>
          </w:tcPr>
          <w:p w:rsidR="006B7E37" w:rsidRPr="0020182A" w:rsidRDefault="006B7E37">
            <w:pPr>
              <w:pStyle w:val="Tabletext"/>
              <w:rPr>
                <w:b w:val="0"/>
              </w:rPr>
            </w:pPr>
            <w:r w:rsidRPr="0020182A">
              <w:rPr>
                <w:b w:val="0"/>
              </w:rPr>
              <w:t>Does the Framework create the right environment and conditions for ensuring the right supply mix (e.g. different geographies, type/size) of SDA dwellings?</w:t>
            </w:r>
          </w:p>
        </w:tc>
        <w:tc>
          <w:tcPr>
            <w:tcW w:w="111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000000" w:firstRow="0" w:lastRow="0" w:firstColumn="0" w:lastColumn="0" w:oddVBand="0" w:evenVBand="0" w:oddHBand="0" w:evenHBand="0" w:firstRowFirstColumn="0" w:firstRowLastColumn="0" w:lastRowFirstColumn="0" w:lastRowLastColumn="0"/>
              <w:rPr>
                <w:sz w:val="19"/>
                <w:szCs w:val="19"/>
              </w:rPr>
            </w:pPr>
            <w:r w:rsidRPr="0020182A">
              <w:rPr>
                <w:sz w:val="19"/>
                <w:szCs w:val="19"/>
              </w:rPr>
              <w:t>1,4</w:t>
            </w:r>
          </w:p>
        </w:tc>
        <w:tc>
          <w:tcPr>
            <w:tcW w:w="142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000000" w:firstRow="0" w:lastRow="0" w:firstColumn="0" w:lastColumn="0" w:oddVBand="0" w:evenVBand="0" w:oddHBand="0" w:evenHBand="0" w:firstRowFirstColumn="0" w:firstRowLastColumn="0" w:lastRowFirstColumn="0" w:lastRowLastColumn="0"/>
              <w:rPr>
                <w:sz w:val="19"/>
                <w:szCs w:val="19"/>
              </w:rPr>
            </w:pPr>
            <w:r w:rsidRPr="0020182A">
              <w:sym w:font="Wingdings" w:char="F0FC"/>
            </w:r>
          </w:p>
        </w:tc>
        <w:tc>
          <w:tcPr>
            <w:tcW w:w="2294" w:type="dxa"/>
            <w:gridSpan w:val="3"/>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000000" w:firstRow="0" w:lastRow="0" w:firstColumn="0" w:lastColumn="0" w:oddVBand="0" w:evenVBand="0" w:oddHBand="0" w:evenHBand="0" w:firstRowFirstColumn="0" w:firstRowLastColumn="0" w:lastRowFirstColumn="0" w:lastRowLastColumn="0"/>
            </w:pPr>
            <w:r w:rsidRPr="0020182A">
              <w:sym w:font="Wingdings" w:char="F0FC"/>
            </w:r>
          </w:p>
        </w:tc>
        <w:tc>
          <w:tcPr>
            <w:tcW w:w="1627" w:type="dxa"/>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Tablecentredtext"/>
              <w:cnfStyle w:val="000000000000" w:firstRow="0" w:lastRow="0" w:firstColumn="0" w:lastColumn="0" w:oddVBand="0" w:evenVBand="0" w:oddHBand="0" w:evenHBand="0" w:firstRowFirstColumn="0" w:firstRowLastColumn="0" w:lastRowFirstColumn="0" w:lastRowLastColumn="0"/>
            </w:pPr>
            <w:r>
              <w:t>Nil</w:t>
            </w:r>
          </w:p>
        </w:tc>
        <w:tc>
          <w:tcPr>
            <w:tcW w:w="0" w:type="auto"/>
            <w:vMerge/>
            <w:tcBorders>
              <w:top w:val="single" w:sz="4" w:space="0" w:color="D9D9D9" w:themeColor="background1" w:themeShade="D9"/>
              <w:left w:val="nil"/>
              <w:bottom w:val="single" w:sz="4" w:space="0" w:color="D9D9D9" w:themeColor="background1" w:themeShade="D9"/>
              <w:right w:val="single" w:sz="4" w:space="0" w:color="005EB8" w:themeColor="accent1"/>
            </w:tcBorders>
            <w:vAlign w:val="center"/>
            <w:hideMark/>
          </w:tcPr>
          <w:p w:rsidR="006B7E37" w:rsidRPr="0020182A" w:rsidRDefault="006B7E37">
            <w:pPr>
              <w:spacing w:before="0" w:after="0"/>
              <w:cnfStyle w:val="000000000000" w:firstRow="0" w:lastRow="0" w:firstColumn="0" w:lastColumn="0" w:oddVBand="0" w:evenVBand="0" w:oddHBand="0" w:evenHBand="0" w:firstRowFirstColumn="0" w:firstRowLastColumn="0" w:lastRowFirstColumn="0" w:lastRowLastColumn="0"/>
              <w:rPr>
                <w:sz w:val="19"/>
                <w:szCs w:val="19"/>
              </w:rPr>
            </w:pPr>
          </w:p>
        </w:tc>
      </w:tr>
      <w:tr w:rsidR="006B7E37" w:rsidRPr="0020182A" w:rsidTr="00FB5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hideMark/>
          </w:tcPr>
          <w:p w:rsidR="006B7E37" w:rsidRPr="0020182A" w:rsidRDefault="006B7E37">
            <w:pPr>
              <w:pStyle w:val="Tabletext"/>
              <w:rPr>
                <w:b w:val="0"/>
              </w:rPr>
            </w:pPr>
            <w:r w:rsidRPr="0020182A">
              <w:rPr>
                <w:b w:val="0"/>
              </w:rPr>
              <w:t>Does the Framework allow investors and providers to be flexible in the development of SDA (for example, how houses are built on a single site, etc.)?</w:t>
            </w:r>
          </w:p>
        </w:tc>
        <w:tc>
          <w:tcPr>
            <w:tcW w:w="111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100000" w:firstRow="0" w:lastRow="0" w:firstColumn="0" w:lastColumn="0" w:oddVBand="0" w:evenVBand="0" w:oddHBand="1" w:evenHBand="0" w:firstRowFirstColumn="0" w:firstRowLastColumn="0" w:lastRowFirstColumn="0" w:lastRowLastColumn="0"/>
              <w:rPr>
                <w:sz w:val="19"/>
                <w:szCs w:val="19"/>
              </w:rPr>
            </w:pPr>
            <w:r w:rsidRPr="0020182A">
              <w:rPr>
                <w:sz w:val="19"/>
                <w:szCs w:val="19"/>
              </w:rPr>
              <w:t>1,4</w:t>
            </w:r>
          </w:p>
        </w:tc>
        <w:tc>
          <w:tcPr>
            <w:tcW w:w="1424" w:type="dxa"/>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Tablecentredtext"/>
              <w:cnfStyle w:val="000000100000" w:firstRow="0" w:lastRow="0" w:firstColumn="0" w:lastColumn="0" w:oddVBand="0" w:evenVBand="0" w:oddHBand="1" w:evenHBand="0" w:firstRowFirstColumn="0" w:firstRowLastColumn="0" w:lastRowFirstColumn="0" w:lastRowLastColumn="0"/>
              <w:rPr>
                <w:sz w:val="19"/>
                <w:szCs w:val="19"/>
              </w:rPr>
            </w:pPr>
            <w:r>
              <w:rPr>
                <w:sz w:val="19"/>
                <w:szCs w:val="19"/>
              </w:rPr>
              <w:t>Nil</w:t>
            </w:r>
          </w:p>
        </w:tc>
        <w:tc>
          <w:tcPr>
            <w:tcW w:w="2294" w:type="dxa"/>
            <w:gridSpan w:val="3"/>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100000" w:firstRow="0" w:lastRow="0" w:firstColumn="0" w:lastColumn="0" w:oddVBand="0" w:evenVBand="0" w:oddHBand="1" w:evenHBand="0" w:firstRowFirstColumn="0" w:firstRowLastColumn="0" w:lastRowFirstColumn="0" w:lastRowLastColumn="0"/>
            </w:pPr>
            <w:r w:rsidRPr="0020182A">
              <w:sym w:font="Wingdings" w:char="F0FC"/>
            </w:r>
          </w:p>
        </w:tc>
        <w:tc>
          <w:tcPr>
            <w:tcW w:w="1627" w:type="dxa"/>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Tablecentredtext"/>
              <w:cnfStyle w:val="000000100000" w:firstRow="0" w:lastRow="0" w:firstColumn="0" w:lastColumn="0" w:oddVBand="0" w:evenVBand="0" w:oddHBand="1" w:evenHBand="0" w:firstRowFirstColumn="0" w:firstRowLastColumn="0" w:lastRowFirstColumn="0" w:lastRowLastColumn="0"/>
            </w:pPr>
            <w:r>
              <w:t>Nil</w:t>
            </w:r>
          </w:p>
        </w:tc>
        <w:tc>
          <w:tcPr>
            <w:tcW w:w="0" w:type="auto"/>
            <w:vMerge/>
            <w:tcBorders>
              <w:top w:val="single" w:sz="4" w:space="0" w:color="D9D9D9" w:themeColor="background1" w:themeShade="D9"/>
              <w:left w:val="nil"/>
              <w:bottom w:val="single" w:sz="4" w:space="0" w:color="D9D9D9" w:themeColor="background1" w:themeShade="D9"/>
              <w:right w:val="single" w:sz="4" w:space="0" w:color="005EB8" w:themeColor="accent1"/>
            </w:tcBorders>
            <w:vAlign w:val="center"/>
            <w:hideMark/>
          </w:tcPr>
          <w:p w:rsidR="006B7E37" w:rsidRPr="0020182A" w:rsidRDefault="006B7E37">
            <w:pPr>
              <w:spacing w:before="0" w:after="0"/>
              <w:cnfStyle w:val="000000100000" w:firstRow="0" w:lastRow="0" w:firstColumn="0" w:lastColumn="0" w:oddVBand="0" w:evenVBand="0" w:oddHBand="1" w:evenHBand="0" w:firstRowFirstColumn="0" w:firstRowLastColumn="0" w:lastRowFirstColumn="0" w:lastRowLastColumn="0"/>
              <w:rPr>
                <w:sz w:val="19"/>
                <w:szCs w:val="19"/>
              </w:rPr>
            </w:pPr>
          </w:p>
        </w:tc>
      </w:tr>
      <w:tr w:rsidR="006B7E37" w:rsidRPr="0020182A" w:rsidTr="00FB5414">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hideMark/>
          </w:tcPr>
          <w:p w:rsidR="006B7E37" w:rsidRPr="0020182A" w:rsidRDefault="006B7E37">
            <w:pPr>
              <w:rPr>
                <w:b w:val="0"/>
              </w:rPr>
            </w:pPr>
            <w:r w:rsidRPr="0020182A">
              <w:rPr>
                <w:b w:val="0"/>
              </w:rPr>
              <w:lastRenderedPageBreak/>
              <w:t>Has the Framework resulted in any unintended impacts or consequences with respect to supply?</w:t>
            </w:r>
          </w:p>
        </w:tc>
        <w:tc>
          <w:tcPr>
            <w:tcW w:w="111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BodyText"/>
              <w:jc w:val="center"/>
              <w:cnfStyle w:val="000000000000" w:firstRow="0" w:lastRow="0" w:firstColumn="0" w:lastColumn="0" w:oddVBand="0" w:evenVBand="0" w:oddHBand="0" w:evenHBand="0" w:firstRowFirstColumn="0" w:firstRowLastColumn="0" w:lastRowFirstColumn="0" w:lastRowLastColumn="0"/>
              <w:rPr>
                <w:sz w:val="19"/>
                <w:szCs w:val="19"/>
              </w:rPr>
            </w:pPr>
            <w:r w:rsidRPr="0020182A">
              <w:rPr>
                <w:sz w:val="19"/>
                <w:szCs w:val="19"/>
              </w:rPr>
              <w:t>3</w:t>
            </w:r>
          </w:p>
        </w:tc>
        <w:tc>
          <w:tcPr>
            <w:tcW w:w="142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BodyText"/>
              <w:jc w:val="center"/>
              <w:cnfStyle w:val="000000000000" w:firstRow="0" w:lastRow="0" w:firstColumn="0" w:lastColumn="0" w:oddVBand="0" w:evenVBand="0" w:oddHBand="0" w:evenHBand="0" w:firstRowFirstColumn="0" w:firstRowLastColumn="0" w:lastRowFirstColumn="0" w:lastRowLastColumn="0"/>
              <w:rPr>
                <w:sz w:val="19"/>
                <w:szCs w:val="19"/>
              </w:rPr>
            </w:pPr>
            <w:r w:rsidRPr="0020182A">
              <w:sym w:font="Wingdings" w:char="F0FC"/>
            </w:r>
          </w:p>
        </w:tc>
        <w:tc>
          <w:tcPr>
            <w:tcW w:w="2294" w:type="dxa"/>
            <w:gridSpan w:val="3"/>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000000" w:firstRow="0" w:lastRow="0" w:firstColumn="0" w:lastColumn="0" w:oddVBand="0" w:evenVBand="0" w:oddHBand="0" w:evenHBand="0" w:firstRowFirstColumn="0" w:firstRowLastColumn="0" w:lastRowFirstColumn="0" w:lastRowLastColumn="0"/>
            </w:pPr>
            <w:r w:rsidRPr="0020182A">
              <w:sym w:font="Wingdings" w:char="F0FC"/>
            </w:r>
          </w:p>
        </w:tc>
        <w:tc>
          <w:tcPr>
            <w:tcW w:w="1627"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000000" w:firstRow="0" w:lastRow="0" w:firstColumn="0" w:lastColumn="0" w:oddVBand="0" w:evenVBand="0" w:oddHBand="0" w:evenHBand="0" w:firstRowFirstColumn="0" w:firstRowLastColumn="0" w:lastRowFirstColumn="0" w:lastRowLastColumn="0"/>
            </w:pPr>
            <w:r w:rsidRPr="0020182A">
              <w:sym w:font="Wingdings" w:char="F0FC"/>
            </w:r>
          </w:p>
        </w:tc>
        <w:tc>
          <w:tcPr>
            <w:tcW w:w="0" w:type="auto"/>
            <w:vMerge/>
            <w:tcBorders>
              <w:top w:val="single" w:sz="4" w:space="0" w:color="D9D9D9" w:themeColor="background1" w:themeShade="D9"/>
              <w:left w:val="nil"/>
              <w:bottom w:val="single" w:sz="4" w:space="0" w:color="D9D9D9" w:themeColor="background1" w:themeShade="D9"/>
              <w:right w:val="single" w:sz="4" w:space="0" w:color="005EB8" w:themeColor="accent1"/>
            </w:tcBorders>
            <w:vAlign w:val="center"/>
            <w:hideMark/>
          </w:tcPr>
          <w:p w:rsidR="006B7E37" w:rsidRPr="0020182A" w:rsidRDefault="006B7E37">
            <w:pPr>
              <w:spacing w:before="0" w:after="0"/>
              <w:cnfStyle w:val="000000000000" w:firstRow="0" w:lastRow="0" w:firstColumn="0" w:lastColumn="0" w:oddVBand="0" w:evenVBand="0" w:oddHBand="0" w:evenHBand="0" w:firstRowFirstColumn="0" w:firstRowLastColumn="0" w:lastRowFirstColumn="0" w:lastRowLastColumn="0"/>
              <w:rPr>
                <w:sz w:val="19"/>
                <w:szCs w:val="19"/>
              </w:rPr>
            </w:pPr>
          </w:p>
        </w:tc>
      </w:tr>
      <w:tr w:rsidR="00FB5414" w:rsidRPr="0020182A" w:rsidTr="00FB5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tcPr>
          <w:p w:rsidR="00FB5414" w:rsidRPr="0020182A" w:rsidRDefault="00FB5414" w:rsidP="00FB5414">
            <w:pPr>
              <w:pStyle w:val="Tablesubheading"/>
              <w:rPr>
                <w:b/>
                <w:bCs/>
              </w:rPr>
            </w:pPr>
            <w:r>
              <w:t>Review questions for “Pricing and Payments” – Does the Framework support the NDIA to appropriately set prices?</w:t>
            </w:r>
          </w:p>
        </w:tc>
        <w:tc>
          <w:tcPr>
            <w:tcW w:w="1114" w:type="dxa"/>
            <w:tcBorders>
              <w:top w:val="single" w:sz="4" w:space="0" w:color="D9D9D9" w:themeColor="background1" w:themeShade="D9"/>
              <w:left w:val="nil"/>
              <w:bottom w:val="single" w:sz="4" w:space="0" w:color="D9D9D9" w:themeColor="background1" w:themeShade="D9"/>
              <w:right w:val="nil"/>
            </w:tcBorders>
          </w:tcPr>
          <w:p w:rsidR="00FB5414" w:rsidRPr="0020182A" w:rsidRDefault="00FB5414" w:rsidP="00FB5414">
            <w:pPr>
              <w:pStyle w:val="Tablesubheading"/>
              <w:cnfStyle w:val="000000100000" w:firstRow="0" w:lastRow="0" w:firstColumn="0" w:lastColumn="0" w:oddVBand="0" w:evenVBand="0" w:oddHBand="1" w:evenHBand="0" w:firstRowFirstColumn="0" w:firstRowLastColumn="0" w:lastRowFirstColumn="0" w:lastRowLastColumn="0"/>
              <w:rPr>
                <w:b w:val="0"/>
                <w:bCs w:val="0"/>
              </w:rPr>
            </w:pPr>
            <w:r>
              <w:rPr>
                <w:b w:val="0"/>
                <w:bCs w:val="0"/>
              </w:rPr>
              <w:t>Terms of Reference covered by this question</w:t>
            </w:r>
          </w:p>
        </w:tc>
        <w:tc>
          <w:tcPr>
            <w:tcW w:w="1424" w:type="dxa"/>
            <w:tcBorders>
              <w:top w:val="single" w:sz="4" w:space="0" w:color="D9D9D9" w:themeColor="background1" w:themeShade="D9"/>
              <w:left w:val="nil"/>
              <w:bottom w:val="single" w:sz="4" w:space="0" w:color="D9D9D9" w:themeColor="background1" w:themeShade="D9"/>
              <w:right w:val="nil"/>
            </w:tcBorders>
          </w:tcPr>
          <w:p w:rsidR="00FB5414" w:rsidRPr="0020182A" w:rsidRDefault="00FB5414" w:rsidP="00FB5414">
            <w:pPr>
              <w:pStyle w:val="Tablesubheading"/>
              <w:cnfStyle w:val="000000100000" w:firstRow="0" w:lastRow="0" w:firstColumn="0" w:lastColumn="0" w:oddVBand="0" w:evenVBand="0" w:oddHBand="1" w:evenHBand="0" w:firstRowFirstColumn="0" w:firstRowLastColumn="0" w:lastRowFirstColumn="0" w:lastRowLastColumn="0"/>
              <w:rPr>
                <w:b w:val="0"/>
                <w:bCs w:val="0"/>
              </w:rPr>
            </w:pPr>
            <w:r>
              <w:rPr>
                <w:b w:val="0"/>
                <w:bCs w:val="0"/>
              </w:rPr>
              <w:t>Participant consultation input?</w:t>
            </w:r>
          </w:p>
        </w:tc>
        <w:tc>
          <w:tcPr>
            <w:tcW w:w="2294" w:type="dxa"/>
            <w:gridSpan w:val="3"/>
            <w:tcBorders>
              <w:top w:val="single" w:sz="4" w:space="0" w:color="D9D9D9" w:themeColor="background1" w:themeShade="D9"/>
              <w:left w:val="nil"/>
              <w:bottom w:val="single" w:sz="4" w:space="0" w:color="D9D9D9" w:themeColor="background1" w:themeShade="D9"/>
              <w:right w:val="nil"/>
            </w:tcBorders>
          </w:tcPr>
          <w:p w:rsidR="00FB5414" w:rsidRPr="0020182A" w:rsidRDefault="00FB5414" w:rsidP="00FB5414">
            <w:pPr>
              <w:pStyle w:val="Tablesubheading"/>
              <w:cnfStyle w:val="000000100000" w:firstRow="0" w:lastRow="0" w:firstColumn="0" w:lastColumn="0" w:oddVBand="0" w:evenVBand="0" w:oddHBand="1" w:evenHBand="0" w:firstRowFirstColumn="0" w:firstRowLastColumn="0" w:lastRowFirstColumn="0" w:lastRowLastColumn="0"/>
              <w:rPr>
                <w:b w:val="0"/>
                <w:bCs w:val="0"/>
              </w:rPr>
            </w:pPr>
            <w:r>
              <w:rPr>
                <w:b w:val="0"/>
                <w:bCs w:val="0"/>
              </w:rPr>
              <w:t>Provider/investor consultation input?</w:t>
            </w:r>
          </w:p>
        </w:tc>
        <w:tc>
          <w:tcPr>
            <w:tcW w:w="1627" w:type="dxa"/>
            <w:tcBorders>
              <w:top w:val="single" w:sz="4" w:space="0" w:color="D9D9D9" w:themeColor="background1" w:themeShade="D9"/>
              <w:left w:val="nil"/>
              <w:bottom w:val="single" w:sz="4" w:space="0" w:color="D9D9D9" w:themeColor="background1" w:themeShade="D9"/>
              <w:right w:val="nil"/>
            </w:tcBorders>
          </w:tcPr>
          <w:p w:rsidR="00FB5414" w:rsidRPr="0020182A" w:rsidRDefault="00FB5414" w:rsidP="00FB5414">
            <w:pPr>
              <w:pStyle w:val="Tablesubheading"/>
              <w:cnfStyle w:val="000000100000" w:firstRow="0" w:lastRow="0" w:firstColumn="0" w:lastColumn="0" w:oddVBand="0" w:evenVBand="0" w:oddHBand="1" w:evenHBand="0" w:firstRowFirstColumn="0" w:firstRowLastColumn="0" w:lastRowFirstColumn="0" w:lastRowLastColumn="0"/>
              <w:rPr>
                <w:b w:val="0"/>
                <w:bCs w:val="0"/>
              </w:rPr>
            </w:pPr>
            <w:r>
              <w:rPr>
                <w:b w:val="0"/>
                <w:bCs w:val="0"/>
              </w:rPr>
              <w:t>Government consultation input?</w:t>
            </w:r>
          </w:p>
        </w:tc>
        <w:tc>
          <w:tcPr>
            <w:tcW w:w="3096" w:type="dxa"/>
            <w:tcBorders>
              <w:top w:val="single" w:sz="4" w:space="0" w:color="D9D9D9" w:themeColor="background1" w:themeShade="D9"/>
              <w:left w:val="nil"/>
              <w:bottom w:val="single" w:sz="4" w:space="0" w:color="D9D9D9" w:themeColor="background1" w:themeShade="D9"/>
              <w:right w:val="single" w:sz="4" w:space="0" w:color="005EB8" w:themeColor="accent1"/>
            </w:tcBorders>
          </w:tcPr>
          <w:p w:rsidR="00FB5414" w:rsidRPr="0020182A" w:rsidRDefault="00FB5414" w:rsidP="00FB5414">
            <w:pPr>
              <w:pStyle w:val="Tablesubheading"/>
              <w:cnfStyle w:val="000000100000" w:firstRow="0" w:lastRow="0" w:firstColumn="0" w:lastColumn="0" w:oddVBand="0" w:evenVBand="0" w:oddHBand="1" w:evenHBand="0" w:firstRowFirstColumn="0" w:firstRowLastColumn="0" w:lastRowFirstColumn="0" w:lastRowLastColumn="0"/>
            </w:pPr>
            <w:r>
              <w:t>Data analysis undertaken (this relates to the next 5 rows)</w:t>
            </w:r>
          </w:p>
        </w:tc>
      </w:tr>
      <w:tr w:rsidR="006B7E37" w:rsidRPr="0020182A" w:rsidTr="00FB5414">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hideMark/>
          </w:tcPr>
          <w:p w:rsidR="006B7E37" w:rsidRPr="0020182A" w:rsidRDefault="006B7E37">
            <w:pPr>
              <w:rPr>
                <w:b w:val="0"/>
              </w:rPr>
            </w:pPr>
            <w:r w:rsidRPr="0020182A">
              <w:rPr>
                <w:b w:val="0"/>
              </w:rPr>
              <w:t>Are SDA prices sufficient to cover costs of investment, development and operation?</w:t>
            </w:r>
          </w:p>
        </w:tc>
        <w:tc>
          <w:tcPr>
            <w:tcW w:w="111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BodyText"/>
              <w:jc w:val="center"/>
              <w:cnfStyle w:val="000000000000" w:firstRow="0" w:lastRow="0" w:firstColumn="0" w:lastColumn="0" w:oddVBand="0" w:evenVBand="0" w:oddHBand="0" w:evenHBand="0" w:firstRowFirstColumn="0" w:firstRowLastColumn="0" w:lastRowFirstColumn="0" w:lastRowLastColumn="0"/>
              <w:rPr>
                <w:sz w:val="19"/>
                <w:szCs w:val="19"/>
              </w:rPr>
            </w:pPr>
            <w:r w:rsidRPr="0020182A">
              <w:rPr>
                <w:sz w:val="19"/>
                <w:szCs w:val="19"/>
              </w:rPr>
              <w:t>1,2</w:t>
            </w:r>
          </w:p>
        </w:tc>
        <w:tc>
          <w:tcPr>
            <w:tcW w:w="1424" w:type="dxa"/>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BodyText"/>
              <w:jc w:val="center"/>
              <w:cnfStyle w:val="000000000000" w:firstRow="0" w:lastRow="0" w:firstColumn="0" w:lastColumn="0" w:oddVBand="0" w:evenVBand="0" w:oddHBand="0" w:evenHBand="0" w:firstRowFirstColumn="0" w:firstRowLastColumn="0" w:lastRowFirstColumn="0" w:lastRowLastColumn="0"/>
              <w:rPr>
                <w:sz w:val="19"/>
                <w:szCs w:val="19"/>
              </w:rPr>
            </w:pPr>
            <w:r>
              <w:rPr>
                <w:sz w:val="19"/>
                <w:szCs w:val="19"/>
              </w:rPr>
              <w:t>Nil</w:t>
            </w:r>
          </w:p>
        </w:tc>
        <w:tc>
          <w:tcPr>
            <w:tcW w:w="2294" w:type="dxa"/>
            <w:gridSpan w:val="3"/>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000000" w:firstRow="0" w:lastRow="0" w:firstColumn="0" w:lastColumn="0" w:oddVBand="0" w:evenVBand="0" w:oddHBand="0" w:evenHBand="0" w:firstRowFirstColumn="0" w:firstRowLastColumn="0" w:lastRowFirstColumn="0" w:lastRowLastColumn="0"/>
            </w:pPr>
            <w:r w:rsidRPr="0020182A">
              <w:sym w:font="Wingdings" w:char="F0FC"/>
            </w:r>
          </w:p>
        </w:tc>
        <w:tc>
          <w:tcPr>
            <w:tcW w:w="1627" w:type="dxa"/>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Tablecentredtext"/>
              <w:cnfStyle w:val="000000000000" w:firstRow="0" w:lastRow="0" w:firstColumn="0" w:lastColumn="0" w:oddVBand="0" w:evenVBand="0" w:oddHBand="0" w:evenHBand="0" w:firstRowFirstColumn="0" w:firstRowLastColumn="0" w:lastRowFirstColumn="0" w:lastRowLastColumn="0"/>
            </w:pPr>
            <w:r>
              <w:t>Nil</w:t>
            </w:r>
          </w:p>
        </w:tc>
        <w:tc>
          <w:tcPr>
            <w:tcW w:w="3096" w:type="dxa"/>
            <w:vMerge w:val="restart"/>
            <w:tcBorders>
              <w:top w:val="single" w:sz="4" w:space="0" w:color="D9D9D9" w:themeColor="background1" w:themeShade="D9"/>
              <w:left w:val="nil"/>
              <w:bottom w:val="single" w:sz="4" w:space="0" w:color="D9D9D9" w:themeColor="background1" w:themeShade="D9"/>
              <w:right w:val="single" w:sz="4" w:space="0" w:color="005EB8" w:themeColor="accent1"/>
            </w:tcBorders>
            <w:hideMark/>
          </w:tcPr>
          <w:p w:rsidR="006B7E37" w:rsidRPr="0020182A" w:rsidRDefault="006B7E37" w:rsidP="009B671C">
            <w:pPr>
              <w:pStyle w:val="BodyText"/>
              <w:numPr>
                <w:ilvl w:val="0"/>
                <w:numId w:val="22"/>
              </w:numPr>
              <w:cnfStyle w:val="000000000000" w:firstRow="0" w:lastRow="0" w:firstColumn="0" w:lastColumn="0" w:oddVBand="0" w:evenVBand="0" w:oddHBand="0" w:evenHBand="0" w:firstRowFirstColumn="0" w:firstRowLastColumn="0" w:lastRowFirstColumn="0" w:lastRowLastColumn="0"/>
              <w:rPr>
                <w:sz w:val="19"/>
                <w:szCs w:val="19"/>
              </w:rPr>
            </w:pPr>
            <w:r w:rsidRPr="0020182A">
              <w:rPr>
                <w:sz w:val="19"/>
                <w:szCs w:val="19"/>
              </w:rPr>
              <w:t>Analysis of funds included in NDIS plans for SDA – average, differences across dwelling types</w:t>
            </w:r>
          </w:p>
          <w:p w:rsidR="006B7E37" w:rsidRPr="0020182A" w:rsidRDefault="006B7E37" w:rsidP="009B671C">
            <w:pPr>
              <w:pStyle w:val="BodyText"/>
              <w:numPr>
                <w:ilvl w:val="0"/>
                <w:numId w:val="22"/>
              </w:numPr>
              <w:cnfStyle w:val="000000000000" w:firstRow="0" w:lastRow="0" w:firstColumn="0" w:lastColumn="0" w:oddVBand="0" w:evenVBand="0" w:oddHBand="0" w:evenHBand="0" w:firstRowFirstColumn="0" w:firstRowLastColumn="0" w:lastRowFirstColumn="0" w:lastRowLastColumn="0"/>
              <w:rPr>
                <w:sz w:val="19"/>
                <w:szCs w:val="19"/>
              </w:rPr>
            </w:pPr>
            <w:r w:rsidRPr="0020182A">
              <w:rPr>
                <w:sz w:val="19"/>
                <w:szCs w:val="19"/>
              </w:rPr>
              <w:t>Analysis of SDA pricing compared to dwelling build costs</w:t>
            </w:r>
          </w:p>
          <w:p w:rsidR="006B7E37" w:rsidRPr="0020182A" w:rsidRDefault="006B7E37" w:rsidP="009B671C">
            <w:pPr>
              <w:pStyle w:val="BodyText"/>
              <w:numPr>
                <w:ilvl w:val="0"/>
                <w:numId w:val="22"/>
              </w:numPr>
              <w:cnfStyle w:val="000000000000" w:firstRow="0" w:lastRow="0" w:firstColumn="0" w:lastColumn="0" w:oddVBand="0" w:evenVBand="0" w:oddHBand="0" w:evenHBand="0" w:firstRowFirstColumn="0" w:firstRowLastColumn="0" w:lastRowFirstColumn="0" w:lastRowLastColumn="0"/>
              <w:rPr>
                <w:sz w:val="19"/>
                <w:szCs w:val="19"/>
              </w:rPr>
            </w:pPr>
            <w:r w:rsidRPr="0020182A">
              <w:rPr>
                <w:sz w:val="19"/>
                <w:szCs w:val="19"/>
              </w:rPr>
              <w:t>Analysis of Participant characteristics and plan contents and values for SDA recipients</w:t>
            </w:r>
          </w:p>
          <w:p w:rsidR="006B7E37" w:rsidRPr="0020182A" w:rsidRDefault="006B7E37" w:rsidP="009B671C">
            <w:pPr>
              <w:pStyle w:val="BodyText"/>
              <w:numPr>
                <w:ilvl w:val="0"/>
                <w:numId w:val="22"/>
              </w:numPr>
              <w:cnfStyle w:val="000000000000" w:firstRow="0" w:lastRow="0" w:firstColumn="0" w:lastColumn="0" w:oddVBand="0" w:evenVBand="0" w:oddHBand="0" w:evenHBand="0" w:firstRowFirstColumn="0" w:firstRowLastColumn="0" w:lastRowFirstColumn="0" w:lastRowLastColumn="0"/>
              <w:rPr>
                <w:sz w:val="19"/>
                <w:szCs w:val="19"/>
              </w:rPr>
            </w:pPr>
            <w:r w:rsidRPr="0020182A">
              <w:rPr>
                <w:sz w:val="19"/>
                <w:szCs w:val="19"/>
              </w:rPr>
              <w:t>McKinsey Independent Pricing Review</w:t>
            </w:r>
          </w:p>
        </w:tc>
      </w:tr>
      <w:tr w:rsidR="006B7E37" w:rsidRPr="0020182A" w:rsidTr="00FB5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hideMark/>
          </w:tcPr>
          <w:p w:rsidR="006B7E37" w:rsidRPr="0020182A" w:rsidRDefault="006B7E37">
            <w:pPr>
              <w:rPr>
                <w:b w:val="0"/>
              </w:rPr>
            </w:pPr>
            <w:r w:rsidRPr="0020182A">
              <w:rPr>
                <w:b w:val="0"/>
              </w:rPr>
              <w:t>Are SDA prices sufficient to provide a reasonable return on investment?</w:t>
            </w:r>
          </w:p>
        </w:tc>
        <w:tc>
          <w:tcPr>
            <w:tcW w:w="111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BodyText"/>
              <w:jc w:val="center"/>
              <w:cnfStyle w:val="000000100000" w:firstRow="0" w:lastRow="0" w:firstColumn="0" w:lastColumn="0" w:oddVBand="0" w:evenVBand="0" w:oddHBand="1" w:evenHBand="0" w:firstRowFirstColumn="0" w:firstRowLastColumn="0" w:lastRowFirstColumn="0" w:lastRowLastColumn="0"/>
              <w:rPr>
                <w:sz w:val="19"/>
                <w:szCs w:val="19"/>
              </w:rPr>
            </w:pPr>
            <w:r w:rsidRPr="0020182A">
              <w:rPr>
                <w:sz w:val="19"/>
                <w:szCs w:val="19"/>
              </w:rPr>
              <w:t>1,2</w:t>
            </w:r>
          </w:p>
        </w:tc>
        <w:tc>
          <w:tcPr>
            <w:tcW w:w="1424" w:type="dxa"/>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BodyText"/>
              <w:jc w:val="center"/>
              <w:cnfStyle w:val="000000100000" w:firstRow="0" w:lastRow="0" w:firstColumn="0" w:lastColumn="0" w:oddVBand="0" w:evenVBand="0" w:oddHBand="1" w:evenHBand="0" w:firstRowFirstColumn="0" w:firstRowLastColumn="0" w:lastRowFirstColumn="0" w:lastRowLastColumn="0"/>
              <w:rPr>
                <w:sz w:val="19"/>
                <w:szCs w:val="19"/>
              </w:rPr>
            </w:pPr>
            <w:r>
              <w:rPr>
                <w:sz w:val="19"/>
                <w:szCs w:val="19"/>
              </w:rPr>
              <w:t>Nil</w:t>
            </w:r>
          </w:p>
        </w:tc>
        <w:tc>
          <w:tcPr>
            <w:tcW w:w="2294" w:type="dxa"/>
            <w:gridSpan w:val="3"/>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100000" w:firstRow="0" w:lastRow="0" w:firstColumn="0" w:lastColumn="0" w:oddVBand="0" w:evenVBand="0" w:oddHBand="1" w:evenHBand="0" w:firstRowFirstColumn="0" w:firstRowLastColumn="0" w:lastRowFirstColumn="0" w:lastRowLastColumn="0"/>
            </w:pPr>
            <w:r w:rsidRPr="0020182A">
              <w:sym w:font="Wingdings" w:char="F0FC"/>
            </w:r>
          </w:p>
        </w:tc>
        <w:tc>
          <w:tcPr>
            <w:tcW w:w="1627" w:type="dxa"/>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Tablecentredtext"/>
              <w:cnfStyle w:val="000000100000" w:firstRow="0" w:lastRow="0" w:firstColumn="0" w:lastColumn="0" w:oddVBand="0" w:evenVBand="0" w:oddHBand="1" w:evenHBand="0" w:firstRowFirstColumn="0" w:firstRowLastColumn="0" w:lastRowFirstColumn="0" w:lastRowLastColumn="0"/>
            </w:pPr>
            <w:r>
              <w:t>Nil</w:t>
            </w:r>
          </w:p>
        </w:tc>
        <w:tc>
          <w:tcPr>
            <w:tcW w:w="0" w:type="auto"/>
            <w:vMerge/>
            <w:tcBorders>
              <w:top w:val="single" w:sz="4" w:space="0" w:color="D9D9D9" w:themeColor="background1" w:themeShade="D9"/>
              <w:left w:val="nil"/>
              <w:bottom w:val="single" w:sz="4" w:space="0" w:color="D9D9D9" w:themeColor="background1" w:themeShade="D9"/>
              <w:right w:val="single" w:sz="4" w:space="0" w:color="005EB8" w:themeColor="accent1"/>
            </w:tcBorders>
            <w:vAlign w:val="center"/>
            <w:hideMark/>
          </w:tcPr>
          <w:p w:rsidR="006B7E37" w:rsidRPr="0020182A" w:rsidRDefault="006B7E37">
            <w:pPr>
              <w:spacing w:before="0" w:after="0"/>
              <w:cnfStyle w:val="000000100000" w:firstRow="0" w:lastRow="0" w:firstColumn="0" w:lastColumn="0" w:oddVBand="0" w:evenVBand="0" w:oddHBand="1" w:evenHBand="0" w:firstRowFirstColumn="0" w:firstRowLastColumn="0" w:lastRowFirstColumn="0" w:lastRowLastColumn="0"/>
              <w:rPr>
                <w:sz w:val="19"/>
                <w:szCs w:val="19"/>
              </w:rPr>
            </w:pPr>
          </w:p>
        </w:tc>
      </w:tr>
      <w:tr w:rsidR="006B7E37" w:rsidRPr="0020182A" w:rsidTr="00FB5414">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hideMark/>
          </w:tcPr>
          <w:p w:rsidR="006B7E37" w:rsidRPr="0020182A" w:rsidRDefault="006B7E37">
            <w:pPr>
              <w:pStyle w:val="BodyText"/>
              <w:rPr>
                <w:b w:val="0"/>
              </w:rPr>
            </w:pPr>
            <w:r w:rsidRPr="0020182A">
              <w:rPr>
                <w:b w:val="0"/>
              </w:rPr>
              <w:t xml:space="preserve">Does this differ depending on the type, location, size of a property </w:t>
            </w:r>
            <w:r w:rsidR="000F591A" w:rsidRPr="0020182A">
              <w:rPr>
                <w:b w:val="0"/>
              </w:rPr>
              <w:t>etc.</w:t>
            </w:r>
            <w:r w:rsidRPr="0020182A">
              <w:rPr>
                <w:b w:val="0"/>
              </w:rPr>
              <w:t>)?</w:t>
            </w:r>
          </w:p>
        </w:tc>
        <w:tc>
          <w:tcPr>
            <w:tcW w:w="111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BodyText"/>
              <w:jc w:val="center"/>
              <w:cnfStyle w:val="000000000000" w:firstRow="0" w:lastRow="0" w:firstColumn="0" w:lastColumn="0" w:oddVBand="0" w:evenVBand="0" w:oddHBand="0" w:evenHBand="0" w:firstRowFirstColumn="0" w:firstRowLastColumn="0" w:lastRowFirstColumn="0" w:lastRowLastColumn="0"/>
              <w:rPr>
                <w:sz w:val="19"/>
                <w:szCs w:val="19"/>
              </w:rPr>
            </w:pPr>
            <w:r w:rsidRPr="0020182A">
              <w:rPr>
                <w:sz w:val="19"/>
                <w:szCs w:val="19"/>
              </w:rPr>
              <w:t>1,2</w:t>
            </w:r>
          </w:p>
        </w:tc>
        <w:tc>
          <w:tcPr>
            <w:tcW w:w="1424" w:type="dxa"/>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BodyText"/>
              <w:jc w:val="center"/>
              <w:cnfStyle w:val="000000000000" w:firstRow="0" w:lastRow="0" w:firstColumn="0" w:lastColumn="0" w:oddVBand="0" w:evenVBand="0" w:oddHBand="0" w:evenHBand="0" w:firstRowFirstColumn="0" w:firstRowLastColumn="0" w:lastRowFirstColumn="0" w:lastRowLastColumn="0"/>
              <w:rPr>
                <w:sz w:val="19"/>
                <w:szCs w:val="19"/>
              </w:rPr>
            </w:pPr>
            <w:r>
              <w:rPr>
                <w:sz w:val="19"/>
                <w:szCs w:val="19"/>
              </w:rPr>
              <w:t>Nil</w:t>
            </w:r>
          </w:p>
        </w:tc>
        <w:tc>
          <w:tcPr>
            <w:tcW w:w="2294" w:type="dxa"/>
            <w:gridSpan w:val="3"/>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000000" w:firstRow="0" w:lastRow="0" w:firstColumn="0" w:lastColumn="0" w:oddVBand="0" w:evenVBand="0" w:oddHBand="0" w:evenHBand="0" w:firstRowFirstColumn="0" w:firstRowLastColumn="0" w:lastRowFirstColumn="0" w:lastRowLastColumn="0"/>
            </w:pPr>
            <w:r w:rsidRPr="0020182A">
              <w:sym w:font="Wingdings" w:char="F0FC"/>
            </w:r>
          </w:p>
        </w:tc>
        <w:tc>
          <w:tcPr>
            <w:tcW w:w="1627" w:type="dxa"/>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Tablecentredtext"/>
              <w:cnfStyle w:val="000000000000" w:firstRow="0" w:lastRow="0" w:firstColumn="0" w:lastColumn="0" w:oddVBand="0" w:evenVBand="0" w:oddHBand="0" w:evenHBand="0" w:firstRowFirstColumn="0" w:firstRowLastColumn="0" w:lastRowFirstColumn="0" w:lastRowLastColumn="0"/>
            </w:pPr>
            <w:r>
              <w:t>Nil</w:t>
            </w:r>
          </w:p>
        </w:tc>
        <w:tc>
          <w:tcPr>
            <w:tcW w:w="0" w:type="auto"/>
            <w:vMerge/>
            <w:tcBorders>
              <w:top w:val="single" w:sz="4" w:space="0" w:color="D9D9D9" w:themeColor="background1" w:themeShade="D9"/>
              <w:left w:val="nil"/>
              <w:bottom w:val="single" w:sz="4" w:space="0" w:color="D9D9D9" w:themeColor="background1" w:themeShade="D9"/>
              <w:right w:val="single" w:sz="4" w:space="0" w:color="005EB8" w:themeColor="accent1"/>
            </w:tcBorders>
            <w:vAlign w:val="center"/>
            <w:hideMark/>
          </w:tcPr>
          <w:p w:rsidR="006B7E37" w:rsidRPr="0020182A" w:rsidRDefault="006B7E37">
            <w:pPr>
              <w:spacing w:before="0" w:after="0"/>
              <w:cnfStyle w:val="000000000000" w:firstRow="0" w:lastRow="0" w:firstColumn="0" w:lastColumn="0" w:oddVBand="0" w:evenVBand="0" w:oddHBand="0" w:evenHBand="0" w:firstRowFirstColumn="0" w:firstRowLastColumn="0" w:lastRowFirstColumn="0" w:lastRowLastColumn="0"/>
              <w:rPr>
                <w:sz w:val="19"/>
                <w:szCs w:val="19"/>
              </w:rPr>
            </w:pPr>
          </w:p>
        </w:tc>
      </w:tr>
      <w:tr w:rsidR="006B7E37" w:rsidRPr="0020182A" w:rsidTr="00FB5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hideMark/>
          </w:tcPr>
          <w:p w:rsidR="006B7E37" w:rsidRPr="0020182A" w:rsidRDefault="006B7E37">
            <w:pPr>
              <w:pStyle w:val="BodyText"/>
              <w:rPr>
                <w:b w:val="0"/>
              </w:rPr>
            </w:pPr>
            <w:r w:rsidRPr="0020182A">
              <w:rPr>
                <w:b w:val="0"/>
              </w:rPr>
              <w:t>How do the adjustments to SDA pricing (e.g. for public owned land, application of pricing as a ‘ceiling’ rather than a set price) affect this?</w:t>
            </w:r>
          </w:p>
        </w:tc>
        <w:tc>
          <w:tcPr>
            <w:tcW w:w="111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BodyText"/>
              <w:jc w:val="center"/>
              <w:cnfStyle w:val="000000100000" w:firstRow="0" w:lastRow="0" w:firstColumn="0" w:lastColumn="0" w:oddVBand="0" w:evenVBand="0" w:oddHBand="1" w:evenHBand="0" w:firstRowFirstColumn="0" w:firstRowLastColumn="0" w:lastRowFirstColumn="0" w:lastRowLastColumn="0"/>
              <w:rPr>
                <w:sz w:val="19"/>
                <w:szCs w:val="19"/>
              </w:rPr>
            </w:pPr>
            <w:r w:rsidRPr="0020182A">
              <w:rPr>
                <w:sz w:val="19"/>
                <w:szCs w:val="19"/>
              </w:rPr>
              <w:t>1,2</w:t>
            </w:r>
          </w:p>
        </w:tc>
        <w:tc>
          <w:tcPr>
            <w:tcW w:w="1424" w:type="dxa"/>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BodyText"/>
              <w:jc w:val="center"/>
              <w:cnfStyle w:val="000000100000" w:firstRow="0" w:lastRow="0" w:firstColumn="0" w:lastColumn="0" w:oddVBand="0" w:evenVBand="0" w:oddHBand="1" w:evenHBand="0" w:firstRowFirstColumn="0" w:firstRowLastColumn="0" w:lastRowFirstColumn="0" w:lastRowLastColumn="0"/>
              <w:rPr>
                <w:sz w:val="19"/>
                <w:szCs w:val="19"/>
              </w:rPr>
            </w:pPr>
            <w:r>
              <w:rPr>
                <w:sz w:val="19"/>
                <w:szCs w:val="19"/>
              </w:rPr>
              <w:t>Nil</w:t>
            </w:r>
          </w:p>
        </w:tc>
        <w:tc>
          <w:tcPr>
            <w:tcW w:w="2294" w:type="dxa"/>
            <w:gridSpan w:val="3"/>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100000" w:firstRow="0" w:lastRow="0" w:firstColumn="0" w:lastColumn="0" w:oddVBand="0" w:evenVBand="0" w:oddHBand="1" w:evenHBand="0" w:firstRowFirstColumn="0" w:firstRowLastColumn="0" w:lastRowFirstColumn="0" w:lastRowLastColumn="0"/>
            </w:pPr>
            <w:r w:rsidRPr="0020182A">
              <w:sym w:font="Wingdings" w:char="F0FC"/>
            </w:r>
          </w:p>
        </w:tc>
        <w:tc>
          <w:tcPr>
            <w:tcW w:w="1627"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100000" w:firstRow="0" w:lastRow="0" w:firstColumn="0" w:lastColumn="0" w:oddVBand="0" w:evenVBand="0" w:oddHBand="1" w:evenHBand="0" w:firstRowFirstColumn="0" w:firstRowLastColumn="0" w:lastRowFirstColumn="0" w:lastRowLastColumn="0"/>
            </w:pPr>
            <w:r w:rsidRPr="0020182A">
              <w:sym w:font="Wingdings" w:char="F0FC"/>
            </w:r>
          </w:p>
        </w:tc>
        <w:tc>
          <w:tcPr>
            <w:tcW w:w="0" w:type="auto"/>
            <w:vMerge/>
            <w:tcBorders>
              <w:top w:val="single" w:sz="4" w:space="0" w:color="D9D9D9" w:themeColor="background1" w:themeShade="D9"/>
              <w:left w:val="nil"/>
              <w:bottom w:val="single" w:sz="4" w:space="0" w:color="D9D9D9" w:themeColor="background1" w:themeShade="D9"/>
              <w:right w:val="single" w:sz="4" w:space="0" w:color="005EB8" w:themeColor="accent1"/>
            </w:tcBorders>
            <w:vAlign w:val="center"/>
            <w:hideMark/>
          </w:tcPr>
          <w:p w:rsidR="006B7E37" w:rsidRPr="0020182A" w:rsidRDefault="006B7E37">
            <w:pPr>
              <w:spacing w:before="0" w:after="0"/>
              <w:cnfStyle w:val="000000100000" w:firstRow="0" w:lastRow="0" w:firstColumn="0" w:lastColumn="0" w:oddVBand="0" w:evenVBand="0" w:oddHBand="1" w:evenHBand="0" w:firstRowFirstColumn="0" w:firstRowLastColumn="0" w:lastRowFirstColumn="0" w:lastRowLastColumn="0"/>
              <w:rPr>
                <w:sz w:val="19"/>
                <w:szCs w:val="19"/>
              </w:rPr>
            </w:pPr>
          </w:p>
        </w:tc>
      </w:tr>
      <w:tr w:rsidR="006B7E37" w:rsidRPr="0020182A" w:rsidTr="00FB5414">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hideMark/>
          </w:tcPr>
          <w:p w:rsidR="006B7E37" w:rsidRPr="0020182A" w:rsidRDefault="006B7E37">
            <w:pPr>
              <w:pStyle w:val="BodyText"/>
              <w:rPr>
                <w:b w:val="0"/>
                <w:szCs w:val="19"/>
              </w:rPr>
            </w:pPr>
            <w:r w:rsidRPr="0020182A">
              <w:rPr>
                <w:b w:val="0"/>
              </w:rPr>
              <w:t>Have the pricing arrangements resulted in any unintended impacts or consequences?</w:t>
            </w:r>
          </w:p>
        </w:tc>
        <w:tc>
          <w:tcPr>
            <w:tcW w:w="111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BodyText"/>
              <w:jc w:val="center"/>
              <w:cnfStyle w:val="000000000000" w:firstRow="0" w:lastRow="0" w:firstColumn="0" w:lastColumn="0" w:oddVBand="0" w:evenVBand="0" w:oddHBand="0" w:evenHBand="0" w:firstRowFirstColumn="0" w:firstRowLastColumn="0" w:lastRowFirstColumn="0" w:lastRowLastColumn="0"/>
              <w:rPr>
                <w:sz w:val="19"/>
                <w:szCs w:val="19"/>
              </w:rPr>
            </w:pPr>
            <w:r w:rsidRPr="0020182A">
              <w:rPr>
                <w:sz w:val="19"/>
                <w:szCs w:val="19"/>
              </w:rPr>
              <w:t>3,4</w:t>
            </w:r>
          </w:p>
        </w:tc>
        <w:tc>
          <w:tcPr>
            <w:tcW w:w="142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BodyText"/>
              <w:jc w:val="center"/>
              <w:cnfStyle w:val="000000000000" w:firstRow="0" w:lastRow="0" w:firstColumn="0" w:lastColumn="0" w:oddVBand="0" w:evenVBand="0" w:oddHBand="0" w:evenHBand="0" w:firstRowFirstColumn="0" w:firstRowLastColumn="0" w:lastRowFirstColumn="0" w:lastRowLastColumn="0"/>
              <w:rPr>
                <w:sz w:val="19"/>
                <w:szCs w:val="19"/>
              </w:rPr>
            </w:pPr>
            <w:r w:rsidRPr="0020182A">
              <w:sym w:font="Wingdings" w:char="F0FC"/>
            </w:r>
          </w:p>
        </w:tc>
        <w:tc>
          <w:tcPr>
            <w:tcW w:w="2294" w:type="dxa"/>
            <w:gridSpan w:val="3"/>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000000" w:firstRow="0" w:lastRow="0" w:firstColumn="0" w:lastColumn="0" w:oddVBand="0" w:evenVBand="0" w:oddHBand="0" w:evenHBand="0" w:firstRowFirstColumn="0" w:firstRowLastColumn="0" w:lastRowFirstColumn="0" w:lastRowLastColumn="0"/>
            </w:pPr>
            <w:r w:rsidRPr="0020182A">
              <w:sym w:font="Wingdings" w:char="F0FC"/>
            </w:r>
          </w:p>
        </w:tc>
        <w:tc>
          <w:tcPr>
            <w:tcW w:w="1627"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000000" w:firstRow="0" w:lastRow="0" w:firstColumn="0" w:lastColumn="0" w:oddVBand="0" w:evenVBand="0" w:oddHBand="0" w:evenHBand="0" w:firstRowFirstColumn="0" w:firstRowLastColumn="0" w:lastRowFirstColumn="0" w:lastRowLastColumn="0"/>
            </w:pPr>
            <w:r w:rsidRPr="0020182A">
              <w:sym w:font="Wingdings" w:char="F0FC"/>
            </w:r>
          </w:p>
        </w:tc>
        <w:tc>
          <w:tcPr>
            <w:tcW w:w="0" w:type="auto"/>
            <w:vMerge/>
            <w:tcBorders>
              <w:top w:val="single" w:sz="4" w:space="0" w:color="D9D9D9" w:themeColor="background1" w:themeShade="D9"/>
              <w:left w:val="nil"/>
              <w:bottom w:val="single" w:sz="4" w:space="0" w:color="D9D9D9" w:themeColor="background1" w:themeShade="D9"/>
              <w:right w:val="single" w:sz="4" w:space="0" w:color="005EB8" w:themeColor="accent1"/>
            </w:tcBorders>
            <w:vAlign w:val="center"/>
            <w:hideMark/>
          </w:tcPr>
          <w:p w:rsidR="006B7E37" w:rsidRPr="0020182A" w:rsidRDefault="006B7E37">
            <w:pPr>
              <w:spacing w:before="0" w:after="0"/>
              <w:cnfStyle w:val="000000000000" w:firstRow="0" w:lastRow="0" w:firstColumn="0" w:lastColumn="0" w:oddVBand="0" w:evenVBand="0" w:oddHBand="0" w:evenHBand="0" w:firstRowFirstColumn="0" w:firstRowLastColumn="0" w:lastRowFirstColumn="0" w:lastRowLastColumn="0"/>
              <w:rPr>
                <w:sz w:val="19"/>
                <w:szCs w:val="19"/>
              </w:rPr>
            </w:pPr>
          </w:p>
        </w:tc>
      </w:tr>
      <w:tr w:rsidR="00FB5414" w:rsidRPr="0020182A" w:rsidTr="00FB5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tcPr>
          <w:p w:rsidR="00FB5414" w:rsidRPr="0020182A" w:rsidRDefault="00FB5414" w:rsidP="00FB5414">
            <w:pPr>
              <w:pStyle w:val="Tablesubheading"/>
              <w:rPr>
                <w:b/>
                <w:bCs/>
              </w:rPr>
            </w:pPr>
            <w:r>
              <w:t>Review questions for “Investment” – Does the Framework support investor decision making and provide sufficient market certainty?</w:t>
            </w:r>
          </w:p>
        </w:tc>
        <w:tc>
          <w:tcPr>
            <w:tcW w:w="1114" w:type="dxa"/>
            <w:tcBorders>
              <w:top w:val="single" w:sz="4" w:space="0" w:color="D9D9D9" w:themeColor="background1" w:themeShade="D9"/>
              <w:left w:val="nil"/>
              <w:bottom w:val="single" w:sz="4" w:space="0" w:color="D9D9D9" w:themeColor="background1" w:themeShade="D9"/>
              <w:right w:val="nil"/>
            </w:tcBorders>
          </w:tcPr>
          <w:p w:rsidR="00FB5414" w:rsidRPr="0020182A" w:rsidRDefault="00FB5414" w:rsidP="00FB5414">
            <w:pPr>
              <w:pStyle w:val="Tablesubheading"/>
              <w:cnfStyle w:val="000000100000" w:firstRow="0" w:lastRow="0" w:firstColumn="0" w:lastColumn="0" w:oddVBand="0" w:evenVBand="0" w:oddHBand="1" w:evenHBand="0" w:firstRowFirstColumn="0" w:firstRowLastColumn="0" w:lastRowFirstColumn="0" w:lastRowLastColumn="0"/>
              <w:rPr>
                <w:b w:val="0"/>
                <w:bCs w:val="0"/>
              </w:rPr>
            </w:pPr>
            <w:r>
              <w:rPr>
                <w:b w:val="0"/>
                <w:bCs w:val="0"/>
              </w:rPr>
              <w:t>Terms of Reference covered by this question</w:t>
            </w:r>
          </w:p>
        </w:tc>
        <w:tc>
          <w:tcPr>
            <w:tcW w:w="1424" w:type="dxa"/>
            <w:tcBorders>
              <w:top w:val="single" w:sz="4" w:space="0" w:color="D9D9D9" w:themeColor="background1" w:themeShade="D9"/>
              <w:left w:val="nil"/>
              <w:bottom w:val="single" w:sz="4" w:space="0" w:color="D9D9D9" w:themeColor="background1" w:themeShade="D9"/>
              <w:right w:val="nil"/>
            </w:tcBorders>
          </w:tcPr>
          <w:p w:rsidR="00FB5414" w:rsidRPr="0020182A" w:rsidRDefault="00FB5414" w:rsidP="00FB5414">
            <w:pPr>
              <w:pStyle w:val="Tablesubheading"/>
              <w:cnfStyle w:val="000000100000" w:firstRow="0" w:lastRow="0" w:firstColumn="0" w:lastColumn="0" w:oddVBand="0" w:evenVBand="0" w:oddHBand="1" w:evenHBand="0" w:firstRowFirstColumn="0" w:firstRowLastColumn="0" w:lastRowFirstColumn="0" w:lastRowLastColumn="0"/>
              <w:rPr>
                <w:b w:val="0"/>
                <w:bCs w:val="0"/>
              </w:rPr>
            </w:pPr>
            <w:r>
              <w:rPr>
                <w:b w:val="0"/>
                <w:bCs w:val="0"/>
              </w:rPr>
              <w:t>Participant consultation input?</w:t>
            </w:r>
          </w:p>
        </w:tc>
        <w:tc>
          <w:tcPr>
            <w:tcW w:w="2294" w:type="dxa"/>
            <w:gridSpan w:val="3"/>
            <w:tcBorders>
              <w:top w:val="single" w:sz="4" w:space="0" w:color="D9D9D9" w:themeColor="background1" w:themeShade="D9"/>
              <w:left w:val="nil"/>
              <w:bottom w:val="single" w:sz="4" w:space="0" w:color="D9D9D9" w:themeColor="background1" w:themeShade="D9"/>
              <w:right w:val="nil"/>
            </w:tcBorders>
          </w:tcPr>
          <w:p w:rsidR="00FB5414" w:rsidRPr="0020182A" w:rsidRDefault="00FB5414" w:rsidP="00FB5414">
            <w:pPr>
              <w:pStyle w:val="Tablesubheading"/>
              <w:cnfStyle w:val="000000100000" w:firstRow="0" w:lastRow="0" w:firstColumn="0" w:lastColumn="0" w:oddVBand="0" w:evenVBand="0" w:oddHBand="1" w:evenHBand="0" w:firstRowFirstColumn="0" w:firstRowLastColumn="0" w:lastRowFirstColumn="0" w:lastRowLastColumn="0"/>
              <w:rPr>
                <w:b w:val="0"/>
                <w:bCs w:val="0"/>
              </w:rPr>
            </w:pPr>
            <w:r>
              <w:rPr>
                <w:b w:val="0"/>
                <w:bCs w:val="0"/>
              </w:rPr>
              <w:t>Provider/investor consultation input?</w:t>
            </w:r>
          </w:p>
        </w:tc>
        <w:tc>
          <w:tcPr>
            <w:tcW w:w="1627" w:type="dxa"/>
            <w:tcBorders>
              <w:top w:val="single" w:sz="4" w:space="0" w:color="D9D9D9" w:themeColor="background1" w:themeShade="D9"/>
              <w:left w:val="nil"/>
              <w:bottom w:val="single" w:sz="4" w:space="0" w:color="D9D9D9" w:themeColor="background1" w:themeShade="D9"/>
              <w:right w:val="nil"/>
            </w:tcBorders>
          </w:tcPr>
          <w:p w:rsidR="00FB5414" w:rsidRPr="0020182A" w:rsidRDefault="00FB5414" w:rsidP="00FB5414">
            <w:pPr>
              <w:pStyle w:val="Tablesubheading"/>
              <w:cnfStyle w:val="000000100000" w:firstRow="0" w:lastRow="0" w:firstColumn="0" w:lastColumn="0" w:oddVBand="0" w:evenVBand="0" w:oddHBand="1" w:evenHBand="0" w:firstRowFirstColumn="0" w:firstRowLastColumn="0" w:lastRowFirstColumn="0" w:lastRowLastColumn="0"/>
              <w:rPr>
                <w:b w:val="0"/>
                <w:bCs w:val="0"/>
              </w:rPr>
            </w:pPr>
            <w:r>
              <w:rPr>
                <w:b w:val="0"/>
                <w:bCs w:val="0"/>
              </w:rPr>
              <w:t>Government consultation input?</w:t>
            </w:r>
          </w:p>
        </w:tc>
        <w:tc>
          <w:tcPr>
            <w:tcW w:w="3096" w:type="dxa"/>
            <w:tcBorders>
              <w:top w:val="single" w:sz="4" w:space="0" w:color="D9D9D9" w:themeColor="background1" w:themeShade="D9"/>
              <w:left w:val="nil"/>
              <w:bottom w:val="single" w:sz="4" w:space="0" w:color="D9D9D9" w:themeColor="background1" w:themeShade="D9"/>
              <w:right w:val="single" w:sz="4" w:space="0" w:color="005EB8" w:themeColor="accent1"/>
            </w:tcBorders>
          </w:tcPr>
          <w:p w:rsidR="00FB5414" w:rsidRPr="0020182A" w:rsidRDefault="00FB5414" w:rsidP="00FB5414">
            <w:pPr>
              <w:pStyle w:val="Tablesubheading"/>
              <w:cnfStyle w:val="000000100000" w:firstRow="0" w:lastRow="0" w:firstColumn="0" w:lastColumn="0" w:oddVBand="0" w:evenVBand="0" w:oddHBand="1" w:evenHBand="0" w:firstRowFirstColumn="0" w:firstRowLastColumn="0" w:lastRowFirstColumn="0" w:lastRowLastColumn="0"/>
            </w:pPr>
            <w:r>
              <w:t>Data analysis undertaken (this relates to the next 3 rows)</w:t>
            </w:r>
          </w:p>
        </w:tc>
      </w:tr>
      <w:tr w:rsidR="006B7E37" w:rsidRPr="0020182A" w:rsidTr="00FB5414">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hideMark/>
          </w:tcPr>
          <w:p w:rsidR="006B7E37" w:rsidRPr="0020182A" w:rsidRDefault="006B7E37">
            <w:pPr>
              <w:pStyle w:val="BodyText"/>
              <w:rPr>
                <w:b w:val="0"/>
              </w:rPr>
            </w:pPr>
            <w:r w:rsidRPr="0020182A">
              <w:rPr>
                <w:b w:val="0"/>
              </w:rPr>
              <w:t>Does the Framework support or inhibit long-term investment decision making? How/why?</w:t>
            </w:r>
          </w:p>
        </w:tc>
        <w:tc>
          <w:tcPr>
            <w:tcW w:w="111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BodyText"/>
              <w:jc w:val="center"/>
              <w:cnfStyle w:val="000000000000" w:firstRow="0" w:lastRow="0" w:firstColumn="0" w:lastColumn="0" w:oddVBand="0" w:evenVBand="0" w:oddHBand="0" w:evenHBand="0" w:firstRowFirstColumn="0" w:firstRowLastColumn="0" w:lastRowFirstColumn="0" w:lastRowLastColumn="0"/>
              <w:rPr>
                <w:sz w:val="19"/>
                <w:szCs w:val="19"/>
              </w:rPr>
            </w:pPr>
            <w:r w:rsidRPr="0020182A">
              <w:rPr>
                <w:sz w:val="19"/>
                <w:szCs w:val="19"/>
              </w:rPr>
              <w:t>2,4</w:t>
            </w:r>
          </w:p>
        </w:tc>
        <w:tc>
          <w:tcPr>
            <w:tcW w:w="1424" w:type="dxa"/>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Tablecentredtext"/>
              <w:cnfStyle w:val="000000000000" w:firstRow="0" w:lastRow="0" w:firstColumn="0" w:lastColumn="0" w:oddVBand="0" w:evenVBand="0" w:oddHBand="0" w:evenHBand="0" w:firstRowFirstColumn="0" w:firstRowLastColumn="0" w:lastRowFirstColumn="0" w:lastRowLastColumn="0"/>
            </w:pPr>
            <w:r>
              <w:t>Nil</w:t>
            </w:r>
          </w:p>
        </w:tc>
        <w:tc>
          <w:tcPr>
            <w:tcW w:w="2294" w:type="dxa"/>
            <w:gridSpan w:val="3"/>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000000" w:firstRow="0" w:lastRow="0" w:firstColumn="0" w:lastColumn="0" w:oddVBand="0" w:evenVBand="0" w:oddHBand="0" w:evenHBand="0" w:firstRowFirstColumn="0" w:firstRowLastColumn="0" w:lastRowFirstColumn="0" w:lastRowLastColumn="0"/>
            </w:pPr>
            <w:r w:rsidRPr="0020182A">
              <w:sym w:font="Wingdings" w:char="F0FC"/>
            </w:r>
          </w:p>
        </w:tc>
        <w:tc>
          <w:tcPr>
            <w:tcW w:w="1627" w:type="dxa"/>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BodyText"/>
              <w:jc w:val="center"/>
              <w:cnfStyle w:val="000000000000" w:firstRow="0" w:lastRow="0" w:firstColumn="0" w:lastColumn="0" w:oddVBand="0" w:evenVBand="0" w:oddHBand="0" w:evenHBand="0" w:firstRowFirstColumn="0" w:firstRowLastColumn="0" w:lastRowFirstColumn="0" w:lastRowLastColumn="0"/>
              <w:rPr>
                <w:sz w:val="19"/>
                <w:szCs w:val="19"/>
              </w:rPr>
            </w:pPr>
            <w:r>
              <w:rPr>
                <w:sz w:val="19"/>
                <w:szCs w:val="19"/>
              </w:rPr>
              <w:t>Nil</w:t>
            </w:r>
          </w:p>
        </w:tc>
        <w:tc>
          <w:tcPr>
            <w:tcW w:w="3096" w:type="dxa"/>
            <w:vMerge w:val="restart"/>
            <w:tcBorders>
              <w:top w:val="single" w:sz="4" w:space="0" w:color="D9D9D9" w:themeColor="background1" w:themeShade="D9"/>
              <w:left w:val="nil"/>
              <w:bottom w:val="single" w:sz="4" w:space="0" w:color="D9D9D9" w:themeColor="background1" w:themeShade="D9"/>
              <w:right w:val="single" w:sz="4" w:space="0" w:color="005EB8" w:themeColor="accent1"/>
            </w:tcBorders>
            <w:hideMark/>
          </w:tcPr>
          <w:p w:rsidR="006B7E37" w:rsidRPr="0020182A" w:rsidRDefault="006B7E37" w:rsidP="009B671C">
            <w:pPr>
              <w:pStyle w:val="BodyText"/>
              <w:numPr>
                <w:ilvl w:val="0"/>
                <w:numId w:val="23"/>
              </w:numPr>
              <w:cnfStyle w:val="000000000000" w:firstRow="0" w:lastRow="0" w:firstColumn="0" w:lastColumn="0" w:oddVBand="0" w:evenVBand="0" w:oddHBand="0" w:evenHBand="0" w:firstRowFirstColumn="0" w:firstRowLastColumn="0" w:lastRowFirstColumn="0" w:lastRowLastColumn="0"/>
              <w:rPr>
                <w:sz w:val="19"/>
                <w:szCs w:val="19"/>
              </w:rPr>
            </w:pPr>
            <w:r w:rsidRPr="0020182A">
              <w:rPr>
                <w:sz w:val="19"/>
                <w:szCs w:val="19"/>
              </w:rPr>
              <w:t>Numbers and mix of investors currently invested in SDA</w:t>
            </w:r>
          </w:p>
          <w:p w:rsidR="006B7E37" w:rsidRPr="0020182A" w:rsidRDefault="006B7E37" w:rsidP="009B671C">
            <w:pPr>
              <w:pStyle w:val="BodyText"/>
              <w:numPr>
                <w:ilvl w:val="0"/>
                <w:numId w:val="23"/>
              </w:numPr>
              <w:cnfStyle w:val="000000000000" w:firstRow="0" w:lastRow="0" w:firstColumn="0" w:lastColumn="0" w:oddVBand="0" w:evenVBand="0" w:oddHBand="0" w:evenHBand="0" w:firstRowFirstColumn="0" w:firstRowLastColumn="0" w:lastRowFirstColumn="0" w:lastRowLastColumn="0"/>
              <w:rPr>
                <w:sz w:val="19"/>
                <w:szCs w:val="19"/>
              </w:rPr>
            </w:pPr>
            <w:r w:rsidRPr="0020182A">
              <w:rPr>
                <w:sz w:val="19"/>
                <w:szCs w:val="19"/>
              </w:rPr>
              <w:lastRenderedPageBreak/>
              <w:t>Value of investments to date</w:t>
            </w:r>
          </w:p>
          <w:p w:rsidR="006B7E37" w:rsidRPr="0020182A" w:rsidRDefault="006B7E37" w:rsidP="009B671C">
            <w:pPr>
              <w:pStyle w:val="BodyText"/>
              <w:numPr>
                <w:ilvl w:val="0"/>
                <w:numId w:val="23"/>
              </w:numPr>
              <w:cnfStyle w:val="000000000000" w:firstRow="0" w:lastRow="0" w:firstColumn="0" w:lastColumn="0" w:oddVBand="0" w:evenVBand="0" w:oddHBand="0" w:evenHBand="0" w:firstRowFirstColumn="0" w:firstRowLastColumn="0" w:lastRowFirstColumn="0" w:lastRowLastColumn="0"/>
            </w:pPr>
            <w:r w:rsidRPr="0020182A">
              <w:rPr>
                <w:sz w:val="19"/>
                <w:szCs w:val="19"/>
              </w:rPr>
              <w:t>Range of investment and funding arrangements</w:t>
            </w:r>
          </w:p>
        </w:tc>
      </w:tr>
      <w:tr w:rsidR="006B7E37" w:rsidRPr="0020182A" w:rsidTr="00FB5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hideMark/>
          </w:tcPr>
          <w:p w:rsidR="006B7E37" w:rsidRPr="0020182A" w:rsidRDefault="006B7E37">
            <w:pPr>
              <w:pStyle w:val="BodyText"/>
              <w:rPr>
                <w:b w:val="0"/>
              </w:rPr>
            </w:pPr>
            <w:r w:rsidRPr="0020182A">
              <w:rPr>
                <w:b w:val="0"/>
              </w:rPr>
              <w:t>Do the existing benchmark pricing approaches provide sufficient certainty for investment?</w:t>
            </w:r>
          </w:p>
        </w:tc>
        <w:tc>
          <w:tcPr>
            <w:tcW w:w="111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BodyText"/>
              <w:jc w:val="center"/>
              <w:cnfStyle w:val="000000100000" w:firstRow="0" w:lastRow="0" w:firstColumn="0" w:lastColumn="0" w:oddVBand="0" w:evenVBand="0" w:oddHBand="1" w:evenHBand="0" w:firstRowFirstColumn="0" w:firstRowLastColumn="0" w:lastRowFirstColumn="0" w:lastRowLastColumn="0"/>
              <w:rPr>
                <w:sz w:val="19"/>
                <w:szCs w:val="19"/>
              </w:rPr>
            </w:pPr>
            <w:r w:rsidRPr="0020182A">
              <w:rPr>
                <w:sz w:val="19"/>
                <w:szCs w:val="19"/>
              </w:rPr>
              <w:t>1, 2</w:t>
            </w:r>
          </w:p>
        </w:tc>
        <w:tc>
          <w:tcPr>
            <w:tcW w:w="1424" w:type="dxa"/>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Tablecentredtext"/>
              <w:cnfStyle w:val="000000100000" w:firstRow="0" w:lastRow="0" w:firstColumn="0" w:lastColumn="0" w:oddVBand="0" w:evenVBand="0" w:oddHBand="1" w:evenHBand="0" w:firstRowFirstColumn="0" w:firstRowLastColumn="0" w:lastRowFirstColumn="0" w:lastRowLastColumn="0"/>
            </w:pPr>
            <w:r>
              <w:t>Nil</w:t>
            </w:r>
          </w:p>
        </w:tc>
        <w:tc>
          <w:tcPr>
            <w:tcW w:w="2294" w:type="dxa"/>
            <w:gridSpan w:val="3"/>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Tablecentredtext"/>
              <w:cnfStyle w:val="000000100000" w:firstRow="0" w:lastRow="0" w:firstColumn="0" w:lastColumn="0" w:oddVBand="0" w:evenVBand="0" w:oddHBand="1" w:evenHBand="0" w:firstRowFirstColumn="0" w:firstRowLastColumn="0" w:lastRowFirstColumn="0" w:lastRowLastColumn="0"/>
            </w:pPr>
            <w:r>
              <w:t>Nil</w:t>
            </w:r>
          </w:p>
        </w:tc>
        <w:tc>
          <w:tcPr>
            <w:tcW w:w="1627" w:type="dxa"/>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BodyText"/>
              <w:jc w:val="center"/>
              <w:cnfStyle w:val="000000100000" w:firstRow="0" w:lastRow="0" w:firstColumn="0" w:lastColumn="0" w:oddVBand="0" w:evenVBand="0" w:oddHBand="1" w:evenHBand="0" w:firstRowFirstColumn="0" w:firstRowLastColumn="0" w:lastRowFirstColumn="0" w:lastRowLastColumn="0"/>
              <w:rPr>
                <w:sz w:val="19"/>
                <w:szCs w:val="19"/>
              </w:rPr>
            </w:pPr>
            <w:r>
              <w:rPr>
                <w:sz w:val="19"/>
                <w:szCs w:val="19"/>
              </w:rPr>
              <w:t>Nil</w:t>
            </w:r>
          </w:p>
        </w:tc>
        <w:tc>
          <w:tcPr>
            <w:tcW w:w="0" w:type="auto"/>
            <w:vMerge/>
            <w:tcBorders>
              <w:top w:val="single" w:sz="4" w:space="0" w:color="D9D9D9" w:themeColor="background1" w:themeShade="D9"/>
              <w:left w:val="nil"/>
              <w:bottom w:val="single" w:sz="4" w:space="0" w:color="D9D9D9" w:themeColor="background1" w:themeShade="D9"/>
              <w:right w:val="single" w:sz="4" w:space="0" w:color="005EB8" w:themeColor="accent1"/>
            </w:tcBorders>
            <w:vAlign w:val="center"/>
            <w:hideMark/>
          </w:tcPr>
          <w:p w:rsidR="006B7E37" w:rsidRPr="0020182A" w:rsidRDefault="006B7E37">
            <w:pPr>
              <w:spacing w:before="0" w:after="0"/>
              <w:cnfStyle w:val="000000100000" w:firstRow="0" w:lastRow="0" w:firstColumn="0" w:lastColumn="0" w:oddVBand="0" w:evenVBand="0" w:oddHBand="1" w:evenHBand="0" w:firstRowFirstColumn="0" w:firstRowLastColumn="0" w:lastRowFirstColumn="0" w:lastRowLastColumn="0"/>
            </w:pPr>
          </w:p>
        </w:tc>
      </w:tr>
      <w:tr w:rsidR="006B7E37" w:rsidRPr="0020182A" w:rsidTr="00FB5414">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hideMark/>
          </w:tcPr>
          <w:p w:rsidR="006B7E37" w:rsidRPr="0020182A" w:rsidRDefault="006B7E37">
            <w:pPr>
              <w:rPr>
                <w:b w:val="0"/>
              </w:rPr>
            </w:pPr>
            <w:r w:rsidRPr="0020182A">
              <w:rPr>
                <w:b w:val="0"/>
              </w:rPr>
              <w:lastRenderedPageBreak/>
              <w:t>What risks do investors and providers associate with the existing Framework?</w:t>
            </w:r>
          </w:p>
        </w:tc>
        <w:tc>
          <w:tcPr>
            <w:tcW w:w="111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BodyText"/>
              <w:jc w:val="center"/>
              <w:cnfStyle w:val="000000000000" w:firstRow="0" w:lastRow="0" w:firstColumn="0" w:lastColumn="0" w:oddVBand="0" w:evenVBand="0" w:oddHBand="0" w:evenHBand="0" w:firstRowFirstColumn="0" w:firstRowLastColumn="0" w:lastRowFirstColumn="0" w:lastRowLastColumn="0"/>
              <w:rPr>
                <w:sz w:val="19"/>
                <w:szCs w:val="19"/>
              </w:rPr>
            </w:pPr>
            <w:r w:rsidRPr="0020182A">
              <w:rPr>
                <w:sz w:val="19"/>
                <w:szCs w:val="19"/>
              </w:rPr>
              <w:t>2,3</w:t>
            </w:r>
          </w:p>
        </w:tc>
        <w:tc>
          <w:tcPr>
            <w:tcW w:w="1424" w:type="dxa"/>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Tablecentredtext"/>
              <w:cnfStyle w:val="000000000000" w:firstRow="0" w:lastRow="0" w:firstColumn="0" w:lastColumn="0" w:oddVBand="0" w:evenVBand="0" w:oddHBand="0" w:evenHBand="0" w:firstRowFirstColumn="0" w:firstRowLastColumn="0" w:lastRowFirstColumn="0" w:lastRowLastColumn="0"/>
            </w:pPr>
            <w:r>
              <w:t>Nil</w:t>
            </w:r>
          </w:p>
        </w:tc>
        <w:tc>
          <w:tcPr>
            <w:tcW w:w="2294" w:type="dxa"/>
            <w:gridSpan w:val="3"/>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000000" w:firstRow="0" w:lastRow="0" w:firstColumn="0" w:lastColumn="0" w:oddVBand="0" w:evenVBand="0" w:oddHBand="0" w:evenHBand="0" w:firstRowFirstColumn="0" w:firstRowLastColumn="0" w:lastRowFirstColumn="0" w:lastRowLastColumn="0"/>
            </w:pPr>
            <w:r w:rsidRPr="0020182A">
              <w:sym w:font="Wingdings" w:char="F0FC"/>
            </w:r>
          </w:p>
        </w:tc>
        <w:tc>
          <w:tcPr>
            <w:tcW w:w="1627" w:type="dxa"/>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BodyText"/>
              <w:jc w:val="center"/>
              <w:cnfStyle w:val="000000000000" w:firstRow="0" w:lastRow="0" w:firstColumn="0" w:lastColumn="0" w:oddVBand="0" w:evenVBand="0" w:oddHBand="0" w:evenHBand="0" w:firstRowFirstColumn="0" w:firstRowLastColumn="0" w:lastRowFirstColumn="0" w:lastRowLastColumn="0"/>
              <w:rPr>
                <w:sz w:val="19"/>
                <w:szCs w:val="19"/>
              </w:rPr>
            </w:pPr>
            <w:r>
              <w:rPr>
                <w:sz w:val="19"/>
                <w:szCs w:val="19"/>
              </w:rPr>
              <w:t>Nil</w:t>
            </w:r>
          </w:p>
        </w:tc>
        <w:tc>
          <w:tcPr>
            <w:tcW w:w="0" w:type="auto"/>
            <w:vMerge/>
            <w:tcBorders>
              <w:top w:val="single" w:sz="4" w:space="0" w:color="D9D9D9" w:themeColor="background1" w:themeShade="D9"/>
              <w:left w:val="nil"/>
              <w:bottom w:val="single" w:sz="4" w:space="0" w:color="D9D9D9" w:themeColor="background1" w:themeShade="D9"/>
              <w:right w:val="single" w:sz="4" w:space="0" w:color="005EB8" w:themeColor="accent1"/>
            </w:tcBorders>
            <w:vAlign w:val="center"/>
            <w:hideMark/>
          </w:tcPr>
          <w:p w:rsidR="006B7E37" w:rsidRPr="0020182A" w:rsidRDefault="006B7E37">
            <w:pPr>
              <w:spacing w:before="0" w:after="0"/>
              <w:cnfStyle w:val="000000000000" w:firstRow="0" w:lastRow="0" w:firstColumn="0" w:lastColumn="0" w:oddVBand="0" w:evenVBand="0" w:oddHBand="0" w:evenHBand="0" w:firstRowFirstColumn="0" w:firstRowLastColumn="0" w:lastRowFirstColumn="0" w:lastRowLastColumn="0"/>
            </w:pPr>
          </w:p>
        </w:tc>
      </w:tr>
      <w:tr w:rsidR="006B7E37" w:rsidRPr="0020182A" w:rsidTr="00FB5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hideMark/>
          </w:tcPr>
          <w:p w:rsidR="006B7E37" w:rsidRPr="0020182A" w:rsidRDefault="006B7E37">
            <w:pPr>
              <w:rPr>
                <w:b w:val="0"/>
              </w:rPr>
            </w:pPr>
            <w:r w:rsidRPr="0020182A">
              <w:rPr>
                <w:b w:val="0"/>
              </w:rPr>
              <w:t>Is the Framework sufficiently clear on the circumstances where SDA funding will be included in Participant plans to inform investment decisions?</w:t>
            </w:r>
          </w:p>
        </w:tc>
        <w:tc>
          <w:tcPr>
            <w:tcW w:w="111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BodyText"/>
              <w:jc w:val="center"/>
              <w:cnfStyle w:val="000000100000" w:firstRow="0" w:lastRow="0" w:firstColumn="0" w:lastColumn="0" w:oddVBand="0" w:evenVBand="0" w:oddHBand="1" w:evenHBand="0" w:firstRowFirstColumn="0" w:firstRowLastColumn="0" w:lastRowFirstColumn="0" w:lastRowLastColumn="0"/>
              <w:rPr>
                <w:sz w:val="19"/>
                <w:szCs w:val="19"/>
              </w:rPr>
            </w:pPr>
            <w:r w:rsidRPr="0020182A">
              <w:rPr>
                <w:sz w:val="19"/>
                <w:szCs w:val="19"/>
              </w:rPr>
              <w:t>1,2</w:t>
            </w:r>
          </w:p>
        </w:tc>
        <w:tc>
          <w:tcPr>
            <w:tcW w:w="142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100000" w:firstRow="0" w:lastRow="0" w:firstColumn="0" w:lastColumn="0" w:oddVBand="0" w:evenVBand="0" w:oddHBand="1" w:evenHBand="0" w:firstRowFirstColumn="0" w:firstRowLastColumn="0" w:lastRowFirstColumn="0" w:lastRowLastColumn="0"/>
            </w:pPr>
            <w:r w:rsidRPr="0020182A">
              <w:sym w:font="Wingdings" w:char="F0FC"/>
            </w:r>
          </w:p>
        </w:tc>
        <w:tc>
          <w:tcPr>
            <w:tcW w:w="2294" w:type="dxa"/>
            <w:gridSpan w:val="3"/>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100000" w:firstRow="0" w:lastRow="0" w:firstColumn="0" w:lastColumn="0" w:oddVBand="0" w:evenVBand="0" w:oddHBand="1" w:evenHBand="0" w:firstRowFirstColumn="0" w:firstRowLastColumn="0" w:lastRowFirstColumn="0" w:lastRowLastColumn="0"/>
            </w:pPr>
            <w:r w:rsidRPr="0020182A">
              <w:sym w:font="Wingdings" w:char="F0FC"/>
            </w:r>
          </w:p>
        </w:tc>
        <w:tc>
          <w:tcPr>
            <w:tcW w:w="1627" w:type="dxa"/>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BodyText"/>
              <w:jc w:val="center"/>
              <w:cnfStyle w:val="000000100000" w:firstRow="0" w:lastRow="0" w:firstColumn="0" w:lastColumn="0" w:oddVBand="0" w:evenVBand="0" w:oddHBand="1" w:evenHBand="0" w:firstRowFirstColumn="0" w:firstRowLastColumn="0" w:lastRowFirstColumn="0" w:lastRowLastColumn="0"/>
              <w:rPr>
                <w:sz w:val="19"/>
                <w:szCs w:val="19"/>
              </w:rPr>
            </w:pPr>
            <w:r>
              <w:rPr>
                <w:sz w:val="19"/>
                <w:szCs w:val="19"/>
              </w:rPr>
              <w:t>Nil</w:t>
            </w:r>
          </w:p>
        </w:tc>
        <w:tc>
          <w:tcPr>
            <w:tcW w:w="0" w:type="auto"/>
            <w:vMerge/>
            <w:tcBorders>
              <w:top w:val="single" w:sz="4" w:space="0" w:color="D9D9D9" w:themeColor="background1" w:themeShade="D9"/>
              <w:left w:val="nil"/>
              <w:bottom w:val="single" w:sz="4" w:space="0" w:color="D9D9D9" w:themeColor="background1" w:themeShade="D9"/>
              <w:right w:val="single" w:sz="4" w:space="0" w:color="005EB8" w:themeColor="accent1"/>
            </w:tcBorders>
            <w:vAlign w:val="center"/>
            <w:hideMark/>
          </w:tcPr>
          <w:p w:rsidR="006B7E37" w:rsidRPr="0020182A" w:rsidRDefault="006B7E37">
            <w:pPr>
              <w:spacing w:before="0" w:after="0"/>
              <w:cnfStyle w:val="000000100000" w:firstRow="0" w:lastRow="0" w:firstColumn="0" w:lastColumn="0" w:oddVBand="0" w:evenVBand="0" w:oddHBand="1" w:evenHBand="0" w:firstRowFirstColumn="0" w:firstRowLastColumn="0" w:lastRowFirstColumn="0" w:lastRowLastColumn="0"/>
            </w:pPr>
          </w:p>
        </w:tc>
      </w:tr>
      <w:tr w:rsidR="006B7E37" w:rsidRPr="0020182A" w:rsidTr="00FB5414">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hideMark/>
          </w:tcPr>
          <w:p w:rsidR="006B7E37" w:rsidRPr="0020182A" w:rsidRDefault="006B7E37">
            <w:pPr>
              <w:rPr>
                <w:b w:val="0"/>
              </w:rPr>
            </w:pPr>
            <w:r w:rsidRPr="0020182A">
              <w:rPr>
                <w:b w:val="0"/>
              </w:rPr>
              <w:t>Are there any barriers in the Framework to investment?</w:t>
            </w:r>
          </w:p>
        </w:tc>
        <w:tc>
          <w:tcPr>
            <w:tcW w:w="111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BodyText"/>
              <w:jc w:val="center"/>
              <w:cnfStyle w:val="000000000000" w:firstRow="0" w:lastRow="0" w:firstColumn="0" w:lastColumn="0" w:oddVBand="0" w:evenVBand="0" w:oddHBand="0" w:evenHBand="0" w:firstRowFirstColumn="0" w:firstRowLastColumn="0" w:lastRowFirstColumn="0" w:lastRowLastColumn="0"/>
              <w:rPr>
                <w:sz w:val="19"/>
                <w:szCs w:val="19"/>
              </w:rPr>
            </w:pPr>
            <w:r w:rsidRPr="0020182A">
              <w:rPr>
                <w:sz w:val="19"/>
                <w:szCs w:val="19"/>
              </w:rPr>
              <w:t>2,4</w:t>
            </w:r>
          </w:p>
        </w:tc>
        <w:tc>
          <w:tcPr>
            <w:tcW w:w="1424" w:type="dxa"/>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Tablecentredtext"/>
              <w:cnfStyle w:val="000000000000" w:firstRow="0" w:lastRow="0" w:firstColumn="0" w:lastColumn="0" w:oddVBand="0" w:evenVBand="0" w:oddHBand="0" w:evenHBand="0" w:firstRowFirstColumn="0" w:firstRowLastColumn="0" w:lastRowFirstColumn="0" w:lastRowLastColumn="0"/>
            </w:pPr>
            <w:r>
              <w:t>Nil</w:t>
            </w:r>
          </w:p>
        </w:tc>
        <w:tc>
          <w:tcPr>
            <w:tcW w:w="2294" w:type="dxa"/>
            <w:gridSpan w:val="3"/>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000000" w:firstRow="0" w:lastRow="0" w:firstColumn="0" w:lastColumn="0" w:oddVBand="0" w:evenVBand="0" w:oddHBand="0" w:evenHBand="0" w:firstRowFirstColumn="0" w:firstRowLastColumn="0" w:lastRowFirstColumn="0" w:lastRowLastColumn="0"/>
            </w:pPr>
            <w:r w:rsidRPr="0020182A">
              <w:sym w:font="Wingdings" w:char="F0FC"/>
            </w:r>
          </w:p>
        </w:tc>
        <w:tc>
          <w:tcPr>
            <w:tcW w:w="1627"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BodyText"/>
              <w:jc w:val="center"/>
              <w:cnfStyle w:val="000000000000" w:firstRow="0" w:lastRow="0" w:firstColumn="0" w:lastColumn="0" w:oddVBand="0" w:evenVBand="0" w:oddHBand="0" w:evenHBand="0" w:firstRowFirstColumn="0" w:firstRowLastColumn="0" w:lastRowFirstColumn="0" w:lastRowLastColumn="0"/>
              <w:rPr>
                <w:sz w:val="19"/>
                <w:szCs w:val="19"/>
              </w:rPr>
            </w:pPr>
            <w:r w:rsidRPr="0020182A">
              <w:sym w:font="Wingdings" w:char="F0FC"/>
            </w:r>
          </w:p>
        </w:tc>
        <w:tc>
          <w:tcPr>
            <w:tcW w:w="0" w:type="auto"/>
            <w:vMerge/>
            <w:tcBorders>
              <w:top w:val="single" w:sz="4" w:space="0" w:color="D9D9D9" w:themeColor="background1" w:themeShade="D9"/>
              <w:left w:val="nil"/>
              <w:bottom w:val="single" w:sz="4" w:space="0" w:color="D9D9D9" w:themeColor="background1" w:themeShade="D9"/>
              <w:right w:val="single" w:sz="4" w:space="0" w:color="005EB8" w:themeColor="accent1"/>
            </w:tcBorders>
            <w:vAlign w:val="center"/>
            <w:hideMark/>
          </w:tcPr>
          <w:p w:rsidR="006B7E37" w:rsidRPr="0020182A" w:rsidRDefault="006B7E37">
            <w:pPr>
              <w:spacing w:before="0" w:after="0"/>
              <w:cnfStyle w:val="000000000000" w:firstRow="0" w:lastRow="0" w:firstColumn="0" w:lastColumn="0" w:oddVBand="0" w:evenVBand="0" w:oddHBand="0" w:evenHBand="0" w:firstRowFirstColumn="0" w:firstRowLastColumn="0" w:lastRowFirstColumn="0" w:lastRowLastColumn="0"/>
            </w:pPr>
          </w:p>
        </w:tc>
      </w:tr>
      <w:tr w:rsidR="006B7E37" w:rsidRPr="0020182A" w:rsidTr="00FB5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hideMark/>
          </w:tcPr>
          <w:p w:rsidR="006B7E37" w:rsidRPr="0020182A" w:rsidRDefault="006B7E37">
            <w:pPr>
              <w:rPr>
                <w:b w:val="0"/>
              </w:rPr>
            </w:pPr>
            <w:r w:rsidRPr="0020182A">
              <w:rPr>
                <w:b w:val="0"/>
              </w:rPr>
              <w:t>Do any aspects of the Framework specifically support investment?</w:t>
            </w:r>
          </w:p>
        </w:tc>
        <w:tc>
          <w:tcPr>
            <w:tcW w:w="111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BodyText"/>
              <w:jc w:val="center"/>
              <w:cnfStyle w:val="000000100000" w:firstRow="0" w:lastRow="0" w:firstColumn="0" w:lastColumn="0" w:oddVBand="0" w:evenVBand="0" w:oddHBand="1" w:evenHBand="0" w:firstRowFirstColumn="0" w:firstRowLastColumn="0" w:lastRowFirstColumn="0" w:lastRowLastColumn="0"/>
              <w:rPr>
                <w:sz w:val="19"/>
                <w:szCs w:val="19"/>
              </w:rPr>
            </w:pPr>
            <w:r w:rsidRPr="0020182A">
              <w:rPr>
                <w:sz w:val="19"/>
                <w:szCs w:val="19"/>
              </w:rPr>
              <w:t>2,4</w:t>
            </w:r>
          </w:p>
        </w:tc>
        <w:tc>
          <w:tcPr>
            <w:tcW w:w="1424" w:type="dxa"/>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Tablecentredtext"/>
              <w:cnfStyle w:val="000000100000" w:firstRow="0" w:lastRow="0" w:firstColumn="0" w:lastColumn="0" w:oddVBand="0" w:evenVBand="0" w:oddHBand="1" w:evenHBand="0" w:firstRowFirstColumn="0" w:firstRowLastColumn="0" w:lastRowFirstColumn="0" w:lastRowLastColumn="0"/>
            </w:pPr>
            <w:r>
              <w:t>Nil</w:t>
            </w:r>
          </w:p>
        </w:tc>
        <w:tc>
          <w:tcPr>
            <w:tcW w:w="2294" w:type="dxa"/>
            <w:gridSpan w:val="3"/>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100000" w:firstRow="0" w:lastRow="0" w:firstColumn="0" w:lastColumn="0" w:oddVBand="0" w:evenVBand="0" w:oddHBand="1" w:evenHBand="0" w:firstRowFirstColumn="0" w:firstRowLastColumn="0" w:lastRowFirstColumn="0" w:lastRowLastColumn="0"/>
            </w:pPr>
            <w:r w:rsidRPr="0020182A">
              <w:sym w:font="Wingdings" w:char="F0FC"/>
            </w:r>
          </w:p>
        </w:tc>
        <w:tc>
          <w:tcPr>
            <w:tcW w:w="1627"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BodyText"/>
              <w:jc w:val="center"/>
              <w:cnfStyle w:val="000000100000" w:firstRow="0" w:lastRow="0" w:firstColumn="0" w:lastColumn="0" w:oddVBand="0" w:evenVBand="0" w:oddHBand="1" w:evenHBand="0" w:firstRowFirstColumn="0" w:firstRowLastColumn="0" w:lastRowFirstColumn="0" w:lastRowLastColumn="0"/>
              <w:rPr>
                <w:sz w:val="19"/>
                <w:szCs w:val="19"/>
              </w:rPr>
            </w:pPr>
            <w:r w:rsidRPr="0020182A">
              <w:sym w:font="Wingdings" w:char="F0FC"/>
            </w:r>
          </w:p>
        </w:tc>
        <w:tc>
          <w:tcPr>
            <w:tcW w:w="0" w:type="auto"/>
            <w:vMerge/>
            <w:tcBorders>
              <w:top w:val="single" w:sz="4" w:space="0" w:color="D9D9D9" w:themeColor="background1" w:themeShade="D9"/>
              <w:left w:val="nil"/>
              <w:bottom w:val="single" w:sz="4" w:space="0" w:color="D9D9D9" w:themeColor="background1" w:themeShade="D9"/>
              <w:right w:val="single" w:sz="4" w:space="0" w:color="005EB8" w:themeColor="accent1"/>
            </w:tcBorders>
            <w:vAlign w:val="center"/>
            <w:hideMark/>
          </w:tcPr>
          <w:p w:rsidR="006B7E37" w:rsidRPr="0020182A" w:rsidRDefault="006B7E37">
            <w:pPr>
              <w:spacing w:before="0" w:after="0"/>
              <w:cnfStyle w:val="000000100000" w:firstRow="0" w:lastRow="0" w:firstColumn="0" w:lastColumn="0" w:oddVBand="0" w:evenVBand="0" w:oddHBand="1" w:evenHBand="0" w:firstRowFirstColumn="0" w:firstRowLastColumn="0" w:lastRowFirstColumn="0" w:lastRowLastColumn="0"/>
            </w:pPr>
          </w:p>
        </w:tc>
      </w:tr>
      <w:tr w:rsidR="006B7E37" w:rsidRPr="0020182A" w:rsidTr="00FB5414">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hideMark/>
          </w:tcPr>
          <w:p w:rsidR="006B7E37" w:rsidRPr="0020182A" w:rsidRDefault="006B7E37">
            <w:pPr>
              <w:rPr>
                <w:b w:val="0"/>
              </w:rPr>
            </w:pPr>
            <w:r w:rsidRPr="0020182A">
              <w:rPr>
                <w:b w:val="0"/>
              </w:rPr>
              <w:t>Do these barriers and enablers vary based on the type of SDA property, locations, or any other factors?</w:t>
            </w:r>
          </w:p>
        </w:tc>
        <w:tc>
          <w:tcPr>
            <w:tcW w:w="111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BodyText"/>
              <w:jc w:val="center"/>
              <w:cnfStyle w:val="000000000000" w:firstRow="0" w:lastRow="0" w:firstColumn="0" w:lastColumn="0" w:oddVBand="0" w:evenVBand="0" w:oddHBand="0" w:evenHBand="0" w:firstRowFirstColumn="0" w:firstRowLastColumn="0" w:lastRowFirstColumn="0" w:lastRowLastColumn="0"/>
              <w:rPr>
                <w:sz w:val="19"/>
                <w:szCs w:val="19"/>
              </w:rPr>
            </w:pPr>
            <w:r w:rsidRPr="0020182A">
              <w:rPr>
                <w:sz w:val="19"/>
                <w:szCs w:val="19"/>
              </w:rPr>
              <w:t>2</w:t>
            </w:r>
          </w:p>
        </w:tc>
        <w:tc>
          <w:tcPr>
            <w:tcW w:w="1424" w:type="dxa"/>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Tablecentredtext"/>
              <w:cnfStyle w:val="000000000000" w:firstRow="0" w:lastRow="0" w:firstColumn="0" w:lastColumn="0" w:oddVBand="0" w:evenVBand="0" w:oddHBand="0" w:evenHBand="0" w:firstRowFirstColumn="0" w:firstRowLastColumn="0" w:lastRowFirstColumn="0" w:lastRowLastColumn="0"/>
            </w:pPr>
            <w:r>
              <w:t>Nil</w:t>
            </w:r>
          </w:p>
        </w:tc>
        <w:tc>
          <w:tcPr>
            <w:tcW w:w="2294" w:type="dxa"/>
            <w:gridSpan w:val="3"/>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000000" w:firstRow="0" w:lastRow="0" w:firstColumn="0" w:lastColumn="0" w:oddVBand="0" w:evenVBand="0" w:oddHBand="0" w:evenHBand="0" w:firstRowFirstColumn="0" w:firstRowLastColumn="0" w:lastRowFirstColumn="0" w:lastRowLastColumn="0"/>
            </w:pPr>
            <w:r w:rsidRPr="0020182A">
              <w:sym w:font="Wingdings" w:char="F0FC"/>
            </w:r>
          </w:p>
        </w:tc>
        <w:tc>
          <w:tcPr>
            <w:tcW w:w="1627"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BodyText"/>
              <w:jc w:val="center"/>
              <w:cnfStyle w:val="000000000000" w:firstRow="0" w:lastRow="0" w:firstColumn="0" w:lastColumn="0" w:oddVBand="0" w:evenVBand="0" w:oddHBand="0" w:evenHBand="0" w:firstRowFirstColumn="0" w:firstRowLastColumn="0" w:lastRowFirstColumn="0" w:lastRowLastColumn="0"/>
              <w:rPr>
                <w:sz w:val="19"/>
                <w:szCs w:val="19"/>
              </w:rPr>
            </w:pPr>
            <w:r w:rsidRPr="0020182A">
              <w:sym w:font="Wingdings" w:char="F0FC"/>
            </w:r>
          </w:p>
        </w:tc>
        <w:tc>
          <w:tcPr>
            <w:tcW w:w="0" w:type="auto"/>
            <w:vMerge/>
            <w:tcBorders>
              <w:top w:val="single" w:sz="4" w:space="0" w:color="D9D9D9" w:themeColor="background1" w:themeShade="D9"/>
              <w:left w:val="nil"/>
              <w:bottom w:val="single" w:sz="4" w:space="0" w:color="D9D9D9" w:themeColor="background1" w:themeShade="D9"/>
              <w:right w:val="single" w:sz="4" w:space="0" w:color="005EB8" w:themeColor="accent1"/>
            </w:tcBorders>
            <w:vAlign w:val="center"/>
            <w:hideMark/>
          </w:tcPr>
          <w:p w:rsidR="006B7E37" w:rsidRPr="0020182A" w:rsidRDefault="006B7E37">
            <w:pPr>
              <w:spacing w:before="0" w:after="0"/>
              <w:cnfStyle w:val="000000000000" w:firstRow="0" w:lastRow="0" w:firstColumn="0" w:lastColumn="0" w:oddVBand="0" w:evenVBand="0" w:oddHBand="0" w:evenHBand="0" w:firstRowFirstColumn="0" w:firstRowLastColumn="0" w:lastRowFirstColumn="0" w:lastRowLastColumn="0"/>
            </w:pPr>
          </w:p>
        </w:tc>
      </w:tr>
      <w:tr w:rsidR="00FB5414" w:rsidRPr="0020182A" w:rsidTr="00FB5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tcPr>
          <w:p w:rsidR="00FB5414" w:rsidRPr="0020182A" w:rsidRDefault="00FB5414" w:rsidP="00FB5414">
            <w:pPr>
              <w:pStyle w:val="Tablesubheading"/>
              <w:rPr>
                <w:b/>
                <w:bCs/>
              </w:rPr>
            </w:pPr>
            <w:r>
              <w:t>Review questions for “Choice and Control” -  D</w:t>
            </w:r>
            <w:r w:rsidRPr="00FB5414">
              <w:t>oes the Framework enable choice, control, independence and inclusion in the provision of SDA?</w:t>
            </w:r>
          </w:p>
        </w:tc>
        <w:tc>
          <w:tcPr>
            <w:tcW w:w="1114" w:type="dxa"/>
            <w:tcBorders>
              <w:top w:val="single" w:sz="4" w:space="0" w:color="D9D9D9" w:themeColor="background1" w:themeShade="D9"/>
              <w:left w:val="nil"/>
              <w:bottom w:val="single" w:sz="4" w:space="0" w:color="D9D9D9" w:themeColor="background1" w:themeShade="D9"/>
              <w:right w:val="nil"/>
            </w:tcBorders>
          </w:tcPr>
          <w:p w:rsidR="00FB5414" w:rsidRPr="0020182A" w:rsidRDefault="00FB5414" w:rsidP="00FB5414">
            <w:pPr>
              <w:pStyle w:val="Tablesubheading"/>
              <w:cnfStyle w:val="000000100000" w:firstRow="0" w:lastRow="0" w:firstColumn="0" w:lastColumn="0" w:oddVBand="0" w:evenVBand="0" w:oddHBand="1" w:evenHBand="0" w:firstRowFirstColumn="0" w:firstRowLastColumn="0" w:lastRowFirstColumn="0" w:lastRowLastColumn="0"/>
              <w:rPr>
                <w:b w:val="0"/>
                <w:bCs w:val="0"/>
              </w:rPr>
            </w:pPr>
            <w:r>
              <w:rPr>
                <w:b w:val="0"/>
                <w:bCs w:val="0"/>
              </w:rPr>
              <w:t>Terms of Reference covered by this question</w:t>
            </w:r>
          </w:p>
        </w:tc>
        <w:tc>
          <w:tcPr>
            <w:tcW w:w="1424" w:type="dxa"/>
            <w:tcBorders>
              <w:top w:val="single" w:sz="4" w:space="0" w:color="D9D9D9" w:themeColor="background1" w:themeShade="D9"/>
              <w:left w:val="nil"/>
              <w:bottom w:val="single" w:sz="4" w:space="0" w:color="D9D9D9" w:themeColor="background1" w:themeShade="D9"/>
              <w:right w:val="nil"/>
            </w:tcBorders>
          </w:tcPr>
          <w:p w:rsidR="00FB5414" w:rsidRPr="0020182A" w:rsidRDefault="00FB5414" w:rsidP="00FB5414">
            <w:pPr>
              <w:pStyle w:val="Tablesubheading"/>
              <w:cnfStyle w:val="000000100000" w:firstRow="0" w:lastRow="0" w:firstColumn="0" w:lastColumn="0" w:oddVBand="0" w:evenVBand="0" w:oddHBand="1" w:evenHBand="0" w:firstRowFirstColumn="0" w:firstRowLastColumn="0" w:lastRowFirstColumn="0" w:lastRowLastColumn="0"/>
              <w:rPr>
                <w:b w:val="0"/>
                <w:bCs w:val="0"/>
              </w:rPr>
            </w:pPr>
            <w:r>
              <w:rPr>
                <w:b w:val="0"/>
                <w:bCs w:val="0"/>
              </w:rPr>
              <w:t>Participant consultation input?</w:t>
            </w:r>
          </w:p>
        </w:tc>
        <w:tc>
          <w:tcPr>
            <w:tcW w:w="2294" w:type="dxa"/>
            <w:gridSpan w:val="3"/>
            <w:tcBorders>
              <w:top w:val="single" w:sz="4" w:space="0" w:color="D9D9D9" w:themeColor="background1" w:themeShade="D9"/>
              <w:left w:val="nil"/>
              <w:bottom w:val="single" w:sz="4" w:space="0" w:color="D9D9D9" w:themeColor="background1" w:themeShade="D9"/>
              <w:right w:val="nil"/>
            </w:tcBorders>
          </w:tcPr>
          <w:p w:rsidR="00FB5414" w:rsidRPr="0020182A" w:rsidRDefault="00FB5414" w:rsidP="00FB5414">
            <w:pPr>
              <w:pStyle w:val="Tablesubheading"/>
              <w:cnfStyle w:val="000000100000" w:firstRow="0" w:lastRow="0" w:firstColumn="0" w:lastColumn="0" w:oddVBand="0" w:evenVBand="0" w:oddHBand="1" w:evenHBand="0" w:firstRowFirstColumn="0" w:firstRowLastColumn="0" w:lastRowFirstColumn="0" w:lastRowLastColumn="0"/>
              <w:rPr>
                <w:b w:val="0"/>
                <w:bCs w:val="0"/>
              </w:rPr>
            </w:pPr>
            <w:r>
              <w:rPr>
                <w:b w:val="0"/>
                <w:bCs w:val="0"/>
              </w:rPr>
              <w:t>Provider/investor consultation input?</w:t>
            </w:r>
          </w:p>
        </w:tc>
        <w:tc>
          <w:tcPr>
            <w:tcW w:w="1627" w:type="dxa"/>
            <w:tcBorders>
              <w:top w:val="single" w:sz="4" w:space="0" w:color="D9D9D9" w:themeColor="background1" w:themeShade="D9"/>
              <w:left w:val="nil"/>
              <w:bottom w:val="single" w:sz="4" w:space="0" w:color="D9D9D9" w:themeColor="background1" w:themeShade="D9"/>
              <w:right w:val="nil"/>
            </w:tcBorders>
          </w:tcPr>
          <w:p w:rsidR="00FB5414" w:rsidRPr="0020182A" w:rsidRDefault="00FB5414" w:rsidP="00FB5414">
            <w:pPr>
              <w:pStyle w:val="Tablesubheading"/>
              <w:cnfStyle w:val="000000100000" w:firstRow="0" w:lastRow="0" w:firstColumn="0" w:lastColumn="0" w:oddVBand="0" w:evenVBand="0" w:oddHBand="1" w:evenHBand="0" w:firstRowFirstColumn="0" w:firstRowLastColumn="0" w:lastRowFirstColumn="0" w:lastRowLastColumn="0"/>
              <w:rPr>
                <w:b w:val="0"/>
                <w:bCs w:val="0"/>
              </w:rPr>
            </w:pPr>
            <w:r>
              <w:rPr>
                <w:b w:val="0"/>
                <w:bCs w:val="0"/>
              </w:rPr>
              <w:t>Government consultation input?</w:t>
            </w:r>
          </w:p>
        </w:tc>
        <w:tc>
          <w:tcPr>
            <w:tcW w:w="3096" w:type="dxa"/>
            <w:tcBorders>
              <w:top w:val="single" w:sz="4" w:space="0" w:color="D9D9D9" w:themeColor="background1" w:themeShade="D9"/>
              <w:left w:val="nil"/>
              <w:bottom w:val="single" w:sz="4" w:space="0" w:color="FFFFFF" w:themeColor="background1"/>
              <w:right w:val="single" w:sz="4" w:space="0" w:color="005EB8" w:themeColor="accent1"/>
            </w:tcBorders>
          </w:tcPr>
          <w:p w:rsidR="00FB5414" w:rsidRPr="0020182A" w:rsidRDefault="00FB5414" w:rsidP="00FB5414">
            <w:pPr>
              <w:pStyle w:val="Tablesubheading"/>
              <w:cnfStyle w:val="000000100000" w:firstRow="0" w:lastRow="0" w:firstColumn="0" w:lastColumn="0" w:oddVBand="0" w:evenVBand="0" w:oddHBand="1" w:evenHBand="0" w:firstRowFirstColumn="0" w:firstRowLastColumn="0" w:lastRowFirstColumn="0" w:lastRowLastColumn="0"/>
            </w:pPr>
            <w:r>
              <w:t>Data analysis undertaken (this relates to the next 7 rows)</w:t>
            </w:r>
          </w:p>
        </w:tc>
      </w:tr>
      <w:tr w:rsidR="00FB5414" w:rsidRPr="0020182A" w:rsidTr="00FB5414">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hideMark/>
          </w:tcPr>
          <w:p w:rsidR="006B7E37" w:rsidRPr="0020182A" w:rsidRDefault="006B7E37">
            <w:pPr>
              <w:rPr>
                <w:b w:val="0"/>
              </w:rPr>
            </w:pPr>
            <w:r w:rsidRPr="0020182A">
              <w:rPr>
                <w:b w:val="0"/>
              </w:rPr>
              <w:t xml:space="preserve">Are participants with SDA in their plans able to secure suitable SDA accommodation?  </w:t>
            </w:r>
          </w:p>
          <w:p w:rsidR="006B7E37" w:rsidRPr="0020182A" w:rsidRDefault="006B7E37">
            <w:pPr>
              <w:rPr>
                <w:b w:val="0"/>
              </w:rPr>
            </w:pPr>
            <w:r w:rsidRPr="0020182A">
              <w:rPr>
                <w:b w:val="0"/>
              </w:rPr>
              <w:t>What are the gaps / challenges experienced in finding suitable housing?</w:t>
            </w:r>
          </w:p>
        </w:tc>
        <w:tc>
          <w:tcPr>
            <w:tcW w:w="111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BodyText"/>
              <w:jc w:val="center"/>
              <w:cnfStyle w:val="000000000000" w:firstRow="0" w:lastRow="0" w:firstColumn="0" w:lastColumn="0" w:oddVBand="0" w:evenVBand="0" w:oddHBand="0" w:evenHBand="0" w:firstRowFirstColumn="0" w:firstRowLastColumn="0" w:lastRowFirstColumn="0" w:lastRowLastColumn="0"/>
              <w:rPr>
                <w:sz w:val="19"/>
                <w:szCs w:val="19"/>
              </w:rPr>
            </w:pPr>
            <w:r w:rsidRPr="0020182A">
              <w:rPr>
                <w:sz w:val="19"/>
                <w:szCs w:val="19"/>
              </w:rPr>
              <w:t>1,4</w:t>
            </w:r>
          </w:p>
        </w:tc>
        <w:tc>
          <w:tcPr>
            <w:tcW w:w="142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000000" w:firstRow="0" w:lastRow="0" w:firstColumn="0" w:lastColumn="0" w:oddVBand="0" w:evenVBand="0" w:oddHBand="0" w:evenHBand="0" w:firstRowFirstColumn="0" w:firstRowLastColumn="0" w:lastRowFirstColumn="0" w:lastRowLastColumn="0"/>
            </w:pPr>
            <w:r w:rsidRPr="0020182A">
              <w:sym w:font="Wingdings" w:char="F0FC"/>
            </w:r>
          </w:p>
        </w:tc>
        <w:tc>
          <w:tcPr>
            <w:tcW w:w="2294" w:type="dxa"/>
            <w:gridSpan w:val="3"/>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000000" w:firstRow="0" w:lastRow="0" w:firstColumn="0" w:lastColumn="0" w:oddVBand="0" w:evenVBand="0" w:oddHBand="0" w:evenHBand="0" w:firstRowFirstColumn="0" w:firstRowLastColumn="0" w:lastRowFirstColumn="0" w:lastRowLastColumn="0"/>
            </w:pPr>
            <w:r w:rsidRPr="0020182A">
              <w:sym w:font="Wingdings" w:char="F0FC"/>
            </w:r>
          </w:p>
        </w:tc>
        <w:tc>
          <w:tcPr>
            <w:tcW w:w="1627" w:type="dxa"/>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BodyText"/>
              <w:jc w:val="center"/>
              <w:cnfStyle w:val="000000000000" w:firstRow="0" w:lastRow="0" w:firstColumn="0" w:lastColumn="0" w:oddVBand="0" w:evenVBand="0" w:oddHBand="0" w:evenHBand="0" w:firstRowFirstColumn="0" w:firstRowLastColumn="0" w:lastRowFirstColumn="0" w:lastRowLastColumn="0"/>
              <w:rPr>
                <w:sz w:val="19"/>
                <w:szCs w:val="19"/>
              </w:rPr>
            </w:pPr>
            <w:r>
              <w:rPr>
                <w:sz w:val="19"/>
                <w:szCs w:val="19"/>
              </w:rPr>
              <w:t>Nil</w:t>
            </w:r>
          </w:p>
        </w:tc>
        <w:tc>
          <w:tcPr>
            <w:tcW w:w="3096" w:type="dxa"/>
            <w:vMerge w:val="restart"/>
            <w:tcBorders>
              <w:top w:val="single" w:sz="4" w:space="0" w:color="D9D9D9" w:themeColor="background1" w:themeShade="D9"/>
              <w:left w:val="nil"/>
              <w:bottom w:val="single" w:sz="4" w:space="0" w:color="FFFFFF" w:themeColor="background1"/>
              <w:right w:val="single" w:sz="4" w:space="0" w:color="005EB8" w:themeColor="accent1"/>
            </w:tcBorders>
            <w:hideMark/>
          </w:tcPr>
          <w:p w:rsidR="006B7E37" w:rsidRPr="0020182A" w:rsidRDefault="006B7E37" w:rsidP="009B671C">
            <w:pPr>
              <w:pStyle w:val="BodyText"/>
              <w:numPr>
                <w:ilvl w:val="0"/>
                <w:numId w:val="24"/>
              </w:numPr>
              <w:cnfStyle w:val="000000000000" w:firstRow="0" w:lastRow="0" w:firstColumn="0" w:lastColumn="0" w:oddVBand="0" w:evenVBand="0" w:oddHBand="0" w:evenHBand="0" w:firstRowFirstColumn="0" w:firstRowLastColumn="0" w:lastRowFirstColumn="0" w:lastRowLastColumn="0"/>
              <w:rPr>
                <w:sz w:val="19"/>
                <w:szCs w:val="19"/>
              </w:rPr>
            </w:pPr>
            <w:r w:rsidRPr="0020182A">
              <w:rPr>
                <w:sz w:val="19"/>
                <w:szCs w:val="19"/>
              </w:rPr>
              <w:t>Number of Participants with SDA in their plans and proportion of these that have secured SDA</w:t>
            </w:r>
          </w:p>
          <w:p w:rsidR="006B7E37" w:rsidRPr="0020182A" w:rsidRDefault="006B7E37" w:rsidP="009B671C">
            <w:pPr>
              <w:pStyle w:val="BodyText"/>
              <w:numPr>
                <w:ilvl w:val="0"/>
                <w:numId w:val="24"/>
              </w:numPr>
              <w:cnfStyle w:val="000000000000" w:firstRow="0" w:lastRow="0" w:firstColumn="0" w:lastColumn="0" w:oddVBand="0" w:evenVBand="0" w:oddHBand="0" w:evenHBand="0" w:firstRowFirstColumn="0" w:firstRowLastColumn="0" w:lastRowFirstColumn="0" w:lastRowLastColumn="0"/>
              <w:rPr>
                <w:sz w:val="19"/>
                <w:szCs w:val="19"/>
              </w:rPr>
            </w:pPr>
            <w:r w:rsidRPr="0020182A">
              <w:rPr>
                <w:sz w:val="19"/>
                <w:szCs w:val="19"/>
              </w:rPr>
              <w:t xml:space="preserve">Mix of dwelling type </w:t>
            </w:r>
          </w:p>
          <w:p w:rsidR="006B7E37" w:rsidRPr="0020182A" w:rsidRDefault="006B7E37" w:rsidP="009B671C">
            <w:pPr>
              <w:pStyle w:val="BodyText"/>
              <w:numPr>
                <w:ilvl w:val="0"/>
                <w:numId w:val="24"/>
              </w:numPr>
              <w:cnfStyle w:val="000000000000" w:firstRow="0" w:lastRow="0" w:firstColumn="0" w:lastColumn="0" w:oddVBand="0" w:evenVBand="0" w:oddHBand="0" w:evenHBand="0" w:firstRowFirstColumn="0" w:firstRowLastColumn="0" w:lastRowFirstColumn="0" w:lastRowLastColumn="0"/>
              <w:rPr>
                <w:sz w:val="19"/>
                <w:szCs w:val="19"/>
              </w:rPr>
            </w:pPr>
            <w:r w:rsidRPr="0020182A">
              <w:rPr>
                <w:sz w:val="19"/>
                <w:szCs w:val="19"/>
              </w:rPr>
              <w:t>SDA supports committed and/or claimed in Participant plans and provider claims for SDA support</w:t>
            </w:r>
          </w:p>
        </w:tc>
      </w:tr>
      <w:tr w:rsidR="006B7E37" w:rsidRPr="0020182A" w:rsidTr="00FB5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hideMark/>
          </w:tcPr>
          <w:p w:rsidR="006B7E37" w:rsidRPr="0020182A" w:rsidRDefault="006B7E37">
            <w:pPr>
              <w:pStyle w:val="BodyText"/>
              <w:rPr>
                <w:b w:val="0"/>
                <w:szCs w:val="19"/>
              </w:rPr>
            </w:pPr>
            <w:r w:rsidRPr="0020182A">
              <w:rPr>
                <w:b w:val="0"/>
                <w:szCs w:val="19"/>
              </w:rPr>
              <w:t xml:space="preserve">Does the Framework support participants to live in the SDA setting they choose and with people they choose (for example, other people with disability, or friends/family who do not have a disability)? </w:t>
            </w:r>
          </w:p>
        </w:tc>
        <w:tc>
          <w:tcPr>
            <w:tcW w:w="111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BodyText"/>
              <w:jc w:val="center"/>
              <w:cnfStyle w:val="000000100000" w:firstRow="0" w:lastRow="0" w:firstColumn="0" w:lastColumn="0" w:oddVBand="0" w:evenVBand="0" w:oddHBand="1" w:evenHBand="0" w:firstRowFirstColumn="0" w:firstRowLastColumn="0" w:lastRowFirstColumn="0" w:lastRowLastColumn="0"/>
              <w:rPr>
                <w:sz w:val="19"/>
                <w:szCs w:val="19"/>
              </w:rPr>
            </w:pPr>
            <w:r w:rsidRPr="0020182A">
              <w:rPr>
                <w:sz w:val="19"/>
                <w:szCs w:val="19"/>
              </w:rPr>
              <w:t>1,4</w:t>
            </w:r>
          </w:p>
        </w:tc>
        <w:tc>
          <w:tcPr>
            <w:tcW w:w="142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100000" w:firstRow="0" w:lastRow="0" w:firstColumn="0" w:lastColumn="0" w:oddVBand="0" w:evenVBand="0" w:oddHBand="1" w:evenHBand="0" w:firstRowFirstColumn="0" w:firstRowLastColumn="0" w:lastRowFirstColumn="0" w:lastRowLastColumn="0"/>
            </w:pPr>
            <w:r w:rsidRPr="0020182A">
              <w:sym w:font="Wingdings" w:char="F0FC"/>
            </w:r>
          </w:p>
        </w:tc>
        <w:tc>
          <w:tcPr>
            <w:tcW w:w="2294" w:type="dxa"/>
            <w:gridSpan w:val="3"/>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100000" w:firstRow="0" w:lastRow="0" w:firstColumn="0" w:lastColumn="0" w:oddVBand="0" w:evenVBand="0" w:oddHBand="1" w:evenHBand="0" w:firstRowFirstColumn="0" w:firstRowLastColumn="0" w:lastRowFirstColumn="0" w:lastRowLastColumn="0"/>
            </w:pPr>
            <w:r w:rsidRPr="0020182A">
              <w:sym w:font="Wingdings" w:char="F0FC"/>
            </w:r>
          </w:p>
        </w:tc>
        <w:tc>
          <w:tcPr>
            <w:tcW w:w="1627" w:type="dxa"/>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BodyText"/>
              <w:jc w:val="center"/>
              <w:cnfStyle w:val="000000100000" w:firstRow="0" w:lastRow="0" w:firstColumn="0" w:lastColumn="0" w:oddVBand="0" w:evenVBand="0" w:oddHBand="1" w:evenHBand="0" w:firstRowFirstColumn="0" w:firstRowLastColumn="0" w:lastRowFirstColumn="0" w:lastRowLastColumn="0"/>
              <w:rPr>
                <w:sz w:val="19"/>
                <w:szCs w:val="19"/>
              </w:rPr>
            </w:pPr>
            <w:r>
              <w:rPr>
                <w:sz w:val="19"/>
                <w:szCs w:val="19"/>
              </w:rPr>
              <w:t>Nil</w:t>
            </w:r>
          </w:p>
        </w:tc>
        <w:tc>
          <w:tcPr>
            <w:tcW w:w="0" w:type="auto"/>
            <w:vMerge/>
            <w:tcBorders>
              <w:top w:val="single" w:sz="4" w:space="0" w:color="D9D9D9" w:themeColor="background1" w:themeShade="D9"/>
              <w:left w:val="nil"/>
              <w:bottom w:val="single" w:sz="4" w:space="0" w:color="FFFFFF" w:themeColor="background1"/>
              <w:right w:val="single" w:sz="4" w:space="0" w:color="005EB8" w:themeColor="accent1"/>
            </w:tcBorders>
            <w:vAlign w:val="center"/>
            <w:hideMark/>
          </w:tcPr>
          <w:p w:rsidR="006B7E37" w:rsidRPr="0020182A" w:rsidRDefault="006B7E37">
            <w:pPr>
              <w:spacing w:before="0" w:after="0"/>
              <w:cnfStyle w:val="000000100000" w:firstRow="0" w:lastRow="0" w:firstColumn="0" w:lastColumn="0" w:oddVBand="0" w:evenVBand="0" w:oddHBand="1" w:evenHBand="0" w:firstRowFirstColumn="0" w:firstRowLastColumn="0" w:lastRowFirstColumn="0" w:lastRowLastColumn="0"/>
              <w:rPr>
                <w:sz w:val="19"/>
                <w:szCs w:val="19"/>
              </w:rPr>
            </w:pPr>
          </w:p>
        </w:tc>
      </w:tr>
      <w:tr w:rsidR="006B7E37" w:rsidRPr="0020182A" w:rsidTr="00FB5414">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hideMark/>
          </w:tcPr>
          <w:p w:rsidR="006B7E37" w:rsidRPr="0020182A" w:rsidRDefault="006B7E37">
            <w:pPr>
              <w:pStyle w:val="BodyText"/>
              <w:rPr>
                <w:b w:val="0"/>
                <w:szCs w:val="19"/>
              </w:rPr>
            </w:pPr>
            <w:r w:rsidRPr="0020182A">
              <w:rPr>
                <w:b w:val="0"/>
                <w:szCs w:val="19"/>
              </w:rPr>
              <w:lastRenderedPageBreak/>
              <w:t xml:space="preserve">What housing options do people with disability prefer? </w:t>
            </w:r>
          </w:p>
          <w:p w:rsidR="006B7E37" w:rsidRPr="0020182A" w:rsidRDefault="006B7E37">
            <w:pPr>
              <w:pStyle w:val="BodyText"/>
              <w:rPr>
                <w:b w:val="0"/>
                <w:szCs w:val="19"/>
              </w:rPr>
            </w:pPr>
            <w:r w:rsidRPr="0020182A">
              <w:rPr>
                <w:b w:val="0"/>
                <w:szCs w:val="19"/>
              </w:rPr>
              <w:t xml:space="preserve">Do these differ to the options currently available in the market? </w:t>
            </w:r>
          </w:p>
          <w:p w:rsidR="006B7E37" w:rsidRPr="0020182A" w:rsidRDefault="006B7E37">
            <w:pPr>
              <w:pStyle w:val="BodyText"/>
              <w:rPr>
                <w:b w:val="0"/>
                <w:szCs w:val="19"/>
              </w:rPr>
            </w:pPr>
            <w:r w:rsidRPr="0020182A">
              <w:rPr>
                <w:b w:val="0"/>
                <w:szCs w:val="19"/>
              </w:rPr>
              <w:t>Do these differ for different cohorts?</w:t>
            </w:r>
          </w:p>
        </w:tc>
        <w:tc>
          <w:tcPr>
            <w:tcW w:w="111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BodyText"/>
              <w:jc w:val="center"/>
              <w:cnfStyle w:val="000000000000" w:firstRow="0" w:lastRow="0" w:firstColumn="0" w:lastColumn="0" w:oddVBand="0" w:evenVBand="0" w:oddHBand="0" w:evenHBand="0" w:firstRowFirstColumn="0" w:firstRowLastColumn="0" w:lastRowFirstColumn="0" w:lastRowLastColumn="0"/>
              <w:rPr>
                <w:sz w:val="19"/>
                <w:szCs w:val="19"/>
              </w:rPr>
            </w:pPr>
            <w:r w:rsidRPr="0020182A">
              <w:rPr>
                <w:sz w:val="19"/>
                <w:szCs w:val="19"/>
              </w:rPr>
              <w:t>1</w:t>
            </w:r>
          </w:p>
        </w:tc>
        <w:tc>
          <w:tcPr>
            <w:tcW w:w="142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000000" w:firstRow="0" w:lastRow="0" w:firstColumn="0" w:lastColumn="0" w:oddVBand="0" w:evenVBand="0" w:oddHBand="0" w:evenHBand="0" w:firstRowFirstColumn="0" w:firstRowLastColumn="0" w:lastRowFirstColumn="0" w:lastRowLastColumn="0"/>
            </w:pPr>
            <w:r w:rsidRPr="0020182A">
              <w:sym w:font="Wingdings" w:char="F0FC"/>
            </w:r>
          </w:p>
        </w:tc>
        <w:tc>
          <w:tcPr>
            <w:tcW w:w="2294" w:type="dxa"/>
            <w:gridSpan w:val="3"/>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000000" w:firstRow="0" w:lastRow="0" w:firstColumn="0" w:lastColumn="0" w:oddVBand="0" w:evenVBand="0" w:oddHBand="0" w:evenHBand="0" w:firstRowFirstColumn="0" w:firstRowLastColumn="0" w:lastRowFirstColumn="0" w:lastRowLastColumn="0"/>
            </w:pPr>
            <w:r w:rsidRPr="0020182A">
              <w:sym w:font="Wingdings" w:char="F0FC"/>
            </w:r>
          </w:p>
        </w:tc>
        <w:tc>
          <w:tcPr>
            <w:tcW w:w="1627" w:type="dxa"/>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BodyText"/>
              <w:jc w:val="center"/>
              <w:cnfStyle w:val="000000000000" w:firstRow="0" w:lastRow="0" w:firstColumn="0" w:lastColumn="0" w:oddVBand="0" w:evenVBand="0" w:oddHBand="0" w:evenHBand="0" w:firstRowFirstColumn="0" w:firstRowLastColumn="0" w:lastRowFirstColumn="0" w:lastRowLastColumn="0"/>
              <w:rPr>
                <w:sz w:val="19"/>
                <w:szCs w:val="19"/>
              </w:rPr>
            </w:pPr>
            <w:r>
              <w:rPr>
                <w:sz w:val="19"/>
                <w:szCs w:val="19"/>
              </w:rPr>
              <w:t>Nil</w:t>
            </w:r>
          </w:p>
        </w:tc>
        <w:tc>
          <w:tcPr>
            <w:tcW w:w="0" w:type="auto"/>
            <w:vMerge/>
            <w:tcBorders>
              <w:top w:val="single" w:sz="4" w:space="0" w:color="D9D9D9" w:themeColor="background1" w:themeShade="D9"/>
              <w:left w:val="nil"/>
              <w:bottom w:val="single" w:sz="4" w:space="0" w:color="FFFFFF" w:themeColor="background1"/>
              <w:right w:val="single" w:sz="4" w:space="0" w:color="005EB8" w:themeColor="accent1"/>
            </w:tcBorders>
            <w:vAlign w:val="center"/>
            <w:hideMark/>
          </w:tcPr>
          <w:p w:rsidR="006B7E37" w:rsidRPr="0020182A" w:rsidRDefault="006B7E37">
            <w:pPr>
              <w:spacing w:before="0" w:after="0"/>
              <w:cnfStyle w:val="000000000000" w:firstRow="0" w:lastRow="0" w:firstColumn="0" w:lastColumn="0" w:oddVBand="0" w:evenVBand="0" w:oddHBand="0" w:evenHBand="0" w:firstRowFirstColumn="0" w:firstRowLastColumn="0" w:lastRowFirstColumn="0" w:lastRowLastColumn="0"/>
              <w:rPr>
                <w:sz w:val="19"/>
                <w:szCs w:val="19"/>
              </w:rPr>
            </w:pPr>
          </w:p>
        </w:tc>
      </w:tr>
      <w:tr w:rsidR="006B7E37" w:rsidRPr="0020182A" w:rsidTr="00FB5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hideMark/>
          </w:tcPr>
          <w:p w:rsidR="006B7E37" w:rsidRPr="0020182A" w:rsidRDefault="006B7E37">
            <w:pPr>
              <w:pStyle w:val="BodyText"/>
              <w:rPr>
                <w:b w:val="0"/>
                <w:szCs w:val="19"/>
              </w:rPr>
            </w:pPr>
            <w:r w:rsidRPr="0020182A">
              <w:rPr>
                <w:b w:val="0"/>
                <w:szCs w:val="19"/>
              </w:rPr>
              <w:t>Does the Framework promote flexible housing options for people with disability?</w:t>
            </w:r>
          </w:p>
        </w:tc>
        <w:tc>
          <w:tcPr>
            <w:tcW w:w="111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BodyText"/>
              <w:jc w:val="center"/>
              <w:cnfStyle w:val="000000100000" w:firstRow="0" w:lastRow="0" w:firstColumn="0" w:lastColumn="0" w:oddVBand="0" w:evenVBand="0" w:oddHBand="1" w:evenHBand="0" w:firstRowFirstColumn="0" w:firstRowLastColumn="0" w:lastRowFirstColumn="0" w:lastRowLastColumn="0"/>
              <w:rPr>
                <w:sz w:val="19"/>
                <w:szCs w:val="19"/>
              </w:rPr>
            </w:pPr>
            <w:r w:rsidRPr="0020182A">
              <w:rPr>
                <w:sz w:val="19"/>
                <w:szCs w:val="19"/>
              </w:rPr>
              <w:t>1,4</w:t>
            </w:r>
          </w:p>
        </w:tc>
        <w:tc>
          <w:tcPr>
            <w:tcW w:w="142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100000" w:firstRow="0" w:lastRow="0" w:firstColumn="0" w:lastColumn="0" w:oddVBand="0" w:evenVBand="0" w:oddHBand="1" w:evenHBand="0" w:firstRowFirstColumn="0" w:firstRowLastColumn="0" w:lastRowFirstColumn="0" w:lastRowLastColumn="0"/>
            </w:pPr>
            <w:r w:rsidRPr="0020182A">
              <w:sym w:font="Wingdings" w:char="F0FC"/>
            </w:r>
          </w:p>
        </w:tc>
        <w:tc>
          <w:tcPr>
            <w:tcW w:w="2294" w:type="dxa"/>
            <w:gridSpan w:val="3"/>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100000" w:firstRow="0" w:lastRow="0" w:firstColumn="0" w:lastColumn="0" w:oddVBand="0" w:evenVBand="0" w:oddHBand="1" w:evenHBand="0" w:firstRowFirstColumn="0" w:firstRowLastColumn="0" w:lastRowFirstColumn="0" w:lastRowLastColumn="0"/>
            </w:pPr>
            <w:r w:rsidRPr="0020182A">
              <w:sym w:font="Wingdings" w:char="F0FC"/>
            </w:r>
          </w:p>
        </w:tc>
        <w:tc>
          <w:tcPr>
            <w:tcW w:w="1627" w:type="dxa"/>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BodyText"/>
              <w:jc w:val="center"/>
              <w:cnfStyle w:val="000000100000" w:firstRow="0" w:lastRow="0" w:firstColumn="0" w:lastColumn="0" w:oddVBand="0" w:evenVBand="0" w:oddHBand="1" w:evenHBand="0" w:firstRowFirstColumn="0" w:firstRowLastColumn="0" w:lastRowFirstColumn="0" w:lastRowLastColumn="0"/>
              <w:rPr>
                <w:sz w:val="19"/>
                <w:szCs w:val="19"/>
              </w:rPr>
            </w:pPr>
            <w:r>
              <w:rPr>
                <w:sz w:val="19"/>
                <w:szCs w:val="19"/>
              </w:rPr>
              <w:t>Nil</w:t>
            </w:r>
          </w:p>
        </w:tc>
        <w:tc>
          <w:tcPr>
            <w:tcW w:w="0" w:type="auto"/>
            <w:vMerge/>
            <w:tcBorders>
              <w:top w:val="single" w:sz="4" w:space="0" w:color="D9D9D9" w:themeColor="background1" w:themeShade="D9"/>
              <w:left w:val="nil"/>
              <w:bottom w:val="single" w:sz="4" w:space="0" w:color="FFFFFF" w:themeColor="background1"/>
              <w:right w:val="single" w:sz="4" w:space="0" w:color="005EB8" w:themeColor="accent1"/>
            </w:tcBorders>
            <w:vAlign w:val="center"/>
            <w:hideMark/>
          </w:tcPr>
          <w:p w:rsidR="006B7E37" w:rsidRPr="0020182A" w:rsidRDefault="006B7E37">
            <w:pPr>
              <w:spacing w:before="0" w:after="0"/>
              <w:cnfStyle w:val="000000100000" w:firstRow="0" w:lastRow="0" w:firstColumn="0" w:lastColumn="0" w:oddVBand="0" w:evenVBand="0" w:oddHBand="1" w:evenHBand="0" w:firstRowFirstColumn="0" w:firstRowLastColumn="0" w:lastRowFirstColumn="0" w:lastRowLastColumn="0"/>
              <w:rPr>
                <w:sz w:val="19"/>
                <w:szCs w:val="19"/>
              </w:rPr>
            </w:pPr>
          </w:p>
        </w:tc>
      </w:tr>
      <w:tr w:rsidR="006B7E37" w:rsidRPr="0020182A" w:rsidTr="00FB5414">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hideMark/>
          </w:tcPr>
          <w:p w:rsidR="006B7E37" w:rsidRPr="0020182A" w:rsidRDefault="006B7E37">
            <w:pPr>
              <w:pStyle w:val="BodyText"/>
              <w:rPr>
                <w:sz w:val="18"/>
              </w:rPr>
            </w:pPr>
            <w:r w:rsidRPr="0020182A">
              <w:rPr>
                <w:b w:val="0"/>
                <w:szCs w:val="19"/>
              </w:rPr>
              <w:t>Does the Framework promote different occupancy, tenancy or ownership options for people with disability?</w:t>
            </w:r>
          </w:p>
        </w:tc>
        <w:tc>
          <w:tcPr>
            <w:tcW w:w="111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BodyText"/>
              <w:jc w:val="center"/>
              <w:cnfStyle w:val="000000000000" w:firstRow="0" w:lastRow="0" w:firstColumn="0" w:lastColumn="0" w:oddVBand="0" w:evenVBand="0" w:oddHBand="0" w:evenHBand="0" w:firstRowFirstColumn="0" w:firstRowLastColumn="0" w:lastRowFirstColumn="0" w:lastRowLastColumn="0"/>
              <w:rPr>
                <w:sz w:val="19"/>
                <w:szCs w:val="19"/>
              </w:rPr>
            </w:pPr>
            <w:r w:rsidRPr="0020182A">
              <w:rPr>
                <w:sz w:val="19"/>
                <w:szCs w:val="19"/>
              </w:rPr>
              <w:t>1,4</w:t>
            </w:r>
          </w:p>
        </w:tc>
        <w:tc>
          <w:tcPr>
            <w:tcW w:w="142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000000" w:firstRow="0" w:lastRow="0" w:firstColumn="0" w:lastColumn="0" w:oddVBand="0" w:evenVBand="0" w:oddHBand="0" w:evenHBand="0" w:firstRowFirstColumn="0" w:firstRowLastColumn="0" w:lastRowFirstColumn="0" w:lastRowLastColumn="0"/>
            </w:pPr>
            <w:r w:rsidRPr="0020182A">
              <w:sym w:font="Wingdings" w:char="F0FC"/>
            </w:r>
          </w:p>
        </w:tc>
        <w:tc>
          <w:tcPr>
            <w:tcW w:w="2294" w:type="dxa"/>
            <w:gridSpan w:val="3"/>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000000" w:firstRow="0" w:lastRow="0" w:firstColumn="0" w:lastColumn="0" w:oddVBand="0" w:evenVBand="0" w:oddHBand="0" w:evenHBand="0" w:firstRowFirstColumn="0" w:firstRowLastColumn="0" w:lastRowFirstColumn="0" w:lastRowLastColumn="0"/>
            </w:pPr>
            <w:r w:rsidRPr="0020182A">
              <w:sym w:font="Wingdings" w:char="F0FC"/>
            </w:r>
          </w:p>
        </w:tc>
        <w:tc>
          <w:tcPr>
            <w:tcW w:w="1627" w:type="dxa"/>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BodyText"/>
              <w:jc w:val="center"/>
              <w:cnfStyle w:val="000000000000" w:firstRow="0" w:lastRow="0" w:firstColumn="0" w:lastColumn="0" w:oddVBand="0" w:evenVBand="0" w:oddHBand="0" w:evenHBand="0" w:firstRowFirstColumn="0" w:firstRowLastColumn="0" w:lastRowFirstColumn="0" w:lastRowLastColumn="0"/>
              <w:rPr>
                <w:sz w:val="19"/>
                <w:szCs w:val="19"/>
              </w:rPr>
            </w:pPr>
            <w:r>
              <w:rPr>
                <w:sz w:val="19"/>
                <w:szCs w:val="19"/>
              </w:rPr>
              <w:t>Nil</w:t>
            </w:r>
          </w:p>
        </w:tc>
        <w:tc>
          <w:tcPr>
            <w:tcW w:w="0" w:type="auto"/>
            <w:vMerge/>
            <w:tcBorders>
              <w:top w:val="single" w:sz="4" w:space="0" w:color="D9D9D9" w:themeColor="background1" w:themeShade="D9"/>
              <w:left w:val="nil"/>
              <w:bottom w:val="single" w:sz="4" w:space="0" w:color="FFFFFF" w:themeColor="background1"/>
              <w:right w:val="single" w:sz="4" w:space="0" w:color="005EB8" w:themeColor="accent1"/>
            </w:tcBorders>
            <w:vAlign w:val="center"/>
            <w:hideMark/>
          </w:tcPr>
          <w:p w:rsidR="006B7E37" w:rsidRPr="0020182A" w:rsidRDefault="006B7E37">
            <w:pPr>
              <w:spacing w:before="0" w:after="0"/>
              <w:cnfStyle w:val="000000000000" w:firstRow="0" w:lastRow="0" w:firstColumn="0" w:lastColumn="0" w:oddVBand="0" w:evenVBand="0" w:oddHBand="0" w:evenHBand="0" w:firstRowFirstColumn="0" w:firstRowLastColumn="0" w:lastRowFirstColumn="0" w:lastRowLastColumn="0"/>
              <w:rPr>
                <w:sz w:val="19"/>
                <w:szCs w:val="19"/>
              </w:rPr>
            </w:pPr>
          </w:p>
        </w:tc>
      </w:tr>
      <w:tr w:rsidR="006B7E37" w:rsidRPr="0020182A" w:rsidTr="00FB5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hideMark/>
          </w:tcPr>
          <w:p w:rsidR="006B7E37" w:rsidRPr="0020182A" w:rsidRDefault="006B7E37">
            <w:pPr>
              <w:pStyle w:val="BodyText"/>
              <w:rPr>
                <w:b w:val="0"/>
                <w:szCs w:val="19"/>
              </w:rPr>
            </w:pPr>
            <w:r w:rsidRPr="0020182A">
              <w:rPr>
                <w:b w:val="0"/>
                <w:szCs w:val="19"/>
              </w:rPr>
              <w:t>Does the Framework allow for involvement and influence of people with disability, their families and carers in the design and selection of SDA to support their NDIS goals?</w:t>
            </w:r>
          </w:p>
        </w:tc>
        <w:tc>
          <w:tcPr>
            <w:tcW w:w="111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BodyText"/>
              <w:jc w:val="center"/>
              <w:cnfStyle w:val="000000100000" w:firstRow="0" w:lastRow="0" w:firstColumn="0" w:lastColumn="0" w:oddVBand="0" w:evenVBand="0" w:oddHBand="1" w:evenHBand="0" w:firstRowFirstColumn="0" w:firstRowLastColumn="0" w:lastRowFirstColumn="0" w:lastRowLastColumn="0"/>
              <w:rPr>
                <w:sz w:val="19"/>
                <w:szCs w:val="19"/>
              </w:rPr>
            </w:pPr>
            <w:r w:rsidRPr="0020182A">
              <w:rPr>
                <w:sz w:val="19"/>
                <w:szCs w:val="19"/>
              </w:rPr>
              <w:t>1,4</w:t>
            </w:r>
          </w:p>
        </w:tc>
        <w:tc>
          <w:tcPr>
            <w:tcW w:w="142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100000" w:firstRow="0" w:lastRow="0" w:firstColumn="0" w:lastColumn="0" w:oddVBand="0" w:evenVBand="0" w:oddHBand="1" w:evenHBand="0" w:firstRowFirstColumn="0" w:firstRowLastColumn="0" w:lastRowFirstColumn="0" w:lastRowLastColumn="0"/>
            </w:pPr>
            <w:r w:rsidRPr="0020182A">
              <w:sym w:font="Wingdings" w:char="F0FC"/>
            </w:r>
          </w:p>
        </w:tc>
        <w:tc>
          <w:tcPr>
            <w:tcW w:w="2294" w:type="dxa"/>
            <w:gridSpan w:val="3"/>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100000" w:firstRow="0" w:lastRow="0" w:firstColumn="0" w:lastColumn="0" w:oddVBand="0" w:evenVBand="0" w:oddHBand="1" w:evenHBand="0" w:firstRowFirstColumn="0" w:firstRowLastColumn="0" w:lastRowFirstColumn="0" w:lastRowLastColumn="0"/>
            </w:pPr>
            <w:r w:rsidRPr="0020182A">
              <w:sym w:font="Wingdings" w:char="F0FC"/>
            </w:r>
          </w:p>
        </w:tc>
        <w:tc>
          <w:tcPr>
            <w:tcW w:w="1627" w:type="dxa"/>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BodyText"/>
              <w:jc w:val="center"/>
              <w:cnfStyle w:val="000000100000" w:firstRow="0" w:lastRow="0" w:firstColumn="0" w:lastColumn="0" w:oddVBand="0" w:evenVBand="0" w:oddHBand="1" w:evenHBand="0" w:firstRowFirstColumn="0" w:firstRowLastColumn="0" w:lastRowFirstColumn="0" w:lastRowLastColumn="0"/>
              <w:rPr>
                <w:sz w:val="19"/>
                <w:szCs w:val="19"/>
              </w:rPr>
            </w:pPr>
            <w:r>
              <w:rPr>
                <w:sz w:val="19"/>
                <w:szCs w:val="19"/>
              </w:rPr>
              <w:t>Nil</w:t>
            </w:r>
          </w:p>
        </w:tc>
        <w:tc>
          <w:tcPr>
            <w:tcW w:w="0" w:type="auto"/>
            <w:vMerge/>
            <w:tcBorders>
              <w:top w:val="single" w:sz="4" w:space="0" w:color="D9D9D9" w:themeColor="background1" w:themeShade="D9"/>
              <w:left w:val="nil"/>
              <w:bottom w:val="single" w:sz="4" w:space="0" w:color="FFFFFF" w:themeColor="background1"/>
              <w:right w:val="single" w:sz="4" w:space="0" w:color="005EB8" w:themeColor="accent1"/>
            </w:tcBorders>
            <w:vAlign w:val="center"/>
            <w:hideMark/>
          </w:tcPr>
          <w:p w:rsidR="006B7E37" w:rsidRPr="0020182A" w:rsidRDefault="006B7E37">
            <w:pPr>
              <w:spacing w:before="0" w:after="0"/>
              <w:cnfStyle w:val="000000100000" w:firstRow="0" w:lastRow="0" w:firstColumn="0" w:lastColumn="0" w:oddVBand="0" w:evenVBand="0" w:oddHBand="1" w:evenHBand="0" w:firstRowFirstColumn="0" w:firstRowLastColumn="0" w:lastRowFirstColumn="0" w:lastRowLastColumn="0"/>
              <w:rPr>
                <w:sz w:val="19"/>
                <w:szCs w:val="19"/>
              </w:rPr>
            </w:pPr>
          </w:p>
        </w:tc>
      </w:tr>
      <w:tr w:rsidR="00FB5414" w:rsidRPr="0020182A" w:rsidTr="00FB5414">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hideMark/>
          </w:tcPr>
          <w:p w:rsidR="006B7E37" w:rsidRPr="0020182A" w:rsidRDefault="006B7E37">
            <w:pPr>
              <w:pStyle w:val="BodyText"/>
              <w:rPr>
                <w:b w:val="0"/>
              </w:rPr>
            </w:pPr>
            <w:r w:rsidRPr="0020182A">
              <w:rPr>
                <w:b w:val="0"/>
              </w:rPr>
              <w:t>Has the Framework resulted in any unintended impacts or consequences with respect to choice and control?</w:t>
            </w:r>
          </w:p>
        </w:tc>
        <w:tc>
          <w:tcPr>
            <w:tcW w:w="111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BodyText"/>
              <w:jc w:val="center"/>
              <w:cnfStyle w:val="000000000000" w:firstRow="0" w:lastRow="0" w:firstColumn="0" w:lastColumn="0" w:oddVBand="0" w:evenVBand="0" w:oddHBand="0" w:evenHBand="0" w:firstRowFirstColumn="0" w:firstRowLastColumn="0" w:lastRowFirstColumn="0" w:lastRowLastColumn="0"/>
              <w:rPr>
                <w:sz w:val="19"/>
                <w:szCs w:val="19"/>
              </w:rPr>
            </w:pPr>
            <w:r w:rsidRPr="0020182A">
              <w:rPr>
                <w:sz w:val="19"/>
                <w:szCs w:val="19"/>
              </w:rPr>
              <w:t>3</w:t>
            </w:r>
          </w:p>
        </w:tc>
        <w:tc>
          <w:tcPr>
            <w:tcW w:w="1815" w:type="dxa"/>
            <w:gridSpan w:val="2"/>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rsidP="00DD5D11">
            <w:pPr>
              <w:pStyle w:val="Tablecentredtext"/>
              <w:cnfStyle w:val="000000000000" w:firstRow="0" w:lastRow="0" w:firstColumn="0" w:lastColumn="0" w:oddVBand="0" w:evenVBand="0" w:oddHBand="0" w:evenHBand="0" w:firstRowFirstColumn="0" w:firstRowLastColumn="0" w:lastRowFirstColumn="0" w:lastRowLastColumn="0"/>
            </w:pPr>
            <w:r w:rsidRPr="0020182A">
              <w:sym w:font="Wingdings" w:char="F0FC"/>
            </w:r>
          </w:p>
        </w:tc>
        <w:tc>
          <w:tcPr>
            <w:tcW w:w="1642"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000000" w:firstRow="0" w:lastRow="0" w:firstColumn="0" w:lastColumn="0" w:oddVBand="0" w:evenVBand="0" w:oddHBand="0" w:evenHBand="0" w:firstRowFirstColumn="0" w:firstRowLastColumn="0" w:lastRowFirstColumn="0" w:lastRowLastColumn="0"/>
            </w:pPr>
            <w:r w:rsidRPr="0020182A">
              <w:sym w:font="Wingdings" w:char="F0FC"/>
            </w:r>
          </w:p>
        </w:tc>
        <w:tc>
          <w:tcPr>
            <w:tcW w:w="1888" w:type="dxa"/>
            <w:gridSpan w:val="2"/>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BodyText"/>
              <w:jc w:val="center"/>
              <w:cnfStyle w:val="000000000000" w:firstRow="0" w:lastRow="0" w:firstColumn="0" w:lastColumn="0" w:oddVBand="0" w:evenVBand="0" w:oddHBand="0" w:evenHBand="0" w:firstRowFirstColumn="0" w:firstRowLastColumn="0" w:lastRowFirstColumn="0" w:lastRowLastColumn="0"/>
              <w:rPr>
                <w:sz w:val="19"/>
                <w:szCs w:val="19"/>
              </w:rPr>
            </w:pPr>
            <w:r>
              <w:rPr>
                <w:sz w:val="19"/>
                <w:szCs w:val="19"/>
              </w:rPr>
              <w:t>Nil</w:t>
            </w:r>
          </w:p>
        </w:tc>
        <w:tc>
          <w:tcPr>
            <w:tcW w:w="0" w:type="auto"/>
            <w:vMerge/>
            <w:tcBorders>
              <w:top w:val="single" w:sz="4" w:space="0" w:color="D9D9D9" w:themeColor="background1" w:themeShade="D9"/>
              <w:left w:val="nil"/>
              <w:bottom w:val="single" w:sz="4" w:space="0" w:color="FFFFFF" w:themeColor="background1"/>
              <w:right w:val="single" w:sz="4" w:space="0" w:color="005EB8" w:themeColor="accent1"/>
            </w:tcBorders>
            <w:vAlign w:val="center"/>
            <w:hideMark/>
          </w:tcPr>
          <w:p w:rsidR="006B7E37" w:rsidRPr="0020182A" w:rsidRDefault="006B7E37">
            <w:pPr>
              <w:spacing w:before="0" w:after="0"/>
              <w:cnfStyle w:val="000000000000" w:firstRow="0" w:lastRow="0" w:firstColumn="0" w:lastColumn="0" w:oddVBand="0" w:evenVBand="0" w:oddHBand="0" w:evenHBand="0" w:firstRowFirstColumn="0" w:firstRowLastColumn="0" w:lastRowFirstColumn="0" w:lastRowLastColumn="0"/>
              <w:rPr>
                <w:sz w:val="19"/>
                <w:szCs w:val="19"/>
              </w:rPr>
            </w:pPr>
          </w:p>
        </w:tc>
      </w:tr>
      <w:tr w:rsidR="00FB5414" w:rsidRPr="0020182A" w:rsidTr="00FB5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tcPr>
          <w:p w:rsidR="00FB5414" w:rsidRPr="00FB5414" w:rsidRDefault="00FB5414" w:rsidP="00FB5414">
            <w:pPr>
              <w:pStyle w:val="Tablesubheading"/>
              <w:rPr>
                <w:bCs/>
              </w:rPr>
            </w:pPr>
            <w:r w:rsidRPr="00FB5414">
              <w:t>Review questions for “Quality and innovation”  – Is the Framework facilitating high quality and innovative SDA models and design?</w:t>
            </w:r>
          </w:p>
        </w:tc>
        <w:tc>
          <w:tcPr>
            <w:tcW w:w="1114" w:type="dxa"/>
            <w:tcBorders>
              <w:top w:val="single" w:sz="4" w:space="0" w:color="D9D9D9" w:themeColor="background1" w:themeShade="D9"/>
              <w:left w:val="nil"/>
              <w:bottom w:val="single" w:sz="4" w:space="0" w:color="D9D9D9" w:themeColor="background1" w:themeShade="D9"/>
              <w:right w:val="nil"/>
            </w:tcBorders>
          </w:tcPr>
          <w:p w:rsidR="00FB5414" w:rsidRPr="0020182A" w:rsidRDefault="00FB5414" w:rsidP="00FB5414">
            <w:pPr>
              <w:pStyle w:val="Tablesubheading"/>
              <w:cnfStyle w:val="000000100000" w:firstRow="0" w:lastRow="0" w:firstColumn="0" w:lastColumn="0" w:oddVBand="0" w:evenVBand="0" w:oddHBand="1" w:evenHBand="0" w:firstRowFirstColumn="0" w:firstRowLastColumn="0" w:lastRowFirstColumn="0" w:lastRowLastColumn="0"/>
              <w:rPr>
                <w:b w:val="0"/>
                <w:bCs w:val="0"/>
              </w:rPr>
            </w:pPr>
            <w:r>
              <w:rPr>
                <w:b w:val="0"/>
                <w:bCs w:val="0"/>
              </w:rPr>
              <w:t>Terms of Reference covered by this question</w:t>
            </w:r>
          </w:p>
        </w:tc>
        <w:tc>
          <w:tcPr>
            <w:tcW w:w="1815" w:type="dxa"/>
            <w:gridSpan w:val="2"/>
            <w:tcBorders>
              <w:top w:val="single" w:sz="4" w:space="0" w:color="D9D9D9" w:themeColor="background1" w:themeShade="D9"/>
              <w:left w:val="nil"/>
              <w:bottom w:val="single" w:sz="4" w:space="0" w:color="D9D9D9" w:themeColor="background1" w:themeShade="D9"/>
              <w:right w:val="nil"/>
            </w:tcBorders>
          </w:tcPr>
          <w:p w:rsidR="00FB5414" w:rsidRPr="0020182A" w:rsidRDefault="00FB5414" w:rsidP="00FB5414">
            <w:pPr>
              <w:pStyle w:val="Tablesubheading"/>
              <w:cnfStyle w:val="000000100000" w:firstRow="0" w:lastRow="0" w:firstColumn="0" w:lastColumn="0" w:oddVBand="0" w:evenVBand="0" w:oddHBand="1" w:evenHBand="0" w:firstRowFirstColumn="0" w:firstRowLastColumn="0" w:lastRowFirstColumn="0" w:lastRowLastColumn="0"/>
              <w:rPr>
                <w:b w:val="0"/>
                <w:bCs w:val="0"/>
              </w:rPr>
            </w:pPr>
            <w:r>
              <w:rPr>
                <w:b w:val="0"/>
                <w:bCs w:val="0"/>
              </w:rPr>
              <w:t>Participant consultation input?</w:t>
            </w:r>
          </w:p>
        </w:tc>
        <w:tc>
          <w:tcPr>
            <w:tcW w:w="1642" w:type="dxa"/>
            <w:tcBorders>
              <w:top w:val="single" w:sz="4" w:space="0" w:color="D9D9D9" w:themeColor="background1" w:themeShade="D9"/>
              <w:left w:val="nil"/>
              <w:bottom w:val="single" w:sz="4" w:space="0" w:color="D9D9D9" w:themeColor="background1" w:themeShade="D9"/>
              <w:right w:val="nil"/>
            </w:tcBorders>
          </w:tcPr>
          <w:p w:rsidR="00FB5414" w:rsidRPr="0020182A" w:rsidRDefault="00FB5414" w:rsidP="00FB5414">
            <w:pPr>
              <w:pStyle w:val="Tablesubheading"/>
              <w:cnfStyle w:val="000000100000" w:firstRow="0" w:lastRow="0" w:firstColumn="0" w:lastColumn="0" w:oddVBand="0" w:evenVBand="0" w:oddHBand="1" w:evenHBand="0" w:firstRowFirstColumn="0" w:firstRowLastColumn="0" w:lastRowFirstColumn="0" w:lastRowLastColumn="0"/>
              <w:rPr>
                <w:b w:val="0"/>
                <w:bCs w:val="0"/>
              </w:rPr>
            </w:pPr>
            <w:r>
              <w:rPr>
                <w:b w:val="0"/>
                <w:bCs w:val="0"/>
              </w:rPr>
              <w:t>Provider/investor consultation input?</w:t>
            </w:r>
          </w:p>
        </w:tc>
        <w:tc>
          <w:tcPr>
            <w:tcW w:w="1888" w:type="dxa"/>
            <w:gridSpan w:val="2"/>
            <w:tcBorders>
              <w:top w:val="single" w:sz="4" w:space="0" w:color="D9D9D9" w:themeColor="background1" w:themeShade="D9"/>
              <w:left w:val="nil"/>
              <w:bottom w:val="single" w:sz="4" w:space="0" w:color="D9D9D9" w:themeColor="background1" w:themeShade="D9"/>
              <w:right w:val="nil"/>
            </w:tcBorders>
          </w:tcPr>
          <w:p w:rsidR="00FB5414" w:rsidRPr="0020182A" w:rsidRDefault="00FB5414" w:rsidP="00FB5414">
            <w:pPr>
              <w:pStyle w:val="Tablesubheading"/>
              <w:cnfStyle w:val="000000100000" w:firstRow="0" w:lastRow="0" w:firstColumn="0" w:lastColumn="0" w:oddVBand="0" w:evenVBand="0" w:oddHBand="1" w:evenHBand="0" w:firstRowFirstColumn="0" w:firstRowLastColumn="0" w:lastRowFirstColumn="0" w:lastRowLastColumn="0"/>
              <w:rPr>
                <w:b w:val="0"/>
                <w:bCs w:val="0"/>
              </w:rPr>
            </w:pPr>
            <w:r>
              <w:rPr>
                <w:b w:val="0"/>
                <w:bCs w:val="0"/>
              </w:rPr>
              <w:t>Government consultation input?</w:t>
            </w:r>
          </w:p>
        </w:tc>
        <w:tc>
          <w:tcPr>
            <w:tcW w:w="3096" w:type="dxa"/>
            <w:tcBorders>
              <w:top w:val="single" w:sz="4" w:space="0" w:color="D9D9D9" w:themeColor="background1" w:themeShade="D9"/>
              <w:left w:val="nil"/>
              <w:bottom w:val="single" w:sz="4" w:space="0" w:color="D9D9D9" w:themeColor="background1" w:themeShade="D9"/>
              <w:right w:val="single" w:sz="4" w:space="0" w:color="005EB8" w:themeColor="accent1"/>
            </w:tcBorders>
          </w:tcPr>
          <w:p w:rsidR="00FB5414" w:rsidRPr="0020182A" w:rsidRDefault="00FB5414" w:rsidP="00FB5414">
            <w:pPr>
              <w:pStyle w:val="Tablesubheading"/>
              <w:cnfStyle w:val="000000100000" w:firstRow="0" w:lastRow="0" w:firstColumn="0" w:lastColumn="0" w:oddVBand="0" w:evenVBand="0" w:oddHBand="1" w:evenHBand="0" w:firstRowFirstColumn="0" w:firstRowLastColumn="0" w:lastRowFirstColumn="0" w:lastRowLastColumn="0"/>
            </w:pPr>
            <w:r>
              <w:t>Data analysis undertaken (this relates to the next 3 rows)</w:t>
            </w:r>
          </w:p>
        </w:tc>
      </w:tr>
      <w:tr w:rsidR="00FB5414" w:rsidRPr="0020182A" w:rsidTr="00FB5414">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hideMark/>
          </w:tcPr>
          <w:p w:rsidR="006B7E37" w:rsidRPr="0020182A" w:rsidRDefault="006B7E37">
            <w:pPr>
              <w:pStyle w:val="Tabletext"/>
              <w:rPr>
                <w:b w:val="0"/>
              </w:rPr>
            </w:pPr>
            <w:r w:rsidRPr="0020182A">
              <w:rPr>
                <w:b w:val="0"/>
              </w:rPr>
              <w:t xml:space="preserve">Does the Framework (including pricing arrangements) encourage and facilitate innovation and quality in SDA design? </w:t>
            </w:r>
          </w:p>
        </w:tc>
        <w:tc>
          <w:tcPr>
            <w:tcW w:w="111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BodyText"/>
              <w:jc w:val="center"/>
              <w:cnfStyle w:val="000000000000" w:firstRow="0" w:lastRow="0" w:firstColumn="0" w:lastColumn="0" w:oddVBand="0" w:evenVBand="0" w:oddHBand="0" w:evenHBand="0" w:firstRowFirstColumn="0" w:firstRowLastColumn="0" w:lastRowFirstColumn="0" w:lastRowLastColumn="0"/>
              <w:rPr>
                <w:sz w:val="19"/>
                <w:szCs w:val="19"/>
              </w:rPr>
            </w:pPr>
            <w:r w:rsidRPr="0020182A">
              <w:rPr>
                <w:sz w:val="19"/>
                <w:szCs w:val="19"/>
              </w:rPr>
              <w:t>1,4</w:t>
            </w:r>
          </w:p>
        </w:tc>
        <w:tc>
          <w:tcPr>
            <w:tcW w:w="1815" w:type="dxa"/>
            <w:gridSpan w:val="2"/>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000000" w:firstRow="0" w:lastRow="0" w:firstColumn="0" w:lastColumn="0" w:oddVBand="0" w:evenVBand="0" w:oddHBand="0" w:evenHBand="0" w:firstRowFirstColumn="0" w:firstRowLastColumn="0" w:lastRowFirstColumn="0" w:lastRowLastColumn="0"/>
            </w:pPr>
            <w:r w:rsidRPr="0020182A">
              <w:sym w:font="Wingdings" w:char="F0FC"/>
            </w:r>
          </w:p>
        </w:tc>
        <w:tc>
          <w:tcPr>
            <w:tcW w:w="1642"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000000" w:firstRow="0" w:lastRow="0" w:firstColumn="0" w:lastColumn="0" w:oddVBand="0" w:evenVBand="0" w:oddHBand="0" w:evenHBand="0" w:firstRowFirstColumn="0" w:firstRowLastColumn="0" w:lastRowFirstColumn="0" w:lastRowLastColumn="0"/>
            </w:pPr>
            <w:r w:rsidRPr="0020182A">
              <w:sym w:font="Wingdings" w:char="F0FC"/>
            </w:r>
          </w:p>
        </w:tc>
        <w:tc>
          <w:tcPr>
            <w:tcW w:w="1888" w:type="dxa"/>
            <w:gridSpan w:val="2"/>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Tablecentredtext"/>
              <w:cnfStyle w:val="000000000000" w:firstRow="0" w:lastRow="0" w:firstColumn="0" w:lastColumn="0" w:oddVBand="0" w:evenVBand="0" w:oddHBand="0" w:evenHBand="0" w:firstRowFirstColumn="0" w:firstRowLastColumn="0" w:lastRowFirstColumn="0" w:lastRowLastColumn="0"/>
            </w:pPr>
            <w:r>
              <w:t>Nil</w:t>
            </w:r>
          </w:p>
        </w:tc>
        <w:tc>
          <w:tcPr>
            <w:tcW w:w="3096" w:type="dxa"/>
            <w:vMerge w:val="restart"/>
            <w:tcBorders>
              <w:top w:val="single" w:sz="4" w:space="0" w:color="D9D9D9" w:themeColor="background1" w:themeShade="D9"/>
              <w:left w:val="nil"/>
              <w:bottom w:val="single" w:sz="4" w:space="0" w:color="D9D9D9" w:themeColor="background1" w:themeShade="D9"/>
              <w:right w:val="single" w:sz="4" w:space="0" w:color="005EB8" w:themeColor="accent1"/>
            </w:tcBorders>
            <w:hideMark/>
          </w:tcPr>
          <w:p w:rsidR="006B7E37" w:rsidRPr="0020182A" w:rsidRDefault="006B7E37" w:rsidP="009B671C">
            <w:pPr>
              <w:pStyle w:val="BodyText"/>
              <w:numPr>
                <w:ilvl w:val="0"/>
                <w:numId w:val="25"/>
              </w:numPr>
              <w:cnfStyle w:val="000000000000" w:firstRow="0" w:lastRow="0" w:firstColumn="0" w:lastColumn="0" w:oddVBand="0" w:evenVBand="0" w:oddHBand="0" w:evenHBand="0" w:firstRowFirstColumn="0" w:firstRowLastColumn="0" w:lastRowFirstColumn="0" w:lastRowLastColumn="0"/>
              <w:rPr>
                <w:sz w:val="19"/>
                <w:szCs w:val="19"/>
              </w:rPr>
            </w:pPr>
            <w:r w:rsidRPr="0020182A">
              <w:rPr>
                <w:sz w:val="19"/>
                <w:szCs w:val="19"/>
              </w:rPr>
              <w:t>New dwelling types or living arrangements emerging</w:t>
            </w:r>
          </w:p>
          <w:p w:rsidR="006B7E37" w:rsidRPr="0020182A" w:rsidRDefault="006B7E37" w:rsidP="009B671C">
            <w:pPr>
              <w:pStyle w:val="BodyText"/>
              <w:numPr>
                <w:ilvl w:val="0"/>
                <w:numId w:val="25"/>
              </w:numPr>
              <w:cnfStyle w:val="000000000000" w:firstRow="0" w:lastRow="0" w:firstColumn="0" w:lastColumn="0" w:oddVBand="0" w:evenVBand="0" w:oddHBand="0" w:evenHBand="0" w:firstRowFirstColumn="0" w:firstRowLastColumn="0" w:lastRowFirstColumn="0" w:lastRowLastColumn="0"/>
              <w:rPr>
                <w:sz w:val="19"/>
                <w:szCs w:val="19"/>
              </w:rPr>
            </w:pPr>
            <w:r w:rsidRPr="0020182A">
              <w:rPr>
                <w:sz w:val="19"/>
                <w:szCs w:val="19"/>
              </w:rPr>
              <w:t>Range of funding arrangements</w:t>
            </w:r>
          </w:p>
        </w:tc>
      </w:tr>
      <w:tr w:rsidR="00FB5414" w:rsidRPr="0020182A" w:rsidTr="00FB5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hideMark/>
          </w:tcPr>
          <w:p w:rsidR="006B7E37" w:rsidRPr="0020182A" w:rsidRDefault="006B7E37">
            <w:pPr>
              <w:pStyle w:val="Tabletext"/>
              <w:rPr>
                <w:b w:val="0"/>
              </w:rPr>
            </w:pPr>
            <w:r w:rsidRPr="0020182A">
              <w:rPr>
                <w:b w:val="0"/>
              </w:rPr>
              <w:t>What are the barriers and enablers to innovation and quality in SDA design?</w:t>
            </w:r>
          </w:p>
        </w:tc>
        <w:tc>
          <w:tcPr>
            <w:tcW w:w="111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BodyText"/>
              <w:jc w:val="center"/>
              <w:cnfStyle w:val="000000100000" w:firstRow="0" w:lastRow="0" w:firstColumn="0" w:lastColumn="0" w:oddVBand="0" w:evenVBand="0" w:oddHBand="1" w:evenHBand="0" w:firstRowFirstColumn="0" w:firstRowLastColumn="0" w:lastRowFirstColumn="0" w:lastRowLastColumn="0"/>
              <w:rPr>
                <w:sz w:val="19"/>
                <w:szCs w:val="19"/>
              </w:rPr>
            </w:pPr>
            <w:r w:rsidRPr="0020182A">
              <w:rPr>
                <w:sz w:val="19"/>
                <w:szCs w:val="19"/>
              </w:rPr>
              <w:t>1</w:t>
            </w:r>
          </w:p>
        </w:tc>
        <w:tc>
          <w:tcPr>
            <w:tcW w:w="1815" w:type="dxa"/>
            <w:gridSpan w:val="2"/>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100000" w:firstRow="0" w:lastRow="0" w:firstColumn="0" w:lastColumn="0" w:oddVBand="0" w:evenVBand="0" w:oddHBand="1" w:evenHBand="0" w:firstRowFirstColumn="0" w:firstRowLastColumn="0" w:lastRowFirstColumn="0" w:lastRowLastColumn="0"/>
            </w:pPr>
            <w:r w:rsidRPr="0020182A">
              <w:sym w:font="Wingdings" w:char="F0FC"/>
            </w:r>
          </w:p>
        </w:tc>
        <w:tc>
          <w:tcPr>
            <w:tcW w:w="1642"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100000" w:firstRow="0" w:lastRow="0" w:firstColumn="0" w:lastColumn="0" w:oddVBand="0" w:evenVBand="0" w:oddHBand="1" w:evenHBand="0" w:firstRowFirstColumn="0" w:firstRowLastColumn="0" w:lastRowFirstColumn="0" w:lastRowLastColumn="0"/>
            </w:pPr>
            <w:r w:rsidRPr="0020182A">
              <w:sym w:font="Wingdings" w:char="F0FC"/>
            </w:r>
          </w:p>
        </w:tc>
        <w:tc>
          <w:tcPr>
            <w:tcW w:w="1888" w:type="dxa"/>
            <w:gridSpan w:val="2"/>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Tablecentredtext"/>
              <w:cnfStyle w:val="000000100000" w:firstRow="0" w:lastRow="0" w:firstColumn="0" w:lastColumn="0" w:oddVBand="0" w:evenVBand="0" w:oddHBand="1" w:evenHBand="0" w:firstRowFirstColumn="0" w:firstRowLastColumn="0" w:lastRowFirstColumn="0" w:lastRowLastColumn="0"/>
            </w:pPr>
            <w:r>
              <w:t>Nil</w:t>
            </w:r>
          </w:p>
        </w:tc>
        <w:tc>
          <w:tcPr>
            <w:tcW w:w="0" w:type="auto"/>
            <w:vMerge/>
            <w:tcBorders>
              <w:top w:val="single" w:sz="4" w:space="0" w:color="D9D9D9" w:themeColor="background1" w:themeShade="D9"/>
              <w:left w:val="nil"/>
              <w:bottom w:val="single" w:sz="4" w:space="0" w:color="D9D9D9" w:themeColor="background1" w:themeShade="D9"/>
              <w:right w:val="single" w:sz="4" w:space="0" w:color="005EB8" w:themeColor="accent1"/>
            </w:tcBorders>
            <w:vAlign w:val="center"/>
            <w:hideMark/>
          </w:tcPr>
          <w:p w:rsidR="006B7E37" w:rsidRPr="0020182A" w:rsidRDefault="006B7E37">
            <w:pPr>
              <w:spacing w:before="0" w:after="0"/>
              <w:cnfStyle w:val="000000100000" w:firstRow="0" w:lastRow="0" w:firstColumn="0" w:lastColumn="0" w:oddVBand="0" w:evenVBand="0" w:oddHBand="1" w:evenHBand="0" w:firstRowFirstColumn="0" w:firstRowLastColumn="0" w:lastRowFirstColumn="0" w:lastRowLastColumn="0"/>
              <w:rPr>
                <w:sz w:val="19"/>
                <w:szCs w:val="19"/>
              </w:rPr>
            </w:pPr>
          </w:p>
        </w:tc>
      </w:tr>
      <w:tr w:rsidR="00FB5414" w:rsidRPr="0020182A" w:rsidTr="00FB5414">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hideMark/>
          </w:tcPr>
          <w:p w:rsidR="006B7E37" w:rsidRPr="0020182A" w:rsidRDefault="006B7E37">
            <w:pPr>
              <w:pStyle w:val="Tabletext"/>
              <w:rPr>
                <w:b w:val="0"/>
                <w:sz w:val="19"/>
                <w:szCs w:val="19"/>
              </w:rPr>
            </w:pPr>
            <w:r w:rsidRPr="0020182A">
              <w:rPr>
                <w:b w:val="0"/>
              </w:rPr>
              <w:t>Has the Framework resulted in any unintended impacts or consequences with respect to innovation and quality?</w:t>
            </w:r>
          </w:p>
        </w:tc>
        <w:tc>
          <w:tcPr>
            <w:tcW w:w="111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BodyText"/>
              <w:jc w:val="center"/>
              <w:cnfStyle w:val="000000000000" w:firstRow="0" w:lastRow="0" w:firstColumn="0" w:lastColumn="0" w:oddVBand="0" w:evenVBand="0" w:oddHBand="0" w:evenHBand="0" w:firstRowFirstColumn="0" w:firstRowLastColumn="0" w:lastRowFirstColumn="0" w:lastRowLastColumn="0"/>
              <w:rPr>
                <w:sz w:val="19"/>
                <w:szCs w:val="19"/>
              </w:rPr>
            </w:pPr>
            <w:r w:rsidRPr="0020182A">
              <w:rPr>
                <w:sz w:val="19"/>
                <w:szCs w:val="19"/>
              </w:rPr>
              <w:t>3</w:t>
            </w:r>
          </w:p>
        </w:tc>
        <w:tc>
          <w:tcPr>
            <w:tcW w:w="1815" w:type="dxa"/>
            <w:gridSpan w:val="2"/>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000000" w:firstRow="0" w:lastRow="0" w:firstColumn="0" w:lastColumn="0" w:oddVBand="0" w:evenVBand="0" w:oddHBand="0" w:evenHBand="0" w:firstRowFirstColumn="0" w:firstRowLastColumn="0" w:lastRowFirstColumn="0" w:lastRowLastColumn="0"/>
            </w:pPr>
            <w:r w:rsidRPr="0020182A">
              <w:sym w:font="Wingdings" w:char="F0FC"/>
            </w:r>
          </w:p>
        </w:tc>
        <w:tc>
          <w:tcPr>
            <w:tcW w:w="1642"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000000" w:firstRow="0" w:lastRow="0" w:firstColumn="0" w:lastColumn="0" w:oddVBand="0" w:evenVBand="0" w:oddHBand="0" w:evenHBand="0" w:firstRowFirstColumn="0" w:firstRowLastColumn="0" w:lastRowFirstColumn="0" w:lastRowLastColumn="0"/>
            </w:pPr>
            <w:r w:rsidRPr="0020182A">
              <w:sym w:font="Wingdings" w:char="F0FC"/>
            </w:r>
          </w:p>
        </w:tc>
        <w:tc>
          <w:tcPr>
            <w:tcW w:w="1888" w:type="dxa"/>
            <w:gridSpan w:val="2"/>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000000" w:firstRow="0" w:lastRow="0" w:firstColumn="0" w:lastColumn="0" w:oddVBand="0" w:evenVBand="0" w:oddHBand="0" w:evenHBand="0" w:firstRowFirstColumn="0" w:firstRowLastColumn="0" w:lastRowFirstColumn="0" w:lastRowLastColumn="0"/>
            </w:pPr>
            <w:r w:rsidRPr="0020182A">
              <w:sym w:font="Wingdings" w:char="F0FC"/>
            </w:r>
          </w:p>
        </w:tc>
        <w:tc>
          <w:tcPr>
            <w:tcW w:w="0" w:type="auto"/>
            <w:vMerge/>
            <w:tcBorders>
              <w:top w:val="single" w:sz="4" w:space="0" w:color="D9D9D9" w:themeColor="background1" w:themeShade="D9"/>
              <w:left w:val="nil"/>
              <w:bottom w:val="single" w:sz="4" w:space="0" w:color="D9D9D9" w:themeColor="background1" w:themeShade="D9"/>
              <w:right w:val="single" w:sz="4" w:space="0" w:color="005EB8" w:themeColor="accent1"/>
            </w:tcBorders>
            <w:vAlign w:val="center"/>
            <w:hideMark/>
          </w:tcPr>
          <w:p w:rsidR="006B7E37" w:rsidRPr="0020182A" w:rsidRDefault="006B7E37">
            <w:pPr>
              <w:spacing w:before="0" w:after="0"/>
              <w:cnfStyle w:val="000000000000" w:firstRow="0" w:lastRow="0" w:firstColumn="0" w:lastColumn="0" w:oddVBand="0" w:evenVBand="0" w:oddHBand="0" w:evenHBand="0" w:firstRowFirstColumn="0" w:firstRowLastColumn="0" w:lastRowFirstColumn="0" w:lastRowLastColumn="0"/>
              <w:rPr>
                <w:sz w:val="19"/>
                <w:szCs w:val="19"/>
              </w:rPr>
            </w:pPr>
          </w:p>
        </w:tc>
      </w:tr>
      <w:tr w:rsidR="00FB5414" w:rsidRPr="0020182A" w:rsidTr="00FB5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tcPr>
          <w:p w:rsidR="00FB5414" w:rsidRPr="00FB5414" w:rsidRDefault="00FB5414" w:rsidP="00FB5414">
            <w:pPr>
              <w:pStyle w:val="Tablesubheading"/>
              <w:rPr>
                <w:bCs/>
              </w:rPr>
            </w:pPr>
            <w:r w:rsidRPr="00FB5414">
              <w:lastRenderedPageBreak/>
              <w:t>Review questions for “Quality and innovation” – Does the Framework incentivise value for money in use of NDIS individualised funding and support the ongoing sustainability of the Scheme??</w:t>
            </w:r>
          </w:p>
        </w:tc>
        <w:tc>
          <w:tcPr>
            <w:tcW w:w="1114" w:type="dxa"/>
            <w:tcBorders>
              <w:top w:val="single" w:sz="4" w:space="0" w:color="D9D9D9" w:themeColor="background1" w:themeShade="D9"/>
              <w:left w:val="nil"/>
              <w:bottom w:val="single" w:sz="4" w:space="0" w:color="D9D9D9" w:themeColor="background1" w:themeShade="D9"/>
              <w:right w:val="nil"/>
            </w:tcBorders>
          </w:tcPr>
          <w:p w:rsidR="00FB5414" w:rsidRPr="0020182A" w:rsidRDefault="00FB5414" w:rsidP="00FB5414">
            <w:pPr>
              <w:pStyle w:val="Tablesubheading"/>
              <w:cnfStyle w:val="000000100000" w:firstRow="0" w:lastRow="0" w:firstColumn="0" w:lastColumn="0" w:oddVBand="0" w:evenVBand="0" w:oddHBand="1" w:evenHBand="0" w:firstRowFirstColumn="0" w:firstRowLastColumn="0" w:lastRowFirstColumn="0" w:lastRowLastColumn="0"/>
              <w:rPr>
                <w:b w:val="0"/>
                <w:bCs w:val="0"/>
              </w:rPr>
            </w:pPr>
            <w:r>
              <w:rPr>
                <w:b w:val="0"/>
                <w:bCs w:val="0"/>
              </w:rPr>
              <w:t>Terms of Reference covered by this question</w:t>
            </w:r>
          </w:p>
        </w:tc>
        <w:tc>
          <w:tcPr>
            <w:tcW w:w="1815" w:type="dxa"/>
            <w:gridSpan w:val="2"/>
            <w:tcBorders>
              <w:top w:val="single" w:sz="4" w:space="0" w:color="D9D9D9" w:themeColor="background1" w:themeShade="D9"/>
              <w:left w:val="nil"/>
              <w:bottom w:val="single" w:sz="4" w:space="0" w:color="D9D9D9" w:themeColor="background1" w:themeShade="D9"/>
              <w:right w:val="nil"/>
            </w:tcBorders>
          </w:tcPr>
          <w:p w:rsidR="00FB5414" w:rsidRPr="0020182A" w:rsidRDefault="00FB5414" w:rsidP="00FB5414">
            <w:pPr>
              <w:pStyle w:val="Tablesubheading"/>
              <w:cnfStyle w:val="000000100000" w:firstRow="0" w:lastRow="0" w:firstColumn="0" w:lastColumn="0" w:oddVBand="0" w:evenVBand="0" w:oddHBand="1" w:evenHBand="0" w:firstRowFirstColumn="0" w:firstRowLastColumn="0" w:lastRowFirstColumn="0" w:lastRowLastColumn="0"/>
              <w:rPr>
                <w:b w:val="0"/>
                <w:bCs w:val="0"/>
              </w:rPr>
            </w:pPr>
            <w:r>
              <w:rPr>
                <w:b w:val="0"/>
                <w:bCs w:val="0"/>
              </w:rPr>
              <w:t>Participant consultation input?</w:t>
            </w:r>
          </w:p>
        </w:tc>
        <w:tc>
          <w:tcPr>
            <w:tcW w:w="1642" w:type="dxa"/>
            <w:tcBorders>
              <w:top w:val="single" w:sz="4" w:space="0" w:color="D9D9D9" w:themeColor="background1" w:themeShade="D9"/>
              <w:left w:val="nil"/>
              <w:bottom w:val="single" w:sz="4" w:space="0" w:color="D9D9D9" w:themeColor="background1" w:themeShade="D9"/>
              <w:right w:val="nil"/>
            </w:tcBorders>
          </w:tcPr>
          <w:p w:rsidR="00FB5414" w:rsidRPr="0020182A" w:rsidRDefault="00FB5414" w:rsidP="00FB5414">
            <w:pPr>
              <w:pStyle w:val="Tablesubheading"/>
              <w:cnfStyle w:val="000000100000" w:firstRow="0" w:lastRow="0" w:firstColumn="0" w:lastColumn="0" w:oddVBand="0" w:evenVBand="0" w:oddHBand="1" w:evenHBand="0" w:firstRowFirstColumn="0" w:firstRowLastColumn="0" w:lastRowFirstColumn="0" w:lastRowLastColumn="0"/>
              <w:rPr>
                <w:b w:val="0"/>
                <w:bCs w:val="0"/>
              </w:rPr>
            </w:pPr>
            <w:r>
              <w:rPr>
                <w:b w:val="0"/>
                <w:bCs w:val="0"/>
              </w:rPr>
              <w:t>Provider/investor consultation input?</w:t>
            </w:r>
          </w:p>
        </w:tc>
        <w:tc>
          <w:tcPr>
            <w:tcW w:w="1888" w:type="dxa"/>
            <w:gridSpan w:val="2"/>
            <w:tcBorders>
              <w:top w:val="single" w:sz="4" w:space="0" w:color="D9D9D9" w:themeColor="background1" w:themeShade="D9"/>
              <w:left w:val="nil"/>
              <w:bottom w:val="single" w:sz="4" w:space="0" w:color="D9D9D9" w:themeColor="background1" w:themeShade="D9"/>
              <w:right w:val="nil"/>
            </w:tcBorders>
          </w:tcPr>
          <w:p w:rsidR="00FB5414" w:rsidRPr="0020182A" w:rsidRDefault="00FB5414" w:rsidP="00FB5414">
            <w:pPr>
              <w:pStyle w:val="Tablesubheading"/>
              <w:cnfStyle w:val="000000100000" w:firstRow="0" w:lastRow="0" w:firstColumn="0" w:lastColumn="0" w:oddVBand="0" w:evenVBand="0" w:oddHBand="1" w:evenHBand="0" w:firstRowFirstColumn="0" w:firstRowLastColumn="0" w:lastRowFirstColumn="0" w:lastRowLastColumn="0"/>
              <w:rPr>
                <w:b w:val="0"/>
                <w:bCs w:val="0"/>
              </w:rPr>
            </w:pPr>
            <w:r>
              <w:rPr>
                <w:b w:val="0"/>
                <w:bCs w:val="0"/>
              </w:rPr>
              <w:t>Government consultation input?</w:t>
            </w:r>
          </w:p>
        </w:tc>
        <w:tc>
          <w:tcPr>
            <w:tcW w:w="3096" w:type="dxa"/>
            <w:tcBorders>
              <w:top w:val="single" w:sz="4" w:space="0" w:color="D9D9D9" w:themeColor="background1" w:themeShade="D9"/>
              <w:left w:val="nil"/>
              <w:right w:val="single" w:sz="4" w:space="0" w:color="005EB8" w:themeColor="accent1"/>
            </w:tcBorders>
          </w:tcPr>
          <w:p w:rsidR="00FB5414" w:rsidRPr="0020182A" w:rsidRDefault="00FB5414" w:rsidP="00FB5414">
            <w:pPr>
              <w:pStyle w:val="Tablesubheading"/>
              <w:cnfStyle w:val="000000100000" w:firstRow="0" w:lastRow="0" w:firstColumn="0" w:lastColumn="0" w:oddVBand="0" w:evenVBand="0" w:oddHBand="1" w:evenHBand="0" w:firstRowFirstColumn="0" w:firstRowLastColumn="0" w:lastRowFirstColumn="0" w:lastRowLastColumn="0"/>
            </w:pPr>
            <w:r>
              <w:t>Data analysis undertaken (this relates to the next 4 rows)</w:t>
            </w:r>
          </w:p>
        </w:tc>
      </w:tr>
      <w:tr w:rsidR="00FB5414" w:rsidRPr="0020182A" w:rsidTr="00FB5414">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hideMark/>
          </w:tcPr>
          <w:p w:rsidR="006B7E37" w:rsidRPr="0020182A" w:rsidRDefault="006B7E37">
            <w:pPr>
              <w:pStyle w:val="Tabletext"/>
              <w:rPr>
                <w:b w:val="0"/>
                <w:szCs w:val="19"/>
              </w:rPr>
            </w:pPr>
            <w:r w:rsidRPr="0020182A">
              <w:rPr>
                <w:b w:val="0"/>
                <w:szCs w:val="19"/>
              </w:rPr>
              <w:t xml:space="preserve">Who is driving value for money in SDA options? </w:t>
            </w:r>
          </w:p>
          <w:p w:rsidR="006B7E37" w:rsidRPr="0020182A" w:rsidRDefault="006B7E37">
            <w:pPr>
              <w:pStyle w:val="Tabletext"/>
              <w:rPr>
                <w:b w:val="0"/>
                <w:szCs w:val="19"/>
              </w:rPr>
            </w:pPr>
            <w:r w:rsidRPr="0020182A">
              <w:rPr>
                <w:b w:val="0"/>
                <w:szCs w:val="19"/>
              </w:rPr>
              <w:t>Is this the result of the Framework or does this need to be better supported in the Framework?</w:t>
            </w:r>
          </w:p>
        </w:tc>
        <w:tc>
          <w:tcPr>
            <w:tcW w:w="111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BodyText"/>
              <w:jc w:val="center"/>
              <w:cnfStyle w:val="000000000000" w:firstRow="0" w:lastRow="0" w:firstColumn="0" w:lastColumn="0" w:oddVBand="0" w:evenVBand="0" w:oddHBand="0" w:evenHBand="0" w:firstRowFirstColumn="0" w:firstRowLastColumn="0" w:lastRowFirstColumn="0" w:lastRowLastColumn="0"/>
              <w:rPr>
                <w:sz w:val="19"/>
                <w:szCs w:val="19"/>
              </w:rPr>
            </w:pPr>
            <w:r w:rsidRPr="0020182A">
              <w:rPr>
                <w:sz w:val="19"/>
                <w:szCs w:val="19"/>
              </w:rPr>
              <w:t>1,2,4</w:t>
            </w:r>
          </w:p>
        </w:tc>
        <w:tc>
          <w:tcPr>
            <w:tcW w:w="1815" w:type="dxa"/>
            <w:gridSpan w:val="2"/>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Tablecentredtext"/>
              <w:cnfStyle w:val="000000000000" w:firstRow="0" w:lastRow="0" w:firstColumn="0" w:lastColumn="0" w:oddVBand="0" w:evenVBand="0" w:oddHBand="0" w:evenHBand="0" w:firstRowFirstColumn="0" w:firstRowLastColumn="0" w:lastRowFirstColumn="0" w:lastRowLastColumn="0"/>
            </w:pPr>
            <w:r>
              <w:t>Nil</w:t>
            </w:r>
          </w:p>
        </w:tc>
        <w:tc>
          <w:tcPr>
            <w:tcW w:w="1642"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000000" w:firstRow="0" w:lastRow="0" w:firstColumn="0" w:lastColumn="0" w:oddVBand="0" w:evenVBand="0" w:oddHBand="0" w:evenHBand="0" w:firstRowFirstColumn="0" w:firstRowLastColumn="0" w:lastRowFirstColumn="0" w:lastRowLastColumn="0"/>
            </w:pPr>
            <w:r w:rsidRPr="0020182A">
              <w:sym w:font="Wingdings" w:char="F0FC"/>
            </w:r>
          </w:p>
        </w:tc>
        <w:tc>
          <w:tcPr>
            <w:tcW w:w="1888" w:type="dxa"/>
            <w:gridSpan w:val="2"/>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000000" w:firstRow="0" w:lastRow="0" w:firstColumn="0" w:lastColumn="0" w:oddVBand="0" w:evenVBand="0" w:oddHBand="0" w:evenHBand="0" w:firstRowFirstColumn="0" w:firstRowLastColumn="0" w:lastRowFirstColumn="0" w:lastRowLastColumn="0"/>
            </w:pPr>
            <w:r w:rsidRPr="0020182A">
              <w:sym w:font="Wingdings" w:char="F0FC"/>
            </w:r>
          </w:p>
        </w:tc>
        <w:tc>
          <w:tcPr>
            <w:tcW w:w="3096" w:type="dxa"/>
            <w:vMerge w:val="restart"/>
            <w:tcBorders>
              <w:top w:val="single" w:sz="4" w:space="0" w:color="D9D9D9" w:themeColor="background1" w:themeShade="D9"/>
              <w:left w:val="nil"/>
              <w:right w:val="single" w:sz="4" w:space="0" w:color="005EB8" w:themeColor="accent1"/>
            </w:tcBorders>
            <w:hideMark/>
          </w:tcPr>
          <w:p w:rsidR="006B7E37" w:rsidRPr="0020182A" w:rsidRDefault="006B7E37" w:rsidP="009B671C">
            <w:pPr>
              <w:pStyle w:val="BodyText"/>
              <w:numPr>
                <w:ilvl w:val="0"/>
                <w:numId w:val="26"/>
              </w:numPr>
              <w:ind w:hanging="455"/>
              <w:cnfStyle w:val="000000000000" w:firstRow="0" w:lastRow="0" w:firstColumn="0" w:lastColumn="0" w:oddVBand="0" w:evenVBand="0" w:oddHBand="0" w:evenHBand="0" w:firstRowFirstColumn="0" w:firstRowLastColumn="0" w:lastRowFirstColumn="0" w:lastRowLastColumn="0"/>
              <w:rPr>
                <w:sz w:val="19"/>
                <w:szCs w:val="19"/>
              </w:rPr>
            </w:pPr>
            <w:r w:rsidRPr="0020182A">
              <w:rPr>
                <w:sz w:val="19"/>
                <w:szCs w:val="19"/>
              </w:rPr>
              <w:t>Value of SDA in plans compared to projected</w:t>
            </w:r>
          </w:p>
          <w:p w:rsidR="006B7E37" w:rsidRPr="0020182A" w:rsidRDefault="006B7E37" w:rsidP="009B671C">
            <w:pPr>
              <w:pStyle w:val="BodyText"/>
              <w:numPr>
                <w:ilvl w:val="0"/>
                <w:numId w:val="26"/>
              </w:numPr>
              <w:ind w:hanging="455"/>
              <w:cnfStyle w:val="000000000000" w:firstRow="0" w:lastRow="0" w:firstColumn="0" w:lastColumn="0" w:oddVBand="0" w:evenVBand="0" w:oddHBand="0" w:evenHBand="0" w:firstRowFirstColumn="0" w:firstRowLastColumn="0" w:lastRowFirstColumn="0" w:lastRowLastColumn="0"/>
              <w:rPr>
                <w:sz w:val="19"/>
                <w:szCs w:val="19"/>
              </w:rPr>
            </w:pPr>
          </w:p>
          <w:p w:rsidR="006B7E37" w:rsidRPr="0020182A" w:rsidRDefault="006B7E37" w:rsidP="009B671C">
            <w:pPr>
              <w:pStyle w:val="BodyText"/>
              <w:numPr>
                <w:ilvl w:val="0"/>
                <w:numId w:val="26"/>
              </w:numPr>
              <w:ind w:hanging="455"/>
              <w:cnfStyle w:val="000000000000" w:firstRow="0" w:lastRow="0" w:firstColumn="0" w:lastColumn="0" w:oddVBand="0" w:evenVBand="0" w:oddHBand="0" w:evenHBand="0" w:firstRowFirstColumn="0" w:firstRowLastColumn="0" w:lastRowFirstColumn="0" w:lastRowLastColumn="0"/>
              <w:rPr>
                <w:sz w:val="19"/>
                <w:szCs w:val="19"/>
              </w:rPr>
            </w:pPr>
            <w:r w:rsidRPr="0020182A">
              <w:rPr>
                <w:sz w:val="19"/>
                <w:szCs w:val="19"/>
              </w:rPr>
              <w:t>Numbers of Participants with SDA in plans compared to expected numbers</w:t>
            </w:r>
          </w:p>
          <w:p w:rsidR="006B7E37" w:rsidRPr="0020182A" w:rsidRDefault="006B7E37" w:rsidP="009B671C">
            <w:pPr>
              <w:pStyle w:val="BodyText"/>
              <w:numPr>
                <w:ilvl w:val="0"/>
                <w:numId w:val="26"/>
              </w:numPr>
              <w:ind w:hanging="455"/>
              <w:cnfStyle w:val="000000000000" w:firstRow="0" w:lastRow="0" w:firstColumn="0" w:lastColumn="0" w:oddVBand="0" w:evenVBand="0" w:oddHBand="0" w:evenHBand="0" w:firstRowFirstColumn="0" w:firstRowLastColumn="0" w:lastRowFirstColumn="0" w:lastRowLastColumn="0"/>
              <w:rPr>
                <w:sz w:val="19"/>
                <w:szCs w:val="19"/>
              </w:rPr>
            </w:pPr>
            <w:r w:rsidRPr="0020182A">
              <w:rPr>
                <w:sz w:val="19"/>
                <w:szCs w:val="19"/>
              </w:rPr>
              <w:t>Mix of SDA and other supports in SDA-recipient plans</w:t>
            </w:r>
          </w:p>
        </w:tc>
      </w:tr>
      <w:tr w:rsidR="00FB5414" w:rsidRPr="0020182A" w:rsidTr="00FB5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hideMark/>
          </w:tcPr>
          <w:p w:rsidR="006B7E37" w:rsidRPr="0020182A" w:rsidRDefault="006B7E37">
            <w:pPr>
              <w:pStyle w:val="Tabletext"/>
              <w:rPr>
                <w:sz w:val="18"/>
              </w:rPr>
            </w:pPr>
            <w:r w:rsidRPr="0020182A">
              <w:rPr>
                <w:b w:val="0"/>
                <w:szCs w:val="19"/>
              </w:rPr>
              <w:t>Does the Framework support flexibility in use of services and built solutions to maximise the value of individualised plans?</w:t>
            </w:r>
          </w:p>
        </w:tc>
        <w:tc>
          <w:tcPr>
            <w:tcW w:w="111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BodyText"/>
              <w:jc w:val="center"/>
              <w:cnfStyle w:val="000000100000" w:firstRow="0" w:lastRow="0" w:firstColumn="0" w:lastColumn="0" w:oddVBand="0" w:evenVBand="0" w:oddHBand="1" w:evenHBand="0" w:firstRowFirstColumn="0" w:firstRowLastColumn="0" w:lastRowFirstColumn="0" w:lastRowLastColumn="0"/>
              <w:rPr>
                <w:sz w:val="19"/>
                <w:szCs w:val="19"/>
              </w:rPr>
            </w:pPr>
            <w:r w:rsidRPr="0020182A">
              <w:rPr>
                <w:sz w:val="19"/>
                <w:szCs w:val="19"/>
              </w:rPr>
              <w:t>1,4</w:t>
            </w:r>
          </w:p>
        </w:tc>
        <w:tc>
          <w:tcPr>
            <w:tcW w:w="1815" w:type="dxa"/>
            <w:gridSpan w:val="2"/>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100000" w:firstRow="0" w:lastRow="0" w:firstColumn="0" w:lastColumn="0" w:oddVBand="0" w:evenVBand="0" w:oddHBand="1" w:evenHBand="0" w:firstRowFirstColumn="0" w:firstRowLastColumn="0" w:lastRowFirstColumn="0" w:lastRowLastColumn="0"/>
            </w:pPr>
            <w:r w:rsidRPr="0020182A">
              <w:sym w:font="Wingdings" w:char="F0FC"/>
            </w:r>
          </w:p>
        </w:tc>
        <w:tc>
          <w:tcPr>
            <w:tcW w:w="1642"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100000" w:firstRow="0" w:lastRow="0" w:firstColumn="0" w:lastColumn="0" w:oddVBand="0" w:evenVBand="0" w:oddHBand="1" w:evenHBand="0" w:firstRowFirstColumn="0" w:firstRowLastColumn="0" w:lastRowFirstColumn="0" w:lastRowLastColumn="0"/>
            </w:pPr>
            <w:r w:rsidRPr="0020182A">
              <w:sym w:font="Wingdings" w:char="F0FC"/>
            </w:r>
          </w:p>
        </w:tc>
        <w:tc>
          <w:tcPr>
            <w:tcW w:w="1888" w:type="dxa"/>
            <w:gridSpan w:val="2"/>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100000" w:firstRow="0" w:lastRow="0" w:firstColumn="0" w:lastColumn="0" w:oddVBand="0" w:evenVBand="0" w:oddHBand="1" w:evenHBand="0" w:firstRowFirstColumn="0" w:firstRowLastColumn="0" w:lastRowFirstColumn="0" w:lastRowLastColumn="0"/>
            </w:pPr>
            <w:r w:rsidRPr="0020182A">
              <w:sym w:font="Wingdings" w:char="F0FC"/>
            </w:r>
          </w:p>
        </w:tc>
        <w:tc>
          <w:tcPr>
            <w:tcW w:w="0" w:type="auto"/>
            <w:vMerge/>
            <w:tcBorders>
              <w:top w:val="single" w:sz="4" w:space="0" w:color="D9D9D9" w:themeColor="background1" w:themeShade="D9"/>
              <w:left w:val="nil"/>
              <w:right w:val="single" w:sz="4" w:space="0" w:color="005EB8" w:themeColor="accent1"/>
            </w:tcBorders>
            <w:vAlign w:val="center"/>
            <w:hideMark/>
          </w:tcPr>
          <w:p w:rsidR="006B7E37" w:rsidRPr="0020182A" w:rsidRDefault="006B7E37">
            <w:pPr>
              <w:spacing w:before="0" w:after="0"/>
              <w:cnfStyle w:val="000000100000" w:firstRow="0" w:lastRow="0" w:firstColumn="0" w:lastColumn="0" w:oddVBand="0" w:evenVBand="0" w:oddHBand="1" w:evenHBand="0" w:firstRowFirstColumn="0" w:firstRowLastColumn="0" w:lastRowFirstColumn="0" w:lastRowLastColumn="0"/>
              <w:rPr>
                <w:sz w:val="19"/>
                <w:szCs w:val="19"/>
              </w:rPr>
            </w:pPr>
          </w:p>
        </w:tc>
      </w:tr>
      <w:tr w:rsidR="00FB5414" w:rsidRPr="0020182A" w:rsidTr="00FB5414">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bottom w:val="single" w:sz="4" w:space="0" w:color="D9D9D9" w:themeColor="background1" w:themeShade="D9"/>
            </w:tcBorders>
            <w:hideMark/>
          </w:tcPr>
          <w:p w:rsidR="006B7E37" w:rsidRPr="0020182A" w:rsidRDefault="006B7E37">
            <w:pPr>
              <w:pStyle w:val="Tabletext"/>
              <w:rPr>
                <w:b w:val="0"/>
                <w:szCs w:val="19"/>
              </w:rPr>
            </w:pPr>
            <w:r w:rsidRPr="0020182A">
              <w:rPr>
                <w:b w:val="0"/>
                <w:szCs w:val="19"/>
              </w:rPr>
              <w:t>If the Participant achieves reduced support costs, does this impact the price of the individualised funding for SDA?</w:t>
            </w:r>
          </w:p>
        </w:tc>
        <w:tc>
          <w:tcPr>
            <w:tcW w:w="1114" w:type="dxa"/>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BodyText"/>
              <w:jc w:val="center"/>
              <w:cnfStyle w:val="000000000000" w:firstRow="0" w:lastRow="0" w:firstColumn="0" w:lastColumn="0" w:oddVBand="0" w:evenVBand="0" w:oddHBand="0" w:evenHBand="0" w:firstRowFirstColumn="0" w:firstRowLastColumn="0" w:lastRowFirstColumn="0" w:lastRowLastColumn="0"/>
              <w:rPr>
                <w:sz w:val="19"/>
                <w:szCs w:val="19"/>
              </w:rPr>
            </w:pPr>
            <w:r w:rsidRPr="0020182A">
              <w:rPr>
                <w:sz w:val="19"/>
                <w:szCs w:val="19"/>
              </w:rPr>
              <w:t>1</w:t>
            </w:r>
          </w:p>
        </w:tc>
        <w:tc>
          <w:tcPr>
            <w:tcW w:w="1815" w:type="dxa"/>
            <w:gridSpan w:val="2"/>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000000" w:firstRow="0" w:lastRow="0" w:firstColumn="0" w:lastColumn="0" w:oddVBand="0" w:evenVBand="0" w:oddHBand="0" w:evenHBand="0" w:firstRowFirstColumn="0" w:firstRowLastColumn="0" w:lastRowFirstColumn="0" w:lastRowLastColumn="0"/>
            </w:pPr>
            <w:r w:rsidRPr="0020182A">
              <w:sym w:font="Wingdings" w:char="F0FC"/>
            </w:r>
          </w:p>
        </w:tc>
        <w:tc>
          <w:tcPr>
            <w:tcW w:w="1642" w:type="dxa"/>
            <w:tcBorders>
              <w:top w:val="single" w:sz="4" w:space="0" w:color="D9D9D9" w:themeColor="background1" w:themeShade="D9"/>
              <w:left w:val="nil"/>
              <w:bottom w:val="single" w:sz="4" w:space="0" w:color="D9D9D9" w:themeColor="background1" w:themeShade="D9"/>
              <w:right w:val="nil"/>
            </w:tcBorders>
          </w:tcPr>
          <w:p w:rsidR="006B7E37" w:rsidRPr="0020182A" w:rsidRDefault="00FB5414">
            <w:pPr>
              <w:pStyle w:val="Tablecentredtext"/>
              <w:cnfStyle w:val="000000000000" w:firstRow="0" w:lastRow="0" w:firstColumn="0" w:lastColumn="0" w:oddVBand="0" w:evenVBand="0" w:oddHBand="0" w:evenHBand="0" w:firstRowFirstColumn="0" w:firstRowLastColumn="0" w:lastRowFirstColumn="0" w:lastRowLastColumn="0"/>
            </w:pPr>
            <w:r>
              <w:t>Nil</w:t>
            </w:r>
          </w:p>
        </w:tc>
        <w:tc>
          <w:tcPr>
            <w:tcW w:w="1888" w:type="dxa"/>
            <w:gridSpan w:val="2"/>
            <w:tcBorders>
              <w:top w:val="single" w:sz="4" w:space="0" w:color="D9D9D9" w:themeColor="background1" w:themeShade="D9"/>
              <w:left w:val="nil"/>
              <w:bottom w:val="single" w:sz="4" w:space="0" w:color="D9D9D9" w:themeColor="background1" w:themeShade="D9"/>
              <w:right w:val="nil"/>
            </w:tcBorders>
            <w:hideMark/>
          </w:tcPr>
          <w:p w:rsidR="006B7E37" w:rsidRPr="0020182A" w:rsidRDefault="006B7E37">
            <w:pPr>
              <w:pStyle w:val="Tablecentredtext"/>
              <w:cnfStyle w:val="000000000000" w:firstRow="0" w:lastRow="0" w:firstColumn="0" w:lastColumn="0" w:oddVBand="0" w:evenVBand="0" w:oddHBand="0" w:evenHBand="0" w:firstRowFirstColumn="0" w:firstRowLastColumn="0" w:lastRowFirstColumn="0" w:lastRowLastColumn="0"/>
            </w:pPr>
            <w:r w:rsidRPr="0020182A">
              <w:sym w:font="Wingdings" w:char="F0FC"/>
            </w:r>
          </w:p>
        </w:tc>
        <w:tc>
          <w:tcPr>
            <w:tcW w:w="0" w:type="auto"/>
            <w:vMerge/>
            <w:tcBorders>
              <w:top w:val="single" w:sz="4" w:space="0" w:color="D9D9D9" w:themeColor="background1" w:themeShade="D9"/>
              <w:left w:val="nil"/>
              <w:right w:val="single" w:sz="4" w:space="0" w:color="005EB8" w:themeColor="accent1"/>
            </w:tcBorders>
            <w:vAlign w:val="center"/>
            <w:hideMark/>
          </w:tcPr>
          <w:p w:rsidR="006B7E37" w:rsidRPr="0020182A" w:rsidRDefault="006B7E37">
            <w:pPr>
              <w:spacing w:before="0" w:after="0"/>
              <w:cnfStyle w:val="000000000000" w:firstRow="0" w:lastRow="0" w:firstColumn="0" w:lastColumn="0" w:oddVBand="0" w:evenVBand="0" w:oddHBand="0" w:evenHBand="0" w:firstRowFirstColumn="0" w:firstRowLastColumn="0" w:lastRowFirstColumn="0" w:lastRowLastColumn="0"/>
              <w:rPr>
                <w:sz w:val="19"/>
                <w:szCs w:val="19"/>
              </w:rPr>
            </w:pPr>
          </w:p>
        </w:tc>
      </w:tr>
      <w:tr w:rsidR="00FB5414" w:rsidRPr="0020182A" w:rsidTr="00FB5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4" w:type="dxa"/>
            <w:tcBorders>
              <w:top w:val="single" w:sz="4" w:space="0" w:color="D9D9D9" w:themeColor="background1" w:themeShade="D9"/>
              <w:left w:val="single" w:sz="4" w:space="0" w:color="005EB8" w:themeColor="accent1"/>
            </w:tcBorders>
            <w:hideMark/>
          </w:tcPr>
          <w:p w:rsidR="006B7E37" w:rsidRPr="0020182A" w:rsidRDefault="006B7E37">
            <w:pPr>
              <w:pStyle w:val="Tabletext"/>
              <w:rPr>
                <w:b w:val="0"/>
              </w:rPr>
            </w:pPr>
            <w:r w:rsidRPr="0020182A">
              <w:rPr>
                <w:b w:val="0"/>
                <w:szCs w:val="19"/>
              </w:rPr>
              <w:t>What are the barriers or enablers to Scheme sustainability in the current SDA framework?</w:t>
            </w:r>
          </w:p>
        </w:tc>
        <w:tc>
          <w:tcPr>
            <w:tcW w:w="1114" w:type="dxa"/>
            <w:tcBorders>
              <w:top w:val="single" w:sz="4" w:space="0" w:color="D9D9D9" w:themeColor="background1" w:themeShade="D9"/>
              <w:left w:val="nil"/>
              <w:right w:val="nil"/>
            </w:tcBorders>
            <w:hideMark/>
          </w:tcPr>
          <w:p w:rsidR="006B7E37" w:rsidRPr="0020182A" w:rsidRDefault="006B7E37">
            <w:pPr>
              <w:pStyle w:val="BodyText"/>
              <w:jc w:val="center"/>
              <w:cnfStyle w:val="000000100000" w:firstRow="0" w:lastRow="0" w:firstColumn="0" w:lastColumn="0" w:oddVBand="0" w:evenVBand="0" w:oddHBand="1" w:evenHBand="0" w:firstRowFirstColumn="0" w:firstRowLastColumn="0" w:lastRowFirstColumn="0" w:lastRowLastColumn="0"/>
              <w:rPr>
                <w:sz w:val="19"/>
                <w:szCs w:val="19"/>
              </w:rPr>
            </w:pPr>
            <w:r w:rsidRPr="0020182A">
              <w:rPr>
                <w:sz w:val="19"/>
                <w:szCs w:val="19"/>
              </w:rPr>
              <w:t>1</w:t>
            </w:r>
          </w:p>
        </w:tc>
        <w:tc>
          <w:tcPr>
            <w:tcW w:w="1815" w:type="dxa"/>
            <w:gridSpan w:val="2"/>
            <w:tcBorders>
              <w:top w:val="single" w:sz="4" w:space="0" w:color="D9D9D9" w:themeColor="background1" w:themeShade="D9"/>
              <w:left w:val="nil"/>
              <w:right w:val="nil"/>
            </w:tcBorders>
            <w:hideMark/>
          </w:tcPr>
          <w:p w:rsidR="006B7E37" w:rsidRPr="0020182A" w:rsidRDefault="006B7E37">
            <w:pPr>
              <w:pStyle w:val="Tablecentredtext"/>
              <w:cnfStyle w:val="000000100000" w:firstRow="0" w:lastRow="0" w:firstColumn="0" w:lastColumn="0" w:oddVBand="0" w:evenVBand="0" w:oddHBand="1" w:evenHBand="0" w:firstRowFirstColumn="0" w:firstRowLastColumn="0" w:lastRowFirstColumn="0" w:lastRowLastColumn="0"/>
            </w:pPr>
            <w:r w:rsidRPr="0020182A">
              <w:sym w:font="Wingdings" w:char="F0FC"/>
            </w:r>
          </w:p>
        </w:tc>
        <w:tc>
          <w:tcPr>
            <w:tcW w:w="1642" w:type="dxa"/>
            <w:tcBorders>
              <w:top w:val="single" w:sz="4" w:space="0" w:color="D9D9D9" w:themeColor="background1" w:themeShade="D9"/>
              <w:left w:val="nil"/>
              <w:right w:val="nil"/>
            </w:tcBorders>
            <w:hideMark/>
          </w:tcPr>
          <w:p w:rsidR="006B7E37" w:rsidRPr="0020182A" w:rsidRDefault="006B7E37">
            <w:pPr>
              <w:pStyle w:val="Tablecentredtext"/>
              <w:cnfStyle w:val="000000100000" w:firstRow="0" w:lastRow="0" w:firstColumn="0" w:lastColumn="0" w:oddVBand="0" w:evenVBand="0" w:oddHBand="1" w:evenHBand="0" w:firstRowFirstColumn="0" w:firstRowLastColumn="0" w:lastRowFirstColumn="0" w:lastRowLastColumn="0"/>
            </w:pPr>
            <w:r w:rsidRPr="0020182A">
              <w:sym w:font="Wingdings" w:char="F0FC"/>
            </w:r>
          </w:p>
        </w:tc>
        <w:tc>
          <w:tcPr>
            <w:tcW w:w="1888" w:type="dxa"/>
            <w:gridSpan w:val="2"/>
            <w:tcBorders>
              <w:top w:val="single" w:sz="4" w:space="0" w:color="D9D9D9" w:themeColor="background1" w:themeShade="D9"/>
              <w:left w:val="nil"/>
              <w:right w:val="nil"/>
            </w:tcBorders>
            <w:hideMark/>
          </w:tcPr>
          <w:p w:rsidR="006B7E37" w:rsidRPr="0020182A" w:rsidRDefault="006B7E37">
            <w:pPr>
              <w:pStyle w:val="Tablecentredtext"/>
              <w:cnfStyle w:val="000000100000" w:firstRow="0" w:lastRow="0" w:firstColumn="0" w:lastColumn="0" w:oddVBand="0" w:evenVBand="0" w:oddHBand="1" w:evenHBand="0" w:firstRowFirstColumn="0" w:firstRowLastColumn="0" w:lastRowFirstColumn="0" w:lastRowLastColumn="0"/>
            </w:pPr>
            <w:r w:rsidRPr="0020182A">
              <w:sym w:font="Wingdings" w:char="F0FC"/>
            </w:r>
          </w:p>
        </w:tc>
        <w:tc>
          <w:tcPr>
            <w:tcW w:w="0" w:type="auto"/>
            <w:vMerge/>
            <w:tcBorders>
              <w:top w:val="single" w:sz="4" w:space="0" w:color="D9D9D9" w:themeColor="background1" w:themeShade="D9"/>
              <w:left w:val="nil"/>
              <w:right w:val="single" w:sz="4" w:space="0" w:color="005EB8" w:themeColor="accent1"/>
            </w:tcBorders>
            <w:vAlign w:val="center"/>
            <w:hideMark/>
          </w:tcPr>
          <w:p w:rsidR="006B7E37" w:rsidRPr="0020182A" w:rsidRDefault="006B7E37">
            <w:pPr>
              <w:spacing w:before="0" w:after="0"/>
              <w:cnfStyle w:val="000000100000" w:firstRow="0" w:lastRow="0" w:firstColumn="0" w:lastColumn="0" w:oddVBand="0" w:evenVBand="0" w:oddHBand="1" w:evenHBand="0" w:firstRowFirstColumn="0" w:firstRowLastColumn="0" w:lastRowFirstColumn="0" w:lastRowLastColumn="0"/>
              <w:rPr>
                <w:sz w:val="19"/>
                <w:szCs w:val="19"/>
              </w:rPr>
            </w:pPr>
          </w:p>
        </w:tc>
      </w:tr>
    </w:tbl>
    <w:p w:rsidR="0040509E" w:rsidRDefault="0040509E">
      <w:pPr>
        <w:spacing w:before="0" w:after="160" w:line="259" w:lineRule="auto"/>
      </w:pPr>
      <w:r>
        <w:br w:type="page"/>
      </w:r>
    </w:p>
    <w:p w:rsidR="006B7E37" w:rsidRPr="0020182A" w:rsidRDefault="006B7E37" w:rsidP="006B7E37">
      <w:pPr>
        <w:spacing w:before="0" w:after="0"/>
        <w:sectPr w:rsidR="006B7E37" w:rsidRPr="0020182A">
          <w:headerReference w:type="default" r:id="rId75"/>
          <w:pgSz w:w="16838" w:h="11906" w:orient="landscape"/>
          <w:pgMar w:top="1418" w:right="1418" w:bottom="1418" w:left="1418" w:header="709" w:footer="453" w:gutter="0"/>
          <w:cols w:space="720"/>
        </w:sectPr>
      </w:pPr>
    </w:p>
    <w:p w:rsidR="009633A2" w:rsidRPr="0040509E" w:rsidRDefault="009633A2" w:rsidP="0040509E">
      <w:pPr>
        <w:jc w:val="right"/>
      </w:pPr>
    </w:p>
    <w:sectPr w:rsidR="009633A2" w:rsidRPr="0040509E" w:rsidSect="00CC7A82">
      <w:headerReference w:type="default" r:id="rId76"/>
      <w:footerReference w:type="default" r:id="rId77"/>
      <w:pgSz w:w="11906" w:h="16838"/>
      <w:pgMar w:top="652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997" w:rsidRDefault="00C50997" w:rsidP="004A3F32">
      <w:pPr>
        <w:spacing w:after="0"/>
      </w:pPr>
      <w:r>
        <w:separator/>
      </w:r>
    </w:p>
  </w:endnote>
  <w:endnote w:type="continuationSeparator" w:id="0">
    <w:p w:rsidR="00C50997" w:rsidRDefault="00C50997" w:rsidP="004A3F32">
      <w:pPr>
        <w:spacing w:after="0"/>
      </w:pPr>
      <w:r>
        <w:continuationSeparator/>
      </w:r>
    </w:p>
  </w:endnote>
  <w:endnote w:type="continuationNotice" w:id="1">
    <w:p w:rsidR="00C50997" w:rsidRDefault="00C5099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Univers 45 Light">
    <w:charset w:val="00"/>
    <w:family w:val="auto"/>
    <w:pitch w:val="variable"/>
    <w:sig w:usb0="8000002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PMG Extralight">
    <w:altName w:val="Corbel"/>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KPMG Light">
    <w:altName w:val="Calibri"/>
    <w:charset w:val="00"/>
    <w:family w:val="swiss"/>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171" w:rsidRDefault="002C317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97" w:rsidRDefault="00C50997" w:rsidP="0001384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237418"/>
      <w:docPartObj>
        <w:docPartGallery w:val="Page Numbers (Bottom of Page)"/>
        <w:docPartUnique/>
      </w:docPartObj>
    </w:sdtPr>
    <w:sdtEndPr>
      <w:rPr>
        <w:noProof/>
      </w:rPr>
    </w:sdtEndPr>
    <w:sdtContent>
      <w:p w:rsidR="00C50997" w:rsidRDefault="00C50997">
        <w:pPr>
          <w:pStyle w:val="Footer"/>
        </w:pPr>
        <w:r>
          <w:fldChar w:fldCharType="begin"/>
        </w:r>
        <w:r>
          <w:instrText xml:space="preserve"> PAGE   \* MERGEFORMAT </w:instrText>
        </w:r>
        <w:r>
          <w:fldChar w:fldCharType="separate"/>
        </w:r>
        <w:r w:rsidR="003A6A6C">
          <w:rPr>
            <w:noProof/>
          </w:rPr>
          <w:t>36</w:t>
        </w:r>
        <w:r>
          <w:rPr>
            <w:noProof/>
          </w:rPr>
          <w:fldChar w:fldCharType="end"/>
        </w:r>
      </w:p>
    </w:sdtContent>
  </w:sdt>
  <w:p w:rsidR="00C50997" w:rsidRDefault="00C50997" w:rsidP="0001384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97" w:rsidRDefault="00C50997" w:rsidP="0001384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841257"/>
      <w:docPartObj>
        <w:docPartGallery w:val="Page Numbers (Bottom of Page)"/>
        <w:docPartUnique/>
      </w:docPartObj>
    </w:sdtPr>
    <w:sdtEndPr>
      <w:rPr>
        <w:noProof/>
      </w:rPr>
    </w:sdtEndPr>
    <w:sdtContent>
      <w:p w:rsidR="00C50997" w:rsidRDefault="00C50997">
        <w:pPr>
          <w:pStyle w:val="Footer"/>
        </w:pPr>
        <w:r>
          <w:fldChar w:fldCharType="begin"/>
        </w:r>
        <w:r>
          <w:instrText xml:space="preserve"> PAGE   \* MERGEFORMAT </w:instrText>
        </w:r>
        <w:r>
          <w:fldChar w:fldCharType="separate"/>
        </w:r>
        <w:r w:rsidR="003A6A6C">
          <w:rPr>
            <w:noProof/>
          </w:rPr>
          <w:t>42</w:t>
        </w:r>
        <w:r>
          <w:rPr>
            <w:noProof/>
          </w:rPr>
          <w:fldChar w:fldCharType="end"/>
        </w:r>
      </w:p>
    </w:sdtContent>
  </w:sdt>
  <w:p w:rsidR="00C50997" w:rsidRDefault="00C50997" w:rsidP="0001384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97" w:rsidRDefault="00C50997" w:rsidP="0001384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733074"/>
      <w:docPartObj>
        <w:docPartGallery w:val="Page Numbers (Bottom of Page)"/>
        <w:docPartUnique/>
      </w:docPartObj>
    </w:sdtPr>
    <w:sdtEndPr>
      <w:rPr>
        <w:noProof/>
      </w:rPr>
    </w:sdtEndPr>
    <w:sdtContent>
      <w:p w:rsidR="00C50997" w:rsidRDefault="00C50997">
        <w:pPr>
          <w:pStyle w:val="Footer"/>
        </w:pPr>
        <w:r>
          <w:fldChar w:fldCharType="begin"/>
        </w:r>
        <w:r>
          <w:instrText xml:space="preserve"> PAGE   \* MERGEFORMAT </w:instrText>
        </w:r>
        <w:r>
          <w:fldChar w:fldCharType="separate"/>
        </w:r>
        <w:r w:rsidR="003A6A6C">
          <w:rPr>
            <w:noProof/>
          </w:rPr>
          <w:t>74</w:t>
        </w:r>
        <w:r>
          <w:rPr>
            <w:noProof/>
          </w:rPr>
          <w:fldChar w:fldCharType="end"/>
        </w:r>
      </w:p>
    </w:sdtContent>
  </w:sdt>
  <w:p w:rsidR="00C50997" w:rsidRDefault="00C50997" w:rsidP="0001384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197610"/>
      <w:docPartObj>
        <w:docPartGallery w:val="Page Numbers (Bottom of Page)"/>
        <w:docPartUnique/>
      </w:docPartObj>
    </w:sdtPr>
    <w:sdtEndPr>
      <w:rPr>
        <w:noProof/>
      </w:rPr>
    </w:sdtEndPr>
    <w:sdtContent>
      <w:p w:rsidR="00C50997" w:rsidRDefault="00C50997">
        <w:pPr>
          <w:pStyle w:val="Footer"/>
        </w:pPr>
        <w:r>
          <w:fldChar w:fldCharType="begin"/>
        </w:r>
        <w:r>
          <w:instrText xml:space="preserve"> PAGE   \* MERGEFORMAT </w:instrText>
        </w:r>
        <w:r>
          <w:fldChar w:fldCharType="separate"/>
        </w:r>
        <w:r w:rsidR="003A6A6C">
          <w:rPr>
            <w:noProof/>
          </w:rPr>
          <w:t>98</w:t>
        </w:r>
        <w:r>
          <w:rPr>
            <w:noProof/>
          </w:rPr>
          <w:fldChar w:fldCharType="end"/>
        </w:r>
      </w:p>
    </w:sdtContent>
  </w:sdt>
  <w:p w:rsidR="00C50997" w:rsidRDefault="00C50997" w:rsidP="0001384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232283"/>
      <w:docPartObj>
        <w:docPartGallery w:val="Page Numbers (Bottom of Page)"/>
        <w:docPartUnique/>
      </w:docPartObj>
    </w:sdtPr>
    <w:sdtEndPr>
      <w:rPr>
        <w:noProof/>
      </w:rPr>
    </w:sdtEndPr>
    <w:sdtContent>
      <w:p w:rsidR="00C50997" w:rsidRDefault="00C50997">
        <w:pPr>
          <w:pStyle w:val="Footer"/>
        </w:pPr>
        <w:r>
          <w:fldChar w:fldCharType="begin"/>
        </w:r>
        <w:r>
          <w:instrText xml:space="preserve"> PAGE   \* MERGEFORMAT </w:instrText>
        </w:r>
        <w:r>
          <w:fldChar w:fldCharType="separate"/>
        </w:r>
        <w:r w:rsidR="003A6A6C">
          <w:rPr>
            <w:noProof/>
          </w:rPr>
          <w:t>105</w:t>
        </w:r>
        <w:r>
          <w:rPr>
            <w:noProof/>
          </w:rPr>
          <w:fldChar w:fldCharType="end"/>
        </w:r>
      </w:p>
    </w:sdtContent>
  </w:sdt>
  <w:p w:rsidR="00C50997" w:rsidRDefault="00C50997" w:rsidP="0001384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396591"/>
      <w:docPartObj>
        <w:docPartGallery w:val="Page Numbers (Bottom of Page)"/>
        <w:docPartUnique/>
      </w:docPartObj>
    </w:sdtPr>
    <w:sdtEndPr>
      <w:rPr>
        <w:noProof/>
      </w:rPr>
    </w:sdtEndPr>
    <w:sdtContent>
      <w:p w:rsidR="00C50997" w:rsidRDefault="00C50997">
        <w:pPr>
          <w:pStyle w:val="Footer"/>
        </w:pPr>
        <w:r>
          <w:fldChar w:fldCharType="begin"/>
        </w:r>
        <w:r>
          <w:instrText xml:space="preserve"> PAGE   \* MERGEFORMAT </w:instrText>
        </w:r>
        <w:r>
          <w:fldChar w:fldCharType="separate"/>
        </w:r>
        <w:r w:rsidR="003A6A6C">
          <w:rPr>
            <w:noProof/>
          </w:rPr>
          <w:t>110</w:t>
        </w:r>
        <w:r>
          <w:rPr>
            <w:noProof/>
          </w:rPr>
          <w:fldChar w:fldCharType="end"/>
        </w:r>
      </w:p>
    </w:sdtContent>
  </w:sdt>
  <w:p w:rsidR="00C50997" w:rsidRDefault="00C50997" w:rsidP="00013847">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438980"/>
      <w:docPartObj>
        <w:docPartGallery w:val="Page Numbers (Bottom of Page)"/>
        <w:docPartUnique/>
      </w:docPartObj>
    </w:sdtPr>
    <w:sdtEndPr/>
    <w:sdtContent>
      <w:p w:rsidR="00C50997" w:rsidRDefault="00C50997" w:rsidP="00013847">
        <w:pPr>
          <w:pStyle w:val="Footer"/>
          <w:rPr>
            <w:noProof/>
          </w:rPr>
        </w:pPr>
        <w:r>
          <w:fldChar w:fldCharType="begin"/>
        </w:r>
        <w:r>
          <w:instrText xml:space="preserve"> PAGE   \* MERGEFORMAT </w:instrText>
        </w:r>
        <w:r>
          <w:fldChar w:fldCharType="separate"/>
        </w:r>
        <w:r w:rsidR="003A6A6C">
          <w:rPr>
            <w:noProof/>
          </w:rPr>
          <w:t>111</w:t>
        </w:r>
        <w:r>
          <w:rPr>
            <w:noProof/>
          </w:rPr>
          <w:fldChar w:fldCharType="end"/>
        </w:r>
      </w:p>
      <w:p w:rsidR="00C50997" w:rsidRDefault="00C50997" w:rsidP="00013847">
        <w:pPr>
          <w:pStyle w:val="Footer"/>
        </w:pPr>
      </w:p>
      <w:p w:rsidR="00C50997" w:rsidRDefault="003A6A6C" w:rsidP="00013847">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171" w:rsidRDefault="002C3171">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501960"/>
      <w:docPartObj>
        <w:docPartGallery w:val="Page Numbers (Bottom of Page)"/>
        <w:docPartUnique/>
      </w:docPartObj>
    </w:sdtPr>
    <w:sdtEndPr>
      <w:rPr>
        <w:noProof/>
      </w:rPr>
    </w:sdtEndPr>
    <w:sdtContent>
      <w:p w:rsidR="00C50997" w:rsidRDefault="00C50997">
        <w:pPr>
          <w:pStyle w:val="Footer"/>
        </w:pPr>
        <w:r>
          <w:fldChar w:fldCharType="begin"/>
        </w:r>
        <w:r>
          <w:instrText xml:space="preserve"> PAGE   \* MERGEFORMAT </w:instrText>
        </w:r>
        <w:r>
          <w:fldChar w:fldCharType="separate"/>
        </w:r>
        <w:r w:rsidR="003A6A6C">
          <w:rPr>
            <w:noProof/>
          </w:rPr>
          <w:t>113</w:t>
        </w:r>
        <w:r>
          <w:rPr>
            <w:noProof/>
          </w:rPr>
          <w:fldChar w:fldCharType="end"/>
        </w:r>
      </w:p>
    </w:sdtContent>
  </w:sdt>
  <w:p w:rsidR="00C50997" w:rsidRDefault="00C50997" w:rsidP="00013847">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652329"/>
      <w:docPartObj>
        <w:docPartGallery w:val="Page Numbers (Bottom of Page)"/>
        <w:docPartUnique/>
      </w:docPartObj>
    </w:sdtPr>
    <w:sdtEndPr>
      <w:rPr>
        <w:noProof/>
      </w:rPr>
    </w:sdtEndPr>
    <w:sdtContent>
      <w:p w:rsidR="00C50997" w:rsidRDefault="00C50997">
        <w:pPr>
          <w:pStyle w:val="Footer"/>
        </w:pPr>
        <w:r>
          <w:fldChar w:fldCharType="begin"/>
        </w:r>
        <w:r>
          <w:instrText xml:space="preserve"> PAGE   \* MERGEFORMAT </w:instrText>
        </w:r>
        <w:r>
          <w:fldChar w:fldCharType="separate"/>
        </w:r>
        <w:r w:rsidR="003A6A6C">
          <w:rPr>
            <w:noProof/>
          </w:rPr>
          <w:t>117</w:t>
        </w:r>
        <w:r>
          <w:rPr>
            <w:noProof/>
          </w:rPr>
          <w:fldChar w:fldCharType="end"/>
        </w:r>
      </w:p>
    </w:sdtContent>
  </w:sdt>
  <w:p w:rsidR="00C50997" w:rsidRDefault="00C50997" w:rsidP="00013847">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97" w:rsidRPr="00413248" w:rsidRDefault="00C50997" w:rsidP="00413248">
    <w:pPr>
      <w:ind w:left="426" w:right="2407"/>
      <w:rPr>
        <w:rStyle w:val="White"/>
        <w:rFonts w:eastAsia="Batang"/>
        <w:sz w:val="12"/>
        <w:szCs w:val="12"/>
        <w:lang w:val="en-GB" w:eastAsia="ko-KR"/>
      </w:rPr>
    </w:pPr>
    <w:r w:rsidRPr="00413248">
      <w:rPr>
        <w:rStyle w:val="White"/>
        <w:rFonts w:eastAsia="Batang"/>
        <w:sz w:val="12"/>
        <w:szCs w:val="12"/>
        <w:lang w:val="en-GB" w:eastAsia="ko-KR"/>
      </w:rPr>
      <w:t xml:space="preserve">The information contained in this document is of a general nature and is not intended to address the objectives, financial situation or needs of any particular individual or entity. It is provided for information purposes only and does not constitute, nor should it be regarded in any manner whatsoever, as advice and is not intended to influence a person in making a decision, including, if applicable, in relation to any financial product or an interest in a financial product. Although we endeavour to provide accurate and timely information, there can be no guarantee that such information is accurate as of the date it is received or that it will continue to be accurate in the future. No one should act on such information without appropriate professional advice after a thorough examination of the particular situation. </w:t>
    </w:r>
  </w:p>
  <w:p w:rsidR="00C50997" w:rsidRPr="00CC7A82" w:rsidRDefault="00C50997" w:rsidP="00CC7A82">
    <w:pPr>
      <w:pStyle w:val="Footer"/>
      <w:ind w:left="426" w:right="2407"/>
      <w:jc w:val="left"/>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171" w:rsidRDefault="002C31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569828"/>
      <w:docPartObj>
        <w:docPartGallery w:val="Page Numbers (Bottom of Page)"/>
        <w:docPartUnique/>
      </w:docPartObj>
    </w:sdtPr>
    <w:sdtEndPr>
      <w:rPr>
        <w:color w:val="FFFFFF" w:themeColor="background1"/>
      </w:rPr>
    </w:sdtEndPr>
    <w:sdtContent>
      <w:p w:rsidR="00C50997" w:rsidRDefault="00C50997" w:rsidP="009B7952">
        <w:pPr>
          <w:pStyle w:val="Footer"/>
          <w:jc w:val="left"/>
        </w:pPr>
      </w:p>
      <w:p w:rsidR="00C50997" w:rsidRPr="00C0576E" w:rsidRDefault="003A6A6C" w:rsidP="00C0576E">
        <w:pPr>
          <w:pStyle w:val="Footer"/>
          <w:tabs>
            <w:tab w:val="clear" w:pos="9026"/>
          </w:tabs>
          <w:ind w:right="1698"/>
          <w:jc w:val="left"/>
          <w:rPr>
            <w:color w:val="FFFFFF" w:themeColor="background1"/>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681697"/>
      <w:docPartObj>
        <w:docPartGallery w:val="Page Numbers (Bottom of Page)"/>
        <w:docPartUnique/>
      </w:docPartObj>
    </w:sdtPr>
    <w:sdtEndPr>
      <w:rPr>
        <w:noProof/>
      </w:rPr>
    </w:sdtEndPr>
    <w:sdtContent>
      <w:p w:rsidR="00C50997" w:rsidRDefault="00C50997">
        <w:pPr>
          <w:pStyle w:val="Footer"/>
        </w:pPr>
        <w:r>
          <w:fldChar w:fldCharType="begin"/>
        </w:r>
        <w:r>
          <w:instrText xml:space="preserve"> PAGE   \* MERGEFORMAT </w:instrText>
        </w:r>
        <w:r>
          <w:fldChar w:fldCharType="separate"/>
        </w:r>
        <w:r w:rsidR="003A6A6C">
          <w:rPr>
            <w:noProof/>
          </w:rPr>
          <w:t>12</w:t>
        </w:r>
        <w:r>
          <w:rPr>
            <w:noProof/>
          </w:rPr>
          <w:fldChar w:fldCharType="end"/>
        </w:r>
      </w:p>
    </w:sdtContent>
  </w:sdt>
  <w:p w:rsidR="00C50997" w:rsidRPr="00C0576E" w:rsidRDefault="00C50997" w:rsidP="0077236F">
    <w:pPr>
      <w:pStyle w:val="Footer"/>
      <w:tabs>
        <w:tab w:val="clear" w:pos="9026"/>
        <w:tab w:val="right" w:pos="8080"/>
      </w:tabs>
      <w:ind w:right="1840"/>
      <w:rPr>
        <w:color w:val="FFFFFF" w:themeColor="background1"/>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474174"/>
      <w:docPartObj>
        <w:docPartGallery w:val="Page Numbers (Bottom of Page)"/>
        <w:docPartUnique/>
      </w:docPartObj>
    </w:sdtPr>
    <w:sdtEndPr>
      <w:rPr>
        <w:noProof/>
      </w:rPr>
    </w:sdtEndPr>
    <w:sdtContent>
      <w:p w:rsidR="00C50997" w:rsidRDefault="00C50997">
        <w:pPr>
          <w:pStyle w:val="Footer"/>
        </w:pPr>
        <w:r>
          <w:fldChar w:fldCharType="begin"/>
        </w:r>
        <w:r>
          <w:instrText xml:space="preserve"> PAGE   \* MERGEFORMAT </w:instrText>
        </w:r>
        <w:r>
          <w:fldChar w:fldCharType="separate"/>
        </w:r>
        <w:r w:rsidR="003A6A6C">
          <w:rPr>
            <w:noProof/>
          </w:rPr>
          <w:t>17</w:t>
        </w:r>
        <w:r>
          <w:rPr>
            <w:noProof/>
          </w:rPr>
          <w:fldChar w:fldCharType="end"/>
        </w:r>
      </w:p>
    </w:sdtContent>
  </w:sdt>
  <w:p w:rsidR="00C50997" w:rsidRDefault="00C50997" w:rsidP="0001384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25420"/>
      <w:docPartObj>
        <w:docPartGallery w:val="Page Numbers (Bottom of Page)"/>
        <w:docPartUnique/>
      </w:docPartObj>
    </w:sdtPr>
    <w:sdtEndPr>
      <w:rPr>
        <w:noProof/>
      </w:rPr>
    </w:sdtEndPr>
    <w:sdtContent>
      <w:p w:rsidR="00C50997" w:rsidRDefault="00C50997">
        <w:pPr>
          <w:pStyle w:val="Footer"/>
        </w:pPr>
        <w:r>
          <w:fldChar w:fldCharType="begin"/>
        </w:r>
        <w:r>
          <w:instrText xml:space="preserve"> PAGE   \* MERGEFORMAT </w:instrText>
        </w:r>
        <w:r>
          <w:fldChar w:fldCharType="separate"/>
        </w:r>
        <w:r w:rsidR="003A6A6C">
          <w:rPr>
            <w:noProof/>
          </w:rPr>
          <w:t>18</w:t>
        </w:r>
        <w:r>
          <w:rPr>
            <w:noProof/>
          </w:rPr>
          <w:fldChar w:fldCharType="end"/>
        </w:r>
      </w:p>
    </w:sdtContent>
  </w:sdt>
  <w:p w:rsidR="00C50997" w:rsidRDefault="00C50997" w:rsidP="001E06E4">
    <w:pPr>
      <w:pStyle w:val="Footer"/>
      <w:tabs>
        <w:tab w:val="clear" w:pos="9026"/>
        <w:tab w:val="right" w:pos="7230"/>
      </w:tabs>
      <w:ind w:right="184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97" w:rsidRDefault="00C50997" w:rsidP="0001384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496124"/>
      <w:docPartObj>
        <w:docPartGallery w:val="Page Numbers (Bottom of Page)"/>
        <w:docPartUnique/>
      </w:docPartObj>
    </w:sdtPr>
    <w:sdtEndPr>
      <w:rPr>
        <w:noProof/>
      </w:rPr>
    </w:sdtEndPr>
    <w:sdtContent>
      <w:p w:rsidR="00C50997" w:rsidRDefault="00C50997">
        <w:pPr>
          <w:pStyle w:val="Footer"/>
        </w:pPr>
        <w:r>
          <w:fldChar w:fldCharType="begin"/>
        </w:r>
        <w:r>
          <w:instrText xml:space="preserve"> PAGE   \* MERGEFORMAT </w:instrText>
        </w:r>
        <w:r>
          <w:fldChar w:fldCharType="separate"/>
        </w:r>
        <w:r w:rsidR="003A6A6C">
          <w:rPr>
            <w:noProof/>
          </w:rPr>
          <w:t>30</w:t>
        </w:r>
        <w:r>
          <w:rPr>
            <w:noProof/>
          </w:rPr>
          <w:fldChar w:fldCharType="end"/>
        </w:r>
      </w:p>
    </w:sdtContent>
  </w:sdt>
  <w:p w:rsidR="00C50997" w:rsidRDefault="00C50997" w:rsidP="00013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997" w:rsidRDefault="00C50997" w:rsidP="004A3F32">
      <w:pPr>
        <w:spacing w:after="0"/>
      </w:pPr>
      <w:r>
        <w:separator/>
      </w:r>
    </w:p>
  </w:footnote>
  <w:footnote w:type="continuationSeparator" w:id="0">
    <w:p w:rsidR="00C50997" w:rsidRDefault="00C50997" w:rsidP="004A3F32">
      <w:pPr>
        <w:spacing w:after="0"/>
      </w:pPr>
      <w:r>
        <w:continuationSeparator/>
      </w:r>
    </w:p>
  </w:footnote>
  <w:footnote w:type="continuationNotice" w:id="1">
    <w:p w:rsidR="00C50997" w:rsidRDefault="00C50997">
      <w:pPr>
        <w:spacing w:before="0" w:after="0"/>
      </w:pPr>
    </w:p>
  </w:footnote>
  <w:footnote w:id="2">
    <w:p w:rsidR="00C50997" w:rsidRDefault="00C50997">
      <w:pPr>
        <w:pStyle w:val="FootnoteText"/>
      </w:pPr>
      <w:r>
        <w:rPr>
          <w:rStyle w:val="FootnoteReference"/>
        </w:rPr>
        <w:footnoteRef/>
      </w:r>
      <w:r>
        <w:t xml:space="preserve"> It should be noted that these estimates are the most recent available of the likely number of SDA participants and annual spend on SDA by the NDIA. KPMG have not independently verified these numbers.</w:t>
      </w:r>
    </w:p>
  </w:footnote>
  <w:footnote w:id="3">
    <w:p w:rsidR="00C50997" w:rsidRDefault="00C50997" w:rsidP="004C1E30">
      <w:pPr>
        <w:pStyle w:val="FootnoteText"/>
      </w:pPr>
      <w:r>
        <w:rPr>
          <w:rStyle w:val="FootnoteReference"/>
        </w:rPr>
        <w:footnoteRef/>
      </w:r>
      <w:r>
        <w:t xml:space="preserve"> </w:t>
      </w:r>
      <w:r w:rsidRPr="00755ECC">
        <w:rPr>
          <w:rFonts w:cs="Arial"/>
          <w:szCs w:val="16"/>
        </w:rPr>
        <w:t>The NDIA assumed responsibility for the delivery of the NDIS in WA in July 2018. The NDIS will continue to roll out on a geographic basis and will be fully rolled out across Western Australia by 2020.</w:t>
      </w:r>
    </w:p>
  </w:footnote>
  <w:footnote w:id="4">
    <w:p w:rsidR="00C50997" w:rsidRDefault="00C50997" w:rsidP="003C40B6">
      <w:pPr>
        <w:pStyle w:val="FootnoteText"/>
      </w:pPr>
      <w:r>
        <w:rPr>
          <w:rStyle w:val="FootnoteReference"/>
        </w:rPr>
        <w:footnoteRef/>
      </w:r>
      <w:r>
        <w:t xml:space="preserve"> This does not include participants who have yet to transition into the Scheme.  It is noted that the participants who have already transitioned into the Scheme may not be representative of participants at full Scheme.</w:t>
      </w:r>
    </w:p>
  </w:footnote>
  <w:footnote w:id="5">
    <w:p w:rsidR="00C50997" w:rsidRDefault="00C50997" w:rsidP="00CA03B1">
      <w:pPr>
        <w:pStyle w:val="FootnoteText"/>
      </w:pPr>
      <w:r>
        <w:rPr>
          <w:rStyle w:val="FootnoteReference"/>
        </w:rPr>
        <w:footnoteRef/>
      </w:r>
      <w:r>
        <w:t xml:space="preserve"> It is noted that subsequent to the Review being completed, the NDIA released some SDA data to the market.</w:t>
      </w:r>
    </w:p>
  </w:footnote>
  <w:footnote w:id="6">
    <w:p w:rsidR="00C50997" w:rsidRDefault="00C50997" w:rsidP="00CA03B1">
      <w:pPr>
        <w:pStyle w:val="FootnoteText"/>
      </w:pPr>
      <w:r>
        <w:rPr>
          <w:rStyle w:val="FootnoteReference"/>
        </w:rPr>
        <w:footnoteRef/>
      </w:r>
      <w:r>
        <w:t xml:space="preserve"> It is noted that subsequent to the Review being completed, the NDIA released some SDA data to the market.</w:t>
      </w:r>
    </w:p>
  </w:footnote>
  <w:footnote w:id="7">
    <w:p w:rsidR="00C50997" w:rsidRDefault="00C50997" w:rsidP="00D16C54">
      <w:pPr>
        <w:pStyle w:val="FootnoteText"/>
      </w:pPr>
      <w:r>
        <w:rPr>
          <w:rStyle w:val="FootnoteReference"/>
        </w:rPr>
        <w:footnoteRef/>
      </w:r>
      <w:r>
        <w:t xml:space="preserve"> </w:t>
      </w:r>
      <w:r w:rsidRPr="00117F6D">
        <w:t>https://www.coag.gov.au/sites/default/files/communique/NDIS-Principles-to-Determine-Responsibilities-NDIS-and-Other-Service.pdf</w:t>
      </w:r>
    </w:p>
  </w:footnote>
  <w:footnote w:id="8">
    <w:p w:rsidR="00C50997" w:rsidRDefault="00C50997" w:rsidP="00CA5826">
      <w:pPr>
        <w:pStyle w:val="FootnoteText"/>
      </w:pPr>
      <w:r>
        <w:rPr>
          <w:rStyle w:val="FootnoteReference"/>
        </w:rPr>
        <w:footnoteRef/>
      </w:r>
      <w:r>
        <w:t xml:space="preserve"> It should be noted that these are still the most recent estimations of the likely number of SDA participants and annual spend on SDA by the NDIA. KPMG have not independently verified these numbers. </w:t>
      </w:r>
    </w:p>
  </w:footnote>
  <w:footnote w:id="9">
    <w:p w:rsidR="00C50997" w:rsidRPr="004E0F95" w:rsidRDefault="00C50997">
      <w:pPr>
        <w:pStyle w:val="FootnoteText"/>
        <w:rPr>
          <w:szCs w:val="16"/>
        </w:rPr>
      </w:pPr>
      <w:r w:rsidRPr="00502D19">
        <w:rPr>
          <w:rStyle w:val="FootnoteReference"/>
          <w:szCs w:val="16"/>
        </w:rPr>
        <w:footnoteRef/>
      </w:r>
      <w:r w:rsidRPr="00502D19">
        <w:rPr>
          <w:szCs w:val="16"/>
        </w:rPr>
        <w:t xml:space="preserve"> </w:t>
      </w:r>
      <w:r w:rsidRPr="00F06A5B">
        <w:rPr>
          <w:rFonts w:cs="Arial"/>
          <w:szCs w:val="16"/>
        </w:rPr>
        <w:t>The NDIS commenced rolling out in trial sites in 2013, with jurisdictions transitioning to full Scheme from July 2016. Full scheme transition will be complete in all states and territories except WA by July 2019.</w:t>
      </w:r>
    </w:p>
  </w:footnote>
  <w:footnote w:id="10">
    <w:p w:rsidR="00C50997" w:rsidRPr="00F06A5B" w:rsidRDefault="00C50997">
      <w:pPr>
        <w:pStyle w:val="FootnoteText"/>
        <w:rPr>
          <w:sz w:val="18"/>
          <w:szCs w:val="18"/>
        </w:rPr>
      </w:pPr>
      <w:r w:rsidRPr="00F06A5B">
        <w:rPr>
          <w:rStyle w:val="FootnoteReference"/>
          <w:sz w:val="18"/>
          <w:szCs w:val="18"/>
        </w:rPr>
        <w:footnoteRef/>
      </w:r>
      <w:r w:rsidRPr="00F06A5B">
        <w:rPr>
          <w:sz w:val="18"/>
          <w:szCs w:val="18"/>
        </w:rPr>
        <w:t xml:space="preserve"> An additional roundtable was held in both Sydney (1) and Melbourne (1)</w:t>
      </w:r>
    </w:p>
  </w:footnote>
  <w:footnote w:id="11">
    <w:p w:rsidR="00C50997" w:rsidRDefault="00C50997" w:rsidP="000C5747">
      <w:pPr>
        <w:pStyle w:val="FootnoteText"/>
      </w:pPr>
      <w:r w:rsidRPr="00FB5131">
        <w:rPr>
          <w:rStyle w:val="FootnoteReference"/>
        </w:rPr>
        <w:footnoteRef/>
      </w:r>
      <w:r w:rsidRPr="00FB5131">
        <w:t xml:space="preserve"> Financial Times. (2018). </w:t>
      </w:r>
      <w:r w:rsidRPr="00FB5131">
        <w:rPr>
          <w:i/>
        </w:rPr>
        <w:t>Market Equilibrium</w:t>
      </w:r>
      <w:r w:rsidRPr="00FB5131">
        <w:t>. Sourced from: (http://www.economicsonline.co.uk/Competitive_markets/Market_equilibrium.html</w:t>
      </w:r>
    </w:p>
  </w:footnote>
  <w:footnote w:id="12">
    <w:p w:rsidR="00C50997" w:rsidRDefault="00C50997" w:rsidP="00A1325C">
      <w:pPr>
        <w:pStyle w:val="FootnoteText"/>
      </w:pPr>
      <w:r>
        <w:rPr>
          <w:rStyle w:val="FootnoteReference"/>
        </w:rPr>
        <w:footnoteRef/>
      </w:r>
      <w:r>
        <w:t xml:space="preserve"> These documents were accessed on 28 August 2018</w:t>
      </w:r>
    </w:p>
  </w:footnote>
  <w:footnote w:id="13">
    <w:p w:rsidR="00C50997" w:rsidRDefault="00C50997">
      <w:pPr>
        <w:pStyle w:val="FootnoteText"/>
      </w:pPr>
      <w:r>
        <w:rPr>
          <w:rStyle w:val="FootnoteReference"/>
        </w:rPr>
        <w:footnoteRef/>
      </w:r>
      <w:r>
        <w:t xml:space="preserve"> NDIA data as at end September 2018.  </w:t>
      </w:r>
    </w:p>
  </w:footnote>
  <w:footnote w:id="14">
    <w:p w:rsidR="00C50997" w:rsidRPr="00FF2813" w:rsidRDefault="00C50997" w:rsidP="00681FB4">
      <w:pPr>
        <w:pStyle w:val="FootnoteText"/>
        <w:rPr>
          <w:szCs w:val="16"/>
        </w:rPr>
      </w:pPr>
      <w:r w:rsidRPr="00FF2813">
        <w:rPr>
          <w:rStyle w:val="FootnoteReference"/>
          <w:szCs w:val="16"/>
        </w:rPr>
        <w:footnoteRef/>
      </w:r>
      <w:r w:rsidRPr="00FF2813">
        <w:rPr>
          <w:szCs w:val="16"/>
        </w:rPr>
        <w:t xml:space="preserve"> Level of function is based on the NDIA’s </w:t>
      </w:r>
      <w:r>
        <w:rPr>
          <w:szCs w:val="16"/>
        </w:rPr>
        <w:t>classification.</w:t>
      </w:r>
      <w:r w:rsidRPr="00FF2813">
        <w:rPr>
          <w:szCs w:val="16"/>
        </w:rPr>
        <w:t xml:space="preserve"> </w:t>
      </w:r>
    </w:p>
  </w:footnote>
  <w:footnote w:id="15">
    <w:p w:rsidR="00C50997" w:rsidRDefault="00C50997">
      <w:pPr>
        <w:pStyle w:val="FootnoteText"/>
      </w:pPr>
      <w:r>
        <w:rPr>
          <w:rStyle w:val="FootnoteReference"/>
        </w:rPr>
        <w:footnoteRef/>
      </w:r>
      <w:r>
        <w:t xml:space="preserve"> This does not include participants who have yet to transition into the Scheme.  It is noted that the participants who have already transitioned into the Scheme may not be representative of participants at full Scheme.</w:t>
      </w:r>
    </w:p>
  </w:footnote>
  <w:footnote w:id="16">
    <w:p w:rsidR="00C50997" w:rsidRDefault="00C50997">
      <w:pPr>
        <w:pStyle w:val="FootnoteText"/>
      </w:pPr>
      <w:r>
        <w:rPr>
          <w:rStyle w:val="FootnoteReference"/>
        </w:rPr>
        <w:footnoteRef/>
      </w:r>
      <w:r>
        <w:t xml:space="preserve"> NDIA data as at end September 2018.  </w:t>
      </w:r>
    </w:p>
  </w:footnote>
  <w:footnote w:id="17">
    <w:p w:rsidR="00C50997" w:rsidRDefault="00C50997" w:rsidP="00CB0B53">
      <w:pPr>
        <w:pStyle w:val="BodyText1"/>
      </w:pPr>
      <w:r w:rsidRPr="004B6163">
        <w:rPr>
          <w:rStyle w:val="FootnoteReference"/>
          <w:sz w:val="16"/>
        </w:rPr>
        <w:footnoteRef/>
      </w:r>
      <w:r w:rsidRPr="004B6163">
        <w:rPr>
          <w:sz w:val="16"/>
        </w:rPr>
        <w:t xml:space="preserve"> This data set does not necessarily reflect total SDA supply or emerging supply: there are a range of existing properties that are not yet registered with the NDIA, and the data set does not contain any SDA dwellings in development.  </w:t>
      </w:r>
    </w:p>
  </w:footnote>
  <w:footnote w:id="18">
    <w:p w:rsidR="00C50997" w:rsidRDefault="00C50997" w:rsidP="00CB0B53">
      <w:pPr>
        <w:pStyle w:val="FootnoteText"/>
      </w:pPr>
      <w:r w:rsidRPr="00FF2813">
        <w:rPr>
          <w:rStyle w:val="FootnoteReference"/>
          <w:szCs w:val="16"/>
        </w:rPr>
        <w:footnoteRef/>
      </w:r>
      <w:r w:rsidRPr="00FF2813">
        <w:rPr>
          <w:szCs w:val="16"/>
        </w:rPr>
        <w:t xml:space="preserve"> New build includes existing stock that has been refurbished to meet New Build standards (new build – refurbishment).</w:t>
      </w:r>
      <w:r>
        <w:rPr>
          <w:szCs w:val="16"/>
        </w:rPr>
        <w:t xml:space="preserve">   Number of places is based on the maximum number of residents for each dwelling.</w:t>
      </w:r>
    </w:p>
  </w:footnote>
  <w:footnote w:id="19">
    <w:p w:rsidR="00C50997" w:rsidRPr="00A1325C" w:rsidRDefault="00C50997" w:rsidP="00CB0B53">
      <w:pPr>
        <w:pStyle w:val="FootnoteText"/>
        <w:rPr>
          <w:szCs w:val="16"/>
        </w:rPr>
      </w:pPr>
      <w:r w:rsidRPr="00A1325C">
        <w:rPr>
          <w:rStyle w:val="FootnoteReference"/>
          <w:szCs w:val="16"/>
        </w:rPr>
        <w:footnoteRef/>
      </w:r>
      <w:r w:rsidRPr="00A1325C">
        <w:rPr>
          <w:szCs w:val="16"/>
        </w:rPr>
        <w:t xml:space="preserve"> It should be noted that the larger number of new dwellings in NSW is likely due to the fact that NSW was one of the first jurisdictions to fully transition to the NDIS.</w:t>
      </w:r>
    </w:p>
  </w:footnote>
  <w:footnote w:id="20">
    <w:p w:rsidR="00C50997" w:rsidRDefault="00C50997" w:rsidP="00F06A5B">
      <w:pPr>
        <w:pStyle w:val="BodyText"/>
        <w:spacing w:before="40" w:after="40"/>
      </w:pPr>
      <w:r w:rsidRPr="00FF2813">
        <w:rPr>
          <w:rStyle w:val="FootnoteReference"/>
          <w:sz w:val="16"/>
        </w:rPr>
        <w:footnoteRef/>
      </w:r>
      <w:r w:rsidRPr="00FF2813">
        <w:rPr>
          <w:sz w:val="16"/>
        </w:rPr>
        <w:t xml:space="preserve"> </w:t>
      </w:r>
      <w:r w:rsidRPr="00FF2813">
        <w:rPr>
          <w:sz w:val="16"/>
          <w:szCs w:val="16"/>
        </w:rPr>
        <w:t>New build includes existing stock that has been refurbished to meet New Build standards (new build – refurbishment).</w:t>
      </w:r>
      <w:r>
        <w:rPr>
          <w:sz w:val="16"/>
          <w:szCs w:val="16"/>
        </w:rPr>
        <w:t xml:space="preserve"> </w:t>
      </w:r>
    </w:p>
  </w:footnote>
  <w:footnote w:id="21">
    <w:p w:rsidR="00C50997" w:rsidRDefault="00C50997" w:rsidP="00CB0B53">
      <w:pPr>
        <w:pStyle w:val="FootnoteText"/>
      </w:pPr>
      <w:r w:rsidRPr="00FF2813">
        <w:rPr>
          <w:rStyle w:val="FootnoteReference"/>
        </w:rPr>
        <w:footnoteRef/>
      </w:r>
      <w:r>
        <w:t xml:space="preserve"> </w:t>
      </w:r>
      <w:r w:rsidRPr="00FF2813">
        <w:rPr>
          <w:szCs w:val="16"/>
        </w:rPr>
        <w:t>New build includes existing stock that has been refurbished to meet New Build standards (new build – refurbishment).</w:t>
      </w:r>
    </w:p>
  </w:footnote>
  <w:footnote w:id="22">
    <w:p w:rsidR="00C50997" w:rsidRDefault="00C50997">
      <w:pPr>
        <w:pStyle w:val="FootnoteText"/>
      </w:pPr>
      <w:r>
        <w:rPr>
          <w:rStyle w:val="FootnoteReference"/>
        </w:rPr>
        <w:footnoteRef/>
      </w:r>
      <w:r>
        <w:t xml:space="preserve"> It is noted that subsequent to the Review being completed, the NDIA released some SDA data to the market.</w:t>
      </w:r>
    </w:p>
  </w:footnote>
  <w:footnote w:id="23">
    <w:p w:rsidR="00C50997" w:rsidRDefault="00C50997" w:rsidP="00CA03B1">
      <w:pPr>
        <w:pStyle w:val="FootnoteText"/>
      </w:pPr>
      <w:r>
        <w:rPr>
          <w:rStyle w:val="FootnoteReference"/>
        </w:rPr>
        <w:footnoteRef/>
      </w:r>
      <w:r>
        <w:t xml:space="preserve"> It is noted that subsequent to the Review being completed, the NDIA released some SDA data to the market.</w:t>
      </w:r>
    </w:p>
  </w:footnote>
  <w:footnote w:id="24">
    <w:p w:rsidR="00C50997" w:rsidRPr="00A1325C" w:rsidRDefault="00C50997">
      <w:pPr>
        <w:pStyle w:val="FootnoteText"/>
        <w:rPr>
          <w:szCs w:val="16"/>
        </w:rPr>
      </w:pPr>
      <w:r w:rsidRPr="00090A66">
        <w:rPr>
          <w:rStyle w:val="FootnoteReference"/>
          <w:sz w:val="18"/>
        </w:rPr>
        <w:footnoteRef/>
      </w:r>
      <w:r w:rsidRPr="00090A66">
        <w:rPr>
          <w:sz w:val="18"/>
        </w:rPr>
        <w:t xml:space="preserve"> </w:t>
      </w:r>
      <w:r w:rsidRPr="00A1325C">
        <w:rPr>
          <w:szCs w:val="16"/>
        </w:rPr>
        <w:t xml:space="preserve">Riverina and Sydney </w:t>
      </w:r>
      <w:r>
        <w:rPr>
          <w:szCs w:val="16"/>
        </w:rPr>
        <w:t>(</w:t>
      </w:r>
      <w:r w:rsidRPr="00A1325C">
        <w:rPr>
          <w:szCs w:val="16"/>
        </w:rPr>
        <w:t>North Sydney and Hornsby</w:t>
      </w:r>
      <w:r>
        <w:rPr>
          <w:szCs w:val="16"/>
        </w:rPr>
        <w:t>)</w:t>
      </w:r>
      <w:r w:rsidRPr="00A1325C">
        <w:rPr>
          <w:szCs w:val="16"/>
        </w:rPr>
        <w:t xml:space="preserve"> median prices are based on the median land value for residential-zoned properties for each listed NSW District, as provided in the Register of Land Values held by the Valuer General of NSW. To break each SA4 down into its smaller components, we have used Local Government Areas, which the Australian Bureau of Statistics has indicated broadly map to SA3 areas (the next statistical area below SA4). Data was extracted from </w:t>
      </w:r>
      <w:hyperlink r:id="rId1" w:history="1">
        <w:r>
          <w:rPr>
            <w:rStyle w:val="Hyperlink"/>
            <w:sz w:val="16"/>
            <w:szCs w:val="16"/>
          </w:rPr>
          <w:t>Click here for reference</w:t>
        </w:r>
      </w:hyperlink>
      <w:r w:rsidRPr="00A1325C">
        <w:rPr>
          <w:szCs w:val="16"/>
        </w:rPr>
        <w:t>, ’01 Jun 2018’ Accessed on 10 July 2018.</w:t>
      </w:r>
    </w:p>
  </w:footnote>
  <w:footnote w:id="25">
    <w:p w:rsidR="00C50997" w:rsidRDefault="00C50997">
      <w:pPr>
        <w:pStyle w:val="FootnoteText"/>
      </w:pPr>
      <w:r w:rsidRPr="00A1325C">
        <w:rPr>
          <w:rStyle w:val="FootnoteReference"/>
          <w:szCs w:val="16"/>
        </w:rPr>
        <w:footnoteRef/>
      </w:r>
      <w:r w:rsidRPr="00A1325C">
        <w:rPr>
          <w:szCs w:val="16"/>
        </w:rPr>
        <w:t xml:space="preserve"> Melbourne – South East median prices are based on the median house price for 2017 for particular Local Government Areas. To break the SA4 region down into smaller parts for comparison, we have used the Local</w:t>
      </w:r>
      <w:r>
        <w:rPr>
          <w:sz w:val="18"/>
        </w:rPr>
        <w:t xml:space="preserve"> </w:t>
      </w:r>
      <w:r w:rsidRPr="00A1325C">
        <w:rPr>
          <w:szCs w:val="16"/>
        </w:rPr>
        <w:t>Government Areas that correspond to the SA3 areas that make up Melbourne – South East (SA3 is the next statistical area below SA3),. The Australia Bureau of Statistics has indicated that SA3 areas broadly map</w:t>
      </w:r>
      <w:r>
        <w:rPr>
          <w:szCs w:val="16"/>
        </w:rPr>
        <w:t xml:space="preserve"> to Local Government Areas. Data</w:t>
      </w:r>
      <w:r w:rsidRPr="00090A66">
        <w:rPr>
          <w:sz w:val="18"/>
        </w:rPr>
        <w:t xml:space="preserve"> </w:t>
      </w:r>
      <w:r w:rsidRPr="00A1325C">
        <w:rPr>
          <w:szCs w:val="16"/>
        </w:rPr>
        <w:t xml:space="preserve">was extracted from </w:t>
      </w:r>
      <w:hyperlink r:id="rId2" w:history="1">
        <w:r>
          <w:rPr>
            <w:rStyle w:val="Hyperlink"/>
            <w:sz w:val="16"/>
            <w:szCs w:val="16"/>
          </w:rPr>
          <w:t>Click here for reference</w:t>
        </w:r>
      </w:hyperlink>
      <w:r w:rsidRPr="00A1325C">
        <w:rPr>
          <w:szCs w:val="16"/>
        </w:rPr>
        <w:t>, ‘Statistics’, Accessed on 10 July 2018</w:t>
      </w:r>
    </w:p>
  </w:footnote>
  <w:footnote w:id="26">
    <w:p w:rsidR="00C50997" w:rsidRDefault="00C50997" w:rsidP="00F06A5B">
      <w:pPr>
        <w:pStyle w:val="BodyText"/>
        <w:spacing w:before="40" w:after="40"/>
      </w:pPr>
      <w:r w:rsidRPr="00D159FF">
        <w:rPr>
          <w:rStyle w:val="FootnoteReference"/>
          <w:sz w:val="16"/>
        </w:rPr>
        <w:footnoteRef/>
      </w:r>
      <w:r>
        <w:t xml:space="preserve"> </w:t>
      </w:r>
      <w:r w:rsidRPr="00FF2813">
        <w:rPr>
          <w:sz w:val="16"/>
          <w:szCs w:val="16"/>
        </w:rPr>
        <w:t>New build includes existing stock that has been refurbished to meet New Build standards (new build – refurbishment).</w:t>
      </w:r>
      <w:r>
        <w:rPr>
          <w:sz w:val="16"/>
          <w:szCs w:val="16"/>
        </w:rPr>
        <w:t xml:space="preserve"> </w:t>
      </w:r>
    </w:p>
  </w:footnote>
  <w:footnote w:id="27">
    <w:p w:rsidR="00C50997" w:rsidRDefault="00C50997" w:rsidP="000902A5">
      <w:pPr>
        <w:pStyle w:val="FootnoteText"/>
      </w:pPr>
      <w:r w:rsidRPr="00D159FF">
        <w:rPr>
          <w:rStyle w:val="FootnoteReference"/>
        </w:rPr>
        <w:footnoteRef/>
      </w:r>
      <w:r>
        <w:t xml:space="preserve"> </w:t>
      </w:r>
      <w:r w:rsidRPr="00FF2813">
        <w:rPr>
          <w:szCs w:val="16"/>
        </w:rPr>
        <w:t>New build includes existing stock that has been refurbished to meet New Build standards (new build – refurbishment).</w:t>
      </w:r>
      <w:r>
        <w:rPr>
          <w:szCs w:val="16"/>
        </w:rPr>
        <w:t xml:space="preserve"> </w:t>
      </w:r>
    </w:p>
  </w:footnote>
  <w:footnote w:id="28">
    <w:p w:rsidR="00C50997" w:rsidRDefault="00C50997">
      <w:pPr>
        <w:pStyle w:val="FootnoteText"/>
      </w:pPr>
      <w:r>
        <w:rPr>
          <w:rStyle w:val="FootnoteReference"/>
        </w:rPr>
        <w:footnoteRef/>
      </w:r>
      <w:r>
        <w:t xml:space="preserve"> Arguably the risks associated with SDA investment have been reflected in current prices providing higher rates of return.</w:t>
      </w:r>
    </w:p>
  </w:footnote>
  <w:footnote w:id="29">
    <w:p w:rsidR="00C50997" w:rsidRDefault="00C50997" w:rsidP="00570FBF">
      <w:pPr>
        <w:pStyle w:val="FootnoteText"/>
      </w:pPr>
      <w:r>
        <w:rPr>
          <w:rStyle w:val="FootnoteReference"/>
        </w:rPr>
        <w:footnoteRef/>
      </w:r>
      <w:r>
        <w:t xml:space="preserve"> It is noted that subsequent to the Review being completed, the NDIA released some SDA data to the market.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171" w:rsidRDefault="002C317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97" w:rsidRPr="000C5DF4" w:rsidRDefault="00C50997" w:rsidP="000C5DF4">
    <w:pPr>
      <w:pStyle w:val="Header"/>
      <w:jc w:val="right"/>
      <w:rPr>
        <w:sz w:val="14"/>
        <w:szCs w:val="14"/>
      </w:rPr>
    </w:pPr>
    <w:r w:rsidRPr="000C5DF4">
      <w:rPr>
        <w:color w:val="0091DA" w:themeColor="accent2"/>
        <w:sz w:val="14"/>
        <w:szCs w:val="14"/>
        <w:lang w:val="en-US"/>
      </w:rPr>
      <w:t xml:space="preserve">SPECIALIST DISABILITY ACCOMMODATION </w:t>
    </w:r>
    <w:r w:rsidRPr="000C5DF4">
      <w:rPr>
        <w:sz w:val="14"/>
        <w:szCs w:val="14"/>
        <w:lang w:val="en-US"/>
      </w:rPr>
      <w:br/>
      <w:t xml:space="preserve">Pricing and Payments Framework Review </w:t>
    </w:r>
  </w:p>
  <w:p w:rsidR="00C50997" w:rsidRDefault="00C5099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97" w:rsidRPr="000C5DF4" w:rsidRDefault="00C50997" w:rsidP="000C5DF4">
    <w:pPr>
      <w:pStyle w:val="Header"/>
      <w:jc w:val="right"/>
      <w:rPr>
        <w:sz w:val="14"/>
        <w:szCs w:val="14"/>
      </w:rPr>
    </w:pPr>
    <w:r w:rsidRPr="000C5DF4">
      <w:rPr>
        <w:color w:val="0091DA" w:themeColor="accent2"/>
        <w:sz w:val="14"/>
        <w:szCs w:val="14"/>
        <w:lang w:val="en-US"/>
      </w:rPr>
      <w:t xml:space="preserve">SPECIALIST DISABILITY ACCOMMODATION </w:t>
    </w:r>
    <w:r w:rsidRPr="000C5DF4">
      <w:rPr>
        <w:sz w:val="14"/>
        <w:szCs w:val="14"/>
        <w:lang w:val="en-US"/>
      </w:rPr>
      <w:br/>
      <w:t xml:space="preserve">Pricing and Payments Framework Review </w:t>
    </w:r>
  </w:p>
  <w:p w:rsidR="00C50997" w:rsidRDefault="00C5099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97" w:rsidRPr="000C5DF4" w:rsidRDefault="00C50997" w:rsidP="000C5DF4">
    <w:pPr>
      <w:pStyle w:val="Header"/>
      <w:jc w:val="right"/>
      <w:rPr>
        <w:sz w:val="14"/>
        <w:szCs w:val="14"/>
      </w:rPr>
    </w:pPr>
    <w:r w:rsidRPr="000C5DF4">
      <w:rPr>
        <w:color w:val="0091DA" w:themeColor="accent2"/>
        <w:sz w:val="14"/>
        <w:szCs w:val="14"/>
        <w:lang w:val="en-US"/>
      </w:rPr>
      <w:t xml:space="preserve">SPECIALIST DISABILITY ACCOMMODATION </w:t>
    </w:r>
    <w:r w:rsidRPr="000C5DF4">
      <w:rPr>
        <w:sz w:val="14"/>
        <w:szCs w:val="14"/>
        <w:lang w:val="en-US"/>
      </w:rPr>
      <w:br/>
      <w:t xml:space="preserve">Pricing and Payments Framework Review </w:t>
    </w:r>
  </w:p>
  <w:p w:rsidR="00C50997" w:rsidRDefault="00C5099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97" w:rsidRPr="000C5DF4" w:rsidRDefault="00C50997" w:rsidP="000C5DF4">
    <w:pPr>
      <w:pStyle w:val="Header"/>
      <w:jc w:val="right"/>
      <w:rPr>
        <w:sz w:val="14"/>
        <w:szCs w:val="14"/>
      </w:rPr>
    </w:pPr>
    <w:r w:rsidRPr="000C5DF4">
      <w:rPr>
        <w:color w:val="0091DA" w:themeColor="accent2"/>
        <w:sz w:val="14"/>
        <w:szCs w:val="14"/>
        <w:lang w:val="en-US"/>
      </w:rPr>
      <w:t xml:space="preserve">SPECIALIST DISABILITY ACCOMMODATION </w:t>
    </w:r>
    <w:r w:rsidRPr="000C5DF4">
      <w:rPr>
        <w:sz w:val="14"/>
        <w:szCs w:val="14"/>
        <w:lang w:val="en-US"/>
      </w:rPr>
      <w:br/>
      <w:t xml:space="preserve">Pricing and Payments Framework Review </w:t>
    </w:r>
  </w:p>
  <w:p w:rsidR="00C50997" w:rsidRDefault="00C5099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97" w:rsidRPr="000C5DF4" w:rsidRDefault="00C50997" w:rsidP="000C5DF4">
    <w:pPr>
      <w:pStyle w:val="Header"/>
      <w:jc w:val="right"/>
      <w:rPr>
        <w:sz w:val="14"/>
        <w:szCs w:val="14"/>
      </w:rPr>
    </w:pPr>
    <w:r w:rsidRPr="000C5DF4">
      <w:rPr>
        <w:color w:val="0091DA" w:themeColor="accent2"/>
        <w:sz w:val="14"/>
        <w:szCs w:val="14"/>
        <w:lang w:val="en-US"/>
      </w:rPr>
      <w:t xml:space="preserve">SPECIALIST DISABILITY ACCOMMODATION </w:t>
    </w:r>
    <w:r w:rsidRPr="000C5DF4">
      <w:rPr>
        <w:sz w:val="14"/>
        <w:szCs w:val="14"/>
        <w:lang w:val="en-US"/>
      </w:rPr>
      <w:br/>
      <w:t xml:space="preserve">Pricing and Payments Framework Review </w:t>
    </w:r>
  </w:p>
  <w:p w:rsidR="00C50997" w:rsidRDefault="00C5099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97" w:rsidRPr="000C5DF4" w:rsidRDefault="00C50997" w:rsidP="00EA3591">
    <w:pPr>
      <w:pStyle w:val="Header"/>
      <w:jc w:val="right"/>
      <w:rPr>
        <w:sz w:val="14"/>
        <w:szCs w:val="14"/>
      </w:rPr>
    </w:pPr>
    <w:r w:rsidRPr="000C5DF4">
      <w:rPr>
        <w:color w:val="0091DA" w:themeColor="accent2"/>
        <w:sz w:val="14"/>
        <w:szCs w:val="14"/>
        <w:lang w:val="en-US"/>
      </w:rPr>
      <w:t xml:space="preserve">SPECIALIST DISABILITY ACCOMMODATION </w:t>
    </w:r>
    <w:r w:rsidRPr="000C5DF4">
      <w:rPr>
        <w:sz w:val="14"/>
        <w:szCs w:val="14"/>
        <w:lang w:val="en-US"/>
      </w:rPr>
      <w:br/>
      <w:t xml:space="preserve">Pricing and Payments Framework Review </w:t>
    </w:r>
  </w:p>
  <w:p w:rsidR="00C50997" w:rsidRDefault="00C50997" w:rsidP="00EA3591">
    <w:pPr>
      <w:pStyle w:val="Header"/>
      <w:jc w:val="righ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97" w:rsidRPr="000C5DF4" w:rsidRDefault="00C50997" w:rsidP="00EA3591">
    <w:pPr>
      <w:pStyle w:val="Header"/>
      <w:jc w:val="right"/>
      <w:rPr>
        <w:sz w:val="14"/>
        <w:szCs w:val="14"/>
      </w:rPr>
    </w:pPr>
    <w:r w:rsidRPr="000C5DF4">
      <w:rPr>
        <w:color w:val="0091DA" w:themeColor="accent2"/>
        <w:sz w:val="14"/>
        <w:szCs w:val="14"/>
        <w:lang w:val="en-US"/>
      </w:rPr>
      <w:t xml:space="preserve">SPECIALIST DISABILITY ACCOMMODATION </w:t>
    </w:r>
    <w:r w:rsidRPr="000C5DF4">
      <w:rPr>
        <w:sz w:val="14"/>
        <w:szCs w:val="14"/>
        <w:lang w:val="en-US"/>
      </w:rPr>
      <w:br/>
      <w:t xml:space="preserve">Pricing and Payments Framework Review </w:t>
    </w:r>
  </w:p>
  <w:p w:rsidR="00C50997" w:rsidRDefault="00C50997" w:rsidP="00EA3591">
    <w:pPr>
      <w:pStyle w:val="Header"/>
      <w:jc w:val="righ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97" w:rsidRPr="000C5DF4" w:rsidRDefault="00C50997" w:rsidP="00EA3591">
    <w:pPr>
      <w:pStyle w:val="Header"/>
      <w:jc w:val="right"/>
      <w:rPr>
        <w:sz w:val="14"/>
        <w:szCs w:val="14"/>
      </w:rPr>
    </w:pPr>
    <w:r w:rsidRPr="000C5DF4">
      <w:rPr>
        <w:color w:val="0091DA" w:themeColor="accent2"/>
        <w:sz w:val="14"/>
        <w:szCs w:val="14"/>
        <w:lang w:val="en-US"/>
      </w:rPr>
      <w:t xml:space="preserve">SPECIALIST DISABILITY ACCOMMODATION </w:t>
    </w:r>
    <w:r w:rsidRPr="000C5DF4">
      <w:rPr>
        <w:sz w:val="14"/>
        <w:szCs w:val="14"/>
        <w:lang w:val="en-US"/>
      </w:rPr>
      <w:br/>
      <w:t xml:space="preserve">Pricing and Payments Framework Review </w:t>
    </w:r>
  </w:p>
  <w:p w:rsidR="00C50997" w:rsidRDefault="00C50997" w:rsidP="00EA3591">
    <w:pPr>
      <w:pStyle w:val="Header"/>
      <w:jc w:val="righ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97" w:rsidRPr="000C5DF4" w:rsidRDefault="00C50997" w:rsidP="000C5DF4">
    <w:pPr>
      <w:pStyle w:val="Header"/>
      <w:jc w:val="right"/>
      <w:rPr>
        <w:sz w:val="14"/>
        <w:szCs w:val="14"/>
      </w:rPr>
    </w:pPr>
    <w:r w:rsidRPr="000C5DF4">
      <w:rPr>
        <w:color w:val="0091DA" w:themeColor="accent2"/>
        <w:sz w:val="14"/>
        <w:szCs w:val="14"/>
        <w:lang w:val="en-US"/>
      </w:rPr>
      <w:t xml:space="preserve">SPECIALIST DISABILITY ACCOMMODATION </w:t>
    </w:r>
    <w:r w:rsidRPr="000C5DF4">
      <w:rPr>
        <w:sz w:val="14"/>
        <w:szCs w:val="14"/>
        <w:lang w:val="en-US"/>
      </w:rPr>
      <w:br/>
      <w:t xml:space="preserve">Pricing and Payments Framework Review </w:t>
    </w:r>
  </w:p>
  <w:p w:rsidR="00C50997" w:rsidRDefault="00C5099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97" w:rsidRPr="000C5DF4" w:rsidRDefault="00C50997" w:rsidP="000C5DF4">
    <w:pPr>
      <w:pStyle w:val="Header"/>
      <w:jc w:val="right"/>
      <w:rPr>
        <w:sz w:val="14"/>
        <w:szCs w:val="14"/>
      </w:rPr>
    </w:pPr>
    <w:r w:rsidRPr="000C5DF4">
      <w:rPr>
        <w:color w:val="0091DA" w:themeColor="accent2"/>
        <w:sz w:val="14"/>
        <w:szCs w:val="14"/>
        <w:lang w:val="en-US"/>
      </w:rPr>
      <w:t xml:space="preserve">SPECIALIST DISABILITY ACCOMMODATION </w:t>
    </w:r>
    <w:r w:rsidRPr="000C5DF4">
      <w:rPr>
        <w:sz w:val="14"/>
        <w:szCs w:val="14"/>
        <w:lang w:val="en-US"/>
      </w:rPr>
      <w:br/>
      <w:t xml:space="preserve">Pricing and Payments Framework Review </w:t>
    </w:r>
  </w:p>
  <w:p w:rsidR="00C50997" w:rsidRDefault="00C509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97" w:rsidRDefault="00C50997" w:rsidP="00103F0E">
    <w:pPr>
      <w:pStyle w:val="Header"/>
      <w:ind w:left="1134"/>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97" w:rsidRPr="000C5DF4" w:rsidRDefault="00C50997" w:rsidP="000C5DF4">
    <w:pPr>
      <w:pStyle w:val="Header"/>
      <w:jc w:val="right"/>
      <w:rPr>
        <w:sz w:val="14"/>
        <w:szCs w:val="14"/>
      </w:rPr>
    </w:pPr>
    <w:r w:rsidRPr="000C5DF4">
      <w:rPr>
        <w:color w:val="0091DA" w:themeColor="accent2"/>
        <w:sz w:val="14"/>
        <w:szCs w:val="14"/>
        <w:lang w:val="en-US"/>
      </w:rPr>
      <w:t xml:space="preserve">SPECIALIST DISABILITY ACCOMMODATION </w:t>
    </w:r>
    <w:r w:rsidRPr="000C5DF4">
      <w:rPr>
        <w:sz w:val="14"/>
        <w:szCs w:val="14"/>
        <w:lang w:val="en-US"/>
      </w:rPr>
      <w:br/>
      <w:t xml:space="preserve">Pricing and Payments Framework Review </w:t>
    </w:r>
  </w:p>
  <w:p w:rsidR="00C50997" w:rsidRDefault="00C5099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97" w:rsidRPr="000C5DF4" w:rsidRDefault="00C50997" w:rsidP="000C5DF4">
    <w:pPr>
      <w:pStyle w:val="Header"/>
      <w:jc w:val="right"/>
      <w:rPr>
        <w:sz w:val="14"/>
        <w:szCs w:val="14"/>
      </w:rPr>
    </w:pPr>
    <w:r w:rsidRPr="000C5DF4">
      <w:rPr>
        <w:color w:val="0091DA" w:themeColor="accent2"/>
        <w:sz w:val="14"/>
        <w:szCs w:val="14"/>
        <w:lang w:val="en-US"/>
      </w:rPr>
      <w:t xml:space="preserve">SPECIALIST DISABILITY ACCOMMODATION </w:t>
    </w:r>
    <w:r w:rsidRPr="000C5DF4">
      <w:rPr>
        <w:sz w:val="14"/>
        <w:szCs w:val="14"/>
        <w:lang w:val="en-US"/>
      </w:rPr>
      <w:br/>
      <w:t xml:space="preserve">Pricing and Payments Framework Review </w:t>
    </w:r>
  </w:p>
  <w:p w:rsidR="00C50997" w:rsidRDefault="00C5099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97" w:rsidRPr="000C5DF4" w:rsidRDefault="00C50997" w:rsidP="000C5DF4">
    <w:pPr>
      <w:pStyle w:val="Header"/>
      <w:jc w:val="right"/>
      <w:rPr>
        <w:sz w:val="14"/>
        <w:szCs w:val="14"/>
      </w:rPr>
    </w:pPr>
    <w:r w:rsidRPr="000C5DF4">
      <w:rPr>
        <w:color w:val="0091DA" w:themeColor="accent2"/>
        <w:sz w:val="14"/>
        <w:szCs w:val="14"/>
        <w:lang w:val="en-US"/>
      </w:rPr>
      <w:t xml:space="preserve">SPECIALIST DISABILITY ACCOMMODATION </w:t>
    </w:r>
    <w:r w:rsidRPr="000C5DF4">
      <w:rPr>
        <w:sz w:val="14"/>
        <w:szCs w:val="14"/>
        <w:lang w:val="en-US"/>
      </w:rPr>
      <w:br/>
      <w:t xml:space="preserve">Pricing and Payments Framework Review </w:t>
    </w:r>
  </w:p>
  <w:p w:rsidR="00C50997" w:rsidRDefault="00C5099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97" w:rsidRPr="000C5DF4" w:rsidRDefault="00C50997" w:rsidP="000C5DF4">
    <w:pPr>
      <w:pStyle w:val="Header"/>
      <w:jc w:val="right"/>
      <w:rPr>
        <w:sz w:val="14"/>
        <w:szCs w:val="14"/>
      </w:rPr>
    </w:pPr>
    <w:r w:rsidRPr="000C5DF4">
      <w:rPr>
        <w:color w:val="0091DA" w:themeColor="accent2"/>
        <w:sz w:val="14"/>
        <w:szCs w:val="14"/>
        <w:lang w:val="en-US"/>
      </w:rPr>
      <w:t xml:space="preserve">SPECIALIST DISABILITY ACCOMMODATION </w:t>
    </w:r>
    <w:r w:rsidRPr="000C5DF4">
      <w:rPr>
        <w:sz w:val="14"/>
        <w:szCs w:val="14"/>
        <w:lang w:val="en-US"/>
      </w:rPr>
      <w:br/>
      <w:t xml:space="preserve">Pricing and Payments Framework Review </w:t>
    </w:r>
  </w:p>
  <w:p w:rsidR="00C50997" w:rsidRDefault="00C5099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97" w:rsidRDefault="00C50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171" w:rsidRDefault="002C31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97" w:rsidRDefault="00C509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97" w:rsidRPr="000C5DF4" w:rsidRDefault="00C50997" w:rsidP="00EA3591">
    <w:pPr>
      <w:pStyle w:val="Header"/>
      <w:jc w:val="right"/>
      <w:rPr>
        <w:sz w:val="14"/>
        <w:szCs w:val="14"/>
      </w:rPr>
    </w:pPr>
    <w:r w:rsidRPr="000C5DF4">
      <w:rPr>
        <w:color w:val="0091DA" w:themeColor="accent2"/>
        <w:sz w:val="14"/>
        <w:szCs w:val="14"/>
        <w:lang w:val="en-US"/>
      </w:rPr>
      <w:t xml:space="preserve">SPECIALIST DISABILITY ACCOMMODATION </w:t>
    </w:r>
    <w:r w:rsidRPr="000C5DF4">
      <w:rPr>
        <w:sz w:val="14"/>
        <w:szCs w:val="14"/>
        <w:lang w:val="en-US"/>
      </w:rPr>
      <w:br/>
      <w:t xml:space="preserve">Pricing and Payments Framework Review </w:t>
    </w:r>
  </w:p>
  <w:p w:rsidR="00C50997" w:rsidRDefault="00C509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97" w:rsidRPr="000C5DF4" w:rsidRDefault="00C50997" w:rsidP="00EA3591">
    <w:pPr>
      <w:pStyle w:val="Header"/>
      <w:jc w:val="right"/>
      <w:rPr>
        <w:sz w:val="14"/>
        <w:szCs w:val="14"/>
      </w:rPr>
    </w:pPr>
    <w:r w:rsidRPr="000C5DF4">
      <w:rPr>
        <w:color w:val="0091DA" w:themeColor="accent2"/>
        <w:sz w:val="14"/>
        <w:szCs w:val="14"/>
        <w:lang w:val="en-US"/>
      </w:rPr>
      <w:t xml:space="preserve">SPECIALIST DISABILITY ACCOMMODATION </w:t>
    </w:r>
    <w:r w:rsidRPr="000C5DF4">
      <w:rPr>
        <w:sz w:val="14"/>
        <w:szCs w:val="14"/>
        <w:lang w:val="en-US"/>
      </w:rPr>
      <w:br/>
      <w:t xml:space="preserve">Pricing and Payments Framework Review </w:t>
    </w:r>
  </w:p>
  <w:p w:rsidR="00C50997" w:rsidRDefault="00C5099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97" w:rsidRPr="000C5DF4" w:rsidRDefault="00C50997" w:rsidP="00EA3591">
    <w:pPr>
      <w:pStyle w:val="Header"/>
      <w:jc w:val="right"/>
      <w:rPr>
        <w:sz w:val="14"/>
        <w:szCs w:val="14"/>
      </w:rPr>
    </w:pPr>
    <w:r w:rsidRPr="000C5DF4">
      <w:rPr>
        <w:color w:val="0091DA" w:themeColor="accent2"/>
        <w:sz w:val="14"/>
        <w:szCs w:val="14"/>
        <w:lang w:val="en-US"/>
      </w:rPr>
      <w:t xml:space="preserve">SPECIALIST DISABILITY ACCOMMODATION </w:t>
    </w:r>
    <w:r w:rsidRPr="000C5DF4">
      <w:rPr>
        <w:sz w:val="14"/>
        <w:szCs w:val="14"/>
        <w:lang w:val="en-US"/>
      </w:rPr>
      <w:br/>
      <w:t xml:space="preserve">Pricing and Payments Framework Review </w:t>
    </w:r>
  </w:p>
  <w:p w:rsidR="00C50997" w:rsidRDefault="00C50997" w:rsidP="00EA3591">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97" w:rsidRPr="000C5DF4" w:rsidRDefault="00C50997" w:rsidP="000C5DF4">
    <w:pPr>
      <w:pStyle w:val="Header"/>
      <w:jc w:val="right"/>
      <w:rPr>
        <w:sz w:val="14"/>
        <w:szCs w:val="14"/>
      </w:rPr>
    </w:pPr>
    <w:r w:rsidRPr="000C5DF4">
      <w:rPr>
        <w:color w:val="0091DA" w:themeColor="accent2"/>
        <w:sz w:val="14"/>
        <w:szCs w:val="14"/>
        <w:lang w:val="en-US"/>
      </w:rPr>
      <w:t xml:space="preserve">SPECIALIST DISABILITY ACCOMMODATION </w:t>
    </w:r>
    <w:r w:rsidRPr="000C5DF4">
      <w:rPr>
        <w:sz w:val="14"/>
        <w:szCs w:val="14"/>
        <w:lang w:val="en-US"/>
      </w:rPr>
      <w:br/>
      <w:t>Pricing and Payments Framework Review</w:t>
    </w:r>
  </w:p>
  <w:p w:rsidR="00C50997" w:rsidRDefault="00C5099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97" w:rsidRPr="000C5DF4" w:rsidRDefault="00C50997" w:rsidP="000C5DF4">
    <w:pPr>
      <w:pStyle w:val="Header"/>
      <w:jc w:val="right"/>
      <w:rPr>
        <w:sz w:val="14"/>
        <w:szCs w:val="14"/>
      </w:rPr>
    </w:pPr>
    <w:r w:rsidRPr="000C5DF4">
      <w:rPr>
        <w:color w:val="0091DA" w:themeColor="accent2"/>
        <w:sz w:val="14"/>
        <w:szCs w:val="14"/>
        <w:lang w:val="en-US"/>
      </w:rPr>
      <w:t xml:space="preserve">SPECIALIST DISABILITY ACCOMMODATION </w:t>
    </w:r>
    <w:r w:rsidRPr="000C5DF4">
      <w:rPr>
        <w:sz w:val="14"/>
        <w:szCs w:val="14"/>
        <w:lang w:val="en-US"/>
      </w:rPr>
      <w:br/>
      <w:t xml:space="preserve">Pricing and Payments Framework Review </w:t>
    </w:r>
  </w:p>
  <w:p w:rsidR="00C50997" w:rsidRDefault="00C50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329AC82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17A8B78"/>
    <w:lvl w:ilvl="0">
      <w:start w:val="1"/>
      <w:numFmt w:val="bullet"/>
      <w:pStyle w:val="ListBullet2"/>
      <w:lvlText w:val="-"/>
      <w:lvlJc w:val="left"/>
      <w:pPr>
        <w:tabs>
          <w:tab w:val="num" w:pos="697"/>
        </w:tabs>
        <w:ind w:left="697" w:hanging="340"/>
      </w:pPr>
      <w:rPr>
        <w:rFonts w:ascii="9999999" w:hAnsi="9999999" w:cs="Courier New" w:hint="default"/>
      </w:rPr>
    </w:lvl>
  </w:abstractNum>
  <w:abstractNum w:abstractNumId="2" w15:restartNumberingAfterBreak="0">
    <w:nsid w:val="FFFFFF89"/>
    <w:multiLevelType w:val="singleLevel"/>
    <w:tmpl w:val="2E944FEE"/>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3" w15:restartNumberingAfterBreak="0">
    <w:nsid w:val="01303640"/>
    <w:multiLevelType w:val="hybridMultilevel"/>
    <w:tmpl w:val="F53CC54A"/>
    <w:lvl w:ilvl="0" w:tplc="43CC73CC">
      <w:start w:val="1"/>
      <w:numFmt w:val="bullet"/>
      <w:lvlText w:val="-"/>
      <w:lvlJc w:val="left"/>
      <w:pPr>
        <w:tabs>
          <w:tab w:val="num" w:pos="720"/>
        </w:tabs>
        <w:ind w:left="720" w:hanging="360"/>
      </w:pPr>
      <w:rPr>
        <w:rFonts w:ascii="Times New Roman" w:hAnsi="Times New Roman" w:hint="default"/>
      </w:rPr>
    </w:lvl>
    <w:lvl w:ilvl="1" w:tplc="DEEA675C" w:tentative="1">
      <w:start w:val="1"/>
      <w:numFmt w:val="bullet"/>
      <w:lvlText w:val="-"/>
      <w:lvlJc w:val="left"/>
      <w:pPr>
        <w:tabs>
          <w:tab w:val="num" w:pos="1440"/>
        </w:tabs>
        <w:ind w:left="1440" w:hanging="360"/>
      </w:pPr>
      <w:rPr>
        <w:rFonts w:ascii="Times New Roman" w:hAnsi="Times New Roman" w:hint="default"/>
      </w:rPr>
    </w:lvl>
    <w:lvl w:ilvl="2" w:tplc="9188A34A" w:tentative="1">
      <w:start w:val="1"/>
      <w:numFmt w:val="bullet"/>
      <w:lvlText w:val="-"/>
      <w:lvlJc w:val="left"/>
      <w:pPr>
        <w:tabs>
          <w:tab w:val="num" w:pos="2160"/>
        </w:tabs>
        <w:ind w:left="2160" w:hanging="360"/>
      </w:pPr>
      <w:rPr>
        <w:rFonts w:ascii="Times New Roman" w:hAnsi="Times New Roman" w:hint="default"/>
      </w:rPr>
    </w:lvl>
    <w:lvl w:ilvl="3" w:tplc="FDA683CA" w:tentative="1">
      <w:start w:val="1"/>
      <w:numFmt w:val="bullet"/>
      <w:lvlText w:val="-"/>
      <w:lvlJc w:val="left"/>
      <w:pPr>
        <w:tabs>
          <w:tab w:val="num" w:pos="2880"/>
        </w:tabs>
        <w:ind w:left="2880" w:hanging="360"/>
      </w:pPr>
      <w:rPr>
        <w:rFonts w:ascii="Times New Roman" w:hAnsi="Times New Roman" w:hint="default"/>
      </w:rPr>
    </w:lvl>
    <w:lvl w:ilvl="4" w:tplc="8276905E" w:tentative="1">
      <w:start w:val="1"/>
      <w:numFmt w:val="bullet"/>
      <w:lvlText w:val="-"/>
      <w:lvlJc w:val="left"/>
      <w:pPr>
        <w:tabs>
          <w:tab w:val="num" w:pos="3600"/>
        </w:tabs>
        <w:ind w:left="3600" w:hanging="360"/>
      </w:pPr>
      <w:rPr>
        <w:rFonts w:ascii="Times New Roman" w:hAnsi="Times New Roman" w:hint="default"/>
      </w:rPr>
    </w:lvl>
    <w:lvl w:ilvl="5" w:tplc="DF100B4C" w:tentative="1">
      <w:start w:val="1"/>
      <w:numFmt w:val="bullet"/>
      <w:lvlText w:val="-"/>
      <w:lvlJc w:val="left"/>
      <w:pPr>
        <w:tabs>
          <w:tab w:val="num" w:pos="4320"/>
        </w:tabs>
        <w:ind w:left="4320" w:hanging="360"/>
      </w:pPr>
      <w:rPr>
        <w:rFonts w:ascii="Times New Roman" w:hAnsi="Times New Roman" w:hint="default"/>
      </w:rPr>
    </w:lvl>
    <w:lvl w:ilvl="6" w:tplc="CF628DAE" w:tentative="1">
      <w:start w:val="1"/>
      <w:numFmt w:val="bullet"/>
      <w:lvlText w:val="-"/>
      <w:lvlJc w:val="left"/>
      <w:pPr>
        <w:tabs>
          <w:tab w:val="num" w:pos="5040"/>
        </w:tabs>
        <w:ind w:left="5040" w:hanging="360"/>
      </w:pPr>
      <w:rPr>
        <w:rFonts w:ascii="Times New Roman" w:hAnsi="Times New Roman" w:hint="default"/>
      </w:rPr>
    </w:lvl>
    <w:lvl w:ilvl="7" w:tplc="F2C8829E" w:tentative="1">
      <w:start w:val="1"/>
      <w:numFmt w:val="bullet"/>
      <w:lvlText w:val="-"/>
      <w:lvlJc w:val="left"/>
      <w:pPr>
        <w:tabs>
          <w:tab w:val="num" w:pos="5760"/>
        </w:tabs>
        <w:ind w:left="5760" w:hanging="360"/>
      </w:pPr>
      <w:rPr>
        <w:rFonts w:ascii="Times New Roman" w:hAnsi="Times New Roman" w:hint="default"/>
      </w:rPr>
    </w:lvl>
    <w:lvl w:ilvl="8" w:tplc="47EA4F4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1856865"/>
    <w:multiLevelType w:val="singleLevel"/>
    <w:tmpl w:val="0D26C37C"/>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0400254B"/>
    <w:multiLevelType w:val="hybridMultilevel"/>
    <w:tmpl w:val="F052447E"/>
    <w:lvl w:ilvl="0" w:tplc="F8E2A448">
      <w:start w:val="1"/>
      <w:numFmt w:val="decimal"/>
      <w:lvlText w:val="%1."/>
      <w:lvlJc w:val="left"/>
      <w:pPr>
        <w:ind w:left="360" w:hanging="360"/>
      </w:pPr>
    </w:lvl>
    <w:lvl w:ilvl="1" w:tplc="E742575E" w:tentative="1">
      <w:start w:val="1"/>
      <w:numFmt w:val="lowerLetter"/>
      <w:lvlText w:val="%2."/>
      <w:lvlJc w:val="left"/>
      <w:pPr>
        <w:ind w:left="1080" w:hanging="360"/>
      </w:pPr>
    </w:lvl>
    <w:lvl w:ilvl="2" w:tplc="23A8649C" w:tentative="1">
      <w:start w:val="1"/>
      <w:numFmt w:val="lowerRoman"/>
      <w:lvlText w:val="%3."/>
      <w:lvlJc w:val="right"/>
      <w:pPr>
        <w:ind w:left="1800" w:hanging="180"/>
      </w:pPr>
    </w:lvl>
    <w:lvl w:ilvl="3" w:tplc="3AAEAA16" w:tentative="1">
      <w:start w:val="1"/>
      <w:numFmt w:val="decimal"/>
      <w:lvlText w:val="%4."/>
      <w:lvlJc w:val="left"/>
      <w:pPr>
        <w:ind w:left="2520" w:hanging="360"/>
      </w:pPr>
    </w:lvl>
    <w:lvl w:ilvl="4" w:tplc="BFA6EC4A" w:tentative="1">
      <w:start w:val="1"/>
      <w:numFmt w:val="lowerLetter"/>
      <w:lvlText w:val="%5."/>
      <w:lvlJc w:val="left"/>
      <w:pPr>
        <w:ind w:left="3240" w:hanging="360"/>
      </w:pPr>
    </w:lvl>
    <w:lvl w:ilvl="5" w:tplc="755836C8" w:tentative="1">
      <w:start w:val="1"/>
      <w:numFmt w:val="lowerRoman"/>
      <w:lvlText w:val="%6."/>
      <w:lvlJc w:val="right"/>
      <w:pPr>
        <w:ind w:left="3960" w:hanging="180"/>
      </w:pPr>
    </w:lvl>
    <w:lvl w:ilvl="6" w:tplc="1A9E916C" w:tentative="1">
      <w:start w:val="1"/>
      <w:numFmt w:val="decimal"/>
      <w:lvlText w:val="%7."/>
      <w:lvlJc w:val="left"/>
      <w:pPr>
        <w:ind w:left="4680" w:hanging="360"/>
      </w:pPr>
    </w:lvl>
    <w:lvl w:ilvl="7" w:tplc="551ECDBA" w:tentative="1">
      <w:start w:val="1"/>
      <w:numFmt w:val="lowerLetter"/>
      <w:lvlText w:val="%8."/>
      <w:lvlJc w:val="left"/>
      <w:pPr>
        <w:ind w:left="5400" w:hanging="360"/>
      </w:pPr>
    </w:lvl>
    <w:lvl w:ilvl="8" w:tplc="E8E68064" w:tentative="1">
      <w:start w:val="1"/>
      <w:numFmt w:val="lowerRoman"/>
      <w:lvlText w:val="%9."/>
      <w:lvlJc w:val="right"/>
      <w:pPr>
        <w:ind w:left="6120" w:hanging="180"/>
      </w:pPr>
    </w:lvl>
  </w:abstractNum>
  <w:abstractNum w:abstractNumId="6" w15:restartNumberingAfterBreak="0">
    <w:nsid w:val="04BC5CC5"/>
    <w:multiLevelType w:val="multilevel"/>
    <w:tmpl w:val="15801BEC"/>
    <w:lvl w:ilvl="0">
      <w:start w:val="1"/>
      <w:numFmt w:val="bullet"/>
      <w:lvlText w:val=""/>
      <w:lvlJc w:val="left"/>
      <w:pPr>
        <w:ind w:left="360" w:hanging="360"/>
      </w:pPr>
      <w:rPr>
        <w:rFonts w:ascii="Symbol" w:hAnsi="Symbol" w:hint="default"/>
      </w:rPr>
    </w:lvl>
    <w:lvl w:ilvl="1">
      <w:start w:val="2"/>
      <w:numFmt w:val="bullet"/>
      <w:lvlText w:val="•"/>
      <w:lvlJc w:val="left"/>
      <w:pPr>
        <w:ind w:left="1440" w:hanging="720"/>
      </w:pPr>
      <w:rPr>
        <w:rFonts w:ascii="Univers 45 Light" w:eastAsiaTheme="minorHAnsi" w:hAnsi="Univers 45 Light" w:cstheme="minorBidi"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0">
    <w:nsid w:val="055D60BD"/>
    <w:multiLevelType w:val="singleLevel"/>
    <w:tmpl w:val="0C0A4846"/>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07340F48"/>
    <w:multiLevelType w:val="singleLevel"/>
    <w:tmpl w:val="A8D0D940"/>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07EE6E78"/>
    <w:multiLevelType w:val="singleLevel"/>
    <w:tmpl w:val="210877AA"/>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08D516A8"/>
    <w:multiLevelType w:val="singleLevel"/>
    <w:tmpl w:val="09F0870A"/>
    <w:lvl w:ilvl="0">
      <w:start w:val="1"/>
      <w:numFmt w:val="bullet"/>
      <w:lvlText w:val=""/>
      <w:lvlJc w:val="left"/>
      <w:pPr>
        <w:tabs>
          <w:tab w:val="num" w:pos="340"/>
        </w:tabs>
        <w:ind w:left="340" w:hanging="340"/>
      </w:pPr>
      <w:rPr>
        <w:rFonts w:ascii="Symbol" w:hAnsi="Symbol" w:hint="default"/>
        <w:color w:val="auto"/>
        <w:sz w:val="22"/>
      </w:rPr>
    </w:lvl>
  </w:abstractNum>
  <w:abstractNum w:abstractNumId="11" w15:restartNumberingAfterBreak="0">
    <w:nsid w:val="095C4BD1"/>
    <w:multiLevelType w:val="multilevel"/>
    <w:tmpl w:val="BF246E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9694218"/>
    <w:multiLevelType w:val="hybridMultilevel"/>
    <w:tmpl w:val="C51A0CF2"/>
    <w:lvl w:ilvl="0" w:tplc="CC2AECBE">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E96731"/>
    <w:multiLevelType w:val="hybridMultilevel"/>
    <w:tmpl w:val="4BAA29D4"/>
    <w:lvl w:ilvl="0" w:tplc="0C090001">
      <w:start w:val="1"/>
      <w:numFmt w:val="bullet"/>
      <w:lvlText w:val=""/>
      <w:lvlJc w:val="left"/>
      <w:pPr>
        <w:ind w:left="360" w:hanging="360"/>
      </w:pPr>
      <w:rPr>
        <w:rFonts w:ascii="Symbol" w:hAnsi="Symbol" w:hint="default"/>
      </w:rPr>
    </w:lvl>
    <w:lvl w:ilvl="1" w:tplc="1278D220">
      <w:start w:val="2"/>
      <w:numFmt w:val="bullet"/>
      <w:lvlText w:val="•"/>
      <w:lvlJc w:val="left"/>
      <w:pPr>
        <w:ind w:left="1440" w:hanging="720"/>
      </w:pPr>
      <w:rPr>
        <w:rFonts w:ascii="Univers 45 Light" w:eastAsiaTheme="minorHAnsi" w:hAnsi="Univers 45 Light"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DAB1268"/>
    <w:multiLevelType w:val="hybridMultilevel"/>
    <w:tmpl w:val="84F8B90E"/>
    <w:lvl w:ilvl="0" w:tplc="96C45CD6">
      <w:start w:val="1"/>
      <w:numFmt w:val="decimal"/>
      <w:lvlText w:val="%1."/>
      <w:lvlJc w:val="left"/>
      <w:pPr>
        <w:ind w:left="360" w:hanging="360"/>
      </w:pPr>
      <w:rPr>
        <w:rFonts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F295AB1"/>
    <w:multiLevelType w:val="multilevel"/>
    <w:tmpl w:val="BF246E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0AC4727"/>
    <w:multiLevelType w:val="hybridMultilevel"/>
    <w:tmpl w:val="ABE4BA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12E33D7"/>
    <w:multiLevelType w:val="singleLevel"/>
    <w:tmpl w:val="B9E4D836"/>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11AF2C2D"/>
    <w:multiLevelType w:val="singleLevel"/>
    <w:tmpl w:val="5B1475F2"/>
    <w:lvl w:ilvl="0">
      <w:start w:val="1"/>
      <w:numFmt w:val="bullet"/>
      <w:pStyle w:val="Bullet2ndlevel"/>
      <w:lvlText w:val="–"/>
      <w:lvlJc w:val="left"/>
      <w:pPr>
        <w:tabs>
          <w:tab w:val="num" w:pos="340"/>
        </w:tabs>
        <w:ind w:left="340" w:hanging="340"/>
      </w:pPr>
      <w:rPr>
        <w:rFonts w:ascii="Univers 45 Light" w:hAnsi="Univers 45 Light" w:hint="default"/>
        <w:color w:val="auto"/>
        <w:sz w:val="22"/>
      </w:rPr>
    </w:lvl>
  </w:abstractNum>
  <w:abstractNum w:abstractNumId="19" w15:restartNumberingAfterBreak="0">
    <w:nsid w:val="12F15FBE"/>
    <w:multiLevelType w:val="singleLevel"/>
    <w:tmpl w:val="117650E0"/>
    <w:lvl w:ilvl="0">
      <w:start w:val="1"/>
      <w:numFmt w:val="bullet"/>
      <w:lvlText w:val=""/>
      <w:lvlJc w:val="left"/>
      <w:pPr>
        <w:tabs>
          <w:tab w:val="num" w:pos="340"/>
        </w:tabs>
        <w:ind w:left="340" w:hanging="340"/>
      </w:pPr>
      <w:rPr>
        <w:rFonts w:ascii="Symbol" w:hAnsi="Symbol" w:hint="default"/>
        <w:color w:val="auto"/>
        <w:sz w:val="22"/>
      </w:rPr>
    </w:lvl>
  </w:abstractNum>
  <w:abstractNum w:abstractNumId="20" w15:restartNumberingAfterBreak="0">
    <w:nsid w:val="15743F8F"/>
    <w:multiLevelType w:val="hybridMultilevel"/>
    <w:tmpl w:val="FFF4C0F8"/>
    <w:lvl w:ilvl="0" w:tplc="CC2AECBE">
      <w:start w:val="1"/>
      <w:numFmt w:val="bullet"/>
      <w:lvlText w:val=""/>
      <w:lvlJc w:val="left"/>
      <w:pPr>
        <w:ind w:left="700" w:hanging="360"/>
      </w:pPr>
      <w:rPr>
        <w:rFonts w:ascii="Symbol" w:hAnsi="Symbol" w:hint="default"/>
        <w:color w:val="auto"/>
        <w:sz w:val="22"/>
      </w:rPr>
    </w:lvl>
    <w:lvl w:ilvl="1" w:tplc="991A06CC" w:tentative="1">
      <w:start w:val="1"/>
      <w:numFmt w:val="lowerLetter"/>
      <w:lvlText w:val="%2."/>
      <w:lvlJc w:val="left"/>
      <w:pPr>
        <w:ind w:left="1420" w:hanging="360"/>
      </w:pPr>
    </w:lvl>
    <w:lvl w:ilvl="2" w:tplc="0C428988" w:tentative="1">
      <w:start w:val="1"/>
      <w:numFmt w:val="lowerRoman"/>
      <w:lvlText w:val="%3."/>
      <w:lvlJc w:val="right"/>
      <w:pPr>
        <w:ind w:left="2140" w:hanging="180"/>
      </w:pPr>
    </w:lvl>
    <w:lvl w:ilvl="3" w:tplc="8FA29EB4" w:tentative="1">
      <w:start w:val="1"/>
      <w:numFmt w:val="decimal"/>
      <w:lvlText w:val="%4."/>
      <w:lvlJc w:val="left"/>
      <w:pPr>
        <w:ind w:left="2860" w:hanging="360"/>
      </w:pPr>
    </w:lvl>
    <w:lvl w:ilvl="4" w:tplc="C72EED24" w:tentative="1">
      <w:start w:val="1"/>
      <w:numFmt w:val="lowerLetter"/>
      <w:lvlText w:val="%5."/>
      <w:lvlJc w:val="left"/>
      <w:pPr>
        <w:ind w:left="3580" w:hanging="360"/>
      </w:pPr>
    </w:lvl>
    <w:lvl w:ilvl="5" w:tplc="00006376" w:tentative="1">
      <w:start w:val="1"/>
      <w:numFmt w:val="lowerRoman"/>
      <w:lvlText w:val="%6."/>
      <w:lvlJc w:val="right"/>
      <w:pPr>
        <w:ind w:left="4300" w:hanging="180"/>
      </w:pPr>
    </w:lvl>
    <w:lvl w:ilvl="6" w:tplc="40521DFC" w:tentative="1">
      <w:start w:val="1"/>
      <w:numFmt w:val="decimal"/>
      <w:lvlText w:val="%7."/>
      <w:lvlJc w:val="left"/>
      <w:pPr>
        <w:ind w:left="5020" w:hanging="360"/>
      </w:pPr>
    </w:lvl>
    <w:lvl w:ilvl="7" w:tplc="BD5867AA" w:tentative="1">
      <w:start w:val="1"/>
      <w:numFmt w:val="lowerLetter"/>
      <w:lvlText w:val="%8."/>
      <w:lvlJc w:val="left"/>
      <w:pPr>
        <w:ind w:left="5740" w:hanging="360"/>
      </w:pPr>
    </w:lvl>
    <w:lvl w:ilvl="8" w:tplc="48483F98" w:tentative="1">
      <w:start w:val="1"/>
      <w:numFmt w:val="lowerRoman"/>
      <w:lvlText w:val="%9."/>
      <w:lvlJc w:val="right"/>
      <w:pPr>
        <w:ind w:left="6460" w:hanging="180"/>
      </w:pPr>
    </w:lvl>
  </w:abstractNum>
  <w:abstractNum w:abstractNumId="21" w15:restartNumberingAfterBreak="0">
    <w:nsid w:val="16CB20FD"/>
    <w:multiLevelType w:val="singleLevel"/>
    <w:tmpl w:val="A6F0DA96"/>
    <w:lvl w:ilvl="0">
      <w:start w:val="1"/>
      <w:numFmt w:val="bullet"/>
      <w:lvlText w:val=""/>
      <w:lvlJc w:val="left"/>
      <w:pPr>
        <w:tabs>
          <w:tab w:val="num" w:pos="340"/>
        </w:tabs>
        <w:ind w:left="340" w:hanging="340"/>
      </w:pPr>
      <w:rPr>
        <w:rFonts w:ascii="Symbol" w:hAnsi="Symbol" w:hint="default"/>
        <w:color w:val="auto"/>
        <w:sz w:val="22"/>
      </w:rPr>
    </w:lvl>
  </w:abstractNum>
  <w:abstractNum w:abstractNumId="22" w15:restartNumberingAfterBreak="0">
    <w:nsid w:val="19C262F8"/>
    <w:multiLevelType w:val="hybridMultilevel"/>
    <w:tmpl w:val="0270DA70"/>
    <w:lvl w:ilvl="0" w:tplc="CC2AECBE">
      <w:start w:val="1"/>
      <w:numFmt w:val="bullet"/>
      <w:lvlText w:val=""/>
      <w:lvlJc w:val="left"/>
      <w:pPr>
        <w:ind w:left="700" w:hanging="360"/>
      </w:pPr>
      <w:rPr>
        <w:rFonts w:ascii="Symbol" w:hAnsi="Symbol" w:hint="default"/>
        <w:color w:val="auto"/>
        <w:sz w:val="22"/>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3" w15:restartNumberingAfterBreak="0">
    <w:nsid w:val="1B553AB8"/>
    <w:multiLevelType w:val="singleLevel"/>
    <w:tmpl w:val="45FC4C08"/>
    <w:lvl w:ilvl="0">
      <w:start w:val="1"/>
      <w:numFmt w:val="bullet"/>
      <w:lvlText w:val=""/>
      <w:lvlJc w:val="left"/>
      <w:pPr>
        <w:tabs>
          <w:tab w:val="num" w:pos="340"/>
        </w:tabs>
        <w:ind w:left="340" w:hanging="340"/>
      </w:pPr>
      <w:rPr>
        <w:rFonts w:ascii="Symbol" w:hAnsi="Symbol" w:hint="default"/>
        <w:color w:val="auto"/>
        <w:sz w:val="22"/>
      </w:rPr>
    </w:lvl>
  </w:abstractNum>
  <w:abstractNum w:abstractNumId="24" w15:restartNumberingAfterBreak="0">
    <w:nsid w:val="1B775464"/>
    <w:multiLevelType w:val="singleLevel"/>
    <w:tmpl w:val="7F9047B4"/>
    <w:lvl w:ilvl="0">
      <w:start w:val="1"/>
      <w:numFmt w:val="bullet"/>
      <w:lvlText w:val=""/>
      <w:lvlJc w:val="left"/>
      <w:pPr>
        <w:tabs>
          <w:tab w:val="num" w:pos="340"/>
        </w:tabs>
        <w:ind w:left="340" w:hanging="340"/>
      </w:pPr>
      <w:rPr>
        <w:rFonts w:ascii="Symbol" w:hAnsi="Symbol" w:hint="default"/>
        <w:color w:val="auto"/>
        <w:sz w:val="22"/>
      </w:rPr>
    </w:lvl>
  </w:abstractNum>
  <w:abstractNum w:abstractNumId="25" w15:restartNumberingAfterBreak="0">
    <w:nsid w:val="1E2C3556"/>
    <w:multiLevelType w:val="singleLevel"/>
    <w:tmpl w:val="822A2B3E"/>
    <w:lvl w:ilvl="0">
      <w:start w:val="1"/>
      <w:numFmt w:val="bullet"/>
      <w:lvlText w:val=""/>
      <w:lvlJc w:val="left"/>
      <w:pPr>
        <w:tabs>
          <w:tab w:val="num" w:pos="340"/>
        </w:tabs>
        <w:ind w:left="340" w:hanging="340"/>
      </w:pPr>
      <w:rPr>
        <w:rFonts w:ascii="Symbol" w:hAnsi="Symbol" w:hint="default"/>
        <w:color w:val="auto"/>
        <w:sz w:val="22"/>
      </w:rPr>
    </w:lvl>
  </w:abstractNum>
  <w:abstractNum w:abstractNumId="26" w15:restartNumberingAfterBreak="0">
    <w:nsid w:val="21382259"/>
    <w:multiLevelType w:val="hybridMultilevel"/>
    <w:tmpl w:val="15801BEC"/>
    <w:lvl w:ilvl="0" w:tplc="0C090001">
      <w:start w:val="1"/>
      <w:numFmt w:val="bullet"/>
      <w:lvlText w:val=""/>
      <w:lvlJc w:val="left"/>
      <w:pPr>
        <w:ind w:left="360" w:hanging="360"/>
      </w:pPr>
      <w:rPr>
        <w:rFonts w:ascii="Symbol" w:hAnsi="Symbol" w:hint="default"/>
      </w:rPr>
    </w:lvl>
    <w:lvl w:ilvl="1" w:tplc="82428CA4">
      <w:start w:val="2"/>
      <w:numFmt w:val="bullet"/>
      <w:lvlText w:val="•"/>
      <w:lvlJc w:val="left"/>
      <w:pPr>
        <w:ind w:left="1440" w:hanging="720"/>
      </w:pPr>
      <w:rPr>
        <w:rFonts w:ascii="Univers 45 Light" w:eastAsiaTheme="minorHAnsi" w:hAnsi="Univers 45 Light"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5653A59"/>
    <w:multiLevelType w:val="singleLevel"/>
    <w:tmpl w:val="250C8AB2"/>
    <w:lvl w:ilvl="0">
      <w:start w:val="1"/>
      <w:numFmt w:val="bullet"/>
      <w:lvlText w:val=""/>
      <w:lvlJc w:val="left"/>
      <w:pPr>
        <w:tabs>
          <w:tab w:val="num" w:pos="340"/>
        </w:tabs>
        <w:ind w:left="340" w:hanging="340"/>
      </w:pPr>
      <w:rPr>
        <w:rFonts w:ascii="Symbol" w:hAnsi="Symbol" w:hint="default"/>
        <w:color w:val="auto"/>
        <w:sz w:val="22"/>
      </w:rPr>
    </w:lvl>
  </w:abstractNum>
  <w:abstractNum w:abstractNumId="28" w15:restartNumberingAfterBreak="0">
    <w:nsid w:val="25AA167C"/>
    <w:multiLevelType w:val="singleLevel"/>
    <w:tmpl w:val="FB78C572"/>
    <w:lvl w:ilvl="0">
      <w:start w:val="1"/>
      <w:numFmt w:val="bullet"/>
      <w:lvlText w:val=""/>
      <w:lvlJc w:val="left"/>
      <w:pPr>
        <w:tabs>
          <w:tab w:val="num" w:pos="340"/>
        </w:tabs>
        <w:ind w:left="340" w:hanging="340"/>
      </w:pPr>
      <w:rPr>
        <w:rFonts w:ascii="Symbol" w:hAnsi="Symbol" w:hint="default"/>
        <w:color w:val="auto"/>
        <w:sz w:val="22"/>
      </w:rPr>
    </w:lvl>
  </w:abstractNum>
  <w:abstractNum w:abstractNumId="29" w15:restartNumberingAfterBreak="0">
    <w:nsid w:val="26012D0B"/>
    <w:multiLevelType w:val="hybridMultilevel"/>
    <w:tmpl w:val="6F14F0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89C2011"/>
    <w:multiLevelType w:val="singleLevel"/>
    <w:tmpl w:val="655603B4"/>
    <w:lvl w:ilvl="0">
      <w:start w:val="1"/>
      <w:numFmt w:val="bullet"/>
      <w:lvlText w:val=""/>
      <w:lvlJc w:val="left"/>
      <w:pPr>
        <w:tabs>
          <w:tab w:val="num" w:pos="340"/>
        </w:tabs>
        <w:ind w:left="340" w:hanging="340"/>
      </w:pPr>
      <w:rPr>
        <w:rFonts w:ascii="Symbol" w:hAnsi="Symbol" w:hint="default"/>
        <w:color w:val="auto"/>
        <w:sz w:val="22"/>
      </w:rPr>
    </w:lvl>
  </w:abstractNum>
  <w:abstractNum w:abstractNumId="31" w15:restartNumberingAfterBreak="0">
    <w:nsid w:val="28C261C5"/>
    <w:multiLevelType w:val="hybridMultilevel"/>
    <w:tmpl w:val="388A8C7C"/>
    <w:lvl w:ilvl="0" w:tplc="CC2AECBE">
      <w:start w:val="1"/>
      <w:numFmt w:val="bullet"/>
      <w:lvlText w:val=""/>
      <w:lvlJc w:val="left"/>
      <w:pPr>
        <w:ind w:left="734" w:hanging="360"/>
      </w:pPr>
      <w:rPr>
        <w:rFonts w:ascii="Symbol" w:hAnsi="Symbol" w:hint="default"/>
        <w:color w:val="auto"/>
        <w:sz w:val="22"/>
      </w:rPr>
    </w:lvl>
    <w:lvl w:ilvl="1" w:tplc="CC2AECBE">
      <w:start w:val="1"/>
      <w:numFmt w:val="bullet"/>
      <w:lvlText w:val=""/>
      <w:lvlJc w:val="left"/>
      <w:pPr>
        <w:ind w:left="1454" w:hanging="360"/>
      </w:pPr>
      <w:rPr>
        <w:rFonts w:ascii="Symbol" w:hAnsi="Symbol" w:hint="default"/>
        <w:color w:val="auto"/>
        <w:sz w:val="22"/>
      </w:rPr>
    </w:lvl>
    <w:lvl w:ilvl="2" w:tplc="0C090005">
      <w:start w:val="1"/>
      <w:numFmt w:val="bullet"/>
      <w:lvlText w:val=""/>
      <w:lvlJc w:val="left"/>
      <w:pPr>
        <w:ind w:left="2174" w:hanging="360"/>
      </w:pPr>
      <w:rPr>
        <w:rFonts w:ascii="Wingdings" w:hAnsi="Wingdings" w:hint="default"/>
      </w:rPr>
    </w:lvl>
    <w:lvl w:ilvl="3" w:tplc="0C090001" w:tentative="1">
      <w:start w:val="1"/>
      <w:numFmt w:val="bullet"/>
      <w:lvlText w:val=""/>
      <w:lvlJc w:val="left"/>
      <w:pPr>
        <w:ind w:left="2894" w:hanging="360"/>
      </w:pPr>
      <w:rPr>
        <w:rFonts w:ascii="Symbol" w:hAnsi="Symbol" w:hint="default"/>
      </w:rPr>
    </w:lvl>
    <w:lvl w:ilvl="4" w:tplc="0C090003" w:tentative="1">
      <w:start w:val="1"/>
      <w:numFmt w:val="bullet"/>
      <w:lvlText w:val="o"/>
      <w:lvlJc w:val="left"/>
      <w:pPr>
        <w:ind w:left="3614" w:hanging="360"/>
      </w:pPr>
      <w:rPr>
        <w:rFonts w:ascii="Courier New" w:hAnsi="Courier New" w:cs="Courier New" w:hint="default"/>
      </w:rPr>
    </w:lvl>
    <w:lvl w:ilvl="5" w:tplc="0C090005" w:tentative="1">
      <w:start w:val="1"/>
      <w:numFmt w:val="bullet"/>
      <w:lvlText w:val=""/>
      <w:lvlJc w:val="left"/>
      <w:pPr>
        <w:ind w:left="4334" w:hanging="360"/>
      </w:pPr>
      <w:rPr>
        <w:rFonts w:ascii="Wingdings" w:hAnsi="Wingdings" w:hint="default"/>
      </w:rPr>
    </w:lvl>
    <w:lvl w:ilvl="6" w:tplc="0C090001" w:tentative="1">
      <w:start w:val="1"/>
      <w:numFmt w:val="bullet"/>
      <w:lvlText w:val=""/>
      <w:lvlJc w:val="left"/>
      <w:pPr>
        <w:ind w:left="5054" w:hanging="360"/>
      </w:pPr>
      <w:rPr>
        <w:rFonts w:ascii="Symbol" w:hAnsi="Symbol" w:hint="default"/>
      </w:rPr>
    </w:lvl>
    <w:lvl w:ilvl="7" w:tplc="0C090003" w:tentative="1">
      <w:start w:val="1"/>
      <w:numFmt w:val="bullet"/>
      <w:lvlText w:val="o"/>
      <w:lvlJc w:val="left"/>
      <w:pPr>
        <w:ind w:left="5774" w:hanging="360"/>
      </w:pPr>
      <w:rPr>
        <w:rFonts w:ascii="Courier New" w:hAnsi="Courier New" w:cs="Courier New" w:hint="default"/>
      </w:rPr>
    </w:lvl>
    <w:lvl w:ilvl="8" w:tplc="0C090005" w:tentative="1">
      <w:start w:val="1"/>
      <w:numFmt w:val="bullet"/>
      <w:lvlText w:val=""/>
      <w:lvlJc w:val="left"/>
      <w:pPr>
        <w:ind w:left="6494" w:hanging="360"/>
      </w:pPr>
      <w:rPr>
        <w:rFonts w:ascii="Wingdings" w:hAnsi="Wingdings" w:hint="default"/>
      </w:rPr>
    </w:lvl>
  </w:abstractNum>
  <w:abstractNum w:abstractNumId="32" w15:restartNumberingAfterBreak="0">
    <w:nsid w:val="2BE80BC3"/>
    <w:multiLevelType w:val="hybridMultilevel"/>
    <w:tmpl w:val="2D3A73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2E2C05BB"/>
    <w:multiLevelType w:val="hybridMultilevel"/>
    <w:tmpl w:val="EE2A6846"/>
    <w:lvl w:ilvl="0" w:tplc="CC2AECBE">
      <w:start w:val="1"/>
      <w:numFmt w:val="bullet"/>
      <w:lvlText w:val=""/>
      <w:lvlJc w:val="left"/>
      <w:pPr>
        <w:ind w:left="700" w:hanging="360"/>
      </w:pPr>
      <w:rPr>
        <w:rFonts w:ascii="Symbol" w:hAnsi="Symbol" w:hint="default"/>
        <w:color w:val="auto"/>
        <w:sz w:val="22"/>
      </w:rPr>
    </w:lvl>
    <w:lvl w:ilvl="1" w:tplc="D9261C4E" w:tentative="1">
      <w:start w:val="1"/>
      <w:numFmt w:val="lowerLetter"/>
      <w:lvlText w:val="%2."/>
      <w:lvlJc w:val="left"/>
      <w:pPr>
        <w:ind w:left="1420" w:hanging="360"/>
      </w:pPr>
    </w:lvl>
    <w:lvl w:ilvl="2" w:tplc="26308552" w:tentative="1">
      <w:start w:val="1"/>
      <w:numFmt w:val="lowerRoman"/>
      <w:lvlText w:val="%3."/>
      <w:lvlJc w:val="right"/>
      <w:pPr>
        <w:ind w:left="2140" w:hanging="180"/>
      </w:pPr>
    </w:lvl>
    <w:lvl w:ilvl="3" w:tplc="1DC2DCA8" w:tentative="1">
      <w:start w:val="1"/>
      <w:numFmt w:val="decimal"/>
      <w:lvlText w:val="%4."/>
      <w:lvlJc w:val="left"/>
      <w:pPr>
        <w:ind w:left="2860" w:hanging="360"/>
      </w:pPr>
    </w:lvl>
    <w:lvl w:ilvl="4" w:tplc="C5B428C2" w:tentative="1">
      <w:start w:val="1"/>
      <w:numFmt w:val="lowerLetter"/>
      <w:lvlText w:val="%5."/>
      <w:lvlJc w:val="left"/>
      <w:pPr>
        <w:ind w:left="3580" w:hanging="360"/>
      </w:pPr>
    </w:lvl>
    <w:lvl w:ilvl="5" w:tplc="10C48E60" w:tentative="1">
      <w:start w:val="1"/>
      <w:numFmt w:val="lowerRoman"/>
      <w:lvlText w:val="%6."/>
      <w:lvlJc w:val="right"/>
      <w:pPr>
        <w:ind w:left="4300" w:hanging="180"/>
      </w:pPr>
    </w:lvl>
    <w:lvl w:ilvl="6" w:tplc="7E7CB8CC" w:tentative="1">
      <w:start w:val="1"/>
      <w:numFmt w:val="decimal"/>
      <w:lvlText w:val="%7."/>
      <w:lvlJc w:val="left"/>
      <w:pPr>
        <w:ind w:left="5020" w:hanging="360"/>
      </w:pPr>
    </w:lvl>
    <w:lvl w:ilvl="7" w:tplc="F7C84718" w:tentative="1">
      <w:start w:val="1"/>
      <w:numFmt w:val="lowerLetter"/>
      <w:lvlText w:val="%8."/>
      <w:lvlJc w:val="left"/>
      <w:pPr>
        <w:ind w:left="5740" w:hanging="360"/>
      </w:pPr>
    </w:lvl>
    <w:lvl w:ilvl="8" w:tplc="BCDA8260" w:tentative="1">
      <w:start w:val="1"/>
      <w:numFmt w:val="lowerRoman"/>
      <w:lvlText w:val="%9."/>
      <w:lvlJc w:val="right"/>
      <w:pPr>
        <w:ind w:left="6460" w:hanging="180"/>
      </w:pPr>
    </w:lvl>
  </w:abstractNum>
  <w:abstractNum w:abstractNumId="34" w15:restartNumberingAfterBreak="0">
    <w:nsid w:val="2E913550"/>
    <w:multiLevelType w:val="singleLevel"/>
    <w:tmpl w:val="7DB03226"/>
    <w:lvl w:ilvl="0">
      <w:start w:val="1"/>
      <w:numFmt w:val="bullet"/>
      <w:lvlText w:val=""/>
      <w:lvlJc w:val="left"/>
      <w:pPr>
        <w:tabs>
          <w:tab w:val="num" w:pos="340"/>
        </w:tabs>
        <w:ind w:left="340" w:hanging="340"/>
      </w:pPr>
      <w:rPr>
        <w:rFonts w:ascii="Symbol" w:hAnsi="Symbol" w:hint="default"/>
        <w:color w:val="auto"/>
        <w:sz w:val="22"/>
      </w:rPr>
    </w:lvl>
  </w:abstractNum>
  <w:abstractNum w:abstractNumId="35" w15:restartNumberingAfterBreak="0">
    <w:nsid w:val="30D52025"/>
    <w:multiLevelType w:val="hybridMultilevel"/>
    <w:tmpl w:val="74C6504C"/>
    <w:lvl w:ilvl="0" w:tplc="0C090001">
      <w:start w:val="1"/>
      <w:numFmt w:val="bullet"/>
      <w:lvlText w:val=""/>
      <w:lvlJc w:val="left"/>
      <w:pPr>
        <w:ind w:left="360" w:hanging="360"/>
      </w:pPr>
      <w:rPr>
        <w:rFonts w:ascii="Symbol" w:hAnsi="Symbol" w:hint="default"/>
        <w:color w:val="auto"/>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31136D97"/>
    <w:multiLevelType w:val="singleLevel"/>
    <w:tmpl w:val="BEDEC3A6"/>
    <w:lvl w:ilvl="0">
      <w:start w:val="1"/>
      <w:numFmt w:val="bullet"/>
      <w:lvlText w:val=""/>
      <w:lvlJc w:val="left"/>
      <w:pPr>
        <w:tabs>
          <w:tab w:val="num" w:pos="340"/>
        </w:tabs>
        <w:ind w:left="340" w:hanging="340"/>
      </w:pPr>
      <w:rPr>
        <w:rFonts w:ascii="Symbol" w:hAnsi="Symbol" w:hint="default"/>
        <w:color w:val="auto"/>
        <w:sz w:val="22"/>
      </w:rPr>
    </w:lvl>
  </w:abstractNum>
  <w:abstractNum w:abstractNumId="37" w15:restartNumberingAfterBreak="0">
    <w:nsid w:val="31570E27"/>
    <w:multiLevelType w:val="singleLevel"/>
    <w:tmpl w:val="E8BE5D14"/>
    <w:lvl w:ilvl="0">
      <w:start w:val="1"/>
      <w:numFmt w:val="bullet"/>
      <w:lvlText w:val=""/>
      <w:lvlJc w:val="left"/>
      <w:pPr>
        <w:tabs>
          <w:tab w:val="num" w:pos="340"/>
        </w:tabs>
        <w:ind w:left="340" w:hanging="340"/>
      </w:pPr>
      <w:rPr>
        <w:rFonts w:ascii="Symbol" w:hAnsi="Symbol" w:hint="default"/>
        <w:color w:val="auto"/>
        <w:sz w:val="22"/>
      </w:rPr>
    </w:lvl>
  </w:abstractNum>
  <w:abstractNum w:abstractNumId="38" w15:restartNumberingAfterBreak="0">
    <w:nsid w:val="31D03DA2"/>
    <w:multiLevelType w:val="multilevel"/>
    <w:tmpl w:val="F9FC0258"/>
    <w:lvl w:ilvl="0">
      <w:start w:val="1"/>
      <w:numFmt w:val="decimal"/>
      <w:pStyle w:val="Numberbullet1stleve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9" w15:restartNumberingAfterBreak="0">
    <w:nsid w:val="33F61997"/>
    <w:multiLevelType w:val="multilevel"/>
    <w:tmpl w:val="8BF82518"/>
    <w:lvl w:ilvl="0">
      <w:start w:val="1"/>
      <w:numFmt w:val="decimal"/>
      <w:pStyle w:val="Heading1"/>
      <w:lvlText w:val="%1"/>
      <w:lvlJc w:val="left"/>
      <w:pPr>
        <w:tabs>
          <w:tab w:val="num" w:pos="964"/>
        </w:tabs>
        <w:ind w:left="964" w:hanging="964"/>
      </w:pPr>
      <w:rPr>
        <w:rFonts w:hint="default"/>
      </w:rPr>
    </w:lvl>
    <w:lvl w:ilvl="1">
      <w:start w:val="1"/>
      <w:numFmt w:val="decimal"/>
      <w:pStyle w:val="Heading2"/>
      <w:lvlText w:val="%1.%2"/>
      <w:lvlJc w:val="left"/>
      <w:pPr>
        <w:tabs>
          <w:tab w:val="num" w:pos="8903"/>
        </w:tabs>
        <w:ind w:left="8903" w:hanging="964"/>
      </w:pPr>
      <w:rPr>
        <w:rFonts w:hint="default"/>
        <w:color w:val="0091DA" w:themeColor="accent2"/>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964"/>
        </w:tabs>
        <w:ind w:left="964" w:hanging="964"/>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0" w15:restartNumberingAfterBreak="0">
    <w:nsid w:val="34987179"/>
    <w:multiLevelType w:val="hybridMultilevel"/>
    <w:tmpl w:val="E2A09D8E"/>
    <w:lvl w:ilvl="0" w:tplc="96C45CD6">
      <w:start w:val="1"/>
      <w:numFmt w:val="decimal"/>
      <w:lvlText w:val="%1."/>
      <w:lvlJc w:val="left"/>
      <w:pPr>
        <w:ind w:left="360" w:hanging="360"/>
      </w:pPr>
      <w:rPr>
        <w:rFonts w:hint="default"/>
        <w:color w:val="auto"/>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51A5C94"/>
    <w:multiLevelType w:val="singleLevel"/>
    <w:tmpl w:val="7A20AFB0"/>
    <w:lvl w:ilvl="0">
      <w:start w:val="1"/>
      <w:numFmt w:val="bullet"/>
      <w:lvlText w:val=""/>
      <w:lvlJc w:val="left"/>
      <w:pPr>
        <w:tabs>
          <w:tab w:val="num" w:pos="340"/>
        </w:tabs>
        <w:ind w:left="340" w:hanging="340"/>
      </w:pPr>
      <w:rPr>
        <w:rFonts w:ascii="Symbol" w:hAnsi="Symbol" w:hint="default"/>
        <w:color w:val="auto"/>
        <w:sz w:val="22"/>
      </w:rPr>
    </w:lvl>
  </w:abstractNum>
  <w:abstractNum w:abstractNumId="42" w15:restartNumberingAfterBreak="0">
    <w:nsid w:val="357F166A"/>
    <w:multiLevelType w:val="multilevel"/>
    <w:tmpl w:val="768EC260"/>
    <w:lvl w:ilvl="0">
      <w:start w:val="1"/>
      <w:numFmt w:val="upperLetter"/>
      <w:pStyle w:val="Appendixheading"/>
      <w:suff w:val="nothing"/>
      <w:lvlText w:val="Appendix %1"/>
      <w:lvlJc w:val="left"/>
      <w:pPr>
        <w:ind w:left="3120" w:firstLine="0"/>
      </w:pPr>
      <w:rPr>
        <w:rFonts w:hint="default"/>
      </w:rPr>
    </w:lvl>
    <w:lvl w:ilvl="1">
      <w:start w:val="1"/>
      <w:numFmt w:val="decimal"/>
      <w:pStyle w:val="AppendixHeading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35FA78D8"/>
    <w:multiLevelType w:val="hybridMultilevel"/>
    <w:tmpl w:val="89A27428"/>
    <w:lvl w:ilvl="0" w:tplc="96C45CD6">
      <w:start w:val="1"/>
      <w:numFmt w:val="decimal"/>
      <w:lvlText w:val="%1."/>
      <w:lvlJc w:val="left"/>
      <w:pPr>
        <w:ind w:left="360" w:hanging="360"/>
      </w:pPr>
      <w:rPr>
        <w:rFonts w:hint="default"/>
        <w:color w:val="auto"/>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360C343F"/>
    <w:multiLevelType w:val="multilevel"/>
    <w:tmpl w:val="BF246E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3A5D3302"/>
    <w:multiLevelType w:val="singleLevel"/>
    <w:tmpl w:val="DD30065C"/>
    <w:lvl w:ilvl="0">
      <w:start w:val="1"/>
      <w:numFmt w:val="bullet"/>
      <w:lvlText w:val=""/>
      <w:lvlJc w:val="left"/>
      <w:pPr>
        <w:tabs>
          <w:tab w:val="num" w:pos="340"/>
        </w:tabs>
        <w:ind w:left="340" w:hanging="340"/>
      </w:pPr>
      <w:rPr>
        <w:rFonts w:ascii="Symbol" w:hAnsi="Symbol" w:hint="default"/>
        <w:color w:val="auto"/>
        <w:sz w:val="22"/>
      </w:rPr>
    </w:lvl>
  </w:abstractNum>
  <w:abstractNum w:abstractNumId="46" w15:restartNumberingAfterBreak="0">
    <w:nsid w:val="3A643F9B"/>
    <w:multiLevelType w:val="hybridMultilevel"/>
    <w:tmpl w:val="D37250C4"/>
    <w:lvl w:ilvl="0" w:tplc="9E222D0C">
      <w:start w:val="1"/>
      <w:numFmt w:val="decimal"/>
      <w:lvlText w:val="%1."/>
      <w:lvlJc w:val="left"/>
      <w:pPr>
        <w:ind w:left="360" w:hanging="360"/>
      </w:pPr>
      <w:rPr>
        <w:rFonts w:hint="default"/>
      </w:rPr>
    </w:lvl>
    <w:lvl w:ilvl="1" w:tplc="E742575E" w:tentative="1">
      <w:start w:val="1"/>
      <w:numFmt w:val="lowerLetter"/>
      <w:lvlText w:val="%2."/>
      <w:lvlJc w:val="left"/>
      <w:pPr>
        <w:ind w:left="1080" w:hanging="360"/>
      </w:pPr>
    </w:lvl>
    <w:lvl w:ilvl="2" w:tplc="23A8649C" w:tentative="1">
      <w:start w:val="1"/>
      <w:numFmt w:val="lowerRoman"/>
      <w:lvlText w:val="%3."/>
      <w:lvlJc w:val="right"/>
      <w:pPr>
        <w:ind w:left="1800" w:hanging="180"/>
      </w:pPr>
    </w:lvl>
    <w:lvl w:ilvl="3" w:tplc="3AAEAA16" w:tentative="1">
      <w:start w:val="1"/>
      <w:numFmt w:val="decimal"/>
      <w:lvlText w:val="%4."/>
      <w:lvlJc w:val="left"/>
      <w:pPr>
        <w:ind w:left="2520" w:hanging="360"/>
      </w:pPr>
    </w:lvl>
    <w:lvl w:ilvl="4" w:tplc="BFA6EC4A" w:tentative="1">
      <w:start w:val="1"/>
      <w:numFmt w:val="lowerLetter"/>
      <w:lvlText w:val="%5."/>
      <w:lvlJc w:val="left"/>
      <w:pPr>
        <w:ind w:left="3240" w:hanging="360"/>
      </w:pPr>
    </w:lvl>
    <w:lvl w:ilvl="5" w:tplc="755836C8" w:tentative="1">
      <w:start w:val="1"/>
      <w:numFmt w:val="lowerRoman"/>
      <w:lvlText w:val="%6."/>
      <w:lvlJc w:val="right"/>
      <w:pPr>
        <w:ind w:left="3960" w:hanging="180"/>
      </w:pPr>
    </w:lvl>
    <w:lvl w:ilvl="6" w:tplc="1A9E916C" w:tentative="1">
      <w:start w:val="1"/>
      <w:numFmt w:val="decimal"/>
      <w:lvlText w:val="%7."/>
      <w:lvlJc w:val="left"/>
      <w:pPr>
        <w:ind w:left="4680" w:hanging="360"/>
      </w:pPr>
    </w:lvl>
    <w:lvl w:ilvl="7" w:tplc="551ECDBA" w:tentative="1">
      <w:start w:val="1"/>
      <w:numFmt w:val="lowerLetter"/>
      <w:lvlText w:val="%8."/>
      <w:lvlJc w:val="left"/>
      <w:pPr>
        <w:ind w:left="5400" w:hanging="360"/>
      </w:pPr>
    </w:lvl>
    <w:lvl w:ilvl="8" w:tplc="E8E68064" w:tentative="1">
      <w:start w:val="1"/>
      <w:numFmt w:val="lowerRoman"/>
      <w:lvlText w:val="%9."/>
      <w:lvlJc w:val="right"/>
      <w:pPr>
        <w:ind w:left="6120" w:hanging="180"/>
      </w:pPr>
    </w:lvl>
  </w:abstractNum>
  <w:abstractNum w:abstractNumId="47" w15:restartNumberingAfterBreak="0">
    <w:nsid w:val="3BD34954"/>
    <w:multiLevelType w:val="hybridMultilevel"/>
    <w:tmpl w:val="FFFAAB60"/>
    <w:lvl w:ilvl="0" w:tplc="0C090003">
      <w:start w:val="1"/>
      <w:numFmt w:val="bullet"/>
      <w:pStyle w:val="CVbullet2"/>
      <w:lvlText w:val="–"/>
      <w:lvlJc w:val="left"/>
      <w:pPr>
        <w:ind w:left="360" w:hanging="360"/>
      </w:pPr>
      <w:rPr>
        <w:rFonts w:ascii="Univers 45 Light" w:hAnsi="Univers 45 Light"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3CF83369"/>
    <w:multiLevelType w:val="singleLevel"/>
    <w:tmpl w:val="BEF42A48"/>
    <w:lvl w:ilvl="0">
      <w:start w:val="1"/>
      <w:numFmt w:val="bullet"/>
      <w:lvlText w:val=""/>
      <w:lvlJc w:val="left"/>
      <w:pPr>
        <w:tabs>
          <w:tab w:val="num" w:pos="340"/>
        </w:tabs>
        <w:ind w:left="340" w:hanging="340"/>
      </w:pPr>
      <w:rPr>
        <w:rFonts w:ascii="Symbol" w:hAnsi="Symbol" w:hint="default"/>
        <w:color w:val="auto"/>
        <w:sz w:val="22"/>
      </w:rPr>
    </w:lvl>
  </w:abstractNum>
  <w:abstractNum w:abstractNumId="49" w15:restartNumberingAfterBreak="0">
    <w:nsid w:val="3D092FCA"/>
    <w:multiLevelType w:val="singleLevel"/>
    <w:tmpl w:val="FCF850BA"/>
    <w:lvl w:ilvl="0">
      <w:start w:val="1"/>
      <w:numFmt w:val="bullet"/>
      <w:lvlText w:val=""/>
      <w:lvlJc w:val="left"/>
      <w:pPr>
        <w:tabs>
          <w:tab w:val="num" w:pos="340"/>
        </w:tabs>
        <w:ind w:left="340" w:hanging="340"/>
      </w:pPr>
      <w:rPr>
        <w:rFonts w:ascii="Symbol" w:hAnsi="Symbol" w:hint="default"/>
        <w:color w:val="auto"/>
        <w:sz w:val="22"/>
      </w:rPr>
    </w:lvl>
  </w:abstractNum>
  <w:abstractNum w:abstractNumId="50" w15:restartNumberingAfterBreak="0">
    <w:nsid w:val="41C61C1C"/>
    <w:multiLevelType w:val="singleLevel"/>
    <w:tmpl w:val="B0C8722C"/>
    <w:lvl w:ilvl="0">
      <w:start w:val="1"/>
      <w:numFmt w:val="bullet"/>
      <w:lvlText w:val=""/>
      <w:lvlJc w:val="left"/>
      <w:pPr>
        <w:tabs>
          <w:tab w:val="num" w:pos="340"/>
        </w:tabs>
        <w:ind w:left="340" w:hanging="340"/>
      </w:pPr>
      <w:rPr>
        <w:rFonts w:ascii="Symbol" w:hAnsi="Symbol" w:hint="default"/>
        <w:color w:val="auto"/>
        <w:sz w:val="22"/>
      </w:rPr>
    </w:lvl>
  </w:abstractNum>
  <w:abstractNum w:abstractNumId="51" w15:restartNumberingAfterBreak="0">
    <w:nsid w:val="42910689"/>
    <w:multiLevelType w:val="hybridMultilevel"/>
    <w:tmpl w:val="CB341E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44024DA5"/>
    <w:multiLevelType w:val="singleLevel"/>
    <w:tmpl w:val="DC4E1A7C"/>
    <w:lvl w:ilvl="0">
      <w:start w:val="1"/>
      <w:numFmt w:val="bullet"/>
      <w:lvlText w:val=""/>
      <w:lvlJc w:val="left"/>
      <w:pPr>
        <w:tabs>
          <w:tab w:val="num" w:pos="340"/>
        </w:tabs>
        <w:ind w:left="340" w:hanging="340"/>
      </w:pPr>
      <w:rPr>
        <w:rFonts w:ascii="Symbol" w:hAnsi="Symbol" w:hint="default"/>
        <w:color w:val="auto"/>
        <w:sz w:val="22"/>
      </w:rPr>
    </w:lvl>
  </w:abstractNum>
  <w:abstractNum w:abstractNumId="53" w15:restartNumberingAfterBreak="0">
    <w:nsid w:val="44856E36"/>
    <w:multiLevelType w:val="hybridMultilevel"/>
    <w:tmpl w:val="AA180F12"/>
    <w:lvl w:ilvl="0" w:tplc="CC2AECBE">
      <w:start w:val="1"/>
      <w:numFmt w:val="bullet"/>
      <w:lvlText w:val=""/>
      <w:lvlJc w:val="left"/>
      <w:pPr>
        <w:ind w:left="700" w:hanging="360"/>
      </w:pPr>
      <w:rPr>
        <w:rFonts w:ascii="Symbol" w:hAnsi="Symbol" w:hint="default"/>
        <w:color w:val="auto"/>
        <w:sz w:val="22"/>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54" w15:restartNumberingAfterBreak="0">
    <w:nsid w:val="46061A5C"/>
    <w:multiLevelType w:val="hybridMultilevel"/>
    <w:tmpl w:val="D4880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466F48C1"/>
    <w:multiLevelType w:val="singleLevel"/>
    <w:tmpl w:val="20780434"/>
    <w:lvl w:ilvl="0">
      <w:start w:val="1"/>
      <w:numFmt w:val="bullet"/>
      <w:lvlText w:val=""/>
      <w:lvlJc w:val="left"/>
      <w:pPr>
        <w:tabs>
          <w:tab w:val="num" w:pos="340"/>
        </w:tabs>
        <w:ind w:left="340" w:hanging="340"/>
      </w:pPr>
      <w:rPr>
        <w:rFonts w:ascii="Symbol" w:hAnsi="Symbol" w:hint="default"/>
        <w:color w:val="auto"/>
        <w:sz w:val="22"/>
      </w:rPr>
    </w:lvl>
  </w:abstractNum>
  <w:abstractNum w:abstractNumId="56" w15:restartNumberingAfterBreak="0">
    <w:nsid w:val="4686478D"/>
    <w:multiLevelType w:val="singleLevel"/>
    <w:tmpl w:val="2B2EF6B2"/>
    <w:lvl w:ilvl="0">
      <w:start w:val="1"/>
      <w:numFmt w:val="bullet"/>
      <w:lvlText w:val=""/>
      <w:lvlJc w:val="left"/>
      <w:pPr>
        <w:tabs>
          <w:tab w:val="num" w:pos="340"/>
        </w:tabs>
        <w:ind w:left="340" w:hanging="340"/>
      </w:pPr>
      <w:rPr>
        <w:rFonts w:ascii="Symbol" w:hAnsi="Symbol" w:hint="default"/>
        <w:color w:val="auto"/>
        <w:sz w:val="22"/>
      </w:rPr>
    </w:lvl>
  </w:abstractNum>
  <w:abstractNum w:abstractNumId="57" w15:restartNumberingAfterBreak="0">
    <w:nsid w:val="4832689B"/>
    <w:multiLevelType w:val="hybridMultilevel"/>
    <w:tmpl w:val="7EAE7A80"/>
    <w:lvl w:ilvl="0" w:tplc="70F020CA">
      <w:start w:val="1"/>
      <w:numFmt w:val="bullet"/>
      <w:lvlText w:val=""/>
      <w:lvlJc w:val="left"/>
      <w:pPr>
        <w:ind w:left="360" w:hanging="360"/>
      </w:pPr>
      <w:rPr>
        <w:rFonts w:ascii="Symbol" w:hAnsi="Symbol"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4A0E3875"/>
    <w:multiLevelType w:val="multilevel"/>
    <w:tmpl w:val="BF246E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4AE86E7A"/>
    <w:multiLevelType w:val="multilevel"/>
    <w:tmpl w:val="15801BEC"/>
    <w:lvl w:ilvl="0">
      <w:start w:val="1"/>
      <w:numFmt w:val="bullet"/>
      <w:lvlText w:val=""/>
      <w:lvlJc w:val="left"/>
      <w:pPr>
        <w:ind w:left="360" w:hanging="360"/>
      </w:pPr>
      <w:rPr>
        <w:rFonts w:ascii="Symbol" w:hAnsi="Symbol" w:hint="default"/>
      </w:rPr>
    </w:lvl>
    <w:lvl w:ilvl="1">
      <w:start w:val="2"/>
      <w:numFmt w:val="bullet"/>
      <w:lvlText w:val="•"/>
      <w:lvlJc w:val="left"/>
      <w:pPr>
        <w:ind w:left="1440" w:hanging="720"/>
      </w:pPr>
      <w:rPr>
        <w:rFonts w:ascii="Univers 45 Light" w:eastAsiaTheme="minorHAnsi" w:hAnsi="Univers 45 Light" w:cstheme="minorBidi"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0" w15:restartNumberingAfterBreak="0">
    <w:nsid w:val="4C830B73"/>
    <w:multiLevelType w:val="hybridMultilevel"/>
    <w:tmpl w:val="B5224CDA"/>
    <w:lvl w:ilvl="0" w:tplc="3D68120C">
      <w:start w:val="1"/>
      <w:numFmt w:val="decimal"/>
      <w:pStyle w:val="Numberbullet2ndlevel"/>
      <w:lvlText w:val="%1)"/>
      <w:lvlJc w:val="left"/>
      <w:pPr>
        <w:ind w:left="720" w:hanging="360"/>
      </w:pPr>
    </w:lvl>
    <w:lvl w:ilvl="1" w:tplc="C024994C" w:tentative="1">
      <w:start w:val="1"/>
      <w:numFmt w:val="lowerLetter"/>
      <w:lvlText w:val="%2."/>
      <w:lvlJc w:val="left"/>
      <w:pPr>
        <w:ind w:left="1440" w:hanging="360"/>
      </w:pPr>
    </w:lvl>
    <w:lvl w:ilvl="2" w:tplc="72547FB8" w:tentative="1">
      <w:start w:val="1"/>
      <w:numFmt w:val="lowerRoman"/>
      <w:lvlText w:val="%3."/>
      <w:lvlJc w:val="right"/>
      <w:pPr>
        <w:ind w:left="2160" w:hanging="180"/>
      </w:pPr>
    </w:lvl>
    <w:lvl w:ilvl="3" w:tplc="53CE9342" w:tentative="1">
      <w:start w:val="1"/>
      <w:numFmt w:val="decimal"/>
      <w:lvlText w:val="%4."/>
      <w:lvlJc w:val="left"/>
      <w:pPr>
        <w:ind w:left="2880" w:hanging="360"/>
      </w:pPr>
    </w:lvl>
    <w:lvl w:ilvl="4" w:tplc="C57CC594" w:tentative="1">
      <w:start w:val="1"/>
      <w:numFmt w:val="lowerLetter"/>
      <w:lvlText w:val="%5."/>
      <w:lvlJc w:val="left"/>
      <w:pPr>
        <w:ind w:left="3600" w:hanging="360"/>
      </w:pPr>
    </w:lvl>
    <w:lvl w:ilvl="5" w:tplc="3254171A" w:tentative="1">
      <w:start w:val="1"/>
      <w:numFmt w:val="lowerRoman"/>
      <w:lvlText w:val="%6."/>
      <w:lvlJc w:val="right"/>
      <w:pPr>
        <w:ind w:left="4320" w:hanging="180"/>
      </w:pPr>
    </w:lvl>
    <w:lvl w:ilvl="6" w:tplc="A4B8B410" w:tentative="1">
      <w:start w:val="1"/>
      <w:numFmt w:val="decimal"/>
      <w:lvlText w:val="%7."/>
      <w:lvlJc w:val="left"/>
      <w:pPr>
        <w:ind w:left="5040" w:hanging="360"/>
      </w:pPr>
    </w:lvl>
    <w:lvl w:ilvl="7" w:tplc="44A256CA" w:tentative="1">
      <w:start w:val="1"/>
      <w:numFmt w:val="lowerLetter"/>
      <w:lvlText w:val="%8."/>
      <w:lvlJc w:val="left"/>
      <w:pPr>
        <w:ind w:left="5760" w:hanging="360"/>
      </w:pPr>
    </w:lvl>
    <w:lvl w:ilvl="8" w:tplc="E2488978" w:tentative="1">
      <w:start w:val="1"/>
      <w:numFmt w:val="lowerRoman"/>
      <w:lvlText w:val="%9."/>
      <w:lvlJc w:val="right"/>
      <w:pPr>
        <w:ind w:left="6480" w:hanging="180"/>
      </w:pPr>
    </w:lvl>
  </w:abstractNum>
  <w:abstractNum w:abstractNumId="61" w15:restartNumberingAfterBreak="0">
    <w:nsid w:val="4E1C4FB5"/>
    <w:multiLevelType w:val="hybridMultilevel"/>
    <w:tmpl w:val="2E2EE7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4E5729B0"/>
    <w:multiLevelType w:val="singleLevel"/>
    <w:tmpl w:val="554469D6"/>
    <w:lvl w:ilvl="0">
      <w:start w:val="1"/>
      <w:numFmt w:val="bullet"/>
      <w:lvlText w:val=""/>
      <w:lvlJc w:val="left"/>
      <w:pPr>
        <w:tabs>
          <w:tab w:val="num" w:pos="340"/>
        </w:tabs>
        <w:ind w:left="340" w:hanging="340"/>
      </w:pPr>
      <w:rPr>
        <w:rFonts w:ascii="Symbol" w:hAnsi="Symbol" w:hint="default"/>
        <w:color w:val="auto"/>
        <w:sz w:val="22"/>
      </w:rPr>
    </w:lvl>
  </w:abstractNum>
  <w:abstractNum w:abstractNumId="63" w15:restartNumberingAfterBreak="0">
    <w:nsid w:val="513B1AC2"/>
    <w:multiLevelType w:val="singleLevel"/>
    <w:tmpl w:val="DFC65F40"/>
    <w:lvl w:ilvl="0">
      <w:start w:val="1"/>
      <w:numFmt w:val="bullet"/>
      <w:lvlText w:val=""/>
      <w:lvlJc w:val="left"/>
      <w:pPr>
        <w:tabs>
          <w:tab w:val="num" w:pos="340"/>
        </w:tabs>
        <w:ind w:left="340" w:hanging="340"/>
      </w:pPr>
      <w:rPr>
        <w:rFonts w:ascii="Symbol" w:hAnsi="Symbol" w:hint="default"/>
        <w:color w:val="auto"/>
        <w:sz w:val="22"/>
      </w:rPr>
    </w:lvl>
  </w:abstractNum>
  <w:abstractNum w:abstractNumId="64" w15:restartNumberingAfterBreak="0">
    <w:nsid w:val="529F6538"/>
    <w:multiLevelType w:val="hybridMultilevel"/>
    <w:tmpl w:val="B1D8620A"/>
    <w:lvl w:ilvl="0" w:tplc="96C45CD6">
      <w:start w:val="1"/>
      <w:numFmt w:val="decimal"/>
      <w:lvlText w:val="%1."/>
      <w:lvlJc w:val="left"/>
      <w:pPr>
        <w:ind w:left="360" w:hanging="360"/>
      </w:pPr>
      <w:rPr>
        <w:rFonts w:hint="default"/>
        <w:color w:val="auto"/>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4075018"/>
    <w:multiLevelType w:val="hybridMultilevel"/>
    <w:tmpl w:val="D83E4334"/>
    <w:lvl w:ilvl="0" w:tplc="0C090001">
      <w:start w:val="1"/>
      <w:numFmt w:val="bullet"/>
      <w:lvlText w:val=""/>
      <w:lvlJc w:val="left"/>
      <w:pPr>
        <w:ind w:left="360" w:hanging="360"/>
      </w:pPr>
      <w:rPr>
        <w:rFonts w:ascii="Symbol" w:hAnsi="Symbol"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5638672F"/>
    <w:multiLevelType w:val="singleLevel"/>
    <w:tmpl w:val="D87C8D8C"/>
    <w:lvl w:ilvl="0">
      <w:start w:val="1"/>
      <w:numFmt w:val="bullet"/>
      <w:lvlText w:val=""/>
      <w:lvlJc w:val="left"/>
      <w:pPr>
        <w:tabs>
          <w:tab w:val="num" w:pos="340"/>
        </w:tabs>
        <w:ind w:left="340" w:hanging="340"/>
      </w:pPr>
      <w:rPr>
        <w:rFonts w:ascii="Symbol" w:hAnsi="Symbol" w:hint="default"/>
        <w:color w:val="auto"/>
        <w:sz w:val="22"/>
      </w:rPr>
    </w:lvl>
  </w:abstractNum>
  <w:abstractNum w:abstractNumId="67" w15:restartNumberingAfterBreak="0">
    <w:nsid w:val="56DB6105"/>
    <w:multiLevelType w:val="hybridMultilevel"/>
    <w:tmpl w:val="B4245E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58212B9B"/>
    <w:multiLevelType w:val="hybridMultilevel"/>
    <w:tmpl w:val="317CC6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59265FFA"/>
    <w:multiLevelType w:val="singleLevel"/>
    <w:tmpl w:val="9A506008"/>
    <w:lvl w:ilvl="0">
      <w:start w:val="1"/>
      <w:numFmt w:val="bullet"/>
      <w:lvlText w:val=""/>
      <w:lvlJc w:val="left"/>
      <w:pPr>
        <w:tabs>
          <w:tab w:val="num" w:pos="340"/>
        </w:tabs>
        <w:ind w:left="340" w:hanging="340"/>
      </w:pPr>
      <w:rPr>
        <w:rFonts w:ascii="Symbol" w:hAnsi="Symbol" w:hint="default"/>
        <w:color w:val="auto"/>
        <w:sz w:val="22"/>
      </w:rPr>
    </w:lvl>
  </w:abstractNum>
  <w:abstractNum w:abstractNumId="70" w15:restartNumberingAfterBreak="0">
    <w:nsid w:val="59AF626C"/>
    <w:multiLevelType w:val="hybridMultilevel"/>
    <w:tmpl w:val="1DCC9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59D92CE3"/>
    <w:multiLevelType w:val="singleLevel"/>
    <w:tmpl w:val="BBF06A12"/>
    <w:lvl w:ilvl="0">
      <w:start w:val="1"/>
      <w:numFmt w:val="bullet"/>
      <w:lvlText w:val=""/>
      <w:lvlJc w:val="left"/>
      <w:pPr>
        <w:tabs>
          <w:tab w:val="num" w:pos="340"/>
        </w:tabs>
        <w:ind w:left="340" w:hanging="340"/>
      </w:pPr>
      <w:rPr>
        <w:rFonts w:ascii="Symbol" w:hAnsi="Symbol" w:hint="default"/>
        <w:color w:val="auto"/>
        <w:sz w:val="22"/>
      </w:rPr>
    </w:lvl>
  </w:abstractNum>
  <w:abstractNum w:abstractNumId="72" w15:restartNumberingAfterBreak="0">
    <w:nsid w:val="5A042708"/>
    <w:multiLevelType w:val="hybridMultilevel"/>
    <w:tmpl w:val="ECA2B3FE"/>
    <w:lvl w:ilvl="0" w:tplc="0B283EF2">
      <w:start w:val="1"/>
      <w:numFmt w:val="bullet"/>
      <w:pStyle w:val="CVbullet1"/>
      <w:lvlText w:val=""/>
      <w:lvlJc w:val="left"/>
      <w:pPr>
        <w:tabs>
          <w:tab w:val="num" w:pos="340"/>
        </w:tabs>
        <w:ind w:left="340" w:hanging="340"/>
      </w:pPr>
      <w:rPr>
        <w:rFonts w:ascii="Symbol" w:hAnsi="Symbol" w:hint="default"/>
        <w:color w:val="0091DA" w:themeColor="accent2"/>
        <w:sz w:val="22"/>
      </w:rPr>
    </w:lvl>
    <w:lvl w:ilvl="1" w:tplc="19E495BA" w:tentative="1">
      <w:start w:val="1"/>
      <w:numFmt w:val="bullet"/>
      <w:lvlText w:val="o"/>
      <w:lvlJc w:val="left"/>
      <w:pPr>
        <w:ind w:left="1440" w:hanging="360"/>
      </w:pPr>
      <w:rPr>
        <w:rFonts w:ascii="Courier New" w:hAnsi="Courier New" w:cs="Courier New" w:hint="default"/>
      </w:rPr>
    </w:lvl>
    <w:lvl w:ilvl="2" w:tplc="8EF8524C" w:tentative="1">
      <w:start w:val="1"/>
      <w:numFmt w:val="bullet"/>
      <w:lvlText w:val=""/>
      <w:lvlJc w:val="left"/>
      <w:pPr>
        <w:ind w:left="2160" w:hanging="360"/>
      </w:pPr>
      <w:rPr>
        <w:rFonts w:ascii="Wingdings" w:hAnsi="Wingdings" w:hint="default"/>
      </w:rPr>
    </w:lvl>
    <w:lvl w:ilvl="3" w:tplc="A44A5612" w:tentative="1">
      <w:start w:val="1"/>
      <w:numFmt w:val="bullet"/>
      <w:lvlText w:val=""/>
      <w:lvlJc w:val="left"/>
      <w:pPr>
        <w:ind w:left="2880" w:hanging="360"/>
      </w:pPr>
      <w:rPr>
        <w:rFonts w:ascii="Symbol" w:hAnsi="Symbol" w:hint="default"/>
      </w:rPr>
    </w:lvl>
    <w:lvl w:ilvl="4" w:tplc="7EFC0D08" w:tentative="1">
      <w:start w:val="1"/>
      <w:numFmt w:val="bullet"/>
      <w:lvlText w:val="o"/>
      <w:lvlJc w:val="left"/>
      <w:pPr>
        <w:ind w:left="3600" w:hanging="360"/>
      </w:pPr>
      <w:rPr>
        <w:rFonts w:ascii="Courier New" w:hAnsi="Courier New" w:cs="Courier New" w:hint="default"/>
      </w:rPr>
    </w:lvl>
    <w:lvl w:ilvl="5" w:tplc="3A5414DE" w:tentative="1">
      <w:start w:val="1"/>
      <w:numFmt w:val="bullet"/>
      <w:lvlText w:val=""/>
      <w:lvlJc w:val="left"/>
      <w:pPr>
        <w:ind w:left="4320" w:hanging="360"/>
      </w:pPr>
      <w:rPr>
        <w:rFonts w:ascii="Wingdings" w:hAnsi="Wingdings" w:hint="default"/>
      </w:rPr>
    </w:lvl>
    <w:lvl w:ilvl="6" w:tplc="C7E08354" w:tentative="1">
      <w:start w:val="1"/>
      <w:numFmt w:val="bullet"/>
      <w:lvlText w:val=""/>
      <w:lvlJc w:val="left"/>
      <w:pPr>
        <w:ind w:left="5040" w:hanging="360"/>
      </w:pPr>
      <w:rPr>
        <w:rFonts w:ascii="Symbol" w:hAnsi="Symbol" w:hint="default"/>
      </w:rPr>
    </w:lvl>
    <w:lvl w:ilvl="7" w:tplc="928A2266" w:tentative="1">
      <w:start w:val="1"/>
      <w:numFmt w:val="bullet"/>
      <w:lvlText w:val="o"/>
      <w:lvlJc w:val="left"/>
      <w:pPr>
        <w:ind w:left="5760" w:hanging="360"/>
      </w:pPr>
      <w:rPr>
        <w:rFonts w:ascii="Courier New" w:hAnsi="Courier New" w:cs="Courier New" w:hint="default"/>
      </w:rPr>
    </w:lvl>
    <w:lvl w:ilvl="8" w:tplc="F4E22318" w:tentative="1">
      <w:start w:val="1"/>
      <w:numFmt w:val="bullet"/>
      <w:lvlText w:val=""/>
      <w:lvlJc w:val="left"/>
      <w:pPr>
        <w:ind w:left="6480" w:hanging="360"/>
      </w:pPr>
      <w:rPr>
        <w:rFonts w:ascii="Wingdings" w:hAnsi="Wingdings" w:hint="default"/>
      </w:rPr>
    </w:lvl>
  </w:abstractNum>
  <w:abstractNum w:abstractNumId="73" w15:restartNumberingAfterBreak="0">
    <w:nsid w:val="5EA365BA"/>
    <w:multiLevelType w:val="hybridMultilevel"/>
    <w:tmpl w:val="61567BE2"/>
    <w:lvl w:ilvl="0" w:tplc="0C090001">
      <w:start w:val="1"/>
      <w:numFmt w:val="bullet"/>
      <w:pStyle w:val="Bullet3rdlevel"/>
      <w:lvlText w:val="■"/>
      <w:lvlJc w:val="left"/>
      <w:pPr>
        <w:tabs>
          <w:tab w:val="num" w:pos="340"/>
        </w:tabs>
        <w:ind w:left="340" w:hanging="340"/>
      </w:pPr>
      <w:rPr>
        <w:rFonts w:ascii="Arial" w:hAnsi="Aria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F4C226D"/>
    <w:multiLevelType w:val="hybridMultilevel"/>
    <w:tmpl w:val="DE5C146A"/>
    <w:lvl w:ilvl="0" w:tplc="96C45CD6">
      <w:start w:val="1"/>
      <w:numFmt w:val="decimal"/>
      <w:lvlText w:val="%1."/>
      <w:lvlJc w:val="left"/>
      <w:pPr>
        <w:ind w:left="360" w:hanging="360"/>
      </w:pPr>
      <w:rPr>
        <w:rFonts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606F3E29"/>
    <w:multiLevelType w:val="singleLevel"/>
    <w:tmpl w:val="93221A6A"/>
    <w:lvl w:ilvl="0">
      <w:start w:val="1"/>
      <w:numFmt w:val="bullet"/>
      <w:lvlText w:val=""/>
      <w:lvlJc w:val="left"/>
      <w:pPr>
        <w:tabs>
          <w:tab w:val="num" w:pos="340"/>
        </w:tabs>
        <w:ind w:left="340" w:hanging="340"/>
      </w:pPr>
      <w:rPr>
        <w:rFonts w:ascii="Symbol" w:hAnsi="Symbol" w:hint="default"/>
        <w:color w:val="auto"/>
        <w:sz w:val="22"/>
      </w:rPr>
    </w:lvl>
  </w:abstractNum>
  <w:abstractNum w:abstractNumId="76" w15:restartNumberingAfterBreak="0">
    <w:nsid w:val="6075402C"/>
    <w:multiLevelType w:val="hybridMultilevel"/>
    <w:tmpl w:val="1412462A"/>
    <w:lvl w:ilvl="0" w:tplc="9E222D0C">
      <w:start w:val="1"/>
      <w:numFmt w:val="decimal"/>
      <w:lvlText w:val="%1."/>
      <w:lvlJc w:val="left"/>
      <w:pPr>
        <w:ind w:left="360" w:hanging="360"/>
      </w:pPr>
      <w:rPr>
        <w:rFonts w:hint="default"/>
        <w:color w:val="auto"/>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4665C56"/>
    <w:multiLevelType w:val="singleLevel"/>
    <w:tmpl w:val="826CD1A0"/>
    <w:lvl w:ilvl="0">
      <w:start w:val="1"/>
      <w:numFmt w:val="decimal"/>
      <w:lvlText w:val="%1)"/>
      <w:lvlJc w:val="left"/>
      <w:pPr>
        <w:ind w:left="720" w:hanging="360"/>
      </w:pPr>
      <w:rPr>
        <w:rFonts w:hint="default"/>
        <w:b w:val="0"/>
        <w:i w:val="0"/>
        <w:color w:val="FFFFFF" w:themeColor="background1"/>
        <w:sz w:val="22"/>
      </w:rPr>
    </w:lvl>
  </w:abstractNum>
  <w:abstractNum w:abstractNumId="78" w15:restartNumberingAfterBreak="0">
    <w:nsid w:val="6B9C14EC"/>
    <w:multiLevelType w:val="hybridMultilevel"/>
    <w:tmpl w:val="BA9EF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6BD460F9"/>
    <w:multiLevelType w:val="multilevel"/>
    <w:tmpl w:val="0664739E"/>
    <w:lvl w:ilvl="0">
      <w:start w:val="1"/>
      <w:numFmt w:val="decimal"/>
      <w:lvlText w:val="%1."/>
      <w:lvlJc w:val="left"/>
      <w:pPr>
        <w:ind w:left="360" w:hanging="360"/>
      </w:pPr>
      <w:rPr>
        <w:rFonts w:hint="default"/>
        <w:b/>
      </w:rPr>
    </w:lvl>
    <w:lvl w:ilvl="1">
      <w:start w:val="1"/>
      <w:numFmt w:val="decimal"/>
      <w:isLgl/>
      <w:lvlText w:val="%1.%2."/>
      <w:lvlJc w:val="left"/>
      <w:pPr>
        <w:ind w:left="702" w:hanging="384"/>
      </w:pPr>
      <w:rPr>
        <w:rFonts w:hint="default"/>
        <w:b/>
      </w:rPr>
    </w:lvl>
    <w:lvl w:ilvl="2">
      <w:start w:val="1"/>
      <w:numFmt w:val="decimal"/>
      <w:isLgl/>
      <w:lvlText w:val="%1.%2.%3."/>
      <w:lvlJc w:val="left"/>
      <w:pPr>
        <w:ind w:left="1356" w:hanging="720"/>
      </w:pPr>
      <w:rPr>
        <w:rFonts w:hint="default"/>
        <w:b/>
      </w:rPr>
    </w:lvl>
    <w:lvl w:ilvl="3">
      <w:start w:val="1"/>
      <w:numFmt w:val="decimal"/>
      <w:isLgl/>
      <w:lvlText w:val="%1.%2.%3.%4."/>
      <w:lvlJc w:val="left"/>
      <w:pPr>
        <w:ind w:left="1674" w:hanging="720"/>
      </w:pPr>
      <w:rPr>
        <w:rFonts w:hint="default"/>
        <w:b/>
      </w:rPr>
    </w:lvl>
    <w:lvl w:ilvl="4">
      <w:start w:val="1"/>
      <w:numFmt w:val="decimal"/>
      <w:isLgl/>
      <w:lvlText w:val="%1.%2.%3.%4.%5."/>
      <w:lvlJc w:val="left"/>
      <w:pPr>
        <w:ind w:left="2352" w:hanging="1080"/>
      </w:pPr>
      <w:rPr>
        <w:rFonts w:hint="default"/>
        <w:b/>
      </w:rPr>
    </w:lvl>
    <w:lvl w:ilvl="5">
      <w:start w:val="1"/>
      <w:numFmt w:val="decimal"/>
      <w:isLgl/>
      <w:lvlText w:val="%1.%2.%3.%4.%5.%6."/>
      <w:lvlJc w:val="left"/>
      <w:pPr>
        <w:ind w:left="2670" w:hanging="1080"/>
      </w:pPr>
      <w:rPr>
        <w:rFonts w:hint="default"/>
        <w:b/>
      </w:rPr>
    </w:lvl>
    <w:lvl w:ilvl="6">
      <w:start w:val="1"/>
      <w:numFmt w:val="decimal"/>
      <w:isLgl/>
      <w:lvlText w:val="%1.%2.%3.%4.%5.%6.%7."/>
      <w:lvlJc w:val="left"/>
      <w:pPr>
        <w:ind w:left="3348" w:hanging="1440"/>
      </w:pPr>
      <w:rPr>
        <w:rFonts w:hint="default"/>
        <w:b/>
      </w:rPr>
    </w:lvl>
    <w:lvl w:ilvl="7">
      <w:start w:val="1"/>
      <w:numFmt w:val="decimal"/>
      <w:isLgl/>
      <w:lvlText w:val="%1.%2.%3.%4.%5.%6.%7.%8."/>
      <w:lvlJc w:val="left"/>
      <w:pPr>
        <w:ind w:left="3666" w:hanging="1440"/>
      </w:pPr>
      <w:rPr>
        <w:rFonts w:hint="default"/>
        <w:b/>
      </w:rPr>
    </w:lvl>
    <w:lvl w:ilvl="8">
      <w:start w:val="1"/>
      <w:numFmt w:val="decimal"/>
      <w:isLgl/>
      <w:lvlText w:val="%1.%2.%3.%4.%5.%6.%7.%8.%9."/>
      <w:lvlJc w:val="left"/>
      <w:pPr>
        <w:ind w:left="4344" w:hanging="1800"/>
      </w:pPr>
      <w:rPr>
        <w:rFonts w:hint="default"/>
        <w:b/>
      </w:rPr>
    </w:lvl>
  </w:abstractNum>
  <w:abstractNum w:abstractNumId="80" w15:restartNumberingAfterBreak="0">
    <w:nsid w:val="6C34673D"/>
    <w:multiLevelType w:val="singleLevel"/>
    <w:tmpl w:val="63AC2982"/>
    <w:lvl w:ilvl="0">
      <w:start w:val="1"/>
      <w:numFmt w:val="bullet"/>
      <w:lvlText w:val=""/>
      <w:lvlJc w:val="left"/>
      <w:pPr>
        <w:tabs>
          <w:tab w:val="num" w:pos="340"/>
        </w:tabs>
        <w:ind w:left="340" w:hanging="340"/>
      </w:pPr>
      <w:rPr>
        <w:rFonts w:ascii="Symbol" w:hAnsi="Symbol" w:hint="default"/>
        <w:color w:val="auto"/>
        <w:sz w:val="22"/>
      </w:rPr>
    </w:lvl>
  </w:abstractNum>
  <w:abstractNum w:abstractNumId="81" w15:restartNumberingAfterBreak="0">
    <w:nsid w:val="6EB903F7"/>
    <w:multiLevelType w:val="singleLevel"/>
    <w:tmpl w:val="2EFA7346"/>
    <w:lvl w:ilvl="0">
      <w:start w:val="1"/>
      <w:numFmt w:val="bullet"/>
      <w:lvlText w:val=""/>
      <w:lvlJc w:val="left"/>
      <w:pPr>
        <w:tabs>
          <w:tab w:val="num" w:pos="340"/>
        </w:tabs>
        <w:ind w:left="340" w:hanging="340"/>
      </w:pPr>
      <w:rPr>
        <w:rFonts w:ascii="Symbol" w:hAnsi="Symbol" w:hint="default"/>
        <w:color w:val="auto"/>
        <w:sz w:val="22"/>
      </w:rPr>
    </w:lvl>
  </w:abstractNum>
  <w:abstractNum w:abstractNumId="82" w15:restartNumberingAfterBreak="0">
    <w:nsid w:val="717556E9"/>
    <w:multiLevelType w:val="singleLevel"/>
    <w:tmpl w:val="103AFE86"/>
    <w:lvl w:ilvl="0">
      <w:start w:val="1"/>
      <w:numFmt w:val="bullet"/>
      <w:lvlText w:val=""/>
      <w:lvlJc w:val="left"/>
      <w:pPr>
        <w:tabs>
          <w:tab w:val="num" w:pos="340"/>
        </w:tabs>
        <w:ind w:left="340" w:hanging="340"/>
      </w:pPr>
      <w:rPr>
        <w:rFonts w:ascii="Symbol" w:hAnsi="Symbol" w:hint="default"/>
        <w:color w:val="auto"/>
        <w:sz w:val="22"/>
      </w:rPr>
    </w:lvl>
  </w:abstractNum>
  <w:abstractNum w:abstractNumId="83" w15:restartNumberingAfterBreak="0">
    <w:nsid w:val="73001173"/>
    <w:multiLevelType w:val="hybridMultilevel"/>
    <w:tmpl w:val="4AB09E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7363787D"/>
    <w:multiLevelType w:val="hybridMultilevel"/>
    <w:tmpl w:val="296EA7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755C2655"/>
    <w:multiLevelType w:val="multilevel"/>
    <w:tmpl w:val="432A1F84"/>
    <w:lvl w:ilvl="0">
      <w:start w:val="1"/>
      <w:numFmt w:val="decimal"/>
      <w:lvlText w:val="%1."/>
      <w:lvlJc w:val="left"/>
      <w:pPr>
        <w:ind w:left="360" w:hanging="360"/>
      </w:pPr>
      <w:rPr>
        <w:b w:val="0"/>
        <w:i w:val="0"/>
      </w:rPr>
    </w:lvl>
    <w:lvl w:ilvl="1">
      <w:numFmt w:val="bullet"/>
      <w:lvlText w:val="–"/>
      <w:lvlJc w:val="left"/>
      <w:pPr>
        <w:ind w:left="1080" w:hanging="360"/>
      </w:pPr>
      <w:rPr>
        <w:rFonts w:ascii="Univers 45 Light" w:eastAsiaTheme="minorHAnsi" w:hAnsi="Univers 45 Light" w:cstheme="minorBidi"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6" w15:restartNumberingAfterBreak="0">
    <w:nsid w:val="79AA3FE4"/>
    <w:multiLevelType w:val="multilevel"/>
    <w:tmpl w:val="15801BEC"/>
    <w:lvl w:ilvl="0">
      <w:start w:val="1"/>
      <w:numFmt w:val="bullet"/>
      <w:lvlText w:val=""/>
      <w:lvlJc w:val="left"/>
      <w:pPr>
        <w:ind w:left="360" w:hanging="360"/>
      </w:pPr>
      <w:rPr>
        <w:rFonts w:ascii="Symbol" w:hAnsi="Symbol" w:hint="default"/>
      </w:rPr>
    </w:lvl>
    <w:lvl w:ilvl="1">
      <w:start w:val="2"/>
      <w:numFmt w:val="bullet"/>
      <w:lvlText w:val="•"/>
      <w:lvlJc w:val="left"/>
      <w:pPr>
        <w:ind w:left="1440" w:hanging="720"/>
      </w:pPr>
      <w:rPr>
        <w:rFonts w:ascii="Univers 45 Light" w:eastAsiaTheme="minorHAnsi" w:hAnsi="Univers 45 Light" w:cstheme="minorBidi"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7" w15:restartNumberingAfterBreak="0">
    <w:nsid w:val="7B1C24ED"/>
    <w:multiLevelType w:val="singleLevel"/>
    <w:tmpl w:val="9EEC3A1E"/>
    <w:lvl w:ilvl="0">
      <w:start w:val="1"/>
      <w:numFmt w:val="bullet"/>
      <w:lvlText w:val=""/>
      <w:lvlJc w:val="left"/>
      <w:pPr>
        <w:tabs>
          <w:tab w:val="num" w:pos="340"/>
        </w:tabs>
        <w:ind w:left="340" w:hanging="340"/>
      </w:pPr>
      <w:rPr>
        <w:rFonts w:ascii="Symbol" w:hAnsi="Symbol" w:hint="default"/>
        <w:color w:val="auto"/>
        <w:sz w:val="22"/>
      </w:rPr>
    </w:lvl>
  </w:abstractNum>
  <w:num w:numId="1">
    <w:abstractNumId w:val="18"/>
  </w:num>
  <w:num w:numId="2">
    <w:abstractNumId w:val="73"/>
  </w:num>
  <w:num w:numId="3">
    <w:abstractNumId w:val="60"/>
  </w:num>
  <w:num w:numId="4">
    <w:abstractNumId w:val="72"/>
  </w:num>
  <w:num w:numId="5">
    <w:abstractNumId w:val="47"/>
  </w:num>
  <w:num w:numId="6">
    <w:abstractNumId w:val="2"/>
  </w:num>
  <w:num w:numId="7">
    <w:abstractNumId w:val="1"/>
  </w:num>
  <w:num w:numId="8">
    <w:abstractNumId w:val="0"/>
  </w:num>
  <w:num w:numId="9">
    <w:abstractNumId w:val="42"/>
  </w:num>
  <w:num w:numId="10">
    <w:abstractNumId w:val="5"/>
  </w:num>
  <w:num w:numId="11">
    <w:abstractNumId w:val="19"/>
  </w:num>
  <w:num w:numId="12">
    <w:abstractNumId w:val="82"/>
  </w:num>
  <w:num w:numId="13">
    <w:abstractNumId w:val="49"/>
  </w:num>
  <w:num w:numId="14">
    <w:abstractNumId w:val="34"/>
  </w:num>
  <w:num w:numId="15">
    <w:abstractNumId w:val="38"/>
  </w:num>
  <w:num w:numId="16">
    <w:abstractNumId w:val="77"/>
  </w:num>
  <w:num w:numId="17">
    <w:abstractNumId w:val="36"/>
  </w:num>
  <w:num w:numId="18">
    <w:abstractNumId w:val="80"/>
  </w:num>
  <w:num w:numId="19">
    <w:abstractNumId w:val="39"/>
  </w:num>
  <w:num w:numId="20">
    <w:abstractNumId w:val="2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1"/>
  </w:num>
  <w:num w:numId="29">
    <w:abstractNumId w:val="85"/>
  </w:num>
  <w:num w:numId="30">
    <w:abstractNumId w:val="32"/>
  </w:num>
  <w:num w:numId="31">
    <w:abstractNumId w:val="7"/>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9"/>
  </w:num>
  <w:num w:numId="34">
    <w:abstractNumId w:val="57"/>
  </w:num>
  <w:num w:numId="35">
    <w:abstractNumId w:val="16"/>
  </w:num>
  <w:num w:numId="36">
    <w:abstractNumId w:val="54"/>
  </w:num>
  <w:num w:numId="37">
    <w:abstractNumId w:val="70"/>
  </w:num>
  <w:num w:numId="38">
    <w:abstractNumId w:val="51"/>
  </w:num>
  <w:num w:numId="39">
    <w:abstractNumId w:val="84"/>
  </w:num>
  <w:num w:numId="40">
    <w:abstractNumId w:val="83"/>
  </w:num>
  <w:num w:numId="41">
    <w:abstractNumId w:val="67"/>
  </w:num>
  <w:num w:numId="42">
    <w:abstractNumId w:val="68"/>
  </w:num>
  <w:num w:numId="43">
    <w:abstractNumId w:val="13"/>
  </w:num>
  <w:num w:numId="44">
    <w:abstractNumId w:val="78"/>
  </w:num>
  <w:num w:numId="45">
    <w:abstractNumId w:val="29"/>
  </w:num>
  <w:num w:numId="46">
    <w:abstractNumId w:val="26"/>
  </w:num>
  <w:num w:numId="47">
    <w:abstractNumId w:val="61"/>
  </w:num>
  <w:num w:numId="48">
    <w:abstractNumId w:val="86"/>
  </w:num>
  <w:num w:numId="49">
    <w:abstractNumId w:val="59"/>
  </w:num>
  <w:num w:numId="50">
    <w:abstractNumId w:val="6"/>
  </w:num>
  <w:num w:numId="51">
    <w:abstractNumId w:val="41"/>
  </w:num>
  <w:num w:numId="52">
    <w:abstractNumId w:val="10"/>
  </w:num>
  <w:num w:numId="53">
    <w:abstractNumId w:val="62"/>
  </w:num>
  <w:num w:numId="54">
    <w:abstractNumId w:val="66"/>
  </w:num>
  <w:num w:numId="55">
    <w:abstractNumId w:val="52"/>
  </w:num>
  <w:num w:numId="56">
    <w:abstractNumId w:val="75"/>
  </w:num>
  <w:num w:numId="57">
    <w:abstractNumId w:val="35"/>
  </w:num>
  <w:num w:numId="58">
    <w:abstractNumId w:val="37"/>
  </w:num>
  <w:num w:numId="59">
    <w:abstractNumId w:val="4"/>
  </w:num>
  <w:num w:numId="60">
    <w:abstractNumId w:val="17"/>
  </w:num>
  <w:num w:numId="61">
    <w:abstractNumId w:val="81"/>
  </w:num>
  <w:num w:numId="62">
    <w:abstractNumId w:val="63"/>
  </w:num>
  <w:num w:numId="63">
    <w:abstractNumId w:val="27"/>
  </w:num>
  <w:num w:numId="64">
    <w:abstractNumId w:val="21"/>
  </w:num>
  <w:num w:numId="65">
    <w:abstractNumId w:val="50"/>
  </w:num>
  <w:num w:numId="66">
    <w:abstractNumId w:val="65"/>
  </w:num>
  <w:num w:numId="67">
    <w:abstractNumId w:val="40"/>
  </w:num>
  <w:num w:numId="68">
    <w:abstractNumId w:val="56"/>
  </w:num>
  <w:num w:numId="69">
    <w:abstractNumId w:val="43"/>
  </w:num>
  <w:num w:numId="70">
    <w:abstractNumId w:val="45"/>
  </w:num>
  <w:num w:numId="71">
    <w:abstractNumId w:val="69"/>
  </w:num>
  <w:num w:numId="72">
    <w:abstractNumId w:val="64"/>
  </w:num>
  <w:num w:numId="73">
    <w:abstractNumId w:val="74"/>
  </w:num>
  <w:num w:numId="74">
    <w:abstractNumId w:val="9"/>
  </w:num>
  <w:num w:numId="75">
    <w:abstractNumId w:val="55"/>
  </w:num>
  <w:num w:numId="76">
    <w:abstractNumId w:val="14"/>
  </w:num>
  <w:num w:numId="77">
    <w:abstractNumId w:val="23"/>
  </w:num>
  <w:num w:numId="78">
    <w:abstractNumId w:val="12"/>
  </w:num>
  <w:num w:numId="79">
    <w:abstractNumId w:val="87"/>
  </w:num>
  <w:num w:numId="80">
    <w:abstractNumId w:val="53"/>
  </w:num>
  <w:num w:numId="81">
    <w:abstractNumId w:val="24"/>
  </w:num>
  <w:num w:numId="82">
    <w:abstractNumId w:val="28"/>
  </w:num>
  <w:num w:numId="83">
    <w:abstractNumId w:val="30"/>
  </w:num>
  <w:num w:numId="84">
    <w:abstractNumId w:val="22"/>
  </w:num>
  <w:num w:numId="85">
    <w:abstractNumId w:val="31"/>
  </w:num>
  <w:num w:numId="86">
    <w:abstractNumId w:val="33"/>
  </w:num>
  <w:num w:numId="87">
    <w:abstractNumId w:val="20"/>
  </w:num>
  <w:num w:numId="88">
    <w:abstractNumId w:val="48"/>
  </w:num>
  <w:num w:numId="89">
    <w:abstractNumId w:val="46"/>
  </w:num>
  <w:num w:numId="90">
    <w:abstractNumId w:val="3"/>
  </w:num>
  <w:num w:numId="91">
    <w:abstractNumId w:val="76"/>
  </w:num>
  <w:num w:numId="92">
    <w:abstractNumId w:val="8"/>
  </w:num>
  <w:num w:numId="93">
    <w:abstractNumId w:val="3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raftWatermark" w:val="0"/>
  </w:docVars>
  <w:rsids>
    <w:rsidRoot w:val="00864EAA"/>
    <w:rsid w:val="00000B35"/>
    <w:rsid w:val="000040AC"/>
    <w:rsid w:val="00004988"/>
    <w:rsid w:val="00005063"/>
    <w:rsid w:val="00005674"/>
    <w:rsid w:val="0001098F"/>
    <w:rsid w:val="000112A3"/>
    <w:rsid w:val="00013847"/>
    <w:rsid w:val="000142EB"/>
    <w:rsid w:val="00017CA9"/>
    <w:rsid w:val="00020334"/>
    <w:rsid w:val="00020598"/>
    <w:rsid w:val="00021892"/>
    <w:rsid w:val="0002471A"/>
    <w:rsid w:val="00025EF6"/>
    <w:rsid w:val="00025F7E"/>
    <w:rsid w:val="0002788B"/>
    <w:rsid w:val="00031783"/>
    <w:rsid w:val="00033D2D"/>
    <w:rsid w:val="000342DB"/>
    <w:rsid w:val="00036D8C"/>
    <w:rsid w:val="00037438"/>
    <w:rsid w:val="00037C58"/>
    <w:rsid w:val="00040FF2"/>
    <w:rsid w:val="00041E57"/>
    <w:rsid w:val="00041ED2"/>
    <w:rsid w:val="00043DF6"/>
    <w:rsid w:val="000440E3"/>
    <w:rsid w:val="000452C9"/>
    <w:rsid w:val="00045BD8"/>
    <w:rsid w:val="00047DD5"/>
    <w:rsid w:val="00050BE0"/>
    <w:rsid w:val="00051D81"/>
    <w:rsid w:val="0005386B"/>
    <w:rsid w:val="00053A68"/>
    <w:rsid w:val="00054117"/>
    <w:rsid w:val="00054981"/>
    <w:rsid w:val="00055240"/>
    <w:rsid w:val="00055F51"/>
    <w:rsid w:val="000570C9"/>
    <w:rsid w:val="00057F25"/>
    <w:rsid w:val="000602E5"/>
    <w:rsid w:val="00061433"/>
    <w:rsid w:val="00062D89"/>
    <w:rsid w:val="00063684"/>
    <w:rsid w:val="00065706"/>
    <w:rsid w:val="00065E4B"/>
    <w:rsid w:val="00070C05"/>
    <w:rsid w:val="00072544"/>
    <w:rsid w:val="000726D3"/>
    <w:rsid w:val="000729E6"/>
    <w:rsid w:val="00076585"/>
    <w:rsid w:val="00080D5C"/>
    <w:rsid w:val="00081146"/>
    <w:rsid w:val="00082405"/>
    <w:rsid w:val="00082974"/>
    <w:rsid w:val="00082A66"/>
    <w:rsid w:val="0008328C"/>
    <w:rsid w:val="0008379C"/>
    <w:rsid w:val="00085869"/>
    <w:rsid w:val="00086036"/>
    <w:rsid w:val="000864CF"/>
    <w:rsid w:val="000902A5"/>
    <w:rsid w:val="00090A66"/>
    <w:rsid w:val="00091980"/>
    <w:rsid w:val="00093DA0"/>
    <w:rsid w:val="000967AC"/>
    <w:rsid w:val="000A02B8"/>
    <w:rsid w:val="000A0304"/>
    <w:rsid w:val="000A0C97"/>
    <w:rsid w:val="000A180E"/>
    <w:rsid w:val="000A46A3"/>
    <w:rsid w:val="000A4E5C"/>
    <w:rsid w:val="000A5249"/>
    <w:rsid w:val="000A6D36"/>
    <w:rsid w:val="000A7D0B"/>
    <w:rsid w:val="000B032A"/>
    <w:rsid w:val="000B038A"/>
    <w:rsid w:val="000B204E"/>
    <w:rsid w:val="000B2163"/>
    <w:rsid w:val="000B6202"/>
    <w:rsid w:val="000B7776"/>
    <w:rsid w:val="000C0F97"/>
    <w:rsid w:val="000C13E6"/>
    <w:rsid w:val="000C20AC"/>
    <w:rsid w:val="000C5747"/>
    <w:rsid w:val="000C5DF4"/>
    <w:rsid w:val="000C605D"/>
    <w:rsid w:val="000C7426"/>
    <w:rsid w:val="000D01C0"/>
    <w:rsid w:val="000D07DD"/>
    <w:rsid w:val="000D12CD"/>
    <w:rsid w:val="000D2032"/>
    <w:rsid w:val="000D687F"/>
    <w:rsid w:val="000D7E4A"/>
    <w:rsid w:val="000E161F"/>
    <w:rsid w:val="000E19B7"/>
    <w:rsid w:val="000E2775"/>
    <w:rsid w:val="000E37CF"/>
    <w:rsid w:val="000E5222"/>
    <w:rsid w:val="000E6060"/>
    <w:rsid w:val="000E6089"/>
    <w:rsid w:val="000E758D"/>
    <w:rsid w:val="000F0C23"/>
    <w:rsid w:val="000F1B4F"/>
    <w:rsid w:val="000F2672"/>
    <w:rsid w:val="000F276A"/>
    <w:rsid w:val="000F280A"/>
    <w:rsid w:val="000F4AA0"/>
    <w:rsid w:val="000F591A"/>
    <w:rsid w:val="000F5AC7"/>
    <w:rsid w:val="000F656E"/>
    <w:rsid w:val="000F68EF"/>
    <w:rsid w:val="000F698A"/>
    <w:rsid w:val="00100A1B"/>
    <w:rsid w:val="00103F0E"/>
    <w:rsid w:val="001050C1"/>
    <w:rsid w:val="00105237"/>
    <w:rsid w:val="0010526C"/>
    <w:rsid w:val="00106279"/>
    <w:rsid w:val="00106390"/>
    <w:rsid w:val="00110956"/>
    <w:rsid w:val="00113B1F"/>
    <w:rsid w:val="00113D8E"/>
    <w:rsid w:val="001145AC"/>
    <w:rsid w:val="00124477"/>
    <w:rsid w:val="00125764"/>
    <w:rsid w:val="0012618C"/>
    <w:rsid w:val="00127923"/>
    <w:rsid w:val="0013194A"/>
    <w:rsid w:val="001417A2"/>
    <w:rsid w:val="001421C1"/>
    <w:rsid w:val="001426FF"/>
    <w:rsid w:val="00143237"/>
    <w:rsid w:val="00145519"/>
    <w:rsid w:val="00146A1A"/>
    <w:rsid w:val="00151247"/>
    <w:rsid w:val="00152ADE"/>
    <w:rsid w:val="00153302"/>
    <w:rsid w:val="001551E8"/>
    <w:rsid w:val="0015656F"/>
    <w:rsid w:val="001571A9"/>
    <w:rsid w:val="00162487"/>
    <w:rsid w:val="00163419"/>
    <w:rsid w:val="00163B44"/>
    <w:rsid w:val="0016744A"/>
    <w:rsid w:val="001715AA"/>
    <w:rsid w:val="001718F3"/>
    <w:rsid w:val="00172FCD"/>
    <w:rsid w:val="0017331C"/>
    <w:rsid w:val="00175FF0"/>
    <w:rsid w:val="0017702B"/>
    <w:rsid w:val="0017729D"/>
    <w:rsid w:val="00177378"/>
    <w:rsid w:val="001850DE"/>
    <w:rsid w:val="00185131"/>
    <w:rsid w:val="00190028"/>
    <w:rsid w:val="00193389"/>
    <w:rsid w:val="00193A62"/>
    <w:rsid w:val="001A13E5"/>
    <w:rsid w:val="001A16F4"/>
    <w:rsid w:val="001A5AA5"/>
    <w:rsid w:val="001B1B1F"/>
    <w:rsid w:val="001B41A0"/>
    <w:rsid w:val="001B65FD"/>
    <w:rsid w:val="001C1B25"/>
    <w:rsid w:val="001C2065"/>
    <w:rsid w:val="001C5A62"/>
    <w:rsid w:val="001C60F8"/>
    <w:rsid w:val="001C6392"/>
    <w:rsid w:val="001C7E9F"/>
    <w:rsid w:val="001D2708"/>
    <w:rsid w:val="001D32E6"/>
    <w:rsid w:val="001D6176"/>
    <w:rsid w:val="001D722E"/>
    <w:rsid w:val="001D7EF6"/>
    <w:rsid w:val="001E06E4"/>
    <w:rsid w:val="001E12C2"/>
    <w:rsid w:val="001E6296"/>
    <w:rsid w:val="001F08B9"/>
    <w:rsid w:val="001F20B0"/>
    <w:rsid w:val="001F2DD9"/>
    <w:rsid w:val="001F7190"/>
    <w:rsid w:val="002013CF"/>
    <w:rsid w:val="0020182A"/>
    <w:rsid w:val="00203CEE"/>
    <w:rsid w:val="00204436"/>
    <w:rsid w:val="00205840"/>
    <w:rsid w:val="0020731A"/>
    <w:rsid w:val="002104EE"/>
    <w:rsid w:val="00211CC8"/>
    <w:rsid w:val="00216B6E"/>
    <w:rsid w:val="00217335"/>
    <w:rsid w:val="00217EE0"/>
    <w:rsid w:val="002215B3"/>
    <w:rsid w:val="00222A00"/>
    <w:rsid w:val="002233DD"/>
    <w:rsid w:val="00223D00"/>
    <w:rsid w:val="002252D5"/>
    <w:rsid w:val="002273E7"/>
    <w:rsid w:val="002306A7"/>
    <w:rsid w:val="002316E4"/>
    <w:rsid w:val="00233AC1"/>
    <w:rsid w:val="00234142"/>
    <w:rsid w:val="002351C9"/>
    <w:rsid w:val="002360FF"/>
    <w:rsid w:val="002372BD"/>
    <w:rsid w:val="002372FC"/>
    <w:rsid w:val="00244AC5"/>
    <w:rsid w:val="00244C4D"/>
    <w:rsid w:val="0024699F"/>
    <w:rsid w:val="00247B2B"/>
    <w:rsid w:val="002506ED"/>
    <w:rsid w:val="00251DCF"/>
    <w:rsid w:val="00251F6E"/>
    <w:rsid w:val="00253BEC"/>
    <w:rsid w:val="00255A6C"/>
    <w:rsid w:val="00255BCD"/>
    <w:rsid w:val="0025716B"/>
    <w:rsid w:val="002622A7"/>
    <w:rsid w:val="00262EF9"/>
    <w:rsid w:val="00264835"/>
    <w:rsid w:val="00264AD6"/>
    <w:rsid w:val="00264F9A"/>
    <w:rsid w:val="002672D5"/>
    <w:rsid w:val="002704A7"/>
    <w:rsid w:val="00275643"/>
    <w:rsid w:val="002757FC"/>
    <w:rsid w:val="002764CC"/>
    <w:rsid w:val="0027701E"/>
    <w:rsid w:val="00277D6E"/>
    <w:rsid w:val="00283739"/>
    <w:rsid w:val="002839B9"/>
    <w:rsid w:val="00284333"/>
    <w:rsid w:val="00285F10"/>
    <w:rsid w:val="00287CE1"/>
    <w:rsid w:val="00290960"/>
    <w:rsid w:val="0029112D"/>
    <w:rsid w:val="00291B7B"/>
    <w:rsid w:val="00293B30"/>
    <w:rsid w:val="00294973"/>
    <w:rsid w:val="0029601C"/>
    <w:rsid w:val="002A2D96"/>
    <w:rsid w:val="002A2F0B"/>
    <w:rsid w:val="002A44C1"/>
    <w:rsid w:val="002B0257"/>
    <w:rsid w:val="002B5827"/>
    <w:rsid w:val="002B781F"/>
    <w:rsid w:val="002C022C"/>
    <w:rsid w:val="002C3171"/>
    <w:rsid w:val="002C456F"/>
    <w:rsid w:val="002C5834"/>
    <w:rsid w:val="002C6B3B"/>
    <w:rsid w:val="002C7161"/>
    <w:rsid w:val="002C742D"/>
    <w:rsid w:val="002D014E"/>
    <w:rsid w:val="002D695C"/>
    <w:rsid w:val="002E0AA3"/>
    <w:rsid w:val="002E20FA"/>
    <w:rsid w:val="002E214C"/>
    <w:rsid w:val="002E328D"/>
    <w:rsid w:val="002E5124"/>
    <w:rsid w:val="002E620C"/>
    <w:rsid w:val="002E62E6"/>
    <w:rsid w:val="002E6567"/>
    <w:rsid w:val="002E68BD"/>
    <w:rsid w:val="002F2BAD"/>
    <w:rsid w:val="002F40D6"/>
    <w:rsid w:val="0030013E"/>
    <w:rsid w:val="00301E43"/>
    <w:rsid w:val="003022A2"/>
    <w:rsid w:val="003038FE"/>
    <w:rsid w:val="00303CC5"/>
    <w:rsid w:val="00305E09"/>
    <w:rsid w:val="00306333"/>
    <w:rsid w:val="003102C4"/>
    <w:rsid w:val="00312271"/>
    <w:rsid w:val="0031606A"/>
    <w:rsid w:val="003162C6"/>
    <w:rsid w:val="0031630B"/>
    <w:rsid w:val="00316310"/>
    <w:rsid w:val="00316E3A"/>
    <w:rsid w:val="00317B69"/>
    <w:rsid w:val="003201A2"/>
    <w:rsid w:val="00320EB6"/>
    <w:rsid w:val="003245E8"/>
    <w:rsid w:val="00324E02"/>
    <w:rsid w:val="00326B4C"/>
    <w:rsid w:val="00342ACF"/>
    <w:rsid w:val="00346A72"/>
    <w:rsid w:val="00350340"/>
    <w:rsid w:val="00350BAB"/>
    <w:rsid w:val="0035403F"/>
    <w:rsid w:val="00355518"/>
    <w:rsid w:val="00356C48"/>
    <w:rsid w:val="00357916"/>
    <w:rsid w:val="00357FF0"/>
    <w:rsid w:val="003601BB"/>
    <w:rsid w:val="00360281"/>
    <w:rsid w:val="00360492"/>
    <w:rsid w:val="00360AF1"/>
    <w:rsid w:val="00361E5C"/>
    <w:rsid w:val="00363519"/>
    <w:rsid w:val="00363E56"/>
    <w:rsid w:val="00370147"/>
    <w:rsid w:val="00371A3C"/>
    <w:rsid w:val="00372795"/>
    <w:rsid w:val="00373C2F"/>
    <w:rsid w:val="00376017"/>
    <w:rsid w:val="003767EC"/>
    <w:rsid w:val="00377D01"/>
    <w:rsid w:val="003809AB"/>
    <w:rsid w:val="00381B79"/>
    <w:rsid w:val="00381E25"/>
    <w:rsid w:val="00384D1E"/>
    <w:rsid w:val="00385052"/>
    <w:rsid w:val="00385D52"/>
    <w:rsid w:val="00390AA7"/>
    <w:rsid w:val="003911FF"/>
    <w:rsid w:val="0039174D"/>
    <w:rsid w:val="00394794"/>
    <w:rsid w:val="00394BF9"/>
    <w:rsid w:val="00396F58"/>
    <w:rsid w:val="003A1594"/>
    <w:rsid w:val="003A20FF"/>
    <w:rsid w:val="003A3347"/>
    <w:rsid w:val="003A3E7C"/>
    <w:rsid w:val="003A4B0E"/>
    <w:rsid w:val="003A5740"/>
    <w:rsid w:val="003A58E3"/>
    <w:rsid w:val="003A5B8B"/>
    <w:rsid w:val="003A62E7"/>
    <w:rsid w:val="003A6A6C"/>
    <w:rsid w:val="003B4176"/>
    <w:rsid w:val="003C07DC"/>
    <w:rsid w:val="003C0E2C"/>
    <w:rsid w:val="003C1CC8"/>
    <w:rsid w:val="003C30AE"/>
    <w:rsid w:val="003C40B6"/>
    <w:rsid w:val="003C4190"/>
    <w:rsid w:val="003C472A"/>
    <w:rsid w:val="003C6B12"/>
    <w:rsid w:val="003C6F49"/>
    <w:rsid w:val="003D0F4D"/>
    <w:rsid w:val="003D1443"/>
    <w:rsid w:val="003D19C2"/>
    <w:rsid w:val="003D3514"/>
    <w:rsid w:val="003D4568"/>
    <w:rsid w:val="003D5CFC"/>
    <w:rsid w:val="003E132B"/>
    <w:rsid w:val="003E750D"/>
    <w:rsid w:val="003F01FD"/>
    <w:rsid w:val="003F18DF"/>
    <w:rsid w:val="003F20EF"/>
    <w:rsid w:val="003F2A24"/>
    <w:rsid w:val="003F2D39"/>
    <w:rsid w:val="003F414A"/>
    <w:rsid w:val="003F7423"/>
    <w:rsid w:val="00400D37"/>
    <w:rsid w:val="00401349"/>
    <w:rsid w:val="0040509E"/>
    <w:rsid w:val="0040571F"/>
    <w:rsid w:val="00406218"/>
    <w:rsid w:val="00410551"/>
    <w:rsid w:val="00413248"/>
    <w:rsid w:val="00413D7D"/>
    <w:rsid w:val="00417AE5"/>
    <w:rsid w:val="00421CCD"/>
    <w:rsid w:val="00421D0A"/>
    <w:rsid w:val="0042533F"/>
    <w:rsid w:val="00425F7D"/>
    <w:rsid w:val="00426CEC"/>
    <w:rsid w:val="00430234"/>
    <w:rsid w:val="00432B30"/>
    <w:rsid w:val="0043374D"/>
    <w:rsid w:val="00434AFF"/>
    <w:rsid w:val="004408C7"/>
    <w:rsid w:val="00441A03"/>
    <w:rsid w:val="00441C20"/>
    <w:rsid w:val="00446C8E"/>
    <w:rsid w:val="00446DC6"/>
    <w:rsid w:val="00451037"/>
    <w:rsid w:val="004525A5"/>
    <w:rsid w:val="004563F7"/>
    <w:rsid w:val="004608B6"/>
    <w:rsid w:val="004613F4"/>
    <w:rsid w:val="00461445"/>
    <w:rsid w:val="00461B6F"/>
    <w:rsid w:val="0046239C"/>
    <w:rsid w:val="004626C9"/>
    <w:rsid w:val="00463F97"/>
    <w:rsid w:val="00464ADD"/>
    <w:rsid w:val="004654FA"/>
    <w:rsid w:val="004655BE"/>
    <w:rsid w:val="00467F47"/>
    <w:rsid w:val="00472327"/>
    <w:rsid w:val="0047461D"/>
    <w:rsid w:val="00481492"/>
    <w:rsid w:val="0048426C"/>
    <w:rsid w:val="00485A46"/>
    <w:rsid w:val="004866E5"/>
    <w:rsid w:val="00487189"/>
    <w:rsid w:val="004872DF"/>
    <w:rsid w:val="0049047D"/>
    <w:rsid w:val="00491E45"/>
    <w:rsid w:val="00494623"/>
    <w:rsid w:val="0049615D"/>
    <w:rsid w:val="004972DE"/>
    <w:rsid w:val="004A08E2"/>
    <w:rsid w:val="004A2B53"/>
    <w:rsid w:val="004A3F32"/>
    <w:rsid w:val="004B0EDB"/>
    <w:rsid w:val="004B1B12"/>
    <w:rsid w:val="004B1C39"/>
    <w:rsid w:val="004B23C9"/>
    <w:rsid w:val="004B2533"/>
    <w:rsid w:val="004B3F2E"/>
    <w:rsid w:val="004B6163"/>
    <w:rsid w:val="004B6DC8"/>
    <w:rsid w:val="004B77A8"/>
    <w:rsid w:val="004C0BD2"/>
    <w:rsid w:val="004C1E30"/>
    <w:rsid w:val="004C3103"/>
    <w:rsid w:val="004C3F18"/>
    <w:rsid w:val="004C4491"/>
    <w:rsid w:val="004C4901"/>
    <w:rsid w:val="004C5364"/>
    <w:rsid w:val="004C6D24"/>
    <w:rsid w:val="004D0067"/>
    <w:rsid w:val="004D1801"/>
    <w:rsid w:val="004D24DE"/>
    <w:rsid w:val="004D4B90"/>
    <w:rsid w:val="004E05CB"/>
    <w:rsid w:val="004E0F95"/>
    <w:rsid w:val="004E18B5"/>
    <w:rsid w:val="004E1EEB"/>
    <w:rsid w:val="004E286C"/>
    <w:rsid w:val="004E38A9"/>
    <w:rsid w:val="004E6D4C"/>
    <w:rsid w:val="004E72E7"/>
    <w:rsid w:val="004E793A"/>
    <w:rsid w:val="004E7B4A"/>
    <w:rsid w:val="004F409D"/>
    <w:rsid w:val="004F6301"/>
    <w:rsid w:val="005004FB"/>
    <w:rsid w:val="00501B4D"/>
    <w:rsid w:val="00502D19"/>
    <w:rsid w:val="00503EAF"/>
    <w:rsid w:val="005045C2"/>
    <w:rsid w:val="00504656"/>
    <w:rsid w:val="00505CAA"/>
    <w:rsid w:val="0050659B"/>
    <w:rsid w:val="00506FC0"/>
    <w:rsid w:val="00511E93"/>
    <w:rsid w:val="00515CDC"/>
    <w:rsid w:val="00516BB3"/>
    <w:rsid w:val="00521975"/>
    <w:rsid w:val="00521FDC"/>
    <w:rsid w:val="00526B14"/>
    <w:rsid w:val="00526CC1"/>
    <w:rsid w:val="00526D3E"/>
    <w:rsid w:val="005307CD"/>
    <w:rsid w:val="00530862"/>
    <w:rsid w:val="0053214A"/>
    <w:rsid w:val="005354FD"/>
    <w:rsid w:val="00535524"/>
    <w:rsid w:val="0054001F"/>
    <w:rsid w:val="005400F9"/>
    <w:rsid w:val="00540574"/>
    <w:rsid w:val="005405E8"/>
    <w:rsid w:val="005410D8"/>
    <w:rsid w:val="00543353"/>
    <w:rsid w:val="0054390F"/>
    <w:rsid w:val="00544EBF"/>
    <w:rsid w:val="00544ED5"/>
    <w:rsid w:val="00547EF9"/>
    <w:rsid w:val="00551E71"/>
    <w:rsid w:val="005525EF"/>
    <w:rsid w:val="00552E6F"/>
    <w:rsid w:val="0055440E"/>
    <w:rsid w:val="005553A3"/>
    <w:rsid w:val="005555E8"/>
    <w:rsid w:val="00557FC2"/>
    <w:rsid w:val="005648F0"/>
    <w:rsid w:val="0056499B"/>
    <w:rsid w:val="00565D0F"/>
    <w:rsid w:val="00566732"/>
    <w:rsid w:val="005672C0"/>
    <w:rsid w:val="00567DFA"/>
    <w:rsid w:val="005708C3"/>
    <w:rsid w:val="00570FBF"/>
    <w:rsid w:val="00571DFC"/>
    <w:rsid w:val="00574DF1"/>
    <w:rsid w:val="00575134"/>
    <w:rsid w:val="005754FA"/>
    <w:rsid w:val="005761A9"/>
    <w:rsid w:val="005764E5"/>
    <w:rsid w:val="005768A3"/>
    <w:rsid w:val="00582EF2"/>
    <w:rsid w:val="00585EC7"/>
    <w:rsid w:val="00590827"/>
    <w:rsid w:val="0059109C"/>
    <w:rsid w:val="00592808"/>
    <w:rsid w:val="00593359"/>
    <w:rsid w:val="005A0E79"/>
    <w:rsid w:val="005A0F7F"/>
    <w:rsid w:val="005A2421"/>
    <w:rsid w:val="005A3517"/>
    <w:rsid w:val="005A47D7"/>
    <w:rsid w:val="005A4E20"/>
    <w:rsid w:val="005A5471"/>
    <w:rsid w:val="005A5514"/>
    <w:rsid w:val="005A59A6"/>
    <w:rsid w:val="005A7CA6"/>
    <w:rsid w:val="005B421A"/>
    <w:rsid w:val="005B5450"/>
    <w:rsid w:val="005B6D9F"/>
    <w:rsid w:val="005C09D5"/>
    <w:rsid w:val="005C1A22"/>
    <w:rsid w:val="005C383B"/>
    <w:rsid w:val="005C4BDA"/>
    <w:rsid w:val="005C574C"/>
    <w:rsid w:val="005D0E70"/>
    <w:rsid w:val="005D1460"/>
    <w:rsid w:val="005D1F35"/>
    <w:rsid w:val="005D2FE4"/>
    <w:rsid w:val="005D30B7"/>
    <w:rsid w:val="005D335A"/>
    <w:rsid w:val="005D367F"/>
    <w:rsid w:val="005D5ED0"/>
    <w:rsid w:val="005D5FC0"/>
    <w:rsid w:val="005D6E98"/>
    <w:rsid w:val="005E2A30"/>
    <w:rsid w:val="005E3F1D"/>
    <w:rsid w:val="005E4BC3"/>
    <w:rsid w:val="005E71AE"/>
    <w:rsid w:val="005E77AC"/>
    <w:rsid w:val="005F0F2A"/>
    <w:rsid w:val="005F2E34"/>
    <w:rsid w:val="005F4D21"/>
    <w:rsid w:val="005F6C8C"/>
    <w:rsid w:val="005F72F9"/>
    <w:rsid w:val="00601FAB"/>
    <w:rsid w:val="00605155"/>
    <w:rsid w:val="00606E1C"/>
    <w:rsid w:val="00607C98"/>
    <w:rsid w:val="0061016A"/>
    <w:rsid w:val="00612129"/>
    <w:rsid w:val="00612CC4"/>
    <w:rsid w:val="006137C7"/>
    <w:rsid w:val="006142D5"/>
    <w:rsid w:val="006165F2"/>
    <w:rsid w:val="00621531"/>
    <w:rsid w:val="00624093"/>
    <w:rsid w:val="006250A7"/>
    <w:rsid w:val="00627783"/>
    <w:rsid w:val="00627EAA"/>
    <w:rsid w:val="006323D1"/>
    <w:rsid w:val="006376F0"/>
    <w:rsid w:val="00637942"/>
    <w:rsid w:val="006416AC"/>
    <w:rsid w:val="006433C3"/>
    <w:rsid w:val="00644B89"/>
    <w:rsid w:val="00650B72"/>
    <w:rsid w:val="00650EA4"/>
    <w:rsid w:val="006516BA"/>
    <w:rsid w:val="0065349F"/>
    <w:rsid w:val="006543BE"/>
    <w:rsid w:val="00654BA2"/>
    <w:rsid w:val="00656DCB"/>
    <w:rsid w:val="00661078"/>
    <w:rsid w:val="00661CED"/>
    <w:rsid w:val="006627E1"/>
    <w:rsid w:val="00662AD9"/>
    <w:rsid w:val="006631B9"/>
    <w:rsid w:val="006637D1"/>
    <w:rsid w:val="00664578"/>
    <w:rsid w:val="00665E6A"/>
    <w:rsid w:val="0066754B"/>
    <w:rsid w:val="0067431A"/>
    <w:rsid w:val="006750B3"/>
    <w:rsid w:val="006762DC"/>
    <w:rsid w:val="00681FB4"/>
    <w:rsid w:val="0069234F"/>
    <w:rsid w:val="00696817"/>
    <w:rsid w:val="006A1B9E"/>
    <w:rsid w:val="006A28D2"/>
    <w:rsid w:val="006A2C6F"/>
    <w:rsid w:val="006A4EA8"/>
    <w:rsid w:val="006A71E3"/>
    <w:rsid w:val="006B223E"/>
    <w:rsid w:val="006B2A35"/>
    <w:rsid w:val="006B3F67"/>
    <w:rsid w:val="006B4A06"/>
    <w:rsid w:val="006B632B"/>
    <w:rsid w:val="006B6962"/>
    <w:rsid w:val="006B7645"/>
    <w:rsid w:val="006B7E37"/>
    <w:rsid w:val="006C0674"/>
    <w:rsid w:val="006C1347"/>
    <w:rsid w:val="006C2E48"/>
    <w:rsid w:val="006C315D"/>
    <w:rsid w:val="006C39BE"/>
    <w:rsid w:val="006C4413"/>
    <w:rsid w:val="006C4D82"/>
    <w:rsid w:val="006C581B"/>
    <w:rsid w:val="006C61CD"/>
    <w:rsid w:val="006C6F31"/>
    <w:rsid w:val="006C739B"/>
    <w:rsid w:val="006D3196"/>
    <w:rsid w:val="006D4269"/>
    <w:rsid w:val="006D457D"/>
    <w:rsid w:val="006D6423"/>
    <w:rsid w:val="006D6AC5"/>
    <w:rsid w:val="006D741A"/>
    <w:rsid w:val="006D7692"/>
    <w:rsid w:val="006E0052"/>
    <w:rsid w:val="006E309D"/>
    <w:rsid w:val="006E386D"/>
    <w:rsid w:val="006E496D"/>
    <w:rsid w:val="006F35E8"/>
    <w:rsid w:val="006F64BB"/>
    <w:rsid w:val="006F661D"/>
    <w:rsid w:val="0070209D"/>
    <w:rsid w:val="00702B82"/>
    <w:rsid w:val="007031BC"/>
    <w:rsid w:val="00704453"/>
    <w:rsid w:val="0070534F"/>
    <w:rsid w:val="00706F34"/>
    <w:rsid w:val="00710266"/>
    <w:rsid w:val="00711A2D"/>
    <w:rsid w:val="007120F8"/>
    <w:rsid w:val="007130A7"/>
    <w:rsid w:val="00713D04"/>
    <w:rsid w:val="0071725C"/>
    <w:rsid w:val="00721497"/>
    <w:rsid w:val="0072276D"/>
    <w:rsid w:val="00723D3C"/>
    <w:rsid w:val="00725B07"/>
    <w:rsid w:val="00727122"/>
    <w:rsid w:val="007316D0"/>
    <w:rsid w:val="0073322D"/>
    <w:rsid w:val="007336C6"/>
    <w:rsid w:val="00740AFE"/>
    <w:rsid w:val="00741839"/>
    <w:rsid w:val="00742A7B"/>
    <w:rsid w:val="00742F90"/>
    <w:rsid w:val="00743284"/>
    <w:rsid w:val="00743B77"/>
    <w:rsid w:val="00743EA9"/>
    <w:rsid w:val="0074550C"/>
    <w:rsid w:val="00747B17"/>
    <w:rsid w:val="007515BF"/>
    <w:rsid w:val="00752FDD"/>
    <w:rsid w:val="007536FB"/>
    <w:rsid w:val="00755E0C"/>
    <w:rsid w:val="00755F8B"/>
    <w:rsid w:val="00756C3D"/>
    <w:rsid w:val="0075797B"/>
    <w:rsid w:val="00757D84"/>
    <w:rsid w:val="00762DBA"/>
    <w:rsid w:val="007634C5"/>
    <w:rsid w:val="00763C30"/>
    <w:rsid w:val="00764E9C"/>
    <w:rsid w:val="00764FE9"/>
    <w:rsid w:val="0076526B"/>
    <w:rsid w:val="00767A41"/>
    <w:rsid w:val="00771DA7"/>
    <w:rsid w:val="0077236F"/>
    <w:rsid w:val="00773D37"/>
    <w:rsid w:val="0077449F"/>
    <w:rsid w:val="00774AA9"/>
    <w:rsid w:val="0077569C"/>
    <w:rsid w:val="0077714C"/>
    <w:rsid w:val="00777582"/>
    <w:rsid w:val="00783137"/>
    <w:rsid w:val="007929D0"/>
    <w:rsid w:val="007942B3"/>
    <w:rsid w:val="0079660E"/>
    <w:rsid w:val="007A261E"/>
    <w:rsid w:val="007A5597"/>
    <w:rsid w:val="007B1A57"/>
    <w:rsid w:val="007C04B4"/>
    <w:rsid w:val="007C09E2"/>
    <w:rsid w:val="007C139C"/>
    <w:rsid w:val="007C1F27"/>
    <w:rsid w:val="007C217D"/>
    <w:rsid w:val="007C5E3A"/>
    <w:rsid w:val="007C6208"/>
    <w:rsid w:val="007C701F"/>
    <w:rsid w:val="007D0C81"/>
    <w:rsid w:val="007D310C"/>
    <w:rsid w:val="007D4300"/>
    <w:rsid w:val="007D78AF"/>
    <w:rsid w:val="007E0131"/>
    <w:rsid w:val="007E0C8C"/>
    <w:rsid w:val="007E0D9C"/>
    <w:rsid w:val="007E1090"/>
    <w:rsid w:val="007E1DFF"/>
    <w:rsid w:val="007E23D9"/>
    <w:rsid w:val="007E57E0"/>
    <w:rsid w:val="007E7BF6"/>
    <w:rsid w:val="007F0FC2"/>
    <w:rsid w:val="007F2C0E"/>
    <w:rsid w:val="00801161"/>
    <w:rsid w:val="00801721"/>
    <w:rsid w:val="00804ECF"/>
    <w:rsid w:val="008058EA"/>
    <w:rsid w:val="00805FDE"/>
    <w:rsid w:val="00806737"/>
    <w:rsid w:val="00807168"/>
    <w:rsid w:val="00807338"/>
    <w:rsid w:val="008074D8"/>
    <w:rsid w:val="00807B1B"/>
    <w:rsid w:val="0081240A"/>
    <w:rsid w:val="00813356"/>
    <w:rsid w:val="0081364B"/>
    <w:rsid w:val="00815019"/>
    <w:rsid w:val="00815BF1"/>
    <w:rsid w:val="00820482"/>
    <w:rsid w:val="00821FAB"/>
    <w:rsid w:val="008224A9"/>
    <w:rsid w:val="00826506"/>
    <w:rsid w:val="00827CCA"/>
    <w:rsid w:val="00830BDB"/>
    <w:rsid w:val="00835EFB"/>
    <w:rsid w:val="008368DD"/>
    <w:rsid w:val="00844286"/>
    <w:rsid w:val="00845AB5"/>
    <w:rsid w:val="00845FF7"/>
    <w:rsid w:val="00846C65"/>
    <w:rsid w:val="0085165A"/>
    <w:rsid w:val="00851F49"/>
    <w:rsid w:val="00851F7D"/>
    <w:rsid w:val="00854C34"/>
    <w:rsid w:val="0085546A"/>
    <w:rsid w:val="00856378"/>
    <w:rsid w:val="00860227"/>
    <w:rsid w:val="00860A83"/>
    <w:rsid w:val="00862E8D"/>
    <w:rsid w:val="00864607"/>
    <w:rsid w:val="00864EAA"/>
    <w:rsid w:val="00866788"/>
    <w:rsid w:val="00867D73"/>
    <w:rsid w:val="0087603C"/>
    <w:rsid w:val="00877267"/>
    <w:rsid w:val="008813A2"/>
    <w:rsid w:val="00883D42"/>
    <w:rsid w:val="00884E18"/>
    <w:rsid w:val="0088573B"/>
    <w:rsid w:val="0089266D"/>
    <w:rsid w:val="008942AD"/>
    <w:rsid w:val="008955E5"/>
    <w:rsid w:val="00895A9B"/>
    <w:rsid w:val="008A0268"/>
    <w:rsid w:val="008A2654"/>
    <w:rsid w:val="008A2748"/>
    <w:rsid w:val="008A4EFF"/>
    <w:rsid w:val="008A6E2A"/>
    <w:rsid w:val="008A7D7A"/>
    <w:rsid w:val="008B1B1E"/>
    <w:rsid w:val="008B36D0"/>
    <w:rsid w:val="008B3776"/>
    <w:rsid w:val="008B39E1"/>
    <w:rsid w:val="008B3E84"/>
    <w:rsid w:val="008C02D9"/>
    <w:rsid w:val="008C04FD"/>
    <w:rsid w:val="008C1691"/>
    <w:rsid w:val="008C2905"/>
    <w:rsid w:val="008C479C"/>
    <w:rsid w:val="008C545C"/>
    <w:rsid w:val="008C760B"/>
    <w:rsid w:val="008D10DA"/>
    <w:rsid w:val="008D24B4"/>
    <w:rsid w:val="008D3F91"/>
    <w:rsid w:val="008D5D04"/>
    <w:rsid w:val="008E08D8"/>
    <w:rsid w:val="008E2A48"/>
    <w:rsid w:val="008E309D"/>
    <w:rsid w:val="008E35E6"/>
    <w:rsid w:val="008E454F"/>
    <w:rsid w:val="008E4677"/>
    <w:rsid w:val="008E5088"/>
    <w:rsid w:val="008E5D9A"/>
    <w:rsid w:val="008E7E50"/>
    <w:rsid w:val="008F1A16"/>
    <w:rsid w:val="008F33D9"/>
    <w:rsid w:val="008F5F14"/>
    <w:rsid w:val="008F68C3"/>
    <w:rsid w:val="00903423"/>
    <w:rsid w:val="00903B7B"/>
    <w:rsid w:val="00904A7A"/>
    <w:rsid w:val="009076FA"/>
    <w:rsid w:val="00911902"/>
    <w:rsid w:val="009134B5"/>
    <w:rsid w:val="00917C3A"/>
    <w:rsid w:val="00923AE3"/>
    <w:rsid w:val="00924A49"/>
    <w:rsid w:val="00925A73"/>
    <w:rsid w:val="00925E3C"/>
    <w:rsid w:val="00926600"/>
    <w:rsid w:val="00926C88"/>
    <w:rsid w:val="009270FB"/>
    <w:rsid w:val="009309A8"/>
    <w:rsid w:val="00931530"/>
    <w:rsid w:val="00932795"/>
    <w:rsid w:val="0093476F"/>
    <w:rsid w:val="00934C1B"/>
    <w:rsid w:val="0093558B"/>
    <w:rsid w:val="00937B6F"/>
    <w:rsid w:val="0094162F"/>
    <w:rsid w:val="00943D20"/>
    <w:rsid w:val="00944C5D"/>
    <w:rsid w:val="009456E6"/>
    <w:rsid w:val="00945B19"/>
    <w:rsid w:val="00945BC2"/>
    <w:rsid w:val="00947CAD"/>
    <w:rsid w:val="00952656"/>
    <w:rsid w:val="00960DFA"/>
    <w:rsid w:val="009633A2"/>
    <w:rsid w:val="00963988"/>
    <w:rsid w:val="00963F5C"/>
    <w:rsid w:val="009656D3"/>
    <w:rsid w:val="00965F6F"/>
    <w:rsid w:val="00966D69"/>
    <w:rsid w:val="009709DB"/>
    <w:rsid w:val="00970EED"/>
    <w:rsid w:val="00971B39"/>
    <w:rsid w:val="00975B88"/>
    <w:rsid w:val="00976E23"/>
    <w:rsid w:val="00981492"/>
    <w:rsid w:val="00983193"/>
    <w:rsid w:val="00983356"/>
    <w:rsid w:val="00985DEA"/>
    <w:rsid w:val="00985F26"/>
    <w:rsid w:val="00987638"/>
    <w:rsid w:val="00990170"/>
    <w:rsid w:val="00990606"/>
    <w:rsid w:val="00995624"/>
    <w:rsid w:val="00997788"/>
    <w:rsid w:val="0099778F"/>
    <w:rsid w:val="009A016F"/>
    <w:rsid w:val="009A1B93"/>
    <w:rsid w:val="009A1C4B"/>
    <w:rsid w:val="009A41D1"/>
    <w:rsid w:val="009A485A"/>
    <w:rsid w:val="009A49D5"/>
    <w:rsid w:val="009A6790"/>
    <w:rsid w:val="009A7D7F"/>
    <w:rsid w:val="009B006C"/>
    <w:rsid w:val="009B07FD"/>
    <w:rsid w:val="009B2874"/>
    <w:rsid w:val="009B3D12"/>
    <w:rsid w:val="009B43EC"/>
    <w:rsid w:val="009B56F3"/>
    <w:rsid w:val="009B5EE7"/>
    <w:rsid w:val="009B671C"/>
    <w:rsid w:val="009B7952"/>
    <w:rsid w:val="009C315A"/>
    <w:rsid w:val="009C3CFC"/>
    <w:rsid w:val="009C3E33"/>
    <w:rsid w:val="009C5B66"/>
    <w:rsid w:val="009C7581"/>
    <w:rsid w:val="009C7C7C"/>
    <w:rsid w:val="009C7ECF"/>
    <w:rsid w:val="009D23B9"/>
    <w:rsid w:val="009D3F17"/>
    <w:rsid w:val="009D5A51"/>
    <w:rsid w:val="009D66D1"/>
    <w:rsid w:val="009E0A81"/>
    <w:rsid w:val="009E1AA7"/>
    <w:rsid w:val="009E3BAD"/>
    <w:rsid w:val="009E423A"/>
    <w:rsid w:val="009E4C3F"/>
    <w:rsid w:val="009E5718"/>
    <w:rsid w:val="009E6D1E"/>
    <w:rsid w:val="009F00C6"/>
    <w:rsid w:val="009F1219"/>
    <w:rsid w:val="009F1FFF"/>
    <w:rsid w:val="009F46E4"/>
    <w:rsid w:val="009F53F3"/>
    <w:rsid w:val="00A02589"/>
    <w:rsid w:val="00A074CA"/>
    <w:rsid w:val="00A079E3"/>
    <w:rsid w:val="00A10681"/>
    <w:rsid w:val="00A1242A"/>
    <w:rsid w:val="00A1325C"/>
    <w:rsid w:val="00A13273"/>
    <w:rsid w:val="00A145B9"/>
    <w:rsid w:val="00A15905"/>
    <w:rsid w:val="00A16CB9"/>
    <w:rsid w:val="00A2051C"/>
    <w:rsid w:val="00A20571"/>
    <w:rsid w:val="00A21788"/>
    <w:rsid w:val="00A233CC"/>
    <w:rsid w:val="00A23757"/>
    <w:rsid w:val="00A24002"/>
    <w:rsid w:val="00A24A42"/>
    <w:rsid w:val="00A3005E"/>
    <w:rsid w:val="00A304C5"/>
    <w:rsid w:val="00A307C6"/>
    <w:rsid w:val="00A31C65"/>
    <w:rsid w:val="00A32A28"/>
    <w:rsid w:val="00A33310"/>
    <w:rsid w:val="00A3344D"/>
    <w:rsid w:val="00A3371E"/>
    <w:rsid w:val="00A354DC"/>
    <w:rsid w:val="00A41136"/>
    <w:rsid w:val="00A413BF"/>
    <w:rsid w:val="00A434EC"/>
    <w:rsid w:val="00A441C1"/>
    <w:rsid w:val="00A44BC6"/>
    <w:rsid w:val="00A454E6"/>
    <w:rsid w:val="00A45EC5"/>
    <w:rsid w:val="00A472E4"/>
    <w:rsid w:val="00A47FEB"/>
    <w:rsid w:val="00A50415"/>
    <w:rsid w:val="00A5501F"/>
    <w:rsid w:val="00A61A39"/>
    <w:rsid w:val="00A62CD6"/>
    <w:rsid w:val="00A74B74"/>
    <w:rsid w:val="00A755FF"/>
    <w:rsid w:val="00A76091"/>
    <w:rsid w:val="00A77801"/>
    <w:rsid w:val="00A80151"/>
    <w:rsid w:val="00A810B9"/>
    <w:rsid w:val="00A8445F"/>
    <w:rsid w:val="00A9002E"/>
    <w:rsid w:val="00A907D4"/>
    <w:rsid w:val="00A913DB"/>
    <w:rsid w:val="00A91C8D"/>
    <w:rsid w:val="00A93652"/>
    <w:rsid w:val="00A96BF5"/>
    <w:rsid w:val="00A97A7B"/>
    <w:rsid w:val="00AA41F3"/>
    <w:rsid w:val="00AA557E"/>
    <w:rsid w:val="00AA6C26"/>
    <w:rsid w:val="00AA6D1C"/>
    <w:rsid w:val="00AB1643"/>
    <w:rsid w:val="00AB24F3"/>
    <w:rsid w:val="00AB2D98"/>
    <w:rsid w:val="00AB34AE"/>
    <w:rsid w:val="00AB37DA"/>
    <w:rsid w:val="00AB3FEA"/>
    <w:rsid w:val="00AB49B7"/>
    <w:rsid w:val="00AC23C9"/>
    <w:rsid w:val="00AC3968"/>
    <w:rsid w:val="00AC4218"/>
    <w:rsid w:val="00AC515D"/>
    <w:rsid w:val="00AC71F2"/>
    <w:rsid w:val="00AD2258"/>
    <w:rsid w:val="00AD5D9B"/>
    <w:rsid w:val="00AD6B3C"/>
    <w:rsid w:val="00AD70B5"/>
    <w:rsid w:val="00AD74D6"/>
    <w:rsid w:val="00AE189F"/>
    <w:rsid w:val="00AE32ED"/>
    <w:rsid w:val="00AE5C4A"/>
    <w:rsid w:val="00AE5E7D"/>
    <w:rsid w:val="00AF059B"/>
    <w:rsid w:val="00AF53ED"/>
    <w:rsid w:val="00AF74E3"/>
    <w:rsid w:val="00B0112B"/>
    <w:rsid w:val="00B03670"/>
    <w:rsid w:val="00B05F05"/>
    <w:rsid w:val="00B0647F"/>
    <w:rsid w:val="00B070E4"/>
    <w:rsid w:val="00B111BB"/>
    <w:rsid w:val="00B11F02"/>
    <w:rsid w:val="00B12F12"/>
    <w:rsid w:val="00B14A1F"/>
    <w:rsid w:val="00B1561D"/>
    <w:rsid w:val="00B15D32"/>
    <w:rsid w:val="00B1708B"/>
    <w:rsid w:val="00B17522"/>
    <w:rsid w:val="00B17C56"/>
    <w:rsid w:val="00B20662"/>
    <w:rsid w:val="00B21020"/>
    <w:rsid w:val="00B226F0"/>
    <w:rsid w:val="00B2548E"/>
    <w:rsid w:val="00B25590"/>
    <w:rsid w:val="00B27D32"/>
    <w:rsid w:val="00B32194"/>
    <w:rsid w:val="00B33460"/>
    <w:rsid w:val="00B34062"/>
    <w:rsid w:val="00B41F05"/>
    <w:rsid w:val="00B4465C"/>
    <w:rsid w:val="00B449A1"/>
    <w:rsid w:val="00B45B7E"/>
    <w:rsid w:val="00B4693B"/>
    <w:rsid w:val="00B46E88"/>
    <w:rsid w:val="00B50534"/>
    <w:rsid w:val="00B5087A"/>
    <w:rsid w:val="00B609EC"/>
    <w:rsid w:val="00B60F8B"/>
    <w:rsid w:val="00B625B0"/>
    <w:rsid w:val="00B6530E"/>
    <w:rsid w:val="00B65D90"/>
    <w:rsid w:val="00B65DDB"/>
    <w:rsid w:val="00B65E27"/>
    <w:rsid w:val="00B65F94"/>
    <w:rsid w:val="00B66F29"/>
    <w:rsid w:val="00B74AA5"/>
    <w:rsid w:val="00B7726C"/>
    <w:rsid w:val="00B81DE3"/>
    <w:rsid w:val="00B8401A"/>
    <w:rsid w:val="00B8467F"/>
    <w:rsid w:val="00B8759A"/>
    <w:rsid w:val="00B87718"/>
    <w:rsid w:val="00B87E88"/>
    <w:rsid w:val="00B90B3F"/>
    <w:rsid w:val="00B91151"/>
    <w:rsid w:val="00B92E32"/>
    <w:rsid w:val="00B92F60"/>
    <w:rsid w:val="00B93B13"/>
    <w:rsid w:val="00B94968"/>
    <w:rsid w:val="00B96525"/>
    <w:rsid w:val="00BA1D66"/>
    <w:rsid w:val="00BA4108"/>
    <w:rsid w:val="00BA4C61"/>
    <w:rsid w:val="00BA6471"/>
    <w:rsid w:val="00BA6627"/>
    <w:rsid w:val="00BA71B6"/>
    <w:rsid w:val="00BB0BA5"/>
    <w:rsid w:val="00BB232F"/>
    <w:rsid w:val="00BB4318"/>
    <w:rsid w:val="00BB45E5"/>
    <w:rsid w:val="00BB55AD"/>
    <w:rsid w:val="00BC1CB2"/>
    <w:rsid w:val="00BC30A3"/>
    <w:rsid w:val="00BC351E"/>
    <w:rsid w:val="00BC6096"/>
    <w:rsid w:val="00BC78DD"/>
    <w:rsid w:val="00BD0C41"/>
    <w:rsid w:val="00BD0CA7"/>
    <w:rsid w:val="00BD144A"/>
    <w:rsid w:val="00BD7266"/>
    <w:rsid w:val="00BE5565"/>
    <w:rsid w:val="00BE652C"/>
    <w:rsid w:val="00BE6D27"/>
    <w:rsid w:val="00BE77D2"/>
    <w:rsid w:val="00BF0315"/>
    <w:rsid w:val="00BF0500"/>
    <w:rsid w:val="00BF113B"/>
    <w:rsid w:val="00BF3EF2"/>
    <w:rsid w:val="00BF6C41"/>
    <w:rsid w:val="00BF7279"/>
    <w:rsid w:val="00C03DA2"/>
    <w:rsid w:val="00C0424B"/>
    <w:rsid w:val="00C04B95"/>
    <w:rsid w:val="00C0576E"/>
    <w:rsid w:val="00C070DC"/>
    <w:rsid w:val="00C079B6"/>
    <w:rsid w:val="00C079E9"/>
    <w:rsid w:val="00C1111D"/>
    <w:rsid w:val="00C11609"/>
    <w:rsid w:val="00C11F5B"/>
    <w:rsid w:val="00C12B40"/>
    <w:rsid w:val="00C13E76"/>
    <w:rsid w:val="00C13F0D"/>
    <w:rsid w:val="00C14BBD"/>
    <w:rsid w:val="00C15914"/>
    <w:rsid w:val="00C15F78"/>
    <w:rsid w:val="00C17B29"/>
    <w:rsid w:val="00C21C84"/>
    <w:rsid w:val="00C21E8B"/>
    <w:rsid w:val="00C22CAD"/>
    <w:rsid w:val="00C22DB5"/>
    <w:rsid w:val="00C249C7"/>
    <w:rsid w:val="00C25546"/>
    <w:rsid w:val="00C261DB"/>
    <w:rsid w:val="00C26B1F"/>
    <w:rsid w:val="00C32789"/>
    <w:rsid w:val="00C32A63"/>
    <w:rsid w:val="00C40BAB"/>
    <w:rsid w:val="00C43655"/>
    <w:rsid w:val="00C439A6"/>
    <w:rsid w:val="00C44339"/>
    <w:rsid w:val="00C47443"/>
    <w:rsid w:val="00C5097E"/>
    <w:rsid w:val="00C50997"/>
    <w:rsid w:val="00C531DA"/>
    <w:rsid w:val="00C53286"/>
    <w:rsid w:val="00C536E4"/>
    <w:rsid w:val="00C5496D"/>
    <w:rsid w:val="00C5536A"/>
    <w:rsid w:val="00C5685B"/>
    <w:rsid w:val="00C574F5"/>
    <w:rsid w:val="00C609D0"/>
    <w:rsid w:val="00C6234D"/>
    <w:rsid w:val="00C6717F"/>
    <w:rsid w:val="00C67589"/>
    <w:rsid w:val="00C67677"/>
    <w:rsid w:val="00C73924"/>
    <w:rsid w:val="00C73B59"/>
    <w:rsid w:val="00C75778"/>
    <w:rsid w:val="00C768FB"/>
    <w:rsid w:val="00C80BBC"/>
    <w:rsid w:val="00C81CCD"/>
    <w:rsid w:val="00C841DF"/>
    <w:rsid w:val="00C8648A"/>
    <w:rsid w:val="00C929DC"/>
    <w:rsid w:val="00C93446"/>
    <w:rsid w:val="00C93F18"/>
    <w:rsid w:val="00CA03B1"/>
    <w:rsid w:val="00CA1775"/>
    <w:rsid w:val="00CA1C22"/>
    <w:rsid w:val="00CA244D"/>
    <w:rsid w:val="00CA3ECE"/>
    <w:rsid w:val="00CA45FE"/>
    <w:rsid w:val="00CA4939"/>
    <w:rsid w:val="00CA5826"/>
    <w:rsid w:val="00CA7188"/>
    <w:rsid w:val="00CB0B53"/>
    <w:rsid w:val="00CB28FC"/>
    <w:rsid w:val="00CB3078"/>
    <w:rsid w:val="00CB468C"/>
    <w:rsid w:val="00CB48B8"/>
    <w:rsid w:val="00CB547B"/>
    <w:rsid w:val="00CB686F"/>
    <w:rsid w:val="00CC278F"/>
    <w:rsid w:val="00CC522C"/>
    <w:rsid w:val="00CC7A82"/>
    <w:rsid w:val="00CD301F"/>
    <w:rsid w:val="00CD44A0"/>
    <w:rsid w:val="00CD4818"/>
    <w:rsid w:val="00CD5AA9"/>
    <w:rsid w:val="00CD5F4F"/>
    <w:rsid w:val="00CD6F22"/>
    <w:rsid w:val="00CE30F4"/>
    <w:rsid w:val="00CE5E83"/>
    <w:rsid w:val="00CE65A7"/>
    <w:rsid w:val="00CE6884"/>
    <w:rsid w:val="00CF3658"/>
    <w:rsid w:val="00CF5600"/>
    <w:rsid w:val="00D00E0D"/>
    <w:rsid w:val="00D012FF"/>
    <w:rsid w:val="00D10721"/>
    <w:rsid w:val="00D10E9A"/>
    <w:rsid w:val="00D118C0"/>
    <w:rsid w:val="00D11C7E"/>
    <w:rsid w:val="00D138A9"/>
    <w:rsid w:val="00D14530"/>
    <w:rsid w:val="00D159FF"/>
    <w:rsid w:val="00D15ED2"/>
    <w:rsid w:val="00D16C54"/>
    <w:rsid w:val="00D17976"/>
    <w:rsid w:val="00D22511"/>
    <w:rsid w:val="00D22952"/>
    <w:rsid w:val="00D23611"/>
    <w:rsid w:val="00D239EA"/>
    <w:rsid w:val="00D27C4F"/>
    <w:rsid w:val="00D317EB"/>
    <w:rsid w:val="00D3362A"/>
    <w:rsid w:val="00D372A2"/>
    <w:rsid w:val="00D401E4"/>
    <w:rsid w:val="00D41D0C"/>
    <w:rsid w:val="00D41D20"/>
    <w:rsid w:val="00D43B07"/>
    <w:rsid w:val="00D45099"/>
    <w:rsid w:val="00D45310"/>
    <w:rsid w:val="00D45D3F"/>
    <w:rsid w:val="00D46F1D"/>
    <w:rsid w:val="00D50204"/>
    <w:rsid w:val="00D51523"/>
    <w:rsid w:val="00D51583"/>
    <w:rsid w:val="00D51DAF"/>
    <w:rsid w:val="00D54BAC"/>
    <w:rsid w:val="00D54CFA"/>
    <w:rsid w:val="00D54E61"/>
    <w:rsid w:val="00D550BB"/>
    <w:rsid w:val="00D5647A"/>
    <w:rsid w:val="00D57D90"/>
    <w:rsid w:val="00D60E7F"/>
    <w:rsid w:val="00D61CE5"/>
    <w:rsid w:val="00D65A2D"/>
    <w:rsid w:val="00D65AAD"/>
    <w:rsid w:val="00D66520"/>
    <w:rsid w:val="00D716BD"/>
    <w:rsid w:val="00D7304C"/>
    <w:rsid w:val="00D73D00"/>
    <w:rsid w:val="00D73DEA"/>
    <w:rsid w:val="00D745B3"/>
    <w:rsid w:val="00D76577"/>
    <w:rsid w:val="00D80148"/>
    <w:rsid w:val="00D8612C"/>
    <w:rsid w:val="00D878DC"/>
    <w:rsid w:val="00D90677"/>
    <w:rsid w:val="00D93997"/>
    <w:rsid w:val="00D94F58"/>
    <w:rsid w:val="00D9501F"/>
    <w:rsid w:val="00D952F7"/>
    <w:rsid w:val="00DA0DD6"/>
    <w:rsid w:val="00DA1D94"/>
    <w:rsid w:val="00DA2A22"/>
    <w:rsid w:val="00DA39C5"/>
    <w:rsid w:val="00DA4B05"/>
    <w:rsid w:val="00DB0854"/>
    <w:rsid w:val="00DB3ACB"/>
    <w:rsid w:val="00DB453F"/>
    <w:rsid w:val="00DB71A1"/>
    <w:rsid w:val="00DB73CB"/>
    <w:rsid w:val="00DC1102"/>
    <w:rsid w:val="00DC34BF"/>
    <w:rsid w:val="00DC5926"/>
    <w:rsid w:val="00DC62B5"/>
    <w:rsid w:val="00DD42F0"/>
    <w:rsid w:val="00DD5D11"/>
    <w:rsid w:val="00DE2F9B"/>
    <w:rsid w:val="00DE308F"/>
    <w:rsid w:val="00DF08AE"/>
    <w:rsid w:val="00DF1D7D"/>
    <w:rsid w:val="00DF2513"/>
    <w:rsid w:val="00DF2CA6"/>
    <w:rsid w:val="00DF37C7"/>
    <w:rsid w:val="00DF7038"/>
    <w:rsid w:val="00E00419"/>
    <w:rsid w:val="00E02C03"/>
    <w:rsid w:val="00E03047"/>
    <w:rsid w:val="00E063C2"/>
    <w:rsid w:val="00E07C40"/>
    <w:rsid w:val="00E13868"/>
    <w:rsid w:val="00E14664"/>
    <w:rsid w:val="00E16DA1"/>
    <w:rsid w:val="00E20E8C"/>
    <w:rsid w:val="00E220E7"/>
    <w:rsid w:val="00E264AD"/>
    <w:rsid w:val="00E27F84"/>
    <w:rsid w:val="00E300CE"/>
    <w:rsid w:val="00E3158B"/>
    <w:rsid w:val="00E33DD6"/>
    <w:rsid w:val="00E40088"/>
    <w:rsid w:val="00E405F2"/>
    <w:rsid w:val="00E4189F"/>
    <w:rsid w:val="00E41A05"/>
    <w:rsid w:val="00E42A91"/>
    <w:rsid w:val="00E43AB2"/>
    <w:rsid w:val="00E4456B"/>
    <w:rsid w:val="00E44BEE"/>
    <w:rsid w:val="00E45198"/>
    <w:rsid w:val="00E455EF"/>
    <w:rsid w:val="00E4686C"/>
    <w:rsid w:val="00E47A6C"/>
    <w:rsid w:val="00E50D43"/>
    <w:rsid w:val="00E51F55"/>
    <w:rsid w:val="00E52513"/>
    <w:rsid w:val="00E531E7"/>
    <w:rsid w:val="00E532AC"/>
    <w:rsid w:val="00E54683"/>
    <w:rsid w:val="00E63056"/>
    <w:rsid w:val="00E65A6B"/>
    <w:rsid w:val="00E65DFA"/>
    <w:rsid w:val="00E710B1"/>
    <w:rsid w:val="00E7701F"/>
    <w:rsid w:val="00E77110"/>
    <w:rsid w:val="00E7742C"/>
    <w:rsid w:val="00E77717"/>
    <w:rsid w:val="00E82798"/>
    <w:rsid w:val="00E845F3"/>
    <w:rsid w:val="00E854BA"/>
    <w:rsid w:val="00E868D0"/>
    <w:rsid w:val="00E86F67"/>
    <w:rsid w:val="00E90A4A"/>
    <w:rsid w:val="00E9258D"/>
    <w:rsid w:val="00E935D9"/>
    <w:rsid w:val="00E951CA"/>
    <w:rsid w:val="00E97D91"/>
    <w:rsid w:val="00EA0991"/>
    <w:rsid w:val="00EA10A3"/>
    <w:rsid w:val="00EA3591"/>
    <w:rsid w:val="00EA4BF8"/>
    <w:rsid w:val="00EA5D77"/>
    <w:rsid w:val="00EA61F8"/>
    <w:rsid w:val="00EB0487"/>
    <w:rsid w:val="00EB21AE"/>
    <w:rsid w:val="00EB292C"/>
    <w:rsid w:val="00EB3D9A"/>
    <w:rsid w:val="00EB7A65"/>
    <w:rsid w:val="00EC128D"/>
    <w:rsid w:val="00EC50A0"/>
    <w:rsid w:val="00EC5F5E"/>
    <w:rsid w:val="00ED5592"/>
    <w:rsid w:val="00ED5E52"/>
    <w:rsid w:val="00ED74BF"/>
    <w:rsid w:val="00EE0AB7"/>
    <w:rsid w:val="00EE16FD"/>
    <w:rsid w:val="00EE1E24"/>
    <w:rsid w:val="00EE2905"/>
    <w:rsid w:val="00EE3500"/>
    <w:rsid w:val="00EE5709"/>
    <w:rsid w:val="00EE6145"/>
    <w:rsid w:val="00EE6F56"/>
    <w:rsid w:val="00EE7083"/>
    <w:rsid w:val="00EE74C8"/>
    <w:rsid w:val="00EF14F1"/>
    <w:rsid w:val="00EF3ED5"/>
    <w:rsid w:val="00EF6863"/>
    <w:rsid w:val="00F022A2"/>
    <w:rsid w:val="00F03601"/>
    <w:rsid w:val="00F03F1D"/>
    <w:rsid w:val="00F04944"/>
    <w:rsid w:val="00F06A5B"/>
    <w:rsid w:val="00F06D4E"/>
    <w:rsid w:val="00F06FC3"/>
    <w:rsid w:val="00F07E44"/>
    <w:rsid w:val="00F07F41"/>
    <w:rsid w:val="00F136AC"/>
    <w:rsid w:val="00F13F7B"/>
    <w:rsid w:val="00F17D1E"/>
    <w:rsid w:val="00F24D9E"/>
    <w:rsid w:val="00F2553E"/>
    <w:rsid w:val="00F262CF"/>
    <w:rsid w:val="00F26775"/>
    <w:rsid w:val="00F3033E"/>
    <w:rsid w:val="00F3090E"/>
    <w:rsid w:val="00F32FA2"/>
    <w:rsid w:val="00F334B5"/>
    <w:rsid w:val="00F3737B"/>
    <w:rsid w:val="00F3756B"/>
    <w:rsid w:val="00F417E1"/>
    <w:rsid w:val="00F41866"/>
    <w:rsid w:val="00F41F44"/>
    <w:rsid w:val="00F42596"/>
    <w:rsid w:val="00F455AD"/>
    <w:rsid w:val="00F45B28"/>
    <w:rsid w:val="00F47137"/>
    <w:rsid w:val="00F47914"/>
    <w:rsid w:val="00F504DB"/>
    <w:rsid w:val="00F529C3"/>
    <w:rsid w:val="00F53555"/>
    <w:rsid w:val="00F5390E"/>
    <w:rsid w:val="00F54F8C"/>
    <w:rsid w:val="00F56F6A"/>
    <w:rsid w:val="00F57327"/>
    <w:rsid w:val="00F57A05"/>
    <w:rsid w:val="00F6175A"/>
    <w:rsid w:val="00F6190B"/>
    <w:rsid w:val="00F61B99"/>
    <w:rsid w:val="00F63C4A"/>
    <w:rsid w:val="00F64167"/>
    <w:rsid w:val="00F665D2"/>
    <w:rsid w:val="00F66EF7"/>
    <w:rsid w:val="00F714E1"/>
    <w:rsid w:val="00F71723"/>
    <w:rsid w:val="00F72623"/>
    <w:rsid w:val="00F74975"/>
    <w:rsid w:val="00F7662C"/>
    <w:rsid w:val="00F82F6B"/>
    <w:rsid w:val="00F834E4"/>
    <w:rsid w:val="00F8669B"/>
    <w:rsid w:val="00F9124A"/>
    <w:rsid w:val="00F925BB"/>
    <w:rsid w:val="00F92816"/>
    <w:rsid w:val="00F92B38"/>
    <w:rsid w:val="00F94318"/>
    <w:rsid w:val="00F95A12"/>
    <w:rsid w:val="00F95E06"/>
    <w:rsid w:val="00F97F64"/>
    <w:rsid w:val="00FA448D"/>
    <w:rsid w:val="00FA48E9"/>
    <w:rsid w:val="00FA7100"/>
    <w:rsid w:val="00FB2E3D"/>
    <w:rsid w:val="00FB33FB"/>
    <w:rsid w:val="00FB4319"/>
    <w:rsid w:val="00FB5131"/>
    <w:rsid w:val="00FB5414"/>
    <w:rsid w:val="00FC0239"/>
    <w:rsid w:val="00FC1E59"/>
    <w:rsid w:val="00FC2389"/>
    <w:rsid w:val="00FC336A"/>
    <w:rsid w:val="00FC3F63"/>
    <w:rsid w:val="00FC4857"/>
    <w:rsid w:val="00FC4DA3"/>
    <w:rsid w:val="00FC5B38"/>
    <w:rsid w:val="00FC5BFB"/>
    <w:rsid w:val="00FC79D6"/>
    <w:rsid w:val="00FC7B8A"/>
    <w:rsid w:val="00FD1A5D"/>
    <w:rsid w:val="00FD3862"/>
    <w:rsid w:val="00FD402A"/>
    <w:rsid w:val="00FD439E"/>
    <w:rsid w:val="00FD4CB9"/>
    <w:rsid w:val="00FD4D2E"/>
    <w:rsid w:val="00FD63CC"/>
    <w:rsid w:val="00FD6762"/>
    <w:rsid w:val="00FD6B05"/>
    <w:rsid w:val="00FD7026"/>
    <w:rsid w:val="00FD7A75"/>
    <w:rsid w:val="00FE2E3F"/>
    <w:rsid w:val="00FE33D8"/>
    <w:rsid w:val="00FE4B7E"/>
    <w:rsid w:val="00FE7BE8"/>
    <w:rsid w:val="00FF025B"/>
    <w:rsid w:val="00FF2813"/>
    <w:rsid w:val="00FF5334"/>
    <w:rsid w:val="00FF5ADD"/>
    <w:rsid w:val="00FF65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03C"/>
    <w:pPr>
      <w:spacing w:before="120" w:after="120" w:line="240" w:lineRule="auto"/>
    </w:pPr>
    <w:rPr>
      <w:rFonts w:ascii="Univers 45 Light" w:hAnsi="Univers 45 Light"/>
      <w:sz w:val="20"/>
    </w:rPr>
  </w:style>
  <w:style w:type="paragraph" w:styleId="Heading1">
    <w:name w:val="heading 1"/>
    <w:next w:val="BodyText"/>
    <w:link w:val="Heading1Char"/>
    <w:uiPriority w:val="9"/>
    <w:qFormat/>
    <w:rsid w:val="00762DBA"/>
    <w:pPr>
      <w:keepNext/>
      <w:keepLines/>
      <w:numPr>
        <w:numId w:val="19"/>
      </w:numPr>
      <w:spacing w:before="240" w:after="240" w:line="240" w:lineRule="auto"/>
      <w:outlineLvl w:val="0"/>
    </w:pPr>
    <w:rPr>
      <w:rFonts w:ascii="KPMG Extralight" w:eastAsiaTheme="majorEastAsia" w:hAnsi="KPMG Extralight" w:cstheme="majorBidi"/>
      <w:color w:val="262626" w:themeColor="text1" w:themeTint="D9"/>
      <w:sz w:val="96"/>
      <w:szCs w:val="96"/>
    </w:rPr>
  </w:style>
  <w:style w:type="paragraph" w:styleId="Heading2">
    <w:name w:val="heading 2"/>
    <w:basedOn w:val="Normal"/>
    <w:next w:val="Normal"/>
    <w:link w:val="Heading2Char"/>
    <w:uiPriority w:val="9"/>
    <w:unhideWhenUsed/>
    <w:qFormat/>
    <w:rsid w:val="000C5DF4"/>
    <w:pPr>
      <w:keepNext/>
      <w:keepLines/>
      <w:numPr>
        <w:ilvl w:val="1"/>
        <w:numId w:val="19"/>
      </w:numPr>
      <w:tabs>
        <w:tab w:val="clear" w:pos="8903"/>
        <w:tab w:val="num" w:pos="964"/>
      </w:tabs>
      <w:spacing w:before="240" w:after="240"/>
      <w:ind w:left="964"/>
      <w:outlineLvl w:val="1"/>
    </w:pPr>
    <w:rPr>
      <w:rFonts w:ascii="KPMG Extralight" w:eastAsiaTheme="majorEastAsia" w:hAnsi="KPMG Extralight" w:cstheme="majorBidi"/>
      <w:color w:val="0091DA" w:themeColor="accent2"/>
      <w:sz w:val="72"/>
      <w:szCs w:val="26"/>
    </w:rPr>
  </w:style>
  <w:style w:type="paragraph" w:styleId="Heading3">
    <w:name w:val="heading 3"/>
    <w:basedOn w:val="Normal"/>
    <w:next w:val="Normal"/>
    <w:link w:val="Heading3Char"/>
    <w:uiPriority w:val="9"/>
    <w:unhideWhenUsed/>
    <w:qFormat/>
    <w:rsid w:val="00B8401A"/>
    <w:pPr>
      <w:keepNext/>
      <w:keepLines/>
      <w:spacing w:before="240" w:after="0"/>
      <w:outlineLvl w:val="2"/>
    </w:pPr>
    <w:rPr>
      <w:rFonts w:eastAsiaTheme="majorEastAsia" w:cstheme="majorBidi"/>
      <w:color w:val="0091DA" w:themeColor="accent2"/>
      <w:sz w:val="32"/>
      <w:szCs w:val="24"/>
    </w:rPr>
  </w:style>
  <w:style w:type="paragraph" w:styleId="Heading4">
    <w:name w:val="heading 4"/>
    <w:basedOn w:val="Normal"/>
    <w:next w:val="Normal"/>
    <w:link w:val="Heading4Char"/>
    <w:uiPriority w:val="9"/>
    <w:unhideWhenUsed/>
    <w:qFormat/>
    <w:rsid w:val="003D3514"/>
    <w:pPr>
      <w:keepNext/>
      <w:keepLines/>
      <w:spacing w:before="240" w:after="0"/>
      <w:outlineLvl w:val="3"/>
    </w:pPr>
    <w:rPr>
      <w:rFonts w:eastAsiaTheme="majorEastAsia" w:cstheme="majorBidi"/>
      <w:b/>
      <w:iCs/>
      <w:sz w:val="24"/>
    </w:rPr>
  </w:style>
  <w:style w:type="paragraph" w:styleId="Heading5">
    <w:name w:val="heading 5"/>
    <w:basedOn w:val="BodyText1"/>
    <w:next w:val="BodyText"/>
    <w:link w:val="Heading5Char"/>
    <w:uiPriority w:val="9"/>
    <w:unhideWhenUsed/>
    <w:qFormat/>
    <w:rsid w:val="007C09E2"/>
    <w:pPr>
      <w:keepNext/>
      <w:numPr>
        <w:ilvl w:val="4"/>
        <w:numId w:val="19"/>
      </w:numPr>
      <w:outlineLvl w:val="4"/>
    </w:pPr>
    <w:rPr>
      <w:color w:val="0091DA" w:themeColor="accent2"/>
    </w:rPr>
  </w:style>
  <w:style w:type="paragraph" w:styleId="Heading6">
    <w:name w:val="heading 6"/>
    <w:basedOn w:val="BodyText1"/>
    <w:next w:val="Normal"/>
    <w:link w:val="Heading6Char"/>
    <w:uiPriority w:val="9"/>
    <w:unhideWhenUsed/>
    <w:qFormat/>
    <w:rsid w:val="00B93B13"/>
    <w:pPr>
      <w:numPr>
        <w:ilvl w:val="5"/>
        <w:numId w:val="19"/>
      </w:numPr>
      <w:outlineLvl w:val="5"/>
    </w:pPr>
    <w:rPr>
      <w:i/>
      <w:color w:val="0091DA" w:themeColor="accent2"/>
    </w:rPr>
  </w:style>
  <w:style w:type="paragraph" w:styleId="Heading7">
    <w:name w:val="heading 7"/>
    <w:basedOn w:val="Normal"/>
    <w:next w:val="Normal"/>
    <w:link w:val="Heading7Char"/>
    <w:uiPriority w:val="9"/>
    <w:unhideWhenUsed/>
    <w:qFormat/>
    <w:rsid w:val="00AE5C4A"/>
    <w:pPr>
      <w:keepNext/>
      <w:keepLines/>
      <w:numPr>
        <w:ilvl w:val="6"/>
        <w:numId w:val="19"/>
      </w:numPr>
      <w:spacing w:before="40" w:after="0"/>
      <w:outlineLvl w:val="6"/>
    </w:pPr>
    <w:rPr>
      <w:rFonts w:asciiTheme="majorHAnsi" w:eastAsiaTheme="majorEastAsia" w:hAnsiTheme="majorHAnsi" w:cstheme="majorBidi"/>
      <w:i/>
      <w:iCs/>
      <w:color w:val="002E5B" w:themeColor="accent1" w:themeShade="7F"/>
    </w:rPr>
  </w:style>
  <w:style w:type="paragraph" w:styleId="Heading8">
    <w:name w:val="heading 8"/>
    <w:basedOn w:val="Normal"/>
    <w:next w:val="Normal"/>
    <w:link w:val="Heading8Char"/>
    <w:uiPriority w:val="9"/>
    <w:semiHidden/>
    <w:unhideWhenUsed/>
    <w:qFormat/>
    <w:rsid w:val="00AE5C4A"/>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5C4A"/>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1108pt">
    <w:name w:val="Cover title 1_108pt"/>
    <w:qFormat/>
    <w:rsid w:val="009C3CFC"/>
    <w:pPr>
      <w:spacing w:after="0" w:line="192" w:lineRule="auto"/>
    </w:pPr>
    <w:rPr>
      <w:rFonts w:ascii="KPMG Light" w:hAnsi="KPMG Light"/>
      <w:noProof/>
      <w:color w:val="00338D" w:themeColor="background2"/>
      <w:sz w:val="130"/>
      <w:lang w:eastAsia="en-AU"/>
    </w:rPr>
  </w:style>
  <w:style w:type="paragraph" w:customStyle="1" w:styleId="Covertitle216ptB">
    <w:name w:val="Cover title 2_16pt_B"/>
    <w:qFormat/>
    <w:rsid w:val="009C3CFC"/>
    <w:pPr>
      <w:spacing w:after="0" w:line="240" w:lineRule="auto"/>
    </w:pPr>
    <w:rPr>
      <w:rFonts w:ascii="Univers 45 Light" w:hAnsi="Univers 45 Light"/>
      <w:b/>
      <w:color w:val="00338D" w:themeColor="background2"/>
      <w:sz w:val="32"/>
    </w:rPr>
  </w:style>
  <w:style w:type="paragraph" w:customStyle="1" w:styleId="Covertitle316ptNB">
    <w:name w:val="Cover title 3_16pt_NB"/>
    <w:qFormat/>
    <w:rsid w:val="001B41A0"/>
    <w:pPr>
      <w:spacing w:after="0" w:line="240" w:lineRule="auto"/>
    </w:pPr>
    <w:rPr>
      <w:rFonts w:ascii="Univers 45 Light" w:hAnsi="Univers 45 Light"/>
      <w:color w:val="FFFFFF" w:themeColor="background1"/>
      <w:sz w:val="32"/>
    </w:rPr>
  </w:style>
  <w:style w:type="paragraph" w:customStyle="1" w:styleId="Covertitle412pt">
    <w:name w:val="Cover title 4_12pt"/>
    <w:qFormat/>
    <w:rsid w:val="009C3CFC"/>
    <w:pPr>
      <w:spacing w:before="3000" w:after="120" w:line="240" w:lineRule="auto"/>
    </w:pPr>
    <w:rPr>
      <w:rFonts w:ascii="Univers 45 Light" w:hAnsi="Univers 45 Light"/>
      <w:color w:val="00338D" w:themeColor="background2"/>
      <w:sz w:val="24"/>
    </w:rPr>
  </w:style>
  <w:style w:type="table" w:styleId="TableGrid">
    <w:name w:val="Table Grid"/>
    <w:aliases w:val="Basic Table,McLL Table General Text"/>
    <w:basedOn w:val="TableNormal"/>
    <w:uiPriority w:val="39"/>
    <w:rsid w:val="00885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qFormat/>
    <w:rsid w:val="005D335A"/>
    <w:pPr>
      <w:spacing w:before="120" w:after="120" w:line="240" w:lineRule="auto"/>
    </w:pPr>
    <w:rPr>
      <w:rFonts w:ascii="Univers 45 Light" w:hAnsi="Univers 45 Light"/>
      <w:color w:val="FFFFFF" w:themeColor="background1"/>
      <w:sz w:val="20"/>
    </w:rPr>
  </w:style>
  <w:style w:type="paragraph" w:customStyle="1" w:styleId="Tabletext">
    <w:name w:val="Table text"/>
    <w:qFormat/>
    <w:rsid w:val="00B8401A"/>
    <w:pPr>
      <w:spacing w:before="60" w:after="60" w:line="240" w:lineRule="auto"/>
    </w:pPr>
    <w:rPr>
      <w:rFonts w:ascii="Univers 45 Light" w:hAnsi="Univers 45 Light"/>
      <w:sz w:val="20"/>
    </w:rPr>
  </w:style>
  <w:style w:type="character" w:customStyle="1" w:styleId="Heading1Char">
    <w:name w:val="Heading 1 Char"/>
    <w:basedOn w:val="DefaultParagraphFont"/>
    <w:link w:val="Heading1"/>
    <w:uiPriority w:val="9"/>
    <w:rsid w:val="00762DBA"/>
    <w:rPr>
      <w:rFonts w:ascii="KPMG Extralight" w:eastAsiaTheme="majorEastAsia" w:hAnsi="KPMG Extralight" w:cstheme="majorBidi"/>
      <w:color w:val="262626" w:themeColor="text1" w:themeTint="D9"/>
      <w:sz w:val="96"/>
      <w:szCs w:val="96"/>
    </w:rPr>
  </w:style>
  <w:style w:type="paragraph" w:customStyle="1" w:styleId="BodyText1">
    <w:name w:val="Body Text1"/>
    <w:qFormat/>
    <w:rsid w:val="00D65A2D"/>
    <w:pPr>
      <w:spacing w:before="120" w:after="120" w:line="240" w:lineRule="auto"/>
    </w:pPr>
    <w:rPr>
      <w:rFonts w:ascii="Univers 45 Light" w:hAnsi="Univers 45 Light"/>
      <w:sz w:val="20"/>
    </w:rPr>
  </w:style>
  <w:style w:type="paragraph" w:styleId="BodyText">
    <w:name w:val="Body Text"/>
    <w:basedOn w:val="Normal"/>
    <w:link w:val="BodyTextChar"/>
    <w:uiPriority w:val="99"/>
    <w:unhideWhenUsed/>
    <w:rsid w:val="00287CE1"/>
  </w:style>
  <w:style w:type="character" w:customStyle="1" w:styleId="BodyTextChar">
    <w:name w:val="Body Text Char"/>
    <w:basedOn w:val="DefaultParagraphFont"/>
    <w:link w:val="BodyText"/>
    <w:uiPriority w:val="99"/>
    <w:rsid w:val="00287CE1"/>
  </w:style>
  <w:style w:type="paragraph" w:customStyle="1" w:styleId="Heading1Noshow">
    <w:name w:val="Heading 1_No show"/>
    <w:link w:val="Heading1NoshowChar"/>
    <w:qFormat/>
    <w:rsid w:val="00EA3591"/>
    <w:pPr>
      <w:spacing w:before="240" w:after="240" w:line="240" w:lineRule="auto"/>
    </w:pPr>
    <w:rPr>
      <w:rFonts w:ascii="KPMG Extralight" w:eastAsiaTheme="majorEastAsia" w:hAnsi="KPMG Extralight" w:cstheme="majorBidi"/>
      <w:color w:val="0091DA" w:themeColor="accent2"/>
      <w:sz w:val="108"/>
      <w:szCs w:val="32"/>
    </w:rPr>
  </w:style>
  <w:style w:type="character" w:customStyle="1" w:styleId="Heading2Char">
    <w:name w:val="Heading 2 Char"/>
    <w:basedOn w:val="DefaultParagraphFont"/>
    <w:link w:val="Heading2"/>
    <w:uiPriority w:val="9"/>
    <w:rsid w:val="000C5DF4"/>
    <w:rPr>
      <w:rFonts w:ascii="KPMG Extralight" w:eastAsiaTheme="majorEastAsia" w:hAnsi="KPMG Extralight" w:cstheme="majorBidi"/>
      <w:color w:val="0091DA" w:themeColor="accent2"/>
      <w:sz w:val="72"/>
      <w:szCs w:val="26"/>
    </w:rPr>
  </w:style>
  <w:style w:type="paragraph" w:styleId="TOC1">
    <w:name w:val="toc 1"/>
    <w:basedOn w:val="Normal"/>
    <w:next w:val="Normal"/>
    <w:autoRedefine/>
    <w:uiPriority w:val="39"/>
    <w:unhideWhenUsed/>
    <w:rsid w:val="0069234F"/>
    <w:pPr>
      <w:tabs>
        <w:tab w:val="left" w:pos="567"/>
        <w:tab w:val="right" w:pos="8505"/>
      </w:tabs>
      <w:ind w:left="567" w:hanging="425"/>
    </w:pPr>
    <w:rPr>
      <w:rFonts w:ascii="KPMG Light" w:hAnsi="KPMG Light"/>
      <w:noProof/>
      <w:sz w:val="24"/>
    </w:rPr>
  </w:style>
  <w:style w:type="character" w:customStyle="1" w:styleId="Heading3Char">
    <w:name w:val="Heading 3 Char"/>
    <w:basedOn w:val="DefaultParagraphFont"/>
    <w:link w:val="Heading3"/>
    <w:uiPriority w:val="9"/>
    <w:rsid w:val="00B8401A"/>
    <w:rPr>
      <w:rFonts w:ascii="Univers 45 Light" w:eastAsiaTheme="majorEastAsia" w:hAnsi="Univers 45 Light" w:cstheme="majorBidi"/>
      <w:color w:val="0091DA" w:themeColor="accent2"/>
      <w:sz w:val="32"/>
      <w:szCs w:val="24"/>
    </w:rPr>
  </w:style>
  <w:style w:type="character" w:styleId="Hyperlink">
    <w:name w:val="Hyperlink"/>
    <w:basedOn w:val="DefaultParagraphFont"/>
    <w:uiPriority w:val="99"/>
    <w:unhideWhenUsed/>
    <w:rsid w:val="00BA4108"/>
    <w:rPr>
      <w:rFonts w:ascii="Univers 45 Light" w:hAnsi="Univers 45 Light"/>
      <w:color w:val="470A68" w:themeColor="hyperlink"/>
      <w:sz w:val="18"/>
      <w:u w:val="single"/>
    </w:rPr>
  </w:style>
  <w:style w:type="paragraph" w:styleId="Header">
    <w:name w:val="header"/>
    <w:basedOn w:val="Normal"/>
    <w:link w:val="HeaderChar"/>
    <w:uiPriority w:val="99"/>
    <w:unhideWhenUsed/>
    <w:rsid w:val="004A3F32"/>
    <w:pPr>
      <w:tabs>
        <w:tab w:val="center" w:pos="4513"/>
        <w:tab w:val="right" w:pos="9026"/>
      </w:tabs>
      <w:spacing w:after="0"/>
    </w:pPr>
  </w:style>
  <w:style w:type="character" w:customStyle="1" w:styleId="HeaderChar">
    <w:name w:val="Header Char"/>
    <w:basedOn w:val="DefaultParagraphFont"/>
    <w:link w:val="Header"/>
    <w:uiPriority w:val="99"/>
    <w:rsid w:val="004A3F32"/>
  </w:style>
  <w:style w:type="paragraph" w:styleId="Footer">
    <w:name w:val="footer"/>
    <w:basedOn w:val="Normal"/>
    <w:link w:val="FooterChar"/>
    <w:uiPriority w:val="99"/>
    <w:unhideWhenUsed/>
    <w:rsid w:val="007E23D9"/>
    <w:pPr>
      <w:tabs>
        <w:tab w:val="center" w:pos="4513"/>
        <w:tab w:val="right" w:pos="9026"/>
      </w:tabs>
      <w:spacing w:after="0"/>
      <w:jc w:val="center"/>
    </w:pPr>
    <w:rPr>
      <w:color w:val="808080" w:themeColor="background1" w:themeShade="80"/>
      <w:sz w:val="12"/>
    </w:rPr>
  </w:style>
  <w:style w:type="character" w:customStyle="1" w:styleId="FooterChar">
    <w:name w:val="Footer Char"/>
    <w:basedOn w:val="DefaultParagraphFont"/>
    <w:link w:val="Footer"/>
    <w:uiPriority w:val="99"/>
    <w:rsid w:val="007E23D9"/>
    <w:rPr>
      <w:rFonts w:ascii="Univers 45 Light" w:hAnsi="Univers 45 Light"/>
      <w:color w:val="808080" w:themeColor="background1" w:themeShade="80"/>
      <w:sz w:val="12"/>
    </w:rPr>
  </w:style>
  <w:style w:type="paragraph" w:customStyle="1" w:styleId="CVname">
    <w:name w:val="CV name"/>
    <w:qFormat/>
    <w:rsid w:val="008B1B1E"/>
    <w:pPr>
      <w:spacing w:after="80" w:line="240" w:lineRule="auto"/>
    </w:pPr>
    <w:rPr>
      <w:rFonts w:ascii="Univers 45 Light" w:hAnsi="Univers 45 Light"/>
      <w:color w:val="00338D"/>
      <w:sz w:val="28"/>
    </w:rPr>
  </w:style>
  <w:style w:type="paragraph" w:customStyle="1" w:styleId="CVtitle">
    <w:name w:val="CV title"/>
    <w:qFormat/>
    <w:rsid w:val="0024699F"/>
    <w:pPr>
      <w:spacing w:line="240" w:lineRule="auto"/>
    </w:pPr>
    <w:rPr>
      <w:rFonts w:ascii="Univers 45 Light" w:hAnsi="Univers 45 Light"/>
      <w:color w:val="0091DA" w:themeColor="accent2"/>
      <w:sz w:val="24"/>
    </w:rPr>
  </w:style>
  <w:style w:type="paragraph" w:customStyle="1" w:styleId="CVdetail">
    <w:name w:val="CV detail"/>
    <w:qFormat/>
    <w:rsid w:val="008B1B1E"/>
    <w:pPr>
      <w:spacing w:before="120" w:after="0" w:line="240" w:lineRule="auto"/>
    </w:pPr>
    <w:rPr>
      <w:rFonts w:ascii="Univers 45 Light" w:hAnsi="Univers 45 Light"/>
      <w:color w:val="00338D"/>
      <w:sz w:val="20"/>
    </w:rPr>
  </w:style>
  <w:style w:type="paragraph" w:customStyle="1" w:styleId="CVheader">
    <w:name w:val="CV header"/>
    <w:qFormat/>
    <w:rsid w:val="004D0067"/>
    <w:pPr>
      <w:spacing w:before="240" w:after="120" w:line="240" w:lineRule="auto"/>
    </w:pPr>
    <w:rPr>
      <w:rFonts w:ascii="Univers 45 Light" w:hAnsi="Univers 45 Light"/>
      <w:b/>
      <w:color w:val="00338D"/>
      <w:sz w:val="20"/>
    </w:rPr>
  </w:style>
  <w:style w:type="paragraph" w:customStyle="1" w:styleId="CVtext">
    <w:name w:val="CV text"/>
    <w:qFormat/>
    <w:rsid w:val="0024699F"/>
    <w:pPr>
      <w:spacing w:before="120" w:after="120" w:line="280" w:lineRule="exact"/>
    </w:pPr>
    <w:rPr>
      <w:rFonts w:ascii="Univers 45 Light" w:hAnsi="Univers 45 Light"/>
      <w:sz w:val="20"/>
    </w:rPr>
  </w:style>
  <w:style w:type="character" w:customStyle="1" w:styleId="Heading4Char">
    <w:name w:val="Heading 4 Char"/>
    <w:basedOn w:val="DefaultParagraphFont"/>
    <w:link w:val="Heading4"/>
    <w:uiPriority w:val="9"/>
    <w:rsid w:val="003D3514"/>
    <w:rPr>
      <w:rFonts w:ascii="Univers 45 Light" w:eastAsiaTheme="majorEastAsia" w:hAnsi="Univers 45 Light" w:cstheme="majorBidi"/>
      <w:b/>
      <w:iCs/>
      <w:sz w:val="24"/>
    </w:rPr>
  </w:style>
  <w:style w:type="character" w:customStyle="1" w:styleId="Heading5Char">
    <w:name w:val="Heading 5 Char"/>
    <w:basedOn w:val="DefaultParagraphFont"/>
    <w:link w:val="Heading5"/>
    <w:uiPriority w:val="9"/>
    <w:rsid w:val="007C09E2"/>
    <w:rPr>
      <w:rFonts w:ascii="Univers 45 Light" w:hAnsi="Univers 45 Light"/>
      <w:color w:val="0091DA" w:themeColor="accent2"/>
      <w:sz w:val="20"/>
    </w:rPr>
  </w:style>
  <w:style w:type="character" w:customStyle="1" w:styleId="Heading6Char">
    <w:name w:val="Heading 6 Char"/>
    <w:basedOn w:val="DefaultParagraphFont"/>
    <w:link w:val="Heading6"/>
    <w:uiPriority w:val="9"/>
    <w:rsid w:val="00B93B13"/>
    <w:rPr>
      <w:rFonts w:ascii="Univers 45 Light" w:hAnsi="Univers 45 Light"/>
      <w:i/>
      <w:color w:val="0091DA" w:themeColor="accent2"/>
      <w:sz w:val="20"/>
    </w:rPr>
  </w:style>
  <w:style w:type="paragraph" w:customStyle="1" w:styleId="Bullet1stlevel">
    <w:name w:val="Bullet 1st level"/>
    <w:basedOn w:val="BodyText1"/>
    <w:qFormat/>
    <w:rsid w:val="00C261DB"/>
  </w:style>
  <w:style w:type="paragraph" w:customStyle="1" w:styleId="Bullet2ndlevel">
    <w:name w:val="Bullet 2nd level"/>
    <w:basedOn w:val="BodyText1"/>
    <w:qFormat/>
    <w:rsid w:val="007316D0"/>
    <w:pPr>
      <w:numPr>
        <w:numId w:val="1"/>
      </w:numPr>
      <w:spacing w:after="60"/>
    </w:pPr>
  </w:style>
  <w:style w:type="paragraph" w:customStyle="1" w:styleId="Bullet3rdlevel">
    <w:name w:val="Bullet 3rd level"/>
    <w:basedOn w:val="BodyText1"/>
    <w:qFormat/>
    <w:rsid w:val="007316D0"/>
    <w:pPr>
      <w:numPr>
        <w:numId w:val="2"/>
      </w:numPr>
      <w:spacing w:before="40"/>
    </w:pPr>
  </w:style>
  <w:style w:type="paragraph" w:customStyle="1" w:styleId="Numberbullet1stlevel">
    <w:name w:val="Number bullet 1st level"/>
    <w:basedOn w:val="BodyText1"/>
    <w:qFormat/>
    <w:rsid w:val="00D65A2D"/>
    <w:pPr>
      <w:numPr>
        <w:numId w:val="15"/>
      </w:numPr>
    </w:pPr>
  </w:style>
  <w:style w:type="paragraph" w:customStyle="1" w:styleId="Numberbullet2ndlevel">
    <w:name w:val="Number bullet 2nd level"/>
    <w:basedOn w:val="BodyText1"/>
    <w:qFormat/>
    <w:rsid w:val="00D65A2D"/>
    <w:pPr>
      <w:numPr>
        <w:numId w:val="3"/>
      </w:numPr>
      <w:tabs>
        <w:tab w:val="left" w:pos="714"/>
      </w:tabs>
      <w:ind w:left="714" w:hanging="357"/>
    </w:pPr>
  </w:style>
  <w:style w:type="paragraph" w:customStyle="1" w:styleId="CVbullet1">
    <w:name w:val="CV bullet 1"/>
    <w:basedOn w:val="BodyText1"/>
    <w:qFormat/>
    <w:rsid w:val="0024699F"/>
    <w:pPr>
      <w:numPr>
        <w:numId w:val="4"/>
      </w:numPr>
    </w:pPr>
  </w:style>
  <w:style w:type="paragraph" w:customStyle="1" w:styleId="CVbullet2">
    <w:name w:val="CV bullet 2"/>
    <w:basedOn w:val="BodyText1"/>
    <w:qFormat/>
    <w:rsid w:val="002360FF"/>
    <w:pPr>
      <w:numPr>
        <w:numId w:val="5"/>
      </w:numPr>
      <w:spacing w:before="40"/>
      <w:ind w:left="714" w:hanging="357"/>
    </w:pPr>
  </w:style>
  <w:style w:type="paragraph" w:customStyle="1" w:styleId="Heading2option2">
    <w:name w:val="Heading 2_option 2"/>
    <w:basedOn w:val="Heading2"/>
    <w:qFormat/>
    <w:rsid w:val="0024699F"/>
    <w:pPr>
      <w:spacing w:before="0" w:after="360"/>
    </w:pPr>
  </w:style>
  <w:style w:type="paragraph" w:customStyle="1" w:styleId="Heading1Option2">
    <w:name w:val="Heading 1_Option 2"/>
    <w:basedOn w:val="Heading1"/>
    <w:qFormat/>
    <w:rsid w:val="0024699F"/>
    <w:pPr>
      <w:spacing w:after="360"/>
    </w:pPr>
  </w:style>
  <w:style w:type="character" w:customStyle="1" w:styleId="White">
    <w:name w:val="White"/>
    <w:basedOn w:val="DefaultParagraphFont"/>
    <w:uiPriority w:val="1"/>
    <w:qFormat/>
    <w:rsid w:val="002D014E"/>
    <w:rPr>
      <w:color w:val="FFFFFF" w:themeColor="background1"/>
    </w:rPr>
  </w:style>
  <w:style w:type="paragraph" w:styleId="Quote">
    <w:name w:val="Quote"/>
    <w:basedOn w:val="Normal"/>
    <w:next w:val="Normal"/>
    <w:link w:val="QuoteChar"/>
    <w:uiPriority w:val="29"/>
    <w:qFormat/>
    <w:rsid w:val="00821FAB"/>
    <w:pPr>
      <w:spacing w:after="360" w:line="520" w:lineRule="exact"/>
    </w:pPr>
    <w:rPr>
      <w:rFonts w:ascii="KPMG Light" w:hAnsi="KPMG Light"/>
      <w:iCs/>
      <w:color w:val="005EB8" w:themeColor="accent1"/>
      <w:sz w:val="44"/>
    </w:rPr>
  </w:style>
  <w:style w:type="character" w:customStyle="1" w:styleId="QuoteChar">
    <w:name w:val="Quote Char"/>
    <w:basedOn w:val="DefaultParagraphFont"/>
    <w:link w:val="Quote"/>
    <w:uiPriority w:val="29"/>
    <w:rsid w:val="00821FAB"/>
    <w:rPr>
      <w:rFonts w:ascii="KPMG Light" w:hAnsi="KPMG Light"/>
      <w:iCs/>
      <w:color w:val="005EB8" w:themeColor="accent1"/>
      <w:sz w:val="44"/>
    </w:rPr>
  </w:style>
  <w:style w:type="paragraph" w:customStyle="1" w:styleId="Introduction">
    <w:name w:val="Introduction"/>
    <w:basedOn w:val="Quote"/>
    <w:qFormat/>
    <w:rsid w:val="00F455AD"/>
  </w:style>
  <w:style w:type="paragraph" w:customStyle="1" w:styleId="Letterhead">
    <w:name w:val="Letterhead"/>
    <w:rsid w:val="00826506"/>
    <w:pPr>
      <w:spacing w:after="0" w:line="160" w:lineRule="atLeast"/>
    </w:pPr>
    <w:rPr>
      <w:rFonts w:eastAsia="Batang" w:cs="Arial"/>
      <w:sz w:val="12"/>
      <w:szCs w:val="12"/>
      <w:lang w:val="en-GB" w:eastAsia="ko-KR"/>
    </w:rPr>
  </w:style>
  <w:style w:type="paragraph" w:customStyle="1" w:styleId="Letterheadaddress">
    <w:name w:val="Letterhead address"/>
    <w:basedOn w:val="BodyText1"/>
    <w:qFormat/>
    <w:rsid w:val="00903423"/>
    <w:pPr>
      <w:spacing w:before="20" w:after="20"/>
      <w:ind w:left="142"/>
    </w:pPr>
  </w:style>
  <w:style w:type="paragraph" w:customStyle="1" w:styleId="Contactus">
    <w:name w:val="Contact us"/>
    <w:basedOn w:val="BodyText1"/>
    <w:qFormat/>
    <w:rsid w:val="00CC7A82"/>
    <w:pPr>
      <w:ind w:left="426"/>
    </w:pPr>
    <w:rPr>
      <w:b/>
      <w:color w:val="FFFFFF" w:themeColor="background1"/>
      <w:sz w:val="24"/>
    </w:rPr>
  </w:style>
  <w:style w:type="paragraph" w:customStyle="1" w:styleId="backcoverdetails">
    <w:name w:val="back cover details"/>
    <w:basedOn w:val="BodyText1"/>
    <w:qFormat/>
    <w:rsid w:val="00CC7A82"/>
    <w:pPr>
      <w:spacing w:before="40" w:after="40"/>
      <w:ind w:left="425"/>
    </w:pPr>
    <w:rPr>
      <w:color w:val="FFFFFF" w:themeColor="background1"/>
    </w:rPr>
  </w:style>
  <w:style w:type="paragraph" w:styleId="IntenseQuote">
    <w:name w:val="Intense Quote"/>
    <w:basedOn w:val="Normal"/>
    <w:next w:val="Normal"/>
    <w:link w:val="IntenseQuoteChar"/>
    <w:uiPriority w:val="30"/>
    <w:qFormat/>
    <w:rsid w:val="00BA4108"/>
    <w:pPr>
      <w:pBdr>
        <w:top w:val="single" w:sz="4" w:space="10" w:color="005EB8" w:themeColor="accent1"/>
        <w:bottom w:val="single" w:sz="4" w:space="10" w:color="005EB8" w:themeColor="accent1"/>
      </w:pBdr>
      <w:spacing w:before="360" w:after="360"/>
    </w:pPr>
    <w:rPr>
      <w:i/>
      <w:iCs/>
      <w:color w:val="005EB8" w:themeColor="accent1"/>
    </w:rPr>
  </w:style>
  <w:style w:type="character" w:customStyle="1" w:styleId="IntenseQuoteChar">
    <w:name w:val="Intense Quote Char"/>
    <w:basedOn w:val="DefaultParagraphFont"/>
    <w:link w:val="IntenseQuote"/>
    <w:uiPriority w:val="30"/>
    <w:rsid w:val="00BA4108"/>
    <w:rPr>
      <w:rFonts w:ascii="Univers 45 Light" w:hAnsi="Univers 45 Light"/>
      <w:i/>
      <w:iCs/>
      <w:color w:val="005EB8" w:themeColor="accent1"/>
    </w:rPr>
  </w:style>
  <w:style w:type="character" w:styleId="SubtleReference">
    <w:name w:val="Subtle Reference"/>
    <w:basedOn w:val="DefaultParagraphFont"/>
    <w:uiPriority w:val="31"/>
    <w:qFormat/>
    <w:rsid w:val="00BA4108"/>
    <w:rPr>
      <w:rFonts w:ascii="KPMG Light" w:hAnsi="KPMG Light"/>
      <w:smallCaps/>
      <w:color w:val="5A5A5A" w:themeColor="text1" w:themeTint="A5"/>
      <w:sz w:val="44"/>
    </w:rPr>
  </w:style>
  <w:style w:type="character" w:styleId="IntenseReference">
    <w:name w:val="Intense Reference"/>
    <w:basedOn w:val="DefaultParagraphFont"/>
    <w:uiPriority w:val="32"/>
    <w:qFormat/>
    <w:rsid w:val="00BA4108"/>
    <w:rPr>
      <w:rFonts w:ascii="KPMG Light" w:hAnsi="KPMG Light"/>
      <w:b/>
      <w:bCs/>
      <w:smallCaps/>
      <w:color w:val="005EB8" w:themeColor="accent1"/>
      <w:spacing w:val="5"/>
      <w:sz w:val="44"/>
    </w:rPr>
  </w:style>
  <w:style w:type="paragraph" w:customStyle="1" w:styleId="Default">
    <w:name w:val="Default"/>
    <w:rsid w:val="0041324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IntroPara">
    <w:name w:val="IntroPara"/>
    <w:basedOn w:val="Heading2"/>
    <w:qFormat/>
    <w:rsid w:val="00AE5C4A"/>
    <w:pPr>
      <w:numPr>
        <w:ilvl w:val="0"/>
        <w:numId w:val="0"/>
      </w:numPr>
    </w:pPr>
    <w:rPr>
      <w:rFonts w:eastAsiaTheme="minorHAnsi"/>
    </w:rPr>
  </w:style>
  <w:style w:type="character" w:customStyle="1" w:styleId="Heading7Char">
    <w:name w:val="Heading 7 Char"/>
    <w:basedOn w:val="DefaultParagraphFont"/>
    <w:link w:val="Heading7"/>
    <w:uiPriority w:val="9"/>
    <w:rsid w:val="00AE5C4A"/>
    <w:rPr>
      <w:rFonts w:asciiTheme="majorHAnsi" w:eastAsiaTheme="majorEastAsia" w:hAnsiTheme="majorHAnsi" w:cstheme="majorBidi"/>
      <w:i/>
      <w:iCs/>
      <w:color w:val="002E5B" w:themeColor="accent1" w:themeShade="7F"/>
      <w:sz w:val="20"/>
    </w:rPr>
  </w:style>
  <w:style w:type="character" w:customStyle="1" w:styleId="Heading9Char">
    <w:name w:val="Heading 9 Char"/>
    <w:basedOn w:val="DefaultParagraphFont"/>
    <w:link w:val="Heading9"/>
    <w:uiPriority w:val="9"/>
    <w:semiHidden/>
    <w:rsid w:val="00AE5C4A"/>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9"/>
    <w:semiHidden/>
    <w:rsid w:val="00AE5C4A"/>
    <w:rPr>
      <w:rFonts w:asciiTheme="majorHAnsi" w:eastAsiaTheme="majorEastAsia" w:hAnsiTheme="majorHAnsi" w:cstheme="majorBidi"/>
      <w:color w:val="272727" w:themeColor="text1" w:themeTint="D8"/>
      <w:sz w:val="21"/>
      <w:szCs w:val="21"/>
    </w:rPr>
  </w:style>
  <w:style w:type="character" w:styleId="CommentReference">
    <w:name w:val="annotation reference"/>
    <w:basedOn w:val="DefaultParagraphFont"/>
    <w:uiPriority w:val="99"/>
    <w:semiHidden/>
    <w:unhideWhenUsed/>
    <w:rsid w:val="00AE5C4A"/>
    <w:rPr>
      <w:sz w:val="16"/>
      <w:szCs w:val="16"/>
    </w:rPr>
  </w:style>
  <w:style w:type="paragraph" w:styleId="CommentText">
    <w:name w:val="annotation text"/>
    <w:basedOn w:val="Normal"/>
    <w:link w:val="CommentTextChar"/>
    <w:uiPriority w:val="99"/>
    <w:unhideWhenUsed/>
    <w:rsid w:val="00AE5C4A"/>
    <w:rPr>
      <w:szCs w:val="20"/>
    </w:rPr>
  </w:style>
  <w:style w:type="character" w:customStyle="1" w:styleId="CommentTextChar">
    <w:name w:val="Comment Text Char"/>
    <w:basedOn w:val="DefaultParagraphFont"/>
    <w:link w:val="CommentText"/>
    <w:uiPriority w:val="99"/>
    <w:rsid w:val="00AE5C4A"/>
    <w:rPr>
      <w:sz w:val="20"/>
      <w:szCs w:val="20"/>
    </w:rPr>
  </w:style>
  <w:style w:type="paragraph" w:styleId="CommentSubject">
    <w:name w:val="annotation subject"/>
    <w:basedOn w:val="CommentText"/>
    <w:next w:val="CommentText"/>
    <w:link w:val="CommentSubjectChar"/>
    <w:uiPriority w:val="99"/>
    <w:semiHidden/>
    <w:unhideWhenUsed/>
    <w:rsid w:val="00AE5C4A"/>
    <w:rPr>
      <w:b/>
      <w:bCs/>
    </w:rPr>
  </w:style>
  <w:style w:type="character" w:customStyle="1" w:styleId="CommentSubjectChar">
    <w:name w:val="Comment Subject Char"/>
    <w:basedOn w:val="CommentTextChar"/>
    <w:link w:val="CommentSubject"/>
    <w:uiPriority w:val="99"/>
    <w:semiHidden/>
    <w:rsid w:val="00AE5C4A"/>
    <w:rPr>
      <w:b/>
      <w:bCs/>
      <w:sz w:val="20"/>
      <w:szCs w:val="20"/>
    </w:rPr>
  </w:style>
  <w:style w:type="paragraph" w:styleId="BalloonText">
    <w:name w:val="Balloon Text"/>
    <w:basedOn w:val="Normal"/>
    <w:link w:val="BalloonTextChar"/>
    <w:uiPriority w:val="99"/>
    <w:semiHidden/>
    <w:unhideWhenUsed/>
    <w:rsid w:val="00AE5C4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C4A"/>
    <w:rPr>
      <w:rFonts w:ascii="Segoe UI" w:hAnsi="Segoe UI" w:cs="Segoe UI"/>
      <w:sz w:val="18"/>
      <w:szCs w:val="18"/>
    </w:rPr>
  </w:style>
  <w:style w:type="paragraph" w:customStyle="1" w:styleId="HeadingLevel1NoNumber">
    <w:name w:val="HeadingLevel1NoNumber"/>
    <w:basedOn w:val="Heading1"/>
    <w:next w:val="BodyText"/>
    <w:qFormat/>
    <w:rsid w:val="000C5DF4"/>
    <w:pPr>
      <w:numPr>
        <w:numId w:val="0"/>
      </w:numPr>
    </w:pPr>
  </w:style>
  <w:style w:type="paragraph" w:customStyle="1" w:styleId="HeadingLevel2NoNumber">
    <w:name w:val="HeadingLevel2NoNumber"/>
    <w:basedOn w:val="Heading2"/>
    <w:next w:val="BodyText"/>
    <w:qFormat/>
    <w:rsid w:val="00AE5C4A"/>
    <w:pPr>
      <w:numPr>
        <w:ilvl w:val="0"/>
        <w:numId w:val="0"/>
      </w:numPr>
    </w:pPr>
  </w:style>
  <w:style w:type="paragraph" w:customStyle="1" w:styleId="HeadingLevel3NoNumber">
    <w:name w:val="HeadingLevel3NoNumber"/>
    <w:basedOn w:val="Heading3"/>
    <w:next w:val="BodyText"/>
    <w:qFormat/>
    <w:rsid w:val="00AE5C4A"/>
  </w:style>
  <w:style w:type="paragraph" w:customStyle="1" w:styleId="HeadingLevel4NoNumber">
    <w:name w:val="HeadingLevel4NoNumber"/>
    <w:basedOn w:val="Heading4"/>
    <w:next w:val="BodyText"/>
    <w:qFormat/>
    <w:rsid w:val="00222A00"/>
    <w:rPr>
      <w:color w:val="262626" w:themeColor="text1" w:themeTint="D9"/>
    </w:rPr>
  </w:style>
  <w:style w:type="paragraph" w:styleId="ListBullet">
    <w:name w:val="List Bullet"/>
    <w:basedOn w:val="Normal"/>
    <w:uiPriority w:val="99"/>
    <w:unhideWhenUsed/>
    <w:rsid w:val="000E161F"/>
    <w:pPr>
      <w:numPr>
        <w:numId w:val="6"/>
      </w:numPr>
      <w:contextualSpacing/>
    </w:pPr>
  </w:style>
  <w:style w:type="paragraph" w:styleId="ListBullet2">
    <w:name w:val="List Bullet 2"/>
    <w:basedOn w:val="Normal"/>
    <w:link w:val="ListBullet2Char"/>
    <w:uiPriority w:val="99"/>
    <w:unhideWhenUsed/>
    <w:rsid w:val="000E161F"/>
    <w:pPr>
      <w:numPr>
        <w:numId w:val="7"/>
      </w:numPr>
      <w:contextualSpacing/>
    </w:pPr>
  </w:style>
  <w:style w:type="paragraph" w:styleId="ListBullet3">
    <w:name w:val="List Bullet 3"/>
    <w:basedOn w:val="Normal"/>
    <w:uiPriority w:val="99"/>
    <w:unhideWhenUsed/>
    <w:rsid w:val="00D65A2D"/>
    <w:pPr>
      <w:numPr>
        <w:numId w:val="8"/>
      </w:numPr>
      <w:tabs>
        <w:tab w:val="clear" w:pos="926"/>
        <w:tab w:val="num" w:pos="1072"/>
      </w:tabs>
      <w:ind w:left="1071" w:hanging="357"/>
      <w:contextualSpacing/>
    </w:pPr>
  </w:style>
  <w:style w:type="paragraph" w:customStyle="1" w:styleId="TableBullet1">
    <w:name w:val="TableBullet1"/>
    <w:basedOn w:val="ListBullet"/>
    <w:qFormat/>
    <w:rsid w:val="005D335A"/>
    <w:pPr>
      <w:spacing w:before="40"/>
    </w:pPr>
  </w:style>
  <w:style w:type="paragraph" w:customStyle="1" w:styleId="Tablebullet2">
    <w:name w:val="Tablebullet2"/>
    <w:basedOn w:val="ListBullet2"/>
    <w:link w:val="Tablebullet2Char"/>
    <w:qFormat/>
    <w:rsid w:val="00D65A2D"/>
    <w:pPr>
      <w:spacing w:before="40" w:after="40"/>
    </w:pPr>
  </w:style>
  <w:style w:type="paragraph" w:customStyle="1" w:styleId="Appendixheading">
    <w:name w:val="Appendix heading"/>
    <w:next w:val="BodyText0"/>
    <w:uiPriority w:val="2"/>
    <w:qFormat/>
    <w:rsid w:val="003A3E7C"/>
    <w:pPr>
      <w:keepNext/>
      <w:keepLines/>
      <w:pageBreakBefore/>
      <w:numPr>
        <w:numId w:val="9"/>
      </w:numPr>
      <w:spacing w:before="240" w:after="240" w:line="240" w:lineRule="auto"/>
      <w:ind w:left="0"/>
      <w:outlineLvl w:val="0"/>
    </w:pPr>
    <w:rPr>
      <w:rFonts w:ascii="KPMG Extralight" w:eastAsia="Times New Roman" w:hAnsi="KPMG Extralight" w:cs="Times New Roman"/>
      <w:color w:val="00338D"/>
      <w:sz w:val="96"/>
      <w:szCs w:val="18"/>
    </w:rPr>
  </w:style>
  <w:style w:type="paragraph" w:customStyle="1" w:styleId="AppendixHeading2">
    <w:name w:val="Appendix Heading 2"/>
    <w:basedOn w:val="Heading2"/>
    <w:next w:val="BodyText"/>
    <w:rsid w:val="00FC5B38"/>
    <w:pPr>
      <w:keepLines w:val="0"/>
      <w:numPr>
        <w:numId w:val="9"/>
      </w:numPr>
      <w:tabs>
        <w:tab w:val="left" w:pos="964"/>
      </w:tabs>
      <w:spacing w:after="120"/>
      <w:jc w:val="both"/>
    </w:pPr>
    <w:rPr>
      <w:rFonts w:ascii="Univers 45 Light" w:eastAsia="Times New Roman" w:hAnsi="Univers 45 Light" w:cs="Times New Roman"/>
      <w:b/>
      <w:sz w:val="28"/>
      <w:szCs w:val="20"/>
    </w:rPr>
  </w:style>
  <w:style w:type="paragraph" w:customStyle="1" w:styleId="AppendixHeading3">
    <w:name w:val="Appendix Heading 3"/>
    <w:basedOn w:val="Heading3"/>
    <w:next w:val="BodyText"/>
    <w:rsid w:val="00FC5B38"/>
    <w:pPr>
      <w:keepLines w:val="0"/>
      <w:tabs>
        <w:tab w:val="left" w:pos="357"/>
      </w:tabs>
      <w:spacing w:after="120"/>
      <w:jc w:val="both"/>
    </w:pPr>
    <w:rPr>
      <w:rFonts w:eastAsia="Times New Roman" w:cs="Times New Roman"/>
      <w:b/>
      <w:color w:val="00338D"/>
      <w:sz w:val="24"/>
      <w:szCs w:val="20"/>
    </w:rPr>
  </w:style>
  <w:style w:type="paragraph" w:customStyle="1" w:styleId="AppendixHeading4">
    <w:name w:val="Appendix Heading 4"/>
    <w:basedOn w:val="Heading4"/>
    <w:next w:val="BodyText"/>
    <w:rsid w:val="00FC5B38"/>
    <w:pPr>
      <w:keepLines w:val="0"/>
      <w:tabs>
        <w:tab w:val="left" w:pos="964"/>
      </w:tabs>
      <w:spacing w:after="120"/>
      <w:jc w:val="both"/>
    </w:pPr>
    <w:rPr>
      <w:rFonts w:eastAsia="Times New Roman" w:cs="Times New Roman"/>
      <w:iCs w:val="0"/>
      <w:color w:val="00338D"/>
      <w:sz w:val="22"/>
      <w:szCs w:val="20"/>
    </w:rPr>
  </w:style>
  <w:style w:type="paragraph" w:styleId="TOC2">
    <w:name w:val="toc 2"/>
    <w:basedOn w:val="Normal"/>
    <w:next w:val="Normal"/>
    <w:autoRedefine/>
    <w:uiPriority w:val="39"/>
    <w:unhideWhenUsed/>
    <w:rsid w:val="00D76577"/>
    <w:pPr>
      <w:tabs>
        <w:tab w:val="left" w:pos="993"/>
        <w:tab w:val="right" w:pos="8505"/>
      </w:tabs>
      <w:spacing w:after="100"/>
      <w:ind w:left="993" w:hanging="426"/>
    </w:pPr>
    <w:rPr>
      <w:noProof/>
    </w:rPr>
  </w:style>
  <w:style w:type="paragraph" w:customStyle="1" w:styleId="BodyText0">
    <w:name w:val="BodyText"/>
    <w:basedOn w:val="Normal"/>
    <w:link w:val="BodyTextChar0"/>
    <w:rsid w:val="00860A83"/>
    <w:pPr>
      <w:spacing w:before="0" w:after="130"/>
    </w:pPr>
    <w:rPr>
      <w:rFonts w:eastAsia="Times New Roman" w:cs="Times New Roman"/>
      <w:sz w:val="22"/>
      <w:szCs w:val="20"/>
    </w:rPr>
  </w:style>
  <w:style w:type="character" w:customStyle="1" w:styleId="BodyTextChar0">
    <w:name w:val="BodyText Char"/>
    <w:basedOn w:val="DefaultParagraphFont"/>
    <w:link w:val="BodyText0"/>
    <w:rsid w:val="00860A83"/>
    <w:rPr>
      <w:rFonts w:ascii="Univers 45 Light" w:eastAsia="Times New Roman" w:hAnsi="Univers 45 Light" w:cs="Times New Roman"/>
      <w:szCs w:val="20"/>
    </w:rPr>
  </w:style>
  <w:style w:type="paragraph" w:styleId="ListParagraph">
    <w:name w:val="List Paragraph"/>
    <w:aliases w:val="Bullet Level 1,First level bullet point,Bullet point,List Paragraph1,List Paragraph11,Recommendation,List Bullet 1,L,Normal Numbered Para,Numbered Para,#List Paragraph,List Paragraph - bullet,List - bullet,List Paragraph - bullets,Bullets"/>
    <w:basedOn w:val="Normal"/>
    <w:link w:val="ListParagraphChar"/>
    <w:uiPriority w:val="34"/>
    <w:qFormat/>
    <w:rsid w:val="00B27D32"/>
    <w:pPr>
      <w:ind w:left="720"/>
      <w:contextualSpacing/>
    </w:pPr>
  </w:style>
  <w:style w:type="character" w:customStyle="1" w:styleId="ListParagraphChar">
    <w:name w:val="List Paragraph Char"/>
    <w:aliases w:val="Bullet Level 1 Char,First level bullet point Char,Bullet point Char,List Paragraph1 Char,List Paragraph11 Char,Recommendation Char,List Bullet 1 Char,L Char,Normal Numbered Para Char,Numbered Para Char,#List Paragraph Char"/>
    <w:basedOn w:val="DefaultParagraphFont"/>
    <w:link w:val="ListParagraph"/>
    <w:uiPriority w:val="34"/>
    <w:rsid w:val="00B27D32"/>
    <w:rPr>
      <w:rFonts w:ascii="Univers 45 Light" w:hAnsi="Univers 45 Light"/>
      <w:sz w:val="20"/>
    </w:rPr>
  </w:style>
  <w:style w:type="paragraph" w:styleId="Caption">
    <w:name w:val="caption"/>
    <w:basedOn w:val="Normal"/>
    <w:next w:val="Normal"/>
    <w:uiPriority w:val="35"/>
    <w:unhideWhenUsed/>
    <w:qFormat/>
    <w:rsid w:val="007E1DFF"/>
    <w:rPr>
      <w:i/>
      <w:iCs/>
      <w:color w:val="595959" w:themeColor="text1" w:themeTint="A6"/>
      <w:sz w:val="18"/>
      <w:szCs w:val="18"/>
    </w:rPr>
  </w:style>
  <w:style w:type="paragraph" w:styleId="NormalWeb">
    <w:name w:val="Normal (Web)"/>
    <w:basedOn w:val="Normal"/>
    <w:uiPriority w:val="99"/>
    <w:semiHidden/>
    <w:unhideWhenUsed/>
    <w:rsid w:val="00C73924"/>
    <w:pPr>
      <w:spacing w:before="100" w:beforeAutospacing="1" w:after="100" w:afterAutospacing="1"/>
    </w:pPr>
    <w:rPr>
      <w:rFonts w:ascii="Times New Roman" w:eastAsiaTheme="minorEastAsia" w:hAnsi="Times New Roman" w:cs="Times New Roman"/>
      <w:sz w:val="24"/>
      <w:szCs w:val="24"/>
      <w:lang w:eastAsia="en-AU"/>
    </w:rPr>
  </w:style>
  <w:style w:type="paragraph" w:styleId="Revision">
    <w:name w:val="Revision"/>
    <w:hidden/>
    <w:uiPriority w:val="99"/>
    <w:semiHidden/>
    <w:rsid w:val="00627EAA"/>
    <w:pPr>
      <w:spacing w:after="0" w:line="240" w:lineRule="auto"/>
    </w:pPr>
    <w:rPr>
      <w:rFonts w:ascii="Univers 45 Light" w:hAnsi="Univers 45 Light"/>
      <w:sz w:val="20"/>
    </w:rPr>
  </w:style>
  <w:style w:type="paragraph" w:styleId="FootnoteText">
    <w:name w:val="footnote text"/>
    <w:aliases w:val="(NECG) Footnote Text,ALTS FOOTNOTE,Char Char Char,ALTS FOOTNOTE Char Char Char"/>
    <w:basedOn w:val="Normal"/>
    <w:link w:val="FootnoteTextChar"/>
    <w:uiPriority w:val="99"/>
    <w:unhideWhenUsed/>
    <w:rsid w:val="0070209D"/>
    <w:pPr>
      <w:spacing w:before="0" w:after="0"/>
    </w:pPr>
    <w:rPr>
      <w:sz w:val="16"/>
      <w:szCs w:val="20"/>
    </w:rPr>
  </w:style>
  <w:style w:type="character" w:customStyle="1" w:styleId="FootnoteTextChar">
    <w:name w:val="Footnote Text Char"/>
    <w:aliases w:val="(NECG) Footnote Text Char,ALTS FOOTNOTE Char,Char Char Char Char,ALTS FOOTNOTE Char Char Char Char"/>
    <w:basedOn w:val="DefaultParagraphFont"/>
    <w:link w:val="FootnoteText"/>
    <w:uiPriority w:val="99"/>
    <w:rsid w:val="0070209D"/>
    <w:rPr>
      <w:rFonts w:ascii="Univers 45 Light" w:hAnsi="Univers 45 Light"/>
      <w:sz w:val="16"/>
      <w:szCs w:val="20"/>
    </w:rPr>
  </w:style>
  <w:style w:type="character" w:styleId="FootnoteReference">
    <w:name w:val="footnote reference"/>
    <w:basedOn w:val="DefaultParagraphFont"/>
    <w:uiPriority w:val="99"/>
    <w:unhideWhenUsed/>
    <w:rsid w:val="000440E3"/>
    <w:rPr>
      <w:vertAlign w:val="superscript"/>
    </w:rPr>
  </w:style>
  <w:style w:type="table" w:styleId="GridTable1Light-Accent1">
    <w:name w:val="Grid Table 1 Light Accent 1"/>
    <w:basedOn w:val="TableNormal"/>
    <w:uiPriority w:val="46"/>
    <w:rsid w:val="000440E3"/>
    <w:pPr>
      <w:spacing w:after="0" w:line="240" w:lineRule="auto"/>
    </w:pPr>
    <w:tblPr>
      <w:tblStyleRowBandSize w:val="1"/>
      <w:tblStyleColBandSize w:val="1"/>
      <w:tblBorders>
        <w:top w:val="single" w:sz="4" w:space="0" w:color="7CBEFF" w:themeColor="accent1" w:themeTint="66"/>
        <w:left w:val="single" w:sz="4" w:space="0" w:color="7CBEFF" w:themeColor="accent1" w:themeTint="66"/>
        <w:bottom w:val="single" w:sz="4" w:space="0" w:color="7CBEFF" w:themeColor="accent1" w:themeTint="66"/>
        <w:right w:val="single" w:sz="4" w:space="0" w:color="7CBEFF" w:themeColor="accent1" w:themeTint="66"/>
        <w:insideH w:val="single" w:sz="4" w:space="0" w:color="7CBEFF" w:themeColor="accent1" w:themeTint="66"/>
        <w:insideV w:val="single" w:sz="4" w:space="0" w:color="7CBEFF" w:themeColor="accent1" w:themeTint="66"/>
      </w:tblBorders>
    </w:tblPr>
    <w:tblStylePr w:type="firstRow">
      <w:rPr>
        <w:b/>
        <w:bCs/>
      </w:rPr>
      <w:tblPr/>
      <w:tcPr>
        <w:tcBorders>
          <w:bottom w:val="single" w:sz="12" w:space="0" w:color="3B9FFF" w:themeColor="accent1" w:themeTint="99"/>
        </w:tcBorders>
      </w:tcPr>
    </w:tblStylePr>
    <w:tblStylePr w:type="lastRow">
      <w:rPr>
        <w:b/>
        <w:bCs/>
      </w:rPr>
      <w:tblPr/>
      <w:tcPr>
        <w:tcBorders>
          <w:top w:val="double" w:sz="2" w:space="0" w:color="3B9FFF" w:themeColor="accent1" w:themeTint="99"/>
        </w:tcBorders>
      </w:tcPr>
    </w:tblStylePr>
    <w:tblStylePr w:type="firstCol">
      <w:rPr>
        <w:b/>
        <w:bCs/>
      </w:rPr>
    </w:tblStylePr>
    <w:tblStylePr w:type="lastCol">
      <w:rPr>
        <w:b/>
        <w:bCs/>
      </w:rPr>
    </w:tblStylePr>
  </w:style>
  <w:style w:type="paragraph" w:customStyle="1" w:styleId="Quotation">
    <w:name w:val="Quotation"/>
    <w:basedOn w:val="Normal"/>
    <w:link w:val="QuotationChar"/>
    <w:qFormat/>
    <w:rsid w:val="006D6423"/>
    <w:pPr>
      <w:shd w:val="clear" w:color="auto" w:fill="D9D9D9" w:themeFill="background1" w:themeFillShade="D9"/>
      <w:ind w:left="1440"/>
    </w:pPr>
    <w:rPr>
      <w:i/>
    </w:rPr>
  </w:style>
  <w:style w:type="character" w:customStyle="1" w:styleId="QuotationChar">
    <w:name w:val="Quotation Char"/>
    <w:basedOn w:val="DefaultParagraphFont"/>
    <w:link w:val="Quotation"/>
    <w:rsid w:val="006D6423"/>
    <w:rPr>
      <w:rFonts w:ascii="Univers 45 Light" w:hAnsi="Univers 45 Light"/>
      <w:i/>
      <w:sz w:val="20"/>
      <w:shd w:val="clear" w:color="auto" w:fill="D9D9D9" w:themeFill="background1" w:themeFillShade="D9"/>
    </w:rPr>
  </w:style>
  <w:style w:type="table" w:styleId="GridTable1Light-Accent2">
    <w:name w:val="Grid Table 1 Light Accent 2"/>
    <w:basedOn w:val="TableNormal"/>
    <w:uiPriority w:val="46"/>
    <w:rsid w:val="00AF74E3"/>
    <w:pPr>
      <w:spacing w:after="0" w:line="240" w:lineRule="auto"/>
    </w:pPr>
    <w:tblPr>
      <w:tblStyleRowBandSize w:val="1"/>
      <w:tblStyleColBandSize w:val="1"/>
      <w:tblBorders>
        <w:top w:val="single" w:sz="4" w:space="0" w:color="8AD7FF" w:themeColor="accent2" w:themeTint="66"/>
        <w:left w:val="single" w:sz="4" w:space="0" w:color="8AD7FF" w:themeColor="accent2" w:themeTint="66"/>
        <w:bottom w:val="single" w:sz="4" w:space="0" w:color="8AD7FF" w:themeColor="accent2" w:themeTint="66"/>
        <w:right w:val="single" w:sz="4" w:space="0" w:color="8AD7FF" w:themeColor="accent2" w:themeTint="66"/>
        <w:insideH w:val="single" w:sz="4" w:space="0" w:color="8AD7FF" w:themeColor="accent2" w:themeTint="66"/>
        <w:insideV w:val="single" w:sz="4" w:space="0" w:color="8AD7FF" w:themeColor="accent2" w:themeTint="66"/>
      </w:tblBorders>
    </w:tblPr>
    <w:tblStylePr w:type="firstRow">
      <w:rPr>
        <w:b/>
        <w:bCs/>
      </w:rPr>
      <w:tblPr/>
      <w:tcPr>
        <w:tcBorders>
          <w:bottom w:val="single" w:sz="12" w:space="0" w:color="4FC3FF" w:themeColor="accent2" w:themeTint="99"/>
        </w:tcBorders>
      </w:tcPr>
    </w:tblStylePr>
    <w:tblStylePr w:type="lastRow">
      <w:rPr>
        <w:b/>
        <w:bCs/>
      </w:rPr>
      <w:tblPr/>
      <w:tcPr>
        <w:tcBorders>
          <w:top w:val="double" w:sz="2" w:space="0" w:color="4FC3FF" w:themeColor="accent2" w:themeTint="99"/>
        </w:tcBorders>
      </w:tcPr>
    </w:tblStylePr>
    <w:tblStylePr w:type="firstCol">
      <w:rPr>
        <w:b/>
        <w:bCs/>
      </w:rPr>
    </w:tblStylePr>
    <w:tblStylePr w:type="lastCol">
      <w:rPr>
        <w:b/>
        <w:bCs/>
      </w:rPr>
    </w:tblStylePr>
  </w:style>
  <w:style w:type="paragraph" w:customStyle="1" w:styleId="BodyText2">
    <w:name w:val="_Body Text"/>
    <w:basedOn w:val="Normal"/>
    <w:link w:val="BodyTextChar1"/>
    <w:qFormat/>
    <w:rsid w:val="0072276D"/>
    <w:rPr>
      <w:rFonts w:eastAsia="SimSun" w:cs="Times New Roman"/>
      <w:color w:val="0091DA" w:themeColor="accent2"/>
      <w:sz w:val="22"/>
    </w:rPr>
  </w:style>
  <w:style w:type="character" w:customStyle="1" w:styleId="BodyTextChar1">
    <w:name w:val="_Body Text Char"/>
    <w:basedOn w:val="DefaultParagraphFont"/>
    <w:link w:val="BodyText2"/>
    <w:locked/>
    <w:rsid w:val="0072276D"/>
    <w:rPr>
      <w:rFonts w:ascii="Univers 45 Light" w:eastAsia="SimSun" w:hAnsi="Univers 45 Light" w:cs="Times New Roman"/>
      <w:color w:val="0091DA" w:themeColor="accent2"/>
    </w:rPr>
  </w:style>
  <w:style w:type="paragraph" w:styleId="ListNumber">
    <w:name w:val="List Number"/>
    <w:basedOn w:val="Normal"/>
    <w:uiPriority w:val="99"/>
    <w:unhideWhenUsed/>
    <w:rsid w:val="00CB468C"/>
    <w:pPr>
      <w:tabs>
        <w:tab w:val="num" w:pos="360"/>
      </w:tabs>
      <w:ind w:left="360" w:hanging="360"/>
      <w:contextualSpacing/>
    </w:pPr>
  </w:style>
  <w:style w:type="paragraph" w:customStyle="1" w:styleId="Tablebullet3">
    <w:name w:val="Tablebullet3"/>
    <w:basedOn w:val="Tablebullet2"/>
    <w:link w:val="Tablebullet3Char"/>
    <w:qFormat/>
    <w:rsid w:val="007E1DFF"/>
    <w:pPr>
      <w:tabs>
        <w:tab w:val="clear" w:pos="697"/>
        <w:tab w:val="left" w:pos="1026"/>
      </w:tabs>
      <w:ind w:left="1168" w:hanging="426"/>
    </w:pPr>
    <w:rPr>
      <w:sz w:val="18"/>
      <w:szCs w:val="18"/>
    </w:rPr>
  </w:style>
  <w:style w:type="character" w:customStyle="1" w:styleId="ListBullet2Char">
    <w:name w:val="List Bullet 2 Char"/>
    <w:basedOn w:val="DefaultParagraphFont"/>
    <w:link w:val="ListBullet2"/>
    <w:uiPriority w:val="99"/>
    <w:rsid w:val="007E1DFF"/>
    <w:rPr>
      <w:rFonts w:ascii="Univers 45 Light" w:hAnsi="Univers 45 Light"/>
      <w:sz w:val="20"/>
    </w:rPr>
  </w:style>
  <w:style w:type="character" w:customStyle="1" w:styleId="Tablebullet2Char">
    <w:name w:val="Tablebullet2 Char"/>
    <w:basedOn w:val="ListBullet2Char"/>
    <w:link w:val="Tablebullet2"/>
    <w:rsid w:val="007E1DFF"/>
    <w:rPr>
      <w:rFonts w:ascii="Univers 45 Light" w:hAnsi="Univers 45 Light"/>
      <w:sz w:val="20"/>
    </w:rPr>
  </w:style>
  <w:style w:type="character" w:customStyle="1" w:styleId="Tablebullet3Char">
    <w:name w:val="Tablebullet3 Char"/>
    <w:basedOn w:val="Tablebullet2Char"/>
    <w:link w:val="Tablebullet3"/>
    <w:rsid w:val="007E1DFF"/>
    <w:rPr>
      <w:rFonts w:ascii="Univers 45 Light" w:hAnsi="Univers 45 Light"/>
      <w:sz w:val="18"/>
      <w:szCs w:val="18"/>
    </w:rPr>
  </w:style>
  <w:style w:type="paragraph" w:customStyle="1" w:styleId="Dividernumber">
    <w:name w:val="Divider number"/>
    <w:basedOn w:val="Heading1Noshow"/>
    <w:link w:val="DividernumberChar"/>
    <w:qFormat/>
    <w:rsid w:val="00DC1102"/>
    <w:pPr>
      <w:spacing w:line="2000" w:lineRule="exact"/>
      <w:jc w:val="center"/>
    </w:pPr>
    <w:rPr>
      <w:rFonts w:ascii="KPMG Light" w:hAnsi="KPMG Light"/>
      <w:sz w:val="200"/>
      <w:szCs w:val="200"/>
    </w:rPr>
  </w:style>
  <w:style w:type="paragraph" w:customStyle="1" w:styleId="Dividertitle">
    <w:name w:val="Divider title"/>
    <w:basedOn w:val="Heading1Noshow"/>
    <w:link w:val="DividertitleChar"/>
    <w:qFormat/>
    <w:rsid w:val="00DC1102"/>
    <w:pPr>
      <w:spacing w:line="192" w:lineRule="auto"/>
      <w:jc w:val="center"/>
    </w:pPr>
    <w:rPr>
      <w:color w:val="FFFFFF" w:themeColor="background1"/>
      <w:sz w:val="120"/>
      <w:szCs w:val="120"/>
    </w:rPr>
  </w:style>
  <w:style w:type="character" w:customStyle="1" w:styleId="Heading1NoshowChar">
    <w:name w:val="Heading 1_No show Char"/>
    <w:basedOn w:val="DefaultParagraphFont"/>
    <w:link w:val="Heading1Noshow"/>
    <w:rsid w:val="00EA3591"/>
    <w:rPr>
      <w:rFonts w:ascii="KPMG Extralight" w:eastAsiaTheme="majorEastAsia" w:hAnsi="KPMG Extralight" w:cstheme="majorBidi"/>
      <w:color w:val="0091DA" w:themeColor="accent2"/>
      <w:sz w:val="108"/>
      <w:szCs w:val="32"/>
    </w:rPr>
  </w:style>
  <w:style w:type="character" w:customStyle="1" w:styleId="DividernumberChar">
    <w:name w:val="Divider number Char"/>
    <w:basedOn w:val="Heading1NoshowChar"/>
    <w:link w:val="Dividernumber"/>
    <w:rsid w:val="00DC1102"/>
    <w:rPr>
      <w:rFonts w:ascii="KPMG Light" w:eastAsiaTheme="majorEastAsia" w:hAnsi="KPMG Light" w:cstheme="majorBidi"/>
      <w:color w:val="0091DA" w:themeColor="accent2"/>
      <w:sz w:val="200"/>
      <w:szCs w:val="200"/>
    </w:rPr>
  </w:style>
  <w:style w:type="character" w:customStyle="1" w:styleId="DividertitleChar">
    <w:name w:val="Divider title Char"/>
    <w:basedOn w:val="Heading1NoshowChar"/>
    <w:link w:val="Dividertitle"/>
    <w:rsid w:val="00DC1102"/>
    <w:rPr>
      <w:rFonts w:ascii="KPMG Extralight" w:eastAsiaTheme="majorEastAsia" w:hAnsi="KPMG Extralight" w:cstheme="majorBidi"/>
      <w:color w:val="FFFFFF" w:themeColor="background1"/>
      <w:sz w:val="120"/>
      <w:szCs w:val="120"/>
    </w:rPr>
  </w:style>
  <w:style w:type="paragraph" w:customStyle="1" w:styleId="Bodytextkeepwithnext">
    <w:name w:val="Bodytextkeepwithnext"/>
    <w:basedOn w:val="BodyText"/>
    <w:qFormat/>
    <w:rsid w:val="006B7E37"/>
    <w:pPr>
      <w:keepNext/>
    </w:pPr>
  </w:style>
  <w:style w:type="paragraph" w:customStyle="1" w:styleId="BodyTextIndentitalic">
    <w:name w:val="BodyTextIndentitalic"/>
    <w:basedOn w:val="BodyTextIndent"/>
    <w:qFormat/>
    <w:rsid w:val="006B7E37"/>
    <w:pPr>
      <w:ind w:left="340"/>
    </w:pPr>
    <w:rPr>
      <w:i/>
    </w:rPr>
  </w:style>
  <w:style w:type="paragraph" w:customStyle="1" w:styleId="Source">
    <w:name w:val="Source"/>
    <w:basedOn w:val="Normal"/>
    <w:qFormat/>
    <w:rsid w:val="006B7E37"/>
    <w:rPr>
      <w:sz w:val="16"/>
    </w:rPr>
  </w:style>
  <w:style w:type="paragraph" w:customStyle="1" w:styleId="Tableheading0">
    <w:name w:val="Tableheading"/>
    <w:basedOn w:val="BodyText"/>
    <w:qFormat/>
    <w:rsid w:val="006B7E37"/>
    <w:pPr>
      <w:spacing w:before="40" w:after="40"/>
    </w:pPr>
    <w:rPr>
      <w:b/>
      <w:bCs/>
      <w:color w:val="FFFFFF" w:themeColor="background1"/>
      <w:sz w:val="19"/>
      <w:szCs w:val="19"/>
    </w:rPr>
  </w:style>
  <w:style w:type="paragraph" w:customStyle="1" w:styleId="Tablesubheading">
    <w:name w:val="Tablesubheading"/>
    <w:basedOn w:val="BodyText"/>
    <w:qFormat/>
    <w:rsid w:val="006B7E37"/>
    <w:rPr>
      <w:b/>
      <w:bCs/>
      <w:i/>
      <w:sz w:val="19"/>
      <w:szCs w:val="19"/>
    </w:rPr>
  </w:style>
  <w:style w:type="paragraph" w:customStyle="1" w:styleId="Tablecentredtext">
    <w:name w:val="Tablecentredtext"/>
    <w:basedOn w:val="Tabletext"/>
    <w:qFormat/>
    <w:rsid w:val="006B7E37"/>
    <w:pPr>
      <w:spacing w:before="120" w:after="120"/>
      <w:jc w:val="center"/>
    </w:pPr>
  </w:style>
  <w:style w:type="table" w:styleId="ListTable3-Accent1">
    <w:name w:val="List Table 3 Accent 1"/>
    <w:basedOn w:val="TableNormal"/>
    <w:uiPriority w:val="48"/>
    <w:rsid w:val="006B7E37"/>
    <w:pPr>
      <w:spacing w:after="0" w:line="240" w:lineRule="auto"/>
    </w:pPr>
    <w:tblPr>
      <w:tblStyleRowBandSize w:val="1"/>
      <w:tblStyleColBandSize w:val="1"/>
      <w:tblInd w:w="0" w:type="nil"/>
      <w:tblBorders>
        <w:top w:val="single" w:sz="4" w:space="0" w:color="005EB8" w:themeColor="accent1"/>
        <w:left w:val="single" w:sz="4" w:space="0" w:color="005EB8" w:themeColor="accent1"/>
        <w:bottom w:val="single" w:sz="4" w:space="0" w:color="005EB8" w:themeColor="accent1"/>
        <w:right w:val="single" w:sz="4" w:space="0" w:color="005EB8" w:themeColor="accent1"/>
      </w:tblBorders>
    </w:tblPr>
    <w:tblStylePr w:type="firstRow">
      <w:rPr>
        <w:b/>
        <w:bCs/>
        <w:color w:val="FFFFFF" w:themeColor="background1"/>
      </w:rPr>
      <w:tblPr/>
      <w:tcPr>
        <w:shd w:val="clear" w:color="auto" w:fill="005EB8" w:themeFill="accent1"/>
      </w:tcPr>
    </w:tblStylePr>
    <w:tblStylePr w:type="lastRow">
      <w:rPr>
        <w:b/>
        <w:bCs/>
      </w:rPr>
      <w:tblPr/>
      <w:tcPr>
        <w:tcBorders>
          <w:top w:val="double" w:sz="4" w:space="0" w:color="005E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EB8" w:themeColor="accent1"/>
          <w:right w:val="single" w:sz="4" w:space="0" w:color="005EB8" w:themeColor="accent1"/>
        </w:tcBorders>
      </w:tcPr>
    </w:tblStylePr>
    <w:tblStylePr w:type="band1Horz">
      <w:tblPr/>
      <w:tcPr>
        <w:tcBorders>
          <w:top w:val="single" w:sz="4" w:space="0" w:color="005EB8" w:themeColor="accent1"/>
          <w:bottom w:val="single" w:sz="4" w:space="0" w:color="005E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EB8" w:themeColor="accent1"/>
          <w:left w:val="nil"/>
        </w:tcBorders>
      </w:tcPr>
    </w:tblStylePr>
    <w:tblStylePr w:type="swCell">
      <w:tblPr/>
      <w:tcPr>
        <w:tcBorders>
          <w:top w:val="double" w:sz="4" w:space="0" w:color="005EB8" w:themeColor="accent1"/>
          <w:right w:val="nil"/>
        </w:tcBorders>
      </w:tcPr>
    </w:tblStylePr>
  </w:style>
  <w:style w:type="paragraph" w:styleId="BodyTextIndent">
    <w:name w:val="Body Text Indent"/>
    <w:basedOn w:val="Normal"/>
    <w:link w:val="BodyTextIndentChar"/>
    <w:uiPriority w:val="99"/>
    <w:semiHidden/>
    <w:unhideWhenUsed/>
    <w:rsid w:val="006B7E37"/>
    <w:pPr>
      <w:ind w:left="283"/>
    </w:pPr>
  </w:style>
  <w:style w:type="character" w:customStyle="1" w:styleId="BodyTextIndentChar">
    <w:name w:val="Body Text Indent Char"/>
    <w:basedOn w:val="DefaultParagraphFont"/>
    <w:link w:val="BodyTextIndent"/>
    <w:uiPriority w:val="99"/>
    <w:semiHidden/>
    <w:rsid w:val="006B7E37"/>
    <w:rPr>
      <w:rFonts w:ascii="Univers 45 Light" w:hAnsi="Univers 45 Light"/>
      <w:sz w:val="20"/>
    </w:rPr>
  </w:style>
  <w:style w:type="table" w:customStyle="1" w:styleId="McLLTableGeneralText1">
    <w:name w:val="McLL Table General Text1"/>
    <w:basedOn w:val="TableNormal"/>
    <w:next w:val="TableGrid"/>
    <w:uiPriority w:val="39"/>
    <w:rsid w:val="00D60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0902A5"/>
    <w:pPr>
      <w:spacing w:after="0" w:line="240" w:lineRule="auto"/>
    </w:pPr>
    <w:tblPr>
      <w:tblStyleRowBandSize w:val="1"/>
      <w:tblStyleColBandSize w:val="1"/>
      <w:tblBorders>
        <w:top w:val="single" w:sz="4" w:space="0" w:color="4FC3FF" w:themeColor="accent2" w:themeTint="99"/>
        <w:left w:val="single" w:sz="4" w:space="0" w:color="4FC3FF" w:themeColor="accent2" w:themeTint="99"/>
        <w:bottom w:val="single" w:sz="4" w:space="0" w:color="4FC3FF" w:themeColor="accent2" w:themeTint="99"/>
        <w:right w:val="single" w:sz="4" w:space="0" w:color="4FC3FF" w:themeColor="accent2" w:themeTint="99"/>
        <w:insideH w:val="single" w:sz="4" w:space="0" w:color="4FC3FF" w:themeColor="accent2" w:themeTint="99"/>
        <w:insideV w:val="single" w:sz="4" w:space="0" w:color="4FC3FF" w:themeColor="accent2" w:themeTint="99"/>
      </w:tblBorders>
    </w:tblPr>
    <w:tblStylePr w:type="firstRow">
      <w:rPr>
        <w:b/>
        <w:bCs/>
        <w:color w:val="FFFFFF" w:themeColor="background1"/>
      </w:rPr>
      <w:tblPr/>
      <w:tcPr>
        <w:tcBorders>
          <w:top w:val="single" w:sz="4" w:space="0" w:color="0091DA" w:themeColor="accent2"/>
          <w:left w:val="single" w:sz="4" w:space="0" w:color="0091DA" w:themeColor="accent2"/>
          <w:bottom w:val="single" w:sz="4" w:space="0" w:color="0091DA" w:themeColor="accent2"/>
          <w:right w:val="single" w:sz="4" w:space="0" w:color="0091DA" w:themeColor="accent2"/>
          <w:insideH w:val="nil"/>
          <w:insideV w:val="nil"/>
        </w:tcBorders>
        <w:shd w:val="clear" w:color="auto" w:fill="0091DA" w:themeFill="accent2"/>
      </w:tcPr>
    </w:tblStylePr>
    <w:tblStylePr w:type="lastRow">
      <w:rPr>
        <w:b/>
        <w:bCs/>
      </w:rPr>
      <w:tblPr/>
      <w:tcPr>
        <w:tcBorders>
          <w:top w:val="double" w:sz="4" w:space="0" w:color="0091DA" w:themeColor="accent2"/>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87820">
      <w:bodyDiv w:val="1"/>
      <w:marLeft w:val="0"/>
      <w:marRight w:val="0"/>
      <w:marTop w:val="0"/>
      <w:marBottom w:val="0"/>
      <w:divBdr>
        <w:top w:val="none" w:sz="0" w:space="0" w:color="auto"/>
        <w:left w:val="none" w:sz="0" w:space="0" w:color="auto"/>
        <w:bottom w:val="none" w:sz="0" w:space="0" w:color="auto"/>
        <w:right w:val="none" w:sz="0" w:space="0" w:color="auto"/>
      </w:divBdr>
    </w:div>
    <w:div w:id="112557487">
      <w:bodyDiv w:val="1"/>
      <w:marLeft w:val="0"/>
      <w:marRight w:val="0"/>
      <w:marTop w:val="0"/>
      <w:marBottom w:val="0"/>
      <w:divBdr>
        <w:top w:val="none" w:sz="0" w:space="0" w:color="auto"/>
        <w:left w:val="none" w:sz="0" w:space="0" w:color="auto"/>
        <w:bottom w:val="none" w:sz="0" w:space="0" w:color="auto"/>
        <w:right w:val="none" w:sz="0" w:space="0" w:color="auto"/>
      </w:divBdr>
    </w:div>
    <w:div w:id="130290146">
      <w:bodyDiv w:val="1"/>
      <w:marLeft w:val="0"/>
      <w:marRight w:val="0"/>
      <w:marTop w:val="0"/>
      <w:marBottom w:val="0"/>
      <w:divBdr>
        <w:top w:val="none" w:sz="0" w:space="0" w:color="auto"/>
        <w:left w:val="none" w:sz="0" w:space="0" w:color="auto"/>
        <w:bottom w:val="none" w:sz="0" w:space="0" w:color="auto"/>
        <w:right w:val="none" w:sz="0" w:space="0" w:color="auto"/>
      </w:divBdr>
    </w:div>
    <w:div w:id="215362005">
      <w:bodyDiv w:val="1"/>
      <w:marLeft w:val="0"/>
      <w:marRight w:val="0"/>
      <w:marTop w:val="0"/>
      <w:marBottom w:val="0"/>
      <w:divBdr>
        <w:top w:val="none" w:sz="0" w:space="0" w:color="auto"/>
        <w:left w:val="none" w:sz="0" w:space="0" w:color="auto"/>
        <w:bottom w:val="none" w:sz="0" w:space="0" w:color="auto"/>
        <w:right w:val="none" w:sz="0" w:space="0" w:color="auto"/>
      </w:divBdr>
    </w:div>
    <w:div w:id="244413767">
      <w:bodyDiv w:val="1"/>
      <w:marLeft w:val="0"/>
      <w:marRight w:val="0"/>
      <w:marTop w:val="0"/>
      <w:marBottom w:val="0"/>
      <w:divBdr>
        <w:top w:val="none" w:sz="0" w:space="0" w:color="auto"/>
        <w:left w:val="none" w:sz="0" w:space="0" w:color="auto"/>
        <w:bottom w:val="none" w:sz="0" w:space="0" w:color="auto"/>
        <w:right w:val="none" w:sz="0" w:space="0" w:color="auto"/>
      </w:divBdr>
      <w:divsChild>
        <w:div w:id="313609880">
          <w:marLeft w:val="446"/>
          <w:marRight w:val="0"/>
          <w:marTop w:val="0"/>
          <w:marBottom w:val="120"/>
          <w:divBdr>
            <w:top w:val="none" w:sz="0" w:space="0" w:color="auto"/>
            <w:left w:val="none" w:sz="0" w:space="0" w:color="auto"/>
            <w:bottom w:val="none" w:sz="0" w:space="0" w:color="auto"/>
            <w:right w:val="none" w:sz="0" w:space="0" w:color="auto"/>
          </w:divBdr>
        </w:div>
        <w:div w:id="1515338564">
          <w:marLeft w:val="893"/>
          <w:marRight w:val="0"/>
          <w:marTop w:val="0"/>
          <w:marBottom w:val="120"/>
          <w:divBdr>
            <w:top w:val="none" w:sz="0" w:space="0" w:color="auto"/>
            <w:left w:val="none" w:sz="0" w:space="0" w:color="auto"/>
            <w:bottom w:val="none" w:sz="0" w:space="0" w:color="auto"/>
            <w:right w:val="none" w:sz="0" w:space="0" w:color="auto"/>
          </w:divBdr>
        </w:div>
        <w:div w:id="1660498257">
          <w:marLeft w:val="446"/>
          <w:marRight w:val="0"/>
          <w:marTop w:val="0"/>
          <w:marBottom w:val="120"/>
          <w:divBdr>
            <w:top w:val="none" w:sz="0" w:space="0" w:color="auto"/>
            <w:left w:val="none" w:sz="0" w:space="0" w:color="auto"/>
            <w:bottom w:val="none" w:sz="0" w:space="0" w:color="auto"/>
            <w:right w:val="none" w:sz="0" w:space="0" w:color="auto"/>
          </w:divBdr>
        </w:div>
        <w:div w:id="1809743158">
          <w:marLeft w:val="893"/>
          <w:marRight w:val="0"/>
          <w:marTop w:val="0"/>
          <w:marBottom w:val="120"/>
          <w:divBdr>
            <w:top w:val="none" w:sz="0" w:space="0" w:color="auto"/>
            <w:left w:val="none" w:sz="0" w:space="0" w:color="auto"/>
            <w:bottom w:val="none" w:sz="0" w:space="0" w:color="auto"/>
            <w:right w:val="none" w:sz="0" w:space="0" w:color="auto"/>
          </w:divBdr>
        </w:div>
        <w:div w:id="1911844956">
          <w:marLeft w:val="893"/>
          <w:marRight w:val="0"/>
          <w:marTop w:val="0"/>
          <w:marBottom w:val="120"/>
          <w:divBdr>
            <w:top w:val="none" w:sz="0" w:space="0" w:color="auto"/>
            <w:left w:val="none" w:sz="0" w:space="0" w:color="auto"/>
            <w:bottom w:val="none" w:sz="0" w:space="0" w:color="auto"/>
            <w:right w:val="none" w:sz="0" w:space="0" w:color="auto"/>
          </w:divBdr>
        </w:div>
        <w:div w:id="2087846675">
          <w:marLeft w:val="446"/>
          <w:marRight w:val="0"/>
          <w:marTop w:val="0"/>
          <w:marBottom w:val="120"/>
          <w:divBdr>
            <w:top w:val="none" w:sz="0" w:space="0" w:color="auto"/>
            <w:left w:val="none" w:sz="0" w:space="0" w:color="auto"/>
            <w:bottom w:val="none" w:sz="0" w:space="0" w:color="auto"/>
            <w:right w:val="none" w:sz="0" w:space="0" w:color="auto"/>
          </w:divBdr>
        </w:div>
        <w:div w:id="2135521800">
          <w:marLeft w:val="893"/>
          <w:marRight w:val="0"/>
          <w:marTop w:val="0"/>
          <w:marBottom w:val="120"/>
          <w:divBdr>
            <w:top w:val="none" w:sz="0" w:space="0" w:color="auto"/>
            <w:left w:val="none" w:sz="0" w:space="0" w:color="auto"/>
            <w:bottom w:val="none" w:sz="0" w:space="0" w:color="auto"/>
            <w:right w:val="none" w:sz="0" w:space="0" w:color="auto"/>
          </w:divBdr>
        </w:div>
      </w:divsChild>
    </w:div>
    <w:div w:id="594554614">
      <w:bodyDiv w:val="1"/>
      <w:marLeft w:val="0"/>
      <w:marRight w:val="0"/>
      <w:marTop w:val="0"/>
      <w:marBottom w:val="0"/>
      <w:divBdr>
        <w:top w:val="none" w:sz="0" w:space="0" w:color="auto"/>
        <w:left w:val="none" w:sz="0" w:space="0" w:color="auto"/>
        <w:bottom w:val="none" w:sz="0" w:space="0" w:color="auto"/>
        <w:right w:val="none" w:sz="0" w:space="0" w:color="auto"/>
      </w:divBdr>
    </w:div>
    <w:div w:id="772554081">
      <w:bodyDiv w:val="1"/>
      <w:marLeft w:val="0"/>
      <w:marRight w:val="0"/>
      <w:marTop w:val="0"/>
      <w:marBottom w:val="0"/>
      <w:divBdr>
        <w:top w:val="none" w:sz="0" w:space="0" w:color="auto"/>
        <w:left w:val="none" w:sz="0" w:space="0" w:color="auto"/>
        <w:bottom w:val="none" w:sz="0" w:space="0" w:color="auto"/>
        <w:right w:val="none" w:sz="0" w:space="0" w:color="auto"/>
      </w:divBdr>
      <w:divsChild>
        <w:div w:id="361059632">
          <w:marLeft w:val="893"/>
          <w:marRight w:val="0"/>
          <w:marTop w:val="0"/>
          <w:marBottom w:val="0"/>
          <w:divBdr>
            <w:top w:val="none" w:sz="0" w:space="0" w:color="auto"/>
            <w:left w:val="none" w:sz="0" w:space="0" w:color="auto"/>
            <w:bottom w:val="none" w:sz="0" w:space="0" w:color="auto"/>
            <w:right w:val="none" w:sz="0" w:space="0" w:color="auto"/>
          </w:divBdr>
        </w:div>
        <w:div w:id="386490377">
          <w:marLeft w:val="893"/>
          <w:marRight w:val="0"/>
          <w:marTop w:val="0"/>
          <w:marBottom w:val="0"/>
          <w:divBdr>
            <w:top w:val="none" w:sz="0" w:space="0" w:color="auto"/>
            <w:left w:val="none" w:sz="0" w:space="0" w:color="auto"/>
            <w:bottom w:val="none" w:sz="0" w:space="0" w:color="auto"/>
            <w:right w:val="none" w:sz="0" w:space="0" w:color="auto"/>
          </w:divBdr>
        </w:div>
        <w:div w:id="553470954">
          <w:marLeft w:val="1354"/>
          <w:marRight w:val="0"/>
          <w:marTop w:val="0"/>
          <w:marBottom w:val="0"/>
          <w:divBdr>
            <w:top w:val="none" w:sz="0" w:space="0" w:color="auto"/>
            <w:left w:val="none" w:sz="0" w:space="0" w:color="auto"/>
            <w:bottom w:val="none" w:sz="0" w:space="0" w:color="auto"/>
            <w:right w:val="none" w:sz="0" w:space="0" w:color="auto"/>
          </w:divBdr>
        </w:div>
        <w:div w:id="1101800376">
          <w:marLeft w:val="893"/>
          <w:marRight w:val="0"/>
          <w:marTop w:val="0"/>
          <w:marBottom w:val="0"/>
          <w:divBdr>
            <w:top w:val="none" w:sz="0" w:space="0" w:color="auto"/>
            <w:left w:val="none" w:sz="0" w:space="0" w:color="auto"/>
            <w:bottom w:val="none" w:sz="0" w:space="0" w:color="auto"/>
            <w:right w:val="none" w:sz="0" w:space="0" w:color="auto"/>
          </w:divBdr>
        </w:div>
        <w:div w:id="1182163436">
          <w:marLeft w:val="1354"/>
          <w:marRight w:val="0"/>
          <w:marTop w:val="0"/>
          <w:marBottom w:val="0"/>
          <w:divBdr>
            <w:top w:val="none" w:sz="0" w:space="0" w:color="auto"/>
            <w:left w:val="none" w:sz="0" w:space="0" w:color="auto"/>
            <w:bottom w:val="none" w:sz="0" w:space="0" w:color="auto"/>
            <w:right w:val="none" w:sz="0" w:space="0" w:color="auto"/>
          </w:divBdr>
        </w:div>
        <w:div w:id="2056545248">
          <w:marLeft w:val="446"/>
          <w:marRight w:val="0"/>
          <w:marTop w:val="0"/>
          <w:marBottom w:val="120"/>
          <w:divBdr>
            <w:top w:val="none" w:sz="0" w:space="0" w:color="auto"/>
            <w:left w:val="none" w:sz="0" w:space="0" w:color="auto"/>
            <w:bottom w:val="none" w:sz="0" w:space="0" w:color="auto"/>
            <w:right w:val="none" w:sz="0" w:space="0" w:color="auto"/>
          </w:divBdr>
        </w:div>
      </w:divsChild>
    </w:div>
    <w:div w:id="780035318">
      <w:bodyDiv w:val="1"/>
      <w:marLeft w:val="0"/>
      <w:marRight w:val="0"/>
      <w:marTop w:val="0"/>
      <w:marBottom w:val="0"/>
      <w:divBdr>
        <w:top w:val="none" w:sz="0" w:space="0" w:color="auto"/>
        <w:left w:val="none" w:sz="0" w:space="0" w:color="auto"/>
        <w:bottom w:val="none" w:sz="0" w:space="0" w:color="auto"/>
        <w:right w:val="none" w:sz="0" w:space="0" w:color="auto"/>
      </w:divBdr>
    </w:div>
    <w:div w:id="808597205">
      <w:bodyDiv w:val="1"/>
      <w:marLeft w:val="0"/>
      <w:marRight w:val="0"/>
      <w:marTop w:val="0"/>
      <w:marBottom w:val="0"/>
      <w:divBdr>
        <w:top w:val="none" w:sz="0" w:space="0" w:color="auto"/>
        <w:left w:val="none" w:sz="0" w:space="0" w:color="auto"/>
        <w:bottom w:val="none" w:sz="0" w:space="0" w:color="auto"/>
        <w:right w:val="none" w:sz="0" w:space="0" w:color="auto"/>
      </w:divBdr>
      <w:divsChild>
        <w:div w:id="899941467">
          <w:marLeft w:val="446"/>
          <w:marRight w:val="0"/>
          <w:marTop w:val="0"/>
          <w:marBottom w:val="120"/>
          <w:divBdr>
            <w:top w:val="none" w:sz="0" w:space="0" w:color="auto"/>
            <w:left w:val="none" w:sz="0" w:space="0" w:color="auto"/>
            <w:bottom w:val="none" w:sz="0" w:space="0" w:color="auto"/>
            <w:right w:val="none" w:sz="0" w:space="0" w:color="auto"/>
          </w:divBdr>
        </w:div>
        <w:div w:id="1073940085">
          <w:marLeft w:val="446"/>
          <w:marRight w:val="0"/>
          <w:marTop w:val="0"/>
          <w:marBottom w:val="120"/>
          <w:divBdr>
            <w:top w:val="none" w:sz="0" w:space="0" w:color="auto"/>
            <w:left w:val="none" w:sz="0" w:space="0" w:color="auto"/>
            <w:bottom w:val="none" w:sz="0" w:space="0" w:color="auto"/>
            <w:right w:val="none" w:sz="0" w:space="0" w:color="auto"/>
          </w:divBdr>
        </w:div>
        <w:div w:id="1328167715">
          <w:marLeft w:val="446"/>
          <w:marRight w:val="0"/>
          <w:marTop w:val="0"/>
          <w:marBottom w:val="120"/>
          <w:divBdr>
            <w:top w:val="none" w:sz="0" w:space="0" w:color="auto"/>
            <w:left w:val="none" w:sz="0" w:space="0" w:color="auto"/>
            <w:bottom w:val="none" w:sz="0" w:space="0" w:color="auto"/>
            <w:right w:val="none" w:sz="0" w:space="0" w:color="auto"/>
          </w:divBdr>
        </w:div>
        <w:div w:id="1543791105">
          <w:marLeft w:val="446"/>
          <w:marRight w:val="0"/>
          <w:marTop w:val="0"/>
          <w:marBottom w:val="120"/>
          <w:divBdr>
            <w:top w:val="none" w:sz="0" w:space="0" w:color="auto"/>
            <w:left w:val="none" w:sz="0" w:space="0" w:color="auto"/>
            <w:bottom w:val="none" w:sz="0" w:space="0" w:color="auto"/>
            <w:right w:val="none" w:sz="0" w:space="0" w:color="auto"/>
          </w:divBdr>
        </w:div>
      </w:divsChild>
    </w:div>
    <w:div w:id="827356156">
      <w:bodyDiv w:val="1"/>
      <w:marLeft w:val="0"/>
      <w:marRight w:val="0"/>
      <w:marTop w:val="0"/>
      <w:marBottom w:val="0"/>
      <w:divBdr>
        <w:top w:val="none" w:sz="0" w:space="0" w:color="auto"/>
        <w:left w:val="none" w:sz="0" w:space="0" w:color="auto"/>
        <w:bottom w:val="none" w:sz="0" w:space="0" w:color="auto"/>
        <w:right w:val="none" w:sz="0" w:space="0" w:color="auto"/>
      </w:divBdr>
    </w:div>
    <w:div w:id="929847411">
      <w:bodyDiv w:val="1"/>
      <w:marLeft w:val="0"/>
      <w:marRight w:val="0"/>
      <w:marTop w:val="0"/>
      <w:marBottom w:val="0"/>
      <w:divBdr>
        <w:top w:val="none" w:sz="0" w:space="0" w:color="auto"/>
        <w:left w:val="none" w:sz="0" w:space="0" w:color="auto"/>
        <w:bottom w:val="none" w:sz="0" w:space="0" w:color="auto"/>
        <w:right w:val="none" w:sz="0" w:space="0" w:color="auto"/>
      </w:divBdr>
    </w:div>
    <w:div w:id="934174640">
      <w:bodyDiv w:val="1"/>
      <w:marLeft w:val="0"/>
      <w:marRight w:val="0"/>
      <w:marTop w:val="0"/>
      <w:marBottom w:val="0"/>
      <w:divBdr>
        <w:top w:val="none" w:sz="0" w:space="0" w:color="auto"/>
        <w:left w:val="none" w:sz="0" w:space="0" w:color="auto"/>
        <w:bottom w:val="none" w:sz="0" w:space="0" w:color="auto"/>
        <w:right w:val="none" w:sz="0" w:space="0" w:color="auto"/>
      </w:divBdr>
    </w:div>
    <w:div w:id="945815918">
      <w:bodyDiv w:val="1"/>
      <w:marLeft w:val="0"/>
      <w:marRight w:val="0"/>
      <w:marTop w:val="0"/>
      <w:marBottom w:val="0"/>
      <w:divBdr>
        <w:top w:val="none" w:sz="0" w:space="0" w:color="auto"/>
        <w:left w:val="none" w:sz="0" w:space="0" w:color="auto"/>
        <w:bottom w:val="none" w:sz="0" w:space="0" w:color="auto"/>
        <w:right w:val="none" w:sz="0" w:space="0" w:color="auto"/>
      </w:divBdr>
      <w:divsChild>
        <w:div w:id="86657744">
          <w:marLeft w:val="446"/>
          <w:marRight w:val="0"/>
          <w:marTop w:val="0"/>
          <w:marBottom w:val="120"/>
          <w:divBdr>
            <w:top w:val="none" w:sz="0" w:space="0" w:color="auto"/>
            <w:left w:val="none" w:sz="0" w:space="0" w:color="auto"/>
            <w:bottom w:val="none" w:sz="0" w:space="0" w:color="auto"/>
            <w:right w:val="none" w:sz="0" w:space="0" w:color="auto"/>
          </w:divBdr>
        </w:div>
      </w:divsChild>
    </w:div>
    <w:div w:id="983972831">
      <w:bodyDiv w:val="1"/>
      <w:marLeft w:val="0"/>
      <w:marRight w:val="0"/>
      <w:marTop w:val="0"/>
      <w:marBottom w:val="0"/>
      <w:divBdr>
        <w:top w:val="none" w:sz="0" w:space="0" w:color="auto"/>
        <w:left w:val="none" w:sz="0" w:space="0" w:color="auto"/>
        <w:bottom w:val="none" w:sz="0" w:space="0" w:color="auto"/>
        <w:right w:val="none" w:sz="0" w:space="0" w:color="auto"/>
      </w:divBdr>
    </w:div>
    <w:div w:id="1001158447">
      <w:bodyDiv w:val="1"/>
      <w:marLeft w:val="0"/>
      <w:marRight w:val="0"/>
      <w:marTop w:val="0"/>
      <w:marBottom w:val="0"/>
      <w:divBdr>
        <w:top w:val="none" w:sz="0" w:space="0" w:color="auto"/>
        <w:left w:val="none" w:sz="0" w:space="0" w:color="auto"/>
        <w:bottom w:val="none" w:sz="0" w:space="0" w:color="auto"/>
        <w:right w:val="none" w:sz="0" w:space="0" w:color="auto"/>
      </w:divBdr>
    </w:div>
    <w:div w:id="1151290495">
      <w:bodyDiv w:val="1"/>
      <w:marLeft w:val="0"/>
      <w:marRight w:val="0"/>
      <w:marTop w:val="0"/>
      <w:marBottom w:val="0"/>
      <w:divBdr>
        <w:top w:val="none" w:sz="0" w:space="0" w:color="auto"/>
        <w:left w:val="none" w:sz="0" w:space="0" w:color="auto"/>
        <w:bottom w:val="none" w:sz="0" w:space="0" w:color="auto"/>
        <w:right w:val="none" w:sz="0" w:space="0" w:color="auto"/>
      </w:divBdr>
    </w:div>
    <w:div w:id="1193961458">
      <w:bodyDiv w:val="1"/>
      <w:marLeft w:val="0"/>
      <w:marRight w:val="0"/>
      <w:marTop w:val="0"/>
      <w:marBottom w:val="0"/>
      <w:divBdr>
        <w:top w:val="none" w:sz="0" w:space="0" w:color="auto"/>
        <w:left w:val="none" w:sz="0" w:space="0" w:color="auto"/>
        <w:bottom w:val="none" w:sz="0" w:space="0" w:color="auto"/>
        <w:right w:val="none" w:sz="0" w:space="0" w:color="auto"/>
      </w:divBdr>
    </w:div>
    <w:div w:id="1196775014">
      <w:bodyDiv w:val="1"/>
      <w:marLeft w:val="0"/>
      <w:marRight w:val="0"/>
      <w:marTop w:val="0"/>
      <w:marBottom w:val="0"/>
      <w:divBdr>
        <w:top w:val="none" w:sz="0" w:space="0" w:color="auto"/>
        <w:left w:val="none" w:sz="0" w:space="0" w:color="auto"/>
        <w:bottom w:val="none" w:sz="0" w:space="0" w:color="auto"/>
        <w:right w:val="none" w:sz="0" w:space="0" w:color="auto"/>
      </w:divBdr>
    </w:div>
    <w:div w:id="1294795282">
      <w:bodyDiv w:val="1"/>
      <w:marLeft w:val="0"/>
      <w:marRight w:val="0"/>
      <w:marTop w:val="0"/>
      <w:marBottom w:val="0"/>
      <w:divBdr>
        <w:top w:val="none" w:sz="0" w:space="0" w:color="auto"/>
        <w:left w:val="none" w:sz="0" w:space="0" w:color="auto"/>
        <w:bottom w:val="none" w:sz="0" w:space="0" w:color="auto"/>
        <w:right w:val="none" w:sz="0" w:space="0" w:color="auto"/>
      </w:divBdr>
      <w:divsChild>
        <w:div w:id="553152598">
          <w:marLeft w:val="446"/>
          <w:marRight w:val="0"/>
          <w:marTop w:val="0"/>
          <w:marBottom w:val="120"/>
          <w:divBdr>
            <w:top w:val="none" w:sz="0" w:space="0" w:color="auto"/>
            <w:left w:val="none" w:sz="0" w:space="0" w:color="auto"/>
            <w:bottom w:val="none" w:sz="0" w:space="0" w:color="auto"/>
            <w:right w:val="none" w:sz="0" w:space="0" w:color="auto"/>
          </w:divBdr>
        </w:div>
        <w:div w:id="672486868">
          <w:marLeft w:val="893"/>
          <w:marRight w:val="0"/>
          <w:marTop w:val="0"/>
          <w:marBottom w:val="120"/>
          <w:divBdr>
            <w:top w:val="none" w:sz="0" w:space="0" w:color="auto"/>
            <w:left w:val="none" w:sz="0" w:space="0" w:color="auto"/>
            <w:bottom w:val="none" w:sz="0" w:space="0" w:color="auto"/>
            <w:right w:val="none" w:sz="0" w:space="0" w:color="auto"/>
          </w:divBdr>
        </w:div>
      </w:divsChild>
    </w:div>
    <w:div w:id="1366977024">
      <w:bodyDiv w:val="1"/>
      <w:marLeft w:val="0"/>
      <w:marRight w:val="0"/>
      <w:marTop w:val="0"/>
      <w:marBottom w:val="0"/>
      <w:divBdr>
        <w:top w:val="none" w:sz="0" w:space="0" w:color="auto"/>
        <w:left w:val="none" w:sz="0" w:space="0" w:color="auto"/>
        <w:bottom w:val="none" w:sz="0" w:space="0" w:color="auto"/>
        <w:right w:val="none" w:sz="0" w:space="0" w:color="auto"/>
      </w:divBdr>
    </w:div>
    <w:div w:id="1397975763">
      <w:bodyDiv w:val="1"/>
      <w:marLeft w:val="0"/>
      <w:marRight w:val="0"/>
      <w:marTop w:val="0"/>
      <w:marBottom w:val="0"/>
      <w:divBdr>
        <w:top w:val="none" w:sz="0" w:space="0" w:color="auto"/>
        <w:left w:val="none" w:sz="0" w:space="0" w:color="auto"/>
        <w:bottom w:val="none" w:sz="0" w:space="0" w:color="auto"/>
        <w:right w:val="none" w:sz="0" w:space="0" w:color="auto"/>
      </w:divBdr>
    </w:div>
    <w:div w:id="1455296355">
      <w:bodyDiv w:val="1"/>
      <w:marLeft w:val="0"/>
      <w:marRight w:val="0"/>
      <w:marTop w:val="0"/>
      <w:marBottom w:val="0"/>
      <w:divBdr>
        <w:top w:val="none" w:sz="0" w:space="0" w:color="auto"/>
        <w:left w:val="none" w:sz="0" w:space="0" w:color="auto"/>
        <w:bottom w:val="none" w:sz="0" w:space="0" w:color="auto"/>
        <w:right w:val="none" w:sz="0" w:space="0" w:color="auto"/>
      </w:divBdr>
    </w:div>
    <w:div w:id="1490251166">
      <w:bodyDiv w:val="1"/>
      <w:marLeft w:val="0"/>
      <w:marRight w:val="0"/>
      <w:marTop w:val="0"/>
      <w:marBottom w:val="0"/>
      <w:divBdr>
        <w:top w:val="none" w:sz="0" w:space="0" w:color="auto"/>
        <w:left w:val="none" w:sz="0" w:space="0" w:color="auto"/>
        <w:bottom w:val="none" w:sz="0" w:space="0" w:color="auto"/>
        <w:right w:val="none" w:sz="0" w:space="0" w:color="auto"/>
      </w:divBdr>
    </w:div>
    <w:div w:id="1523858355">
      <w:bodyDiv w:val="1"/>
      <w:marLeft w:val="0"/>
      <w:marRight w:val="0"/>
      <w:marTop w:val="0"/>
      <w:marBottom w:val="0"/>
      <w:divBdr>
        <w:top w:val="none" w:sz="0" w:space="0" w:color="auto"/>
        <w:left w:val="none" w:sz="0" w:space="0" w:color="auto"/>
        <w:bottom w:val="none" w:sz="0" w:space="0" w:color="auto"/>
        <w:right w:val="none" w:sz="0" w:space="0" w:color="auto"/>
      </w:divBdr>
    </w:div>
    <w:div w:id="1603301662">
      <w:bodyDiv w:val="1"/>
      <w:marLeft w:val="0"/>
      <w:marRight w:val="0"/>
      <w:marTop w:val="0"/>
      <w:marBottom w:val="0"/>
      <w:divBdr>
        <w:top w:val="none" w:sz="0" w:space="0" w:color="auto"/>
        <w:left w:val="none" w:sz="0" w:space="0" w:color="auto"/>
        <w:bottom w:val="none" w:sz="0" w:space="0" w:color="auto"/>
        <w:right w:val="none" w:sz="0" w:space="0" w:color="auto"/>
      </w:divBdr>
    </w:div>
    <w:div w:id="1616254719">
      <w:bodyDiv w:val="1"/>
      <w:marLeft w:val="0"/>
      <w:marRight w:val="0"/>
      <w:marTop w:val="0"/>
      <w:marBottom w:val="0"/>
      <w:divBdr>
        <w:top w:val="none" w:sz="0" w:space="0" w:color="auto"/>
        <w:left w:val="none" w:sz="0" w:space="0" w:color="auto"/>
        <w:bottom w:val="none" w:sz="0" w:space="0" w:color="auto"/>
        <w:right w:val="none" w:sz="0" w:space="0" w:color="auto"/>
      </w:divBdr>
    </w:div>
    <w:div w:id="1627657714">
      <w:bodyDiv w:val="1"/>
      <w:marLeft w:val="0"/>
      <w:marRight w:val="0"/>
      <w:marTop w:val="0"/>
      <w:marBottom w:val="0"/>
      <w:divBdr>
        <w:top w:val="none" w:sz="0" w:space="0" w:color="auto"/>
        <w:left w:val="none" w:sz="0" w:space="0" w:color="auto"/>
        <w:bottom w:val="none" w:sz="0" w:space="0" w:color="auto"/>
        <w:right w:val="none" w:sz="0" w:space="0" w:color="auto"/>
      </w:divBdr>
    </w:div>
    <w:div w:id="1657878827">
      <w:bodyDiv w:val="1"/>
      <w:marLeft w:val="0"/>
      <w:marRight w:val="0"/>
      <w:marTop w:val="0"/>
      <w:marBottom w:val="0"/>
      <w:divBdr>
        <w:top w:val="none" w:sz="0" w:space="0" w:color="auto"/>
        <w:left w:val="none" w:sz="0" w:space="0" w:color="auto"/>
        <w:bottom w:val="none" w:sz="0" w:space="0" w:color="auto"/>
        <w:right w:val="none" w:sz="0" w:space="0" w:color="auto"/>
      </w:divBdr>
    </w:div>
    <w:div w:id="1704282058">
      <w:bodyDiv w:val="1"/>
      <w:marLeft w:val="0"/>
      <w:marRight w:val="0"/>
      <w:marTop w:val="0"/>
      <w:marBottom w:val="0"/>
      <w:divBdr>
        <w:top w:val="none" w:sz="0" w:space="0" w:color="auto"/>
        <w:left w:val="none" w:sz="0" w:space="0" w:color="auto"/>
        <w:bottom w:val="none" w:sz="0" w:space="0" w:color="auto"/>
        <w:right w:val="none" w:sz="0" w:space="0" w:color="auto"/>
      </w:divBdr>
      <w:divsChild>
        <w:div w:id="2119326505">
          <w:marLeft w:val="446"/>
          <w:marRight w:val="0"/>
          <w:marTop w:val="0"/>
          <w:marBottom w:val="120"/>
          <w:divBdr>
            <w:top w:val="none" w:sz="0" w:space="0" w:color="auto"/>
            <w:left w:val="none" w:sz="0" w:space="0" w:color="auto"/>
            <w:bottom w:val="none" w:sz="0" w:space="0" w:color="auto"/>
            <w:right w:val="none" w:sz="0" w:space="0" w:color="auto"/>
          </w:divBdr>
        </w:div>
      </w:divsChild>
    </w:div>
    <w:div w:id="1709061544">
      <w:bodyDiv w:val="1"/>
      <w:marLeft w:val="0"/>
      <w:marRight w:val="0"/>
      <w:marTop w:val="0"/>
      <w:marBottom w:val="0"/>
      <w:divBdr>
        <w:top w:val="none" w:sz="0" w:space="0" w:color="auto"/>
        <w:left w:val="none" w:sz="0" w:space="0" w:color="auto"/>
        <w:bottom w:val="none" w:sz="0" w:space="0" w:color="auto"/>
        <w:right w:val="none" w:sz="0" w:space="0" w:color="auto"/>
      </w:divBdr>
      <w:divsChild>
        <w:div w:id="96141846">
          <w:marLeft w:val="1354"/>
          <w:marRight w:val="0"/>
          <w:marTop w:val="0"/>
          <w:marBottom w:val="0"/>
          <w:divBdr>
            <w:top w:val="none" w:sz="0" w:space="0" w:color="auto"/>
            <w:left w:val="none" w:sz="0" w:space="0" w:color="auto"/>
            <w:bottom w:val="none" w:sz="0" w:space="0" w:color="auto"/>
            <w:right w:val="none" w:sz="0" w:space="0" w:color="auto"/>
          </w:divBdr>
        </w:div>
        <w:div w:id="382217658">
          <w:marLeft w:val="893"/>
          <w:marRight w:val="0"/>
          <w:marTop w:val="0"/>
          <w:marBottom w:val="0"/>
          <w:divBdr>
            <w:top w:val="none" w:sz="0" w:space="0" w:color="auto"/>
            <w:left w:val="none" w:sz="0" w:space="0" w:color="auto"/>
            <w:bottom w:val="none" w:sz="0" w:space="0" w:color="auto"/>
            <w:right w:val="none" w:sz="0" w:space="0" w:color="auto"/>
          </w:divBdr>
        </w:div>
        <w:div w:id="598416231">
          <w:marLeft w:val="893"/>
          <w:marRight w:val="0"/>
          <w:marTop w:val="0"/>
          <w:marBottom w:val="0"/>
          <w:divBdr>
            <w:top w:val="none" w:sz="0" w:space="0" w:color="auto"/>
            <w:left w:val="none" w:sz="0" w:space="0" w:color="auto"/>
            <w:bottom w:val="none" w:sz="0" w:space="0" w:color="auto"/>
            <w:right w:val="none" w:sz="0" w:space="0" w:color="auto"/>
          </w:divBdr>
        </w:div>
        <w:div w:id="956568336">
          <w:marLeft w:val="1354"/>
          <w:marRight w:val="0"/>
          <w:marTop w:val="0"/>
          <w:marBottom w:val="0"/>
          <w:divBdr>
            <w:top w:val="none" w:sz="0" w:space="0" w:color="auto"/>
            <w:left w:val="none" w:sz="0" w:space="0" w:color="auto"/>
            <w:bottom w:val="none" w:sz="0" w:space="0" w:color="auto"/>
            <w:right w:val="none" w:sz="0" w:space="0" w:color="auto"/>
          </w:divBdr>
        </w:div>
        <w:div w:id="1263536343">
          <w:marLeft w:val="446"/>
          <w:marRight w:val="0"/>
          <w:marTop w:val="0"/>
          <w:marBottom w:val="120"/>
          <w:divBdr>
            <w:top w:val="none" w:sz="0" w:space="0" w:color="auto"/>
            <w:left w:val="none" w:sz="0" w:space="0" w:color="auto"/>
            <w:bottom w:val="none" w:sz="0" w:space="0" w:color="auto"/>
            <w:right w:val="none" w:sz="0" w:space="0" w:color="auto"/>
          </w:divBdr>
        </w:div>
        <w:div w:id="1846893413">
          <w:marLeft w:val="893"/>
          <w:marRight w:val="0"/>
          <w:marTop w:val="0"/>
          <w:marBottom w:val="0"/>
          <w:divBdr>
            <w:top w:val="none" w:sz="0" w:space="0" w:color="auto"/>
            <w:left w:val="none" w:sz="0" w:space="0" w:color="auto"/>
            <w:bottom w:val="none" w:sz="0" w:space="0" w:color="auto"/>
            <w:right w:val="none" w:sz="0" w:space="0" w:color="auto"/>
          </w:divBdr>
        </w:div>
      </w:divsChild>
    </w:div>
    <w:div w:id="1738238972">
      <w:bodyDiv w:val="1"/>
      <w:marLeft w:val="0"/>
      <w:marRight w:val="0"/>
      <w:marTop w:val="0"/>
      <w:marBottom w:val="0"/>
      <w:divBdr>
        <w:top w:val="none" w:sz="0" w:space="0" w:color="auto"/>
        <w:left w:val="none" w:sz="0" w:space="0" w:color="auto"/>
        <w:bottom w:val="none" w:sz="0" w:space="0" w:color="auto"/>
        <w:right w:val="none" w:sz="0" w:space="0" w:color="auto"/>
      </w:divBdr>
    </w:div>
    <w:div w:id="1797136211">
      <w:bodyDiv w:val="1"/>
      <w:marLeft w:val="0"/>
      <w:marRight w:val="0"/>
      <w:marTop w:val="0"/>
      <w:marBottom w:val="0"/>
      <w:divBdr>
        <w:top w:val="none" w:sz="0" w:space="0" w:color="auto"/>
        <w:left w:val="none" w:sz="0" w:space="0" w:color="auto"/>
        <w:bottom w:val="none" w:sz="0" w:space="0" w:color="auto"/>
        <w:right w:val="none" w:sz="0" w:space="0" w:color="auto"/>
      </w:divBdr>
      <w:divsChild>
        <w:div w:id="182793061">
          <w:marLeft w:val="446"/>
          <w:marRight w:val="0"/>
          <w:marTop w:val="0"/>
          <w:marBottom w:val="120"/>
          <w:divBdr>
            <w:top w:val="none" w:sz="0" w:space="0" w:color="auto"/>
            <w:left w:val="none" w:sz="0" w:space="0" w:color="auto"/>
            <w:bottom w:val="none" w:sz="0" w:space="0" w:color="auto"/>
            <w:right w:val="none" w:sz="0" w:space="0" w:color="auto"/>
          </w:divBdr>
        </w:div>
        <w:div w:id="1969167043">
          <w:marLeft w:val="446"/>
          <w:marRight w:val="0"/>
          <w:marTop w:val="0"/>
          <w:marBottom w:val="120"/>
          <w:divBdr>
            <w:top w:val="none" w:sz="0" w:space="0" w:color="auto"/>
            <w:left w:val="none" w:sz="0" w:space="0" w:color="auto"/>
            <w:bottom w:val="none" w:sz="0" w:space="0" w:color="auto"/>
            <w:right w:val="none" w:sz="0" w:space="0" w:color="auto"/>
          </w:divBdr>
        </w:div>
        <w:div w:id="2040353565">
          <w:marLeft w:val="446"/>
          <w:marRight w:val="0"/>
          <w:marTop w:val="0"/>
          <w:marBottom w:val="120"/>
          <w:divBdr>
            <w:top w:val="none" w:sz="0" w:space="0" w:color="auto"/>
            <w:left w:val="none" w:sz="0" w:space="0" w:color="auto"/>
            <w:bottom w:val="none" w:sz="0" w:space="0" w:color="auto"/>
            <w:right w:val="none" w:sz="0" w:space="0" w:color="auto"/>
          </w:divBdr>
        </w:div>
        <w:div w:id="2071994133">
          <w:marLeft w:val="446"/>
          <w:marRight w:val="0"/>
          <w:marTop w:val="0"/>
          <w:marBottom w:val="120"/>
          <w:divBdr>
            <w:top w:val="none" w:sz="0" w:space="0" w:color="auto"/>
            <w:left w:val="none" w:sz="0" w:space="0" w:color="auto"/>
            <w:bottom w:val="none" w:sz="0" w:space="0" w:color="auto"/>
            <w:right w:val="none" w:sz="0" w:space="0" w:color="auto"/>
          </w:divBdr>
        </w:div>
      </w:divsChild>
    </w:div>
    <w:div w:id="1857891066">
      <w:bodyDiv w:val="1"/>
      <w:marLeft w:val="0"/>
      <w:marRight w:val="0"/>
      <w:marTop w:val="0"/>
      <w:marBottom w:val="0"/>
      <w:divBdr>
        <w:top w:val="none" w:sz="0" w:space="0" w:color="auto"/>
        <w:left w:val="none" w:sz="0" w:space="0" w:color="auto"/>
        <w:bottom w:val="none" w:sz="0" w:space="0" w:color="auto"/>
        <w:right w:val="none" w:sz="0" w:space="0" w:color="auto"/>
      </w:divBdr>
      <w:divsChild>
        <w:div w:id="430396365">
          <w:marLeft w:val="446"/>
          <w:marRight w:val="0"/>
          <w:marTop w:val="0"/>
          <w:marBottom w:val="120"/>
          <w:divBdr>
            <w:top w:val="none" w:sz="0" w:space="0" w:color="auto"/>
            <w:left w:val="none" w:sz="0" w:space="0" w:color="auto"/>
            <w:bottom w:val="none" w:sz="0" w:space="0" w:color="auto"/>
            <w:right w:val="none" w:sz="0" w:space="0" w:color="auto"/>
          </w:divBdr>
        </w:div>
      </w:divsChild>
    </w:div>
    <w:div w:id="1928341298">
      <w:bodyDiv w:val="1"/>
      <w:marLeft w:val="0"/>
      <w:marRight w:val="0"/>
      <w:marTop w:val="0"/>
      <w:marBottom w:val="0"/>
      <w:divBdr>
        <w:top w:val="none" w:sz="0" w:space="0" w:color="auto"/>
        <w:left w:val="none" w:sz="0" w:space="0" w:color="auto"/>
        <w:bottom w:val="none" w:sz="0" w:space="0" w:color="auto"/>
        <w:right w:val="none" w:sz="0" w:space="0" w:color="auto"/>
      </w:divBdr>
    </w:div>
    <w:div w:id="2010865759">
      <w:bodyDiv w:val="1"/>
      <w:marLeft w:val="0"/>
      <w:marRight w:val="0"/>
      <w:marTop w:val="0"/>
      <w:marBottom w:val="0"/>
      <w:divBdr>
        <w:top w:val="none" w:sz="0" w:space="0" w:color="auto"/>
        <w:left w:val="none" w:sz="0" w:space="0" w:color="auto"/>
        <w:bottom w:val="none" w:sz="0" w:space="0" w:color="auto"/>
        <w:right w:val="none" w:sz="0" w:space="0" w:color="auto"/>
      </w:divBdr>
    </w:div>
    <w:div w:id="2031910244">
      <w:bodyDiv w:val="1"/>
      <w:marLeft w:val="0"/>
      <w:marRight w:val="0"/>
      <w:marTop w:val="0"/>
      <w:marBottom w:val="0"/>
      <w:divBdr>
        <w:top w:val="none" w:sz="0" w:space="0" w:color="auto"/>
        <w:left w:val="none" w:sz="0" w:space="0" w:color="auto"/>
        <w:bottom w:val="none" w:sz="0" w:space="0" w:color="auto"/>
        <w:right w:val="none" w:sz="0" w:space="0" w:color="auto"/>
      </w:divBdr>
      <w:divsChild>
        <w:div w:id="103772790">
          <w:marLeft w:val="446"/>
          <w:marRight w:val="0"/>
          <w:marTop w:val="0"/>
          <w:marBottom w:val="120"/>
          <w:divBdr>
            <w:top w:val="none" w:sz="0" w:space="0" w:color="auto"/>
            <w:left w:val="none" w:sz="0" w:space="0" w:color="auto"/>
            <w:bottom w:val="none" w:sz="0" w:space="0" w:color="auto"/>
            <w:right w:val="none" w:sz="0" w:space="0" w:color="auto"/>
          </w:divBdr>
        </w:div>
        <w:div w:id="1786272667">
          <w:marLeft w:val="893"/>
          <w:marRight w:val="0"/>
          <w:marTop w:val="0"/>
          <w:marBottom w:val="120"/>
          <w:divBdr>
            <w:top w:val="none" w:sz="0" w:space="0" w:color="auto"/>
            <w:left w:val="none" w:sz="0" w:space="0" w:color="auto"/>
            <w:bottom w:val="none" w:sz="0" w:space="0" w:color="auto"/>
            <w:right w:val="none" w:sz="0" w:space="0" w:color="auto"/>
          </w:divBdr>
        </w:div>
      </w:divsChild>
    </w:div>
    <w:div w:id="2060664801">
      <w:bodyDiv w:val="1"/>
      <w:marLeft w:val="0"/>
      <w:marRight w:val="0"/>
      <w:marTop w:val="0"/>
      <w:marBottom w:val="0"/>
      <w:divBdr>
        <w:top w:val="none" w:sz="0" w:space="0" w:color="auto"/>
        <w:left w:val="none" w:sz="0" w:space="0" w:color="auto"/>
        <w:bottom w:val="none" w:sz="0" w:space="0" w:color="auto"/>
        <w:right w:val="none" w:sz="0" w:space="0" w:color="auto"/>
      </w:divBdr>
    </w:div>
    <w:div w:id="2065523591">
      <w:bodyDiv w:val="1"/>
      <w:marLeft w:val="0"/>
      <w:marRight w:val="0"/>
      <w:marTop w:val="0"/>
      <w:marBottom w:val="0"/>
      <w:divBdr>
        <w:top w:val="none" w:sz="0" w:space="0" w:color="auto"/>
        <w:left w:val="none" w:sz="0" w:space="0" w:color="auto"/>
        <w:bottom w:val="none" w:sz="0" w:space="0" w:color="auto"/>
        <w:right w:val="none" w:sz="0" w:space="0" w:color="auto"/>
      </w:divBdr>
      <w:divsChild>
        <w:div w:id="190186825">
          <w:marLeft w:val="274"/>
          <w:marRight w:val="0"/>
          <w:marTop w:val="0"/>
          <w:marBottom w:val="0"/>
          <w:divBdr>
            <w:top w:val="none" w:sz="0" w:space="0" w:color="auto"/>
            <w:left w:val="none" w:sz="0" w:space="0" w:color="auto"/>
            <w:bottom w:val="none" w:sz="0" w:space="0" w:color="auto"/>
            <w:right w:val="none" w:sz="0" w:space="0" w:color="auto"/>
          </w:divBdr>
        </w:div>
        <w:div w:id="645666526">
          <w:marLeft w:val="274"/>
          <w:marRight w:val="0"/>
          <w:marTop w:val="0"/>
          <w:marBottom w:val="0"/>
          <w:divBdr>
            <w:top w:val="none" w:sz="0" w:space="0" w:color="auto"/>
            <w:left w:val="none" w:sz="0" w:space="0" w:color="auto"/>
            <w:bottom w:val="none" w:sz="0" w:space="0" w:color="auto"/>
            <w:right w:val="none" w:sz="0" w:space="0" w:color="auto"/>
          </w:divBdr>
        </w:div>
        <w:div w:id="821585462">
          <w:marLeft w:val="274"/>
          <w:marRight w:val="0"/>
          <w:marTop w:val="0"/>
          <w:marBottom w:val="0"/>
          <w:divBdr>
            <w:top w:val="none" w:sz="0" w:space="0" w:color="auto"/>
            <w:left w:val="none" w:sz="0" w:space="0" w:color="auto"/>
            <w:bottom w:val="none" w:sz="0" w:space="0" w:color="auto"/>
            <w:right w:val="none" w:sz="0" w:space="0" w:color="auto"/>
          </w:divBdr>
        </w:div>
        <w:div w:id="1561940834">
          <w:marLeft w:val="274"/>
          <w:marRight w:val="0"/>
          <w:marTop w:val="0"/>
          <w:marBottom w:val="0"/>
          <w:divBdr>
            <w:top w:val="none" w:sz="0" w:space="0" w:color="auto"/>
            <w:left w:val="none" w:sz="0" w:space="0" w:color="auto"/>
            <w:bottom w:val="none" w:sz="0" w:space="0" w:color="auto"/>
            <w:right w:val="none" w:sz="0" w:space="0" w:color="auto"/>
          </w:divBdr>
        </w:div>
      </w:divsChild>
    </w:div>
    <w:div w:id="2099014594">
      <w:bodyDiv w:val="1"/>
      <w:marLeft w:val="0"/>
      <w:marRight w:val="0"/>
      <w:marTop w:val="0"/>
      <w:marBottom w:val="0"/>
      <w:divBdr>
        <w:top w:val="none" w:sz="0" w:space="0" w:color="auto"/>
        <w:left w:val="none" w:sz="0" w:space="0" w:color="auto"/>
        <w:bottom w:val="none" w:sz="0" w:space="0" w:color="auto"/>
        <w:right w:val="none" w:sz="0" w:space="0" w:color="auto"/>
      </w:divBdr>
      <w:divsChild>
        <w:div w:id="4065703">
          <w:marLeft w:val="893"/>
          <w:marRight w:val="0"/>
          <w:marTop w:val="0"/>
          <w:marBottom w:val="120"/>
          <w:divBdr>
            <w:top w:val="none" w:sz="0" w:space="0" w:color="auto"/>
            <w:left w:val="none" w:sz="0" w:space="0" w:color="auto"/>
            <w:bottom w:val="none" w:sz="0" w:space="0" w:color="auto"/>
            <w:right w:val="none" w:sz="0" w:space="0" w:color="auto"/>
          </w:divBdr>
        </w:div>
        <w:div w:id="532614829">
          <w:marLeft w:val="893"/>
          <w:marRight w:val="0"/>
          <w:marTop w:val="0"/>
          <w:marBottom w:val="120"/>
          <w:divBdr>
            <w:top w:val="none" w:sz="0" w:space="0" w:color="auto"/>
            <w:left w:val="none" w:sz="0" w:space="0" w:color="auto"/>
            <w:bottom w:val="none" w:sz="0" w:space="0" w:color="auto"/>
            <w:right w:val="none" w:sz="0" w:space="0" w:color="auto"/>
          </w:divBdr>
        </w:div>
        <w:div w:id="1620602386">
          <w:marLeft w:val="893"/>
          <w:marRight w:val="0"/>
          <w:marTop w:val="0"/>
          <w:marBottom w:val="120"/>
          <w:divBdr>
            <w:top w:val="none" w:sz="0" w:space="0" w:color="auto"/>
            <w:left w:val="none" w:sz="0" w:space="0" w:color="auto"/>
            <w:bottom w:val="none" w:sz="0" w:space="0" w:color="auto"/>
            <w:right w:val="none" w:sz="0" w:space="0" w:color="auto"/>
          </w:divBdr>
        </w:div>
        <w:div w:id="1637174912">
          <w:marLeft w:val="446"/>
          <w:marRight w:val="0"/>
          <w:marTop w:val="0"/>
          <w:marBottom w:val="120"/>
          <w:divBdr>
            <w:top w:val="none" w:sz="0" w:space="0" w:color="auto"/>
            <w:left w:val="none" w:sz="0" w:space="0" w:color="auto"/>
            <w:bottom w:val="none" w:sz="0" w:space="0" w:color="auto"/>
            <w:right w:val="none" w:sz="0" w:space="0" w:color="auto"/>
          </w:divBdr>
        </w:div>
        <w:div w:id="2109890775">
          <w:marLeft w:val="893"/>
          <w:marRight w:val="0"/>
          <w:marTop w:val="0"/>
          <w:marBottom w:val="120"/>
          <w:divBdr>
            <w:top w:val="none" w:sz="0" w:space="0" w:color="auto"/>
            <w:left w:val="none" w:sz="0" w:space="0" w:color="auto"/>
            <w:bottom w:val="none" w:sz="0" w:space="0" w:color="auto"/>
            <w:right w:val="none" w:sz="0" w:space="0" w:color="auto"/>
          </w:divBdr>
        </w:div>
      </w:divsChild>
    </w:div>
    <w:div w:id="2119521726">
      <w:bodyDiv w:val="1"/>
      <w:marLeft w:val="0"/>
      <w:marRight w:val="0"/>
      <w:marTop w:val="0"/>
      <w:marBottom w:val="0"/>
      <w:divBdr>
        <w:top w:val="none" w:sz="0" w:space="0" w:color="auto"/>
        <w:left w:val="none" w:sz="0" w:space="0" w:color="auto"/>
        <w:bottom w:val="none" w:sz="0" w:space="0" w:color="auto"/>
        <w:right w:val="none" w:sz="0" w:space="0" w:color="auto"/>
      </w:divBdr>
      <w:divsChild>
        <w:div w:id="118885884">
          <w:marLeft w:val="1354"/>
          <w:marRight w:val="0"/>
          <w:marTop w:val="0"/>
          <w:marBottom w:val="0"/>
          <w:divBdr>
            <w:top w:val="none" w:sz="0" w:space="0" w:color="auto"/>
            <w:left w:val="none" w:sz="0" w:space="0" w:color="auto"/>
            <w:bottom w:val="none" w:sz="0" w:space="0" w:color="auto"/>
            <w:right w:val="none" w:sz="0" w:space="0" w:color="auto"/>
          </w:divBdr>
        </w:div>
        <w:div w:id="1222061426">
          <w:marLeft w:val="893"/>
          <w:marRight w:val="0"/>
          <w:marTop w:val="0"/>
          <w:marBottom w:val="0"/>
          <w:divBdr>
            <w:top w:val="none" w:sz="0" w:space="0" w:color="auto"/>
            <w:left w:val="none" w:sz="0" w:space="0" w:color="auto"/>
            <w:bottom w:val="none" w:sz="0" w:space="0" w:color="auto"/>
            <w:right w:val="none" w:sz="0" w:space="0" w:color="auto"/>
          </w:divBdr>
        </w:div>
        <w:div w:id="1326712694">
          <w:marLeft w:val="893"/>
          <w:marRight w:val="0"/>
          <w:marTop w:val="0"/>
          <w:marBottom w:val="0"/>
          <w:divBdr>
            <w:top w:val="none" w:sz="0" w:space="0" w:color="auto"/>
            <w:left w:val="none" w:sz="0" w:space="0" w:color="auto"/>
            <w:bottom w:val="none" w:sz="0" w:space="0" w:color="auto"/>
            <w:right w:val="none" w:sz="0" w:space="0" w:color="auto"/>
          </w:divBdr>
        </w:div>
        <w:div w:id="1441949740">
          <w:marLeft w:val="893"/>
          <w:marRight w:val="0"/>
          <w:marTop w:val="0"/>
          <w:marBottom w:val="0"/>
          <w:divBdr>
            <w:top w:val="none" w:sz="0" w:space="0" w:color="auto"/>
            <w:left w:val="none" w:sz="0" w:space="0" w:color="auto"/>
            <w:bottom w:val="none" w:sz="0" w:space="0" w:color="auto"/>
            <w:right w:val="none" w:sz="0" w:space="0" w:color="auto"/>
          </w:divBdr>
        </w:div>
        <w:div w:id="1633558710">
          <w:marLeft w:val="446"/>
          <w:marRight w:val="0"/>
          <w:marTop w:val="0"/>
          <w:marBottom w:val="120"/>
          <w:divBdr>
            <w:top w:val="none" w:sz="0" w:space="0" w:color="auto"/>
            <w:left w:val="none" w:sz="0" w:space="0" w:color="auto"/>
            <w:bottom w:val="none" w:sz="0" w:space="0" w:color="auto"/>
            <w:right w:val="none" w:sz="0" w:space="0" w:color="auto"/>
          </w:divBdr>
        </w:div>
        <w:div w:id="1954703751">
          <w:marLeft w:val="135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8.xml"/><Relationship Id="rId39" Type="http://schemas.openxmlformats.org/officeDocument/2006/relationships/hyperlink" Target="https://www.legislation.gov.au/Details/F2017L00209/Html/Text" TargetMode="External"/><Relationship Id="rId21" Type="http://schemas.openxmlformats.org/officeDocument/2006/relationships/header" Target="header6.xml"/><Relationship Id="rId34" Type="http://schemas.openxmlformats.org/officeDocument/2006/relationships/image" Target="media/image6.png"/><Relationship Id="rId42" Type="http://schemas.openxmlformats.org/officeDocument/2006/relationships/image" Target="media/image7.png"/><Relationship Id="rId47" Type="http://schemas.openxmlformats.org/officeDocument/2006/relationships/image" Target="media/image12.png"/><Relationship Id="rId50" Type="http://schemas.openxmlformats.org/officeDocument/2006/relationships/footer" Target="footer13.xml"/><Relationship Id="rId55" Type="http://schemas.openxmlformats.org/officeDocument/2006/relationships/hyperlink" Target="file:///C:\Users\dkay1\AppData\Local\Microsoft\Windows\INetCache\Content.Outlook\BYTMWW00\disabilityhousing.com.au" TargetMode="External"/><Relationship Id="rId63" Type="http://schemas.openxmlformats.org/officeDocument/2006/relationships/header" Target="header17.xml"/><Relationship Id="rId68" Type="http://schemas.openxmlformats.org/officeDocument/2006/relationships/header" Target="header19.xml"/><Relationship Id="rId76" Type="http://schemas.openxmlformats.org/officeDocument/2006/relationships/header" Target="header24.xml"/><Relationship Id="rId7" Type="http://schemas.openxmlformats.org/officeDocument/2006/relationships/endnotes" Target="endnotes.xml"/><Relationship Id="rId71"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hyperlink" Target="https://gonest.com.au/content/sda" TargetMode="External"/><Relationship Id="rId29" Type="http://schemas.openxmlformats.org/officeDocument/2006/relationships/header" Target="header9.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eader" Target="header12.xml"/><Relationship Id="rId40" Type="http://schemas.openxmlformats.org/officeDocument/2006/relationships/hyperlink" Target="https://www.ndis.gov.au/html/sites/default/files/files/SDA/SDA%20Decision%20Paper.pdf" TargetMode="External"/><Relationship Id="rId45" Type="http://schemas.openxmlformats.org/officeDocument/2006/relationships/image" Target="media/image10.png"/><Relationship Id="rId53" Type="http://schemas.openxmlformats.org/officeDocument/2006/relationships/hyperlink" Target="file:///C:\Users\dkay1\AppData\Local\Microsoft\Windows\INetCache\Content.Outlook\BYTMWW00\gonest.com.au" TargetMode="External"/><Relationship Id="rId58" Type="http://schemas.openxmlformats.org/officeDocument/2006/relationships/image" Target="media/image16.emf"/><Relationship Id="rId66" Type="http://schemas.openxmlformats.org/officeDocument/2006/relationships/footer" Target="footer18.xml"/><Relationship Id="rId74" Type="http://schemas.openxmlformats.org/officeDocument/2006/relationships/footer" Target="footer2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6.xml"/><Relationship Id="rId10" Type="http://schemas.openxmlformats.org/officeDocument/2006/relationships/footer" Target="footer1.xml"/><Relationship Id="rId19" Type="http://schemas.openxmlformats.org/officeDocument/2006/relationships/image" Target="media/image1.emf"/><Relationship Id="rId31" Type="http://schemas.openxmlformats.org/officeDocument/2006/relationships/header" Target="header10.xml"/><Relationship Id="rId44" Type="http://schemas.openxmlformats.org/officeDocument/2006/relationships/image" Target="media/image9.emf"/><Relationship Id="rId52" Type="http://schemas.openxmlformats.org/officeDocument/2006/relationships/footer" Target="footer14.xml"/><Relationship Id="rId60" Type="http://schemas.openxmlformats.org/officeDocument/2006/relationships/footer" Target="footer15.xml"/><Relationship Id="rId65" Type="http://schemas.openxmlformats.org/officeDocument/2006/relationships/header" Target="header18.xml"/><Relationship Id="rId73" Type="http://schemas.openxmlformats.org/officeDocument/2006/relationships/header" Target="header2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png"/><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1.xml"/><Relationship Id="rId43" Type="http://schemas.openxmlformats.org/officeDocument/2006/relationships/image" Target="media/image8.emf"/><Relationship Id="rId48" Type="http://schemas.openxmlformats.org/officeDocument/2006/relationships/image" Target="media/image13.png"/><Relationship Id="rId56" Type="http://schemas.openxmlformats.org/officeDocument/2006/relationships/image" Target="media/image14.png"/><Relationship Id="rId64" Type="http://schemas.openxmlformats.org/officeDocument/2006/relationships/footer" Target="footer17.xml"/><Relationship Id="rId69" Type="http://schemas.openxmlformats.org/officeDocument/2006/relationships/header" Target="header20.xml"/><Relationship Id="rId77" Type="http://schemas.openxmlformats.org/officeDocument/2006/relationships/footer" Target="footer22.xml"/><Relationship Id="rId8" Type="http://schemas.openxmlformats.org/officeDocument/2006/relationships/header" Target="header1.xml"/><Relationship Id="rId51" Type="http://schemas.openxmlformats.org/officeDocument/2006/relationships/header" Target="header14.xml"/><Relationship Id="rId72" Type="http://schemas.openxmlformats.org/officeDocument/2006/relationships/footer" Target="footer20.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image" Target="media/image5.png"/><Relationship Id="rId38" Type="http://schemas.openxmlformats.org/officeDocument/2006/relationships/footer" Target="footer12.xml"/><Relationship Id="rId46" Type="http://schemas.openxmlformats.org/officeDocument/2006/relationships/image" Target="media/image11.emf"/><Relationship Id="rId59" Type="http://schemas.openxmlformats.org/officeDocument/2006/relationships/header" Target="header15.xml"/><Relationship Id="rId67" Type="http://schemas.openxmlformats.org/officeDocument/2006/relationships/image" Target="media/image17.emf"/><Relationship Id="rId20" Type="http://schemas.openxmlformats.org/officeDocument/2006/relationships/image" Target="media/image2.png"/><Relationship Id="rId41" Type="http://schemas.openxmlformats.org/officeDocument/2006/relationships/hyperlink" Target="https://www.ndis.gov.au/providers/pricing-and-payment" TargetMode="External"/><Relationship Id="rId54" Type="http://schemas.openxmlformats.org/officeDocument/2006/relationships/hyperlink" Target="file:///C:\Users\dkay1\AppData\Local\Microsoft\Windows\INetCache\Content.Outlook\BYTMWW00\thehousinghub.org.au" TargetMode="External"/><Relationship Id="rId62" Type="http://schemas.openxmlformats.org/officeDocument/2006/relationships/footer" Target="footer16.xml"/><Relationship Id="rId70" Type="http://schemas.openxmlformats.org/officeDocument/2006/relationships/footer" Target="footer19.xml"/><Relationship Id="rId75"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image" Target="media/image4.emf"/><Relationship Id="rId36" Type="http://schemas.openxmlformats.org/officeDocument/2006/relationships/footer" Target="footer11.xml"/><Relationship Id="rId49" Type="http://schemas.openxmlformats.org/officeDocument/2006/relationships/header" Target="header13.xml"/><Relationship Id="rId57" Type="http://schemas.openxmlformats.org/officeDocument/2006/relationships/image" Target="media/image15.emf"/></Relationships>
</file>

<file path=word/_rels/footnotes.xml.rels><?xml version="1.0" encoding="UTF-8" standalone="yes"?>
<Relationships xmlns="http://schemas.openxmlformats.org/package/2006/relationships"><Relationship Id="rId2" Type="http://schemas.openxmlformats.org/officeDocument/2006/relationships/hyperlink" Target="https://www.propertyandlandtitles.vic.gov.au/property-information/property-prices" TargetMode="External"/><Relationship Id="rId1" Type="http://schemas.openxmlformats.org/officeDocument/2006/relationships/hyperlink" Target="http://www.valuergeneral.nsw.gov.au/land_value_summaries/lv.php"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44546A"/>
      </a:dk2>
      <a:lt2>
        <a:srgbClr val="00338D"/>
      </a:lt2>
      <a:accent1>
        <a:srgbClr val="005EB8"/>
      </a:accent1>
      <a:accent2>
        <a:srgbClr val="0091DA"/>
      </a:accent2>
      <a:accent3>
        <a:srgbClr val="483698"/>
      </a:accent3>
      <a:accent4>
        <a:srgbClr val="470A68"/>
      </a:accent4>
      <a:accent5>
        <a:srgbClr val="6D2077"/>
      </a:accent5>
      <a:accent6>
        <a:srgbClr val="00A3A1"/>
      </a:accent6>
      <a:hlink>
        <a:srgbClr val="470A68"/>
      </a:hlink>
      <a:folHlink>
        <a:srgbClr val="6D207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3DB52-EB91-4F4D-A653-230CC610C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123</Pages>
  <Words>43035</Words>
  <Characters>245305</Characters>
  <Application>Microsoft Office Word</Application>
  <DocSecurity>0</DocSecurity>
  <Lines>2044</Lines>
  <Paragraphs>575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2019-02-08T01:25:00Z</dcterms:created>
  <dcterms:modified xsi:type="dcterms:W3CDTF">2019-02-08T02:40:00Z</dcterms:modified>
</cp:coreProperties>
</file>