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E7" w:rsidRPr="005F32E7" w:rsidRDefault="00BE31A9" w:rsidP="005F32E7">
      <w:pPr>
        <w:pStyle w:val="Heading1"/>
      </w:pPr>
      <w:bookmarkStart w:id="0" w:name="_GoBack"/>
      <w:bookmarkEnd w:id="0"/>
      <w:r>
        <w:t xml:space="preserve">Safe and Supported: </w:t>
      </w:r>
      <w:bookmarkStart w:id="1" w:name="_Toc121653815"/>
      <w:r w:rsidR="005F32E7" w:rsidRPr="005F32E7">
        <w:t>Theory of Change</w:t>
      </w:r>
      <w:bookmarkEnd w:id="1"/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 xml:space="preserve">Safe and </w:t>
      </w:r>
      <w:proofErr w:type="gramStart"/>
      <w:r w:rsidRPr="005F32E7">
        <w:rPr>
          <w:rFonts w:eastAsia="Calibri" w:cs="Arial"/>
          <w:color w:val="000000"/>
          <w:lang w:val="en-US"/>
        </w:rPr>
        <w:t>Supported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is underpinned by a Theory of Change explaining how and why we expect change to occur for children, young people and families, including parents and </w:t>
      </w:r>
      <w:proofErr w:type="spellStart"/>
      <w:r w:rsidRPr="005F32E7">
        <w:rPr>
          <w:rFonts w:eastAsia="Calibri" w:cs="Arial"/>
          <w:color w:val="000000"/>
          <w:lang w:val="en-US"/>
        </w:rPr>
        <w:t>carers</w:t>
      </w:r>
      <w:proofErr w:type="spellEnd"/>
      <w:r w:rsidRPr="005F32E7">
        <w:rPr>
          <w:rFonts w:eastAsia="Calibri" w:cs="Arial"/>
          <w:color w:val="000000"/>
          <w:lang w:val="en-US"/>
        </w:rPr>
        <w:t xml:space="preserve">, across all priority groups over the next 10 years. 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>The Safe and Supported Theory of Change outlines: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ind w:left="283" w:hanging="283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>•</w:t>
      </w:r>
      <w:r w:rsidRPr="005F32E7">
        <w:rPr>
          <w:rFonts w:eastAsia="Calibri" w:cs="Arial"/>
          <w:color w:val="000000"/>
          <w:lang w:val="en-US"/>
        </w:rPr>
        <w:tab/>
      </w:r>
      <w:proofErr w:type="gramStart"/>
      <w:r w:rsidRPr="005F32E7">
        <w:rPr>
          <w:rFonts w:eastAsia="Calibri" w:cs="Arial"/>
          <w:color w:val="000000"/>
          <w:lang w:val="en-US"/>
        </w:rPr>
        <w:t>our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starting point, which </w:t>
      </w:r>
      <w:proofErr w:type="spellStart"/>
      <w:r w:rsidRPr="005F32E7">
        <w:rPr>
          <w:rFonts w:eastAsia="Calibri" w:cs="Arial"/>
          <w:color w:val="000000"/>
          <w:lang w:val="en-US"/>
        </w:rPr>
        <w:t>recognises</w:t>
      </w:r>
      <w:proofErr w:type="spellEnd"/>
      <w:r w:rsidRPr="005F32E7">
        <w:rPr>
          <w:rFonts w:eastAsia="Calibri" w:cs="Arial"/>
          <w:color w:val="000000"/>
          <w:lang w:val="en-US"/>
        </w:rPr>
        <w:t xml:space="preserve"> the strengths of children, young people and families, and describes the issue Safe and Supported seeks to address</w:t>
      </w:r>
      <w:r w:rsidR="00BC4B51">
        <w:rPr>
          <w:rFonts w:eastAsia="Calibri" w:cs="Arial"/>
          <w:color w:val="000000"/>
          <w:lang w:val="en-US"/>
        </w:rPr>
        <w:t>.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ind w:left="283" w:hanging="283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>•</w:t>
      </w:r>
      <w:r w:rsidRPr="005F32E7">
        <w:rPr>
          <w:rFonts w:eastAsia="Calibri" w:cs="Arial"/>
          <w:color w:val="000000"/>
          <w:lang w:val="en-US"/>
        </w:rPr>
        <w:tab/>
      </w:r>
      <w:proofErr w:type="gramStart"/>
      <w:r w:rsidRPr="005F32E7">
        <w:rPr>
          <w:rFonts w:eastAsia="Calibri" w:cs="Arial"/>
          <w:color w:val="000000"/>
          <w:lang w:val="en-US"/>
        </w:rPr>
        <w:t>the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key enablers we need in place to facilitate change</w:t>
      </w:r>
      <w:r w:rsidR="00BC4B51">
        <w:rPr>
          <w:rFonts w:eastAsia="Calibri" w:cs="Arial"/>
          <w:color w:val="000000"/>
          <w:lang w:val="en-US"/>
        </w:rPr>
        <w:t>.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ind w:left="283" w:hanging="283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>•</w:t>
      </w:r>
      <w:r w:rsidRPr="005F32E7">
        <w:rPr>
          <w:rFonts w:eastAsia="Calibri" w:cs="Arial"/>
          <w:color w:val="000000"/>
          <w:lang w:val="en-US"/>
        </w:rPr>
        <w:tab/>
      </w:r>
      <w:proofErr w:type="gramStart"/>
      <w:r w:rsidRPr="005F32E7">
        <w:rPr>
          <w:rFonts w:eastAsia="Calibri" w:cs="Arial"/>
          <w:color w:val="000000"/>
          <w:lang w:val="en-US"/>
        </w:rPr>
        <w:t>what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Safe and Supported will do to create change, which is</w:t>
      </w:r>
      <w:r w:rsidR="006510F5">
        <w:rPr>
          <w:rFonts w:eastAsia="Calibri" w:cs="Arial"/>
          <w:color w:val="000000"/>
          <w:lang w:val="en-US"/>
        </w:rPr>
        <w:t xml:space="preserve"> described below in the actions.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ind w:left="283" w:hanging="283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>•</w:t>
      </w:r>
      <w:r w:rsidRPr="005F32E7">
        <w:rPr>
          <w:rFonts w:eastAsia="Calibri" w:cs="Arial"/>
          <w:color w:val="000000"/>
          <w:lang w:val="en-US"/>
        </w:rPr>
        <w:tab/>
        <w:t xml:space="preserve">The change (i.e. outcomes) Safe and Supported aims to achieve, which is described in the Outcomes Framework. </w:t>
      </w:r>
    </w:p>
    <w:p w:rsidR="005F32E7" w:rsidRPr="005F32E7" w:rsidRDefault="005F32E7" w:rsidP="005F32E7">
      <w:pPr>
        <w:suppressAutoHyphens/>
        <w:autoSpaceDE w:val="0"/>
        <w:autoSpaceDN w:val="0"/>
        <w:adjustRightInd w:val="0"/>
        <w:spacing w:after="170" w:line="280" w:lineRule="atLeast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 xml:space="preserve">It </w:t>
      </w:r>
      <w:proofErr w:type="gramStart"/>
      <w:r w:rsidRPr="005F32E7">
        <w:rPr>
          <w:rFonts w:eastAsia="Calibri" w:cs="Arial"/>
          <w:color w:val="000000"/>
          <w:lang w:val="en-US"/>
        </w:rPr>
        <w:t xml:space="preserve">is </w:t>
      </w:r>
      <w:proofErr w:type="spellStart"/>
      <w:r w:rsidRPr="005F32E7">
        <w:rPr>
          <w:rFonts w:eastAsia="Calibri" w:cs="Arial"/>
          <w:color w:val="000000"/>
          <w:lang w:val="en-US"/>
        </w:rPr>
        <w:t>recognised</w:t>
      </w:r>
      <w:proofErr w:type="spellEnd"/>
      <w:proofErr w:type="gramEnd"/>
      <w:r w:rsidRPr="005F32E7">
        <w:rPr>
          <w:rFonts w:eastAsia="Calibri" w:cs="Arial"/>
          <w:color w:val="000000"/>
          <w:lang w:val="en-US"/>
        </w:rPr>
        <w:t xml:space="preserve"> that First Nations people have a unique starting point and journey under Safe and Supported. This </w:t>
      </w:r>
      <w:proofErr w:type="gramStart"/>
      <w:r w:rsidRPr="005F32E7">
        <w:rPr>
          <w:rFonts w:eastAsia="Calibri" w:cs="Arial"/>
          <w:color w:val="000000"/>
          <w:lang w:val="en-US"/>
        </w:rPr>
        <w:t>is outlined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in the Aboriginal and Torres Strait Islander Theory of Change, which can be found on page 21 of </w:t>
      </w:r>
      <w:r w:rsidR="00BC4B51" w:rsidRPr="00BC4B51">
        <w:rPr>
          <w:rFonts w:eastAsia="Calibri" w:cs="Arial"/>
          <w:i/>
          <w:color w:val="000000"/>
          <w:lang w:val="en-US"/>
        </w:rPr>
        <w:t>Safe and Supported:</w:t>
      </w:r>
      <w:r w:rsidRPr="00BC4B51">
        <w:rPr>
          <w:rFonts w:eastAsia="Calibri" w:cs="Arial"/>
          <w:i/>
          <w:color w:val="000000"/>
          <w:lang w:val="en-US"/>
        </w:rPr>
        <w:t xml:space="preserve"> Aboriginal and Torres Strait Islander First Action Plan</w:t>
      </w:r>
      <w:r w:rsidR="00BC4B51" w:rsidRPr="00BC4B51">
        <w:rPr>
          <w:rFonts w:eastAsia="Calibri" w:cs="Arial"/>
          <w:i/>
          <w:color w:val="000000"/>
          <w:lang w:val="en-US"/>
        </w:rPr>
        <w:t xml:space="preserve"> 2023-2026</w:t>
      </w:r>
      <w:r w:rsidRPr="005F32E7">
        <w:rPr>
          <w:rFonts w:eastAsia="Calibri" w:cs="Arial"/>
          <w:color w:val="000000"/>
          <w:lang w:val="en-US"/>
        </w:rPr>
        <w:t>.</w:t>
      </w:r>
    </w:p>
    <w:p w:rsidR="005F32E7" w:rsidRPr="002D27E5" w:rsidRDefault="005F32E7" w:rsidP="002D27E5">
      <w:pPr>
        <w:suppressAutoHyphens/>
        <w:autoSpaceDE w:val="0"/>
        <w:autoSpaceDN w:val="0"/>
        <w:adjustRightInd w:val="0"/>
        <w:spacing w:after="170" w:line="280" w:lineRule="atLeast"/>
        <w:textAlignment w:val="center"/>
        <w:rPr>
          <w:rFonts w:eastAsia="Calibri" w:cs="Arial"/>
          <w:color w:val="000000"/>
          <w:lang w:val="en-US"/>
        </w:rPr>
      </w:pPr>
      <w:r w:rsidRPr="005F32E7">
        <w:rPr>
          <w:rFonts w:eastAsia="Calibri" w:cs="Arial"/>
          <w:color w:val="000000"/>
          <w:lang w:val="en-US"/>
        </w:rPr>
        <w:t xml:space="preserve">A summary of the Safe and Supported Theory of Change </w:t>
      </w:r>
      <w:proofErr w:type="gramStart"/>
      <w:r w:rsidRPr="005F32E7">
        <w:rPr>
          <w:rFonts w:eastAsia="Calibri" w:cs="Arial"/>
          <w:color w:val="000000"/>
          <w:lang w:val="en-US"/>
        </w:rPr>
        <w:t>can be found</w:t>
      </w:r>
      <w:proofErr w:type="gramEnd"/>
      <w:r w:rsidRPr="005F32E7">
        <w:rPr>
          <w:rFonts w:eastAsia="Calibri" w:cs="Arial"/>
          <w:color w:val="000000"/>
          <w:lang w:val="en-US"/>
        </w:rPr>
        <w:t xml:space="preserve"> below. The full Story of Change that underpins Safe and Supported is at Appendix B</w:t>
      </w:r>
      <w:r w:rsidRPr="002D27E5">
        <w:rPr>
          <w:rFonts w:eastAsia="Calibri" w:cs="Arial"/>
          <w:color w:val="000000"/>
          <w:lang w:val="en-US"/>
        </w:rPr>
        <w:t xml:space="preserve"> of </w:t>
      </w:r>
      <w:r w:rsidRPr="00BC4B51">
        <w:rPr>
          <w:rFonts w:eastAsia="Calibri" w:cs="Arial"/>
          <w:i/>
          <w:color w:val="000000"/>
          <w:lang w:val="en-US"/>
        </w:rPr>
        <w:t>Safe and Supported: First Action Plan</w:t>
      </w:r>
      <w:r w:rsidR="00441C04" w:rsidRPr="00BC4B51">
        <w:rPr>
          <w:rFonts w:eastAsia="Calibri" w:cs="Arial"/>
          <w:i/>
          <w:color w:val="000000"/>
          <w:lang w:val="en-US"/>
        </w:rPr>
        <w:t xml:space="preserve"> 2023-2026</w:t>
      </w:r>
      <w:r w:rsidRPr="005F32E7">
        <w:rPr>
          <w:rFonts w:eastAsia="Calibri" w:cs="Arial"/>
          <w:color w:val="000000"/>
          <w:lang w:val="en-US"/>
        </w:rPr>
        <w:t>.</w:t>
      </w:r>
    </w:p>
    <w:p w:rsidR="007B0256" w:rsidRDefault="005F32E7" w:rsidP="005F32E7">
      <w:pPr>
        <w:pStyle w:val="Heading1"/>
      </w:pPr>
      <w:r>
        <w:t>S</w:t>
      </w:r>
      <w:r w:rsidR="00BE31A9">
        <w:t>ummary of the Theory of Change</w:t>
      </w:r>
    </w:p>
    <w:p w:rsidR="00BE31A9" w:rsidRDefault="00BE31A9" w:rsidP="00BE31A9">
      <w:pPr>
        <w:pStyle w:val="Heading2"/>
      </w:pPr>
      <w:r>
        <w:t xml:space="preserve">Starting Point: What are the issues that need to </w:t>
      </w:r>
      <w:proofErr w:type="gramStart"/>
      <w:r>
        <w:t>be addressed</w:t>
      </w:r>
      <w:proofErr w:type="gramEnd"/>
      <w:r>
        <w:t>?</w:t>
      </w:r>
    </w:p>
    <w:p w:rsidR="00BE31A9" w:rsidRDefault="00BE31A9" w:rsidP="00BE31A9">
      <w:pPr>
        <w:pStyle w:val="ListParagraph"/>
        <w:numPr>
          <w:ilvl w:val="0"/>
          <w:numId w:val="1"/>
        </w:numPr>
      </w:pPr>
      <w:r>
        <w:t>When the social determinants of child safety and wellbeing are not fulfilled this can undermine a family’s ability to keep their children safe and well.</w:t>
      </w:r>
    </w:p>
    <w:p w:rsidR="00BE31A9" w:rsidRDefault="00BE31A9" w:rsidP="00BE31A9">
      <w:pPr>
        <w:pStyle w:val="ListParagraph"/>
        <w:numPr>
          <w:ilvl w:val="0"/>
          <w:numId w:val="1"/>
        </w:numPr>
      </w:pPr>
      <w:r>
        <w:t>Intergenerational trauma and disadvantage often underpins experiences of child abuse and neglect.</w:t>
      </w:r>
    </w:p>
    <w:p w:rsidR="00BE31A9" w:rsidRDefault="00BE31A9" w:rsidP="00BE31A9">
      <w:pPr>
        <w:pStyle w:val="ListParagraph"/>
        <w:numPr>
          <w:ilvl w:val="0"/>
          <w:numId w:val="1"/>
        </w:numPr>
      </w:pPr>
      <w:r>
        <w:t>Many children, young people and families face systemic and service-level barriers (e.g. discrimination) to accessing opportunities and supports.</w:t>
      </w:r>
    </w:p>
    <w:p w:rsidR="00BE31A9" w:rsidRDefault="00BE31A9" w:rsidP="00BE31A9">
      <w:pPr>
        <w:pStyle w:val="ListParagraph"/>
        <w:numPr>
          <w:ilvl w:val="0"/>
          <w:numId w:val="1"/>
        </w:numPr>
      </w:pPr>
      <w:r>
        <w:t>Services and systems work in silos – need to shift focus towards more holistic and early supports.</w:t>
      </w:r>
    </w:p>
    <w:p w:rsidR="00BE31A9" w:rsidRDefault="00BE31A9" w:rsidP="00BE31A9">
      <w:pPr>
        <w:pStyle w:val="ListParagraph"/>
        <w:numPr>
          <w:ilvl w:val="0"/>
          <w:numId w:val="1"/>
        </w:numPr>
      </w:pPr>
      <w:r>
        <w:t xml:space="preserve">It </w:t>
      </w:r>
      <w:proofErr w:type="gramStart"/>
      <w:r>
        <w:t>is recognised</w:t>
      </w:r>
      <w:proofErr w:type="gramEnd"/>
      <w:r>
        <w:t xml:space="preserve"> that First Nations people have a unique starting point under Safe and Supported (see Aboriginal and Torres Strait Islander Theory of Change).</w:t>
      </w:r>
    </w:p>
    <w:p w:rsidR="00BE31A9" w:rsidRDefault="00BE31A9" w:rsidP="00BE31A9">
      <w:r w:rsidRPr="00293F15">
        <w:rPr>
          <w:rStyle w:val="Heading3Char"/>
        </w:rPr>
        <w:t>To address this we:</w:t>
      </w:r>
      <w:r>
        <w:t xml:space="preserve"> Need to improve services and supports for children and families across the service spectrum, from prevention to out-of-home care and supports for care leavers.</w:t>
      </w:r>
    </w:p>
    <w:p w:rsidR="00BC4B51" w:rsidRDefault="00BC4B51" w:rsidP="00BE31A9">
      <w:pPr>
        <w:pStyle w:val="Heading2"/>
      </w:pPr>
      <w:r>
        <w:br w:type="page"/>
      </w:r>
    </w:p>
    <w:p w:rsidR="00BE31A9" w:rsidRDefault="00BE31A9" w:rsidP="00BE31A9">
      <w:pPr>
        <w:pStyle w:val="Heading2"/>
      </w:pPr>
      <w:r>
        <w:lastRenderedPageBreak/>
        <w:t>Underpinning Principles of Safe and Supported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Access to quality universal and targeted services designed to improve outcomes for children, young people and families.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Excellence in practice and policy development, based on evidence, data and information sharing.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Listening and responding to the voices and views of children and young people, and the views of those who care for them.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Clear responsibilities and strong monitoring, evaluation and achievement of outcomes.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Trauma-informed, culturally safe and inclusive policies and actions.</w:t>
      </w:r>
    </w:p>
    <w:p w:rsidR="00BE31A9" w:rsidRDefault="00BE31A9" w:rsidP="009D0521">
      <w:pPr>
        <w:pStyle w:val="ListParagraph"/>
        <w:numPr>
          <w:ilvl w:val="0"/>
          <w:numId w:val="2"/>
        </w:numPr>
      </w:pPr>
      <w:r>
        <w:t>Embedding the five elements of the Aboriginal and Torres Strait Islander Child Placement Principle (ATSICPP).</w:t>
      </w:r>
    </w:p>
    <w:p w:rsidR="00BE31A9" w:rsidRDefault="00BE31A9" w:rsidP="009D0521">
      <w:pPr>
        <w:pStyle w:val="Heading2"/>
      </w:pPr>
      <w:r>
        <w:t>Key enablers of change</w:t>
      </w:r>
    </w:p>
    <w:p w:rsidR="00BE31A9" w:rsidRDefault="00BE31A9" w:rsidP="009D0521">
      <w:pPr>
        <w:pStyle w:val="ListParagraph"/>
        <w:numPr>
          <w:ilvl w:val="0"/>
          <w:numId w:val="3"/>
        </w:numPr>
      </w:pPr>
      <w:r>
        <w:t>Recognising the expertise and authority of children and young people on their needs and lives, with respect to their age and maturity.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Recognising the expertise and authority of parents/ carers and communities on the needs of their children.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Valuing the living experience of children, young people and families.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Understanding the needs of children, young people and families in their own words.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Collaboration between communities, services, governments and other organisations.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 xml:space="preserve">Collaboration across different sectors that </w:t>
      </w:r>
      <w:proofErr w:type="gramStart"/>
      <w:r>
        <w:t>impact</w:t>
      </w:r>
      <w:proofErr w:type="gramEnd"/>
      <w:r>
        <w:t xml:space="preserve"> the social determinants of child safety and wellbeing.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Strong and capable workforce.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Sufficient data and research in areas of interest.</w:t>
      </w:r>
    </w:p>
    <w:p w:rsidR="009D0521" w:rsidRDefault="009D0521" w:rsidP="009D0521">
      <w:pPr>
        <w:pStyle w:val="ListParagraph"/>
        <w:numPr>
          <w:ilvl w:val="0"/>
          <w:numId w:val="3"/>
        </w:numPr>
      </w:pPr>
      <w:r>
        <w:t>Sustained commitment to improving child safety.</w:t>
      </w:r>
    </w:p>
    <w:p w:rsidR="00AE160A" w:rsidRPr="00AE160A" w:rsidRDefault="00AE160A" w:rsidP="005F32E7">
      <w:pPr>
        <w:pStyle w:val="Heading2"/>
        <w:rPr>
          <w:b w:val="0"/>
          <w:sz w:val="22"/>
          <w:szCs w:val="22"/>
        </w:rPr>
      </w:pPr>
      <w:r w:rsidRPr="00293F15">
        <w:rPr>
          <w:b w:val="0"/>
          <w:sz w:val="22"/>
          <w:szCs w:val="22"/>
        </w:rPr>
        <w:t>Please note:</w:t>
      </w:r>
      <w:r w:rsidRPr="00293F15">
        <w:rPr>
          <w:b w:val="0"/>
        </w:rPr>
        <w:t xml:space="preserve"> </w:t>
      </w:r>
      <w:r w:rsidRPr="006510F5">
        <w:rPr>
          <w:b w:val="0"/>
          <w:sz w:val="22"/>
          <w:szCs w:val="22"/>
        </w:rPr>
        <w:t xml:space="preserve">We aim to provide documents in an accessible format. The following text describes a table within the </w:t>
      </w:r>
      <w:r w:rsidR="006510F5" w:rsidRPr="002B67EF">
        <w:rPr>
          <w:b w:val="0"/>
          <w:i/>
          <w:sz w:val="22"/>
          <w:szCs w:val="22"/>
        </w:rPr>
        <w:t xml:space="preserve">Safe and Supported </w:t>
      </w:r>
      <w:r w:rsidRPr="002B67EF">
        <w:rPr>
          <w:b w:val="0"/>
          <w:i/>
          <w:sz w:val="22"/>
          <w:szCs w:val="22"/>
        </w:rPr>
        <w:t xml:space="preserve">Theory of </w:t>
      </w:r>
      <w:proofErr w:type="gramStart"/>
      <w:r w:rsidRPr="002B67EF">
        <w:rPr>
          <w:b w:val="0"/>
          <w:i/>
          <w:sz w:val="22"/>
          <w:szCs w:val="22"/>
        </w:rPr>
        <w:t>Change</w:t>
      </w:r>
      <w:r w:rsidRPr="006510F5">
        <w:rPr>
          <w:b w:val="0"/>
          <w:sz w:val="22"/>
          <w:szCs w:val="22"/>
        </w:rPr>
        <w:t xml:space="preserve"> which maps Actions from </w:t>
      </w:r>
      <w:r w:rsidRPr="006510F5">
        <w:rPr>
          <w:b w:val="0"/>
          <w:i/>
          <w:sz w:val="22"/>
          <w:szCs w:val="22"/>
        </w:rPr>
        <w:t>Safe</w:t>
      </w:r>
      <w:proofErr w:type="gramEnd"/>
      <w:r w:rsidRPr="006510F5">
        <w:rPr>
          <w:b w:val="0"/>
          <w:i/>
          <w:sz w:val="22"/>
          <w:szCs w:val="22"/>
        </w:rPr>
        <w:t xml:space="preserve"> and Supported: First Action Plan 2023-2026</w:t>
      </w:r>
      <w:r w:rsidRPr="006510F5">
        <w:rPr>
          <w:b w:val="0"/>
          <w:sz w:val="22"/>
          <w:szCs w:val="22"/>
        </w:rPr>
        <w:t xml:space="preserve"> and the </w:t>
      </w:r>
      <w:r w:rsidRPr="006510F5">
        <w:rPr>
          <w:b w:val="0"/>
          <w:i/>
          <w:sz w:val="22"/>
          <w:szCs w:val="22"/>
        </w:rPr>
        <w:t>Safe and Supported Outcomes Framework</w:t>
      </w:r>
      <w:r w:rsidRPr="006510F5">
        <w:rPr>
          <w:b w:val="0"/>
          <w:sz w:val="22"/>
          <w:szCs w:val="22"/>
        </w:rPr>
        <w:t xml:space="preserve"> across the </w:t>
      </w:r>
      <w:r w:rsidR="003B0329" w:rsidRPr="006510F5">
        <w:rPr>
          <w:b w:val="0"/>
          <w:sz w:val="22"/>
          <w:szCs w:val="22"/>
        </w:rPr>
        <w:t xml:space="preserve">Safe and Supported </w:t>
      </w:r>
      <w:r w:rsidRPr="006510F5">
        <w:rPr>
          <w:b w:val="0"/>
          <w:sz w:val="22"/>
          <w:szCs w:val="22"/>
        </w:rPr>
        <w:t xml:space="preserve">Focus Areas. </w:t>
      </w:r>
      <w:r w:rsidR="003B0329" w:rsidRPr="006510F5">
        <w:rPr>
          <w:b w:val="0"/>
          <w:sz w:val="22"/>
          <w:szCs w:val="22"/>
        </w:rPr>
        <w:t xml:space="preserve">If you are having problems using this document with your </w:t>
      </w:r>
      <w:proofErr w:type="gramStart"/>
      <w:r w:rsidR="003B0329" w:rsidRPr="006510F5">
        <w:rPr>
          <w:b w:val="0"/>
          <w:sz w:val="22"/>
          <w:szCs w:val="22"/>
        </w:rPr>
        <w:t>accessibility</w:t>
      </w:r>
      <w:proofErr w:type="gramEnd"/>
      <w:r w:rsidR="003B0329" w:rsidRPr="006510F5">
        <w:rPr>
          <w:b w:val="0"/>
          <w:sz w:val="22"/>
          <w:szCs w:val="22"/>
        </w:rPr>
        <w:t xml:space="preserve"> tools please contact us at </w:t>
      </w:r>
      <w:hyperlink r:id="rId8" w:history="1">
        <w:r w:rsidR="003B0329" w:rsidRPr="006510F5">
          <w:rPr>
            <w:rStyle w:val="Hyperlink"/>
            <w:b w:val="0"/>
            <w:sz w:val="22"/>
            <w:szCs w:val="22"/>
          </w:rPr>
          <w:t>NationalFramework@dss.gov.au</w:t>
        </w:r>
      </w:hyperlink>
      <w:r w:rsidR="003B0329" w:rsidRPr="006510F5">
        <w:rPr>
          <w:b w:val="0"/>
          <w:sz w:val="22"/>
          <w:szCs w:val="22"/>
        </w:rPr>
        <w:t>.</w:t>
      </w:r>
    </w:p>
    <w:p w:rsidR="005F32E7" w:rsidRDefault="009D0521" w:rsidP="005F32E7">
      <w:pPr>
        <w:pStyle w:val="Heading2"/>
      </w:pPr>
      <w:r>
        <w:t>Focus Areas under Safe and Supported</w:t>
      </w:r>
    </w:p>
    <w:p w:rsidR="009D0521" w:rsidRDefault="005F32E7" w:rsidP="00293F15">
      <w:r>
        <w:t>Where are we focusing our collective effort?</w:t>
      </w:r>
    </w:p>
    <w:p w:rsidR="009D0521" w:rsidRDefault="00441C04" w:rsidP="00F90E89">
      <w:pPr>
        <w:pStyle w:val="ListParagraph"/>
        <w:numPr>
          <w:ilvl w:val="0"/>
          <w:numId w:val="7"/>
        </w:numPr>
      </w:pPr>
      <w:r>
        <w:t>A national approach to early intervention and targeted support for children and families experiencing vulnerability or disadvantage.</w:t>
      </w:r>
    </w:p>
    <w:p w:rsidR="00441C04" w:rsidRDefault="00441C04" w:rsidP="00F90E89">
      <w:pPr>
        <w:pStyle w:val="ListParagraph"/>
        <w:numPr>
          <w:ilvl w:val="0"/>
          <w:numId w:val="7"/>
        </w:numPr>
      </w:pPr>
      <w:r>
        <w:t>Addressing the over representation of Aboriginal and Torres Strait Islander children in child protection systems.</w:t>
      </w:r>
    </w:p>
    <w:p w:rsidR="00441C04" w:rsidRDefault="00441C04" w:rsidP="00F90E89">
      <w:pPr>
        <w:pStyle w:val="ListParagraph"/>
        <w:numPr>
          <w:ilvl w:val="0"/>
          <w:numId w:val="7"/>
        </w:numPr>
      </w:pPr>
      <w:r>
        <w:t>Improved information sharing, data development and analysis.</w:t>
      </w:r>
    </w:p>
    <w:p w:rsidR="00441C04" w:rsidRDefault="00441C04" w:rsidP="00F90E89">
      <w:pPr>
        <w:pStyle w:val="ListParagraph"/>
        <w:numPr>
          <w:ilvl w:val="0"/>
          <w:numId w:val="7"/>
        </w:numPr>
      </w:pPr>
      <w:r>
        <w:t>Strengthening the child and family sector and workforce capability.</w:t>
      </w:r>
    </w:p>
    <w:p w:rsidR="00BC4B51" w:rsidRDefault="00BC4B51" w:rsidP="005F32E7">
      <w:pPr>
        <w:pStyle w:val="Heading2"/>
      </w:pPr>
      <w:r>
        <w:br w:type="page"/>
      </w:r>
    </w:p>
    <w:p w:rsidR="009D0521" w:rsidRDefault="009D0521" w:rsidP="005F32E7">
      <w:pPr>
        <w:pStyle w:val="Heading2"/>
      </w:pPr>
      <w:r>
        <w:lastRenderedPageBreak/>
        <w:t>Actions to Drive Change: Safe and Supported First Action Plan</w:t>
      </w:r>
    </w:p>
    <w:p w:rsidR="009D0521" w:rsidRPr="00293F15" w:rsidRDefault="009D0521" w:rsidP="00FD70EE">
      <w:pPr>
        <w:rPr>
          <w:b/>
        </w:rPr>
      </w:pPr>
      <w:r w:rsidRPr="00293F15">
        <w:t>What will stakeholders do/support/develop?</w:t>
      </w:r>
    </w:p>
    <w:p w:rsidR="009D0521" w:rsidRDefault="009D0521" w:rsidP="009D0521">
      <w:r>
        <w:t xml:space="preserve">*See pages 23 to 42 </w:t>
      </w:r>
      <w:r w:rsidR="00441C04" w:rsidRPr="00441C04">
        <w:t xml:space="preserve">of </w:t>
      </w:r>
      <w:r w:rsidR="00441C04" w:rsidRPr="006510F5">
        <w:rPr>
          <w:i/>
        </w:rPr>
        <w:t>Safe and Supported: First Actio</w:t>
      </w:r>
      <w:r w:rsidR="00AE160A" w:rsidRPr="006510F5">
        <w:rPr>
          <w:i/>
        </w:rPr>
        <w:t xml:space="preserve">n Plan </w:t>
      </w:r>
      <w:r>
        <w:t>for details on the Actions.</w:t>
      </w:r>
    </w:p>
    <w:p w:rsidR="009D0521" w:rsidRDefault="00BA665E" w:rsidP="002B67EF">
      <w:pPr>
        <w:spacing w:after="0"/>
      </w:pPr>
      <w:r w:rsidRPr="00293F15">
        <w:rPr>
          <w:rStyle w:val="Heading3Char"/>
        </w:rPr>
        <w:t>Focus Area:</w:t>
      </w:r>
      <w:r w:rsidRPr="00F90E89">
        <w:rPr>
          <w:rStyle w:val="Heading6Char"/>
        </w:rPr>
        <w:t xml:space="preserve"> </w:t>
      </w:r>
      <w:r w:rsidR="002D27E5" w:rsidRPr="00FD70EE">
        <w:t xml:space="preserve">A national approach to early intervention and targeted support for children and families experiencing vulnerability or disadvantage: </w:t>
      </w:r>
    </w:p>
    <w:p w:rsidR="002D27E5" w:rsidRPr="002D27E5" w:rsidRDefault="002D27E5" w:rsidP="002D27E5">
      <w:pPr>
        <w:pStyle w:val="ListParagraph"/>
        <w:numPr>
          <w:ilvl w:val="0"/>
          <w:numId w:val="5"/>
        </w:numPr>
      </w:pPr>
      <w:r w:rsidRPr="002D27E5">
        <w:rPr>
          <w:b/>
        </w:rPr>
        <w:t>Action 1:</w:t>
      </w:r>
      <w:r w:rsidRPr="002D27E5">
        <w:t xml:space="preserve"> Early supports</w:t>
      </w:r>
    </w:p>
    <w:p w:rsidR="002D27E5" w:rsidRPr="002D27E5" w:rsidRDefault="002D27E5" w:rsidP="002D27E5">
      <w:pPr>
        <w:pStyle w:val="ListParagraph"/>
        <w:numPr>
          <w:ilvl w:val="0"/>
          <w:numId w:val="5"/>
        </w:numPr>
      </w:pPr>
      <w:r w:rsidRPr="002D27E5">
        <w:rPr>
          <w:b/>
        </w:rPr>
        <w:t xml:space="preserve">Action 5: </w:t>
      </w:r>
      <w:r w:rsidRPr="002D27E5">
        <w:t>Out-of-home care</w:t>
      </w:r>
    </w:p>
    <w:p w:rsidR="00441C04" w:rsidRDefault="002D27E5" w:rsidP="002D27E5">
      <w:pPr>
        <w:pStyle w:val="ListParagraph"/>
        <w:numPr>
          <w:ilvl w:val="0"/>
          <w:numId w:val="5"/>
        </w:numPr>
      </w:pPr>
      <w:r w:rsidRPr="002D27E5">
        <w:rPr>
          <w:b/>
        </w:rPr>
        <w:t>Action 7:</w:t>
      </w:r>
      <w:r w:rsidRPr="002D27E5">
        <w:t xml:space="preserve"> Disability</w:t>
      </w:r>
    </w:p>
    <w:p w:rsidR="002D27E5" w:rsidRDefault="00BA665E" w:rsidP="002B67EF">
      <w:pPr>
        <w:spacing w:after="0"/>
      </w:pPr>
      <w:r w:rsidRPr="00293F15">
        <w:rPr>
          <w:rStyle w:val="Heading3Char"/>
        </w:rPr>
        <w:t xml:space="preserve">Focus Area: </w:t>
      </w:r>
      <w:r w:rsidR="002D27E5" w:rsidRPr="00FD70EE">
        <w:t>Addressing the over representation of Aboriginal and Torres Strait Islander children in child protection systems.</w:t>
      </w:r>
    </w:p>
    <w:p w:rsidR="00BA665E" w:rsidRPr="00BA665E" w:rsidRDefault="00BA665E" w:rsidP="00BA665E">
      <w:pPr>
        <w:pStyle w:val="ListParagraph"/>
        <w:numPr>
          <w:ilvl w:val="0"/>
          <w:numId w:val="6"/>
        </w:numPr>
      </w:pPr>
      <w:r w:rsidRPr="00BA665E">
        <w:rPr>
          <w:b/>
        </w:rPr>
        <w:t>Action 8:</w:t>
      </w:r>
      <w:r w:rsidRPr="00BA665E">
        <w:t xml:space="preserve"> </w:t>
      </w:r>
      <w:r w:rsidR="006510F5">
        <w:t>Aboriginal and Torres Strait Islander Child Placement Principle (</w:t>
      </w:r>
      <w:r w:rsidRPr="00BA665E">
        <w:t>ATSICPP</w:t>
      </w:r>
      <w:r w:rsidR="006510F5">
        <w:t>)</w:t>
      </w:r>
    </w:p>
    <w:p w:rsidR="00BA665E" w:rsidRDefault="00BA665E" w:rsidP="00BA665E">
      <w:r w:rsidRPr="00FD70EE">
        <w:t>See the</w:t>
      </w:r>
      <w:r w:rsidRPr="00BA665E">
        <w:rPr>
          <w:i/>
        </w:rPr>
        <w:t xml:space="preserve"> Aboriginal and Torres Strait Islander First Action Plan </w:t>
      </w:r>
      <w:r w:rsidRPr="00FD70EE">
        <w:t xml:space="preserve">for other actions that will address Focus Area 2 and outcomes in the </w:t>
      </w:r>
      <w:r w:rsidRPr="00BA665E">
        <w:rPr>
          <w:i/>
        </w:rPr>
        <w:t>Aboriginal and Torres Strait Islander Outcomes Framework.</w:t>
      </w:r>
    </w:p>
    <w:p w:rsidR="00BA665E" w:rsidRPr="00FD70EE" w:rsidRDefault="00BA665E" w:rsidP="002B67EF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>:</w:t>
      </w:r>
      <w:r w:rsidRPr="00FD70EE">
        <w:rPr>
          <w:rStyle w:val="Heading6Char"/>
        </w:rPr>
        <w:t xml:space="preserve"> </w:t>
      </w:r>
      <w:r w:rsidRPr="00FD70EE">
        <w:t>Improved information sharing, data development and analysis.</w:t>
      </w:r>
    </w:p>
    <w:p w:rsidR="00BA665E" w:rsidRDefault="00BA665E" w:rsidP="00BA665E">
      <w:pPr>
        <w:pStyle w:val="ListParagraph"/>
        <w:numPr>
          <w:ilvl w:val="0"/>
          <w:numId w:val="6"/>
        </w:numPr>
      </w:pPr>
      <w:r w:rsidRPr="00BA665E">
        <w:rPr>
          <w:b/>
        </w:rPr>
        <w:t>Action 2:</w:t>
      </w:r>
      <w:r w:rsidRPr="00BA665E">
        <w:t xml:space="preserve"> Data and research</w:t>
      </w:r>
    </w:p>
    <w:p w:rsidR="00BA665E" w:rsidRPr="00FD70EE" w:rsidRDefault="00BA665E" w:rsidP="002B67EF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 xml:space="preserve">: </w:t>
      </w:r>
      <w:r w:rsidRPr="00FD70EE">
        <w:t>Strengthening the child and family sector and workforce capability.</w:t>
      </w:r>
    </w:p>
    <w:p w:rsidR="00BA665E" w:rsidRDefault="00BA665E" w:rsidP="00BA665E">
      <w:pPr>
        <w:pStyle w:val="ListParagraph"/>
        <w:numPr>
          <w:ilvl w:val="0"/>
          <w:numId w:val="6"/>
        </w:numPr>
      </w:pPr>
      <w:r w:rsidRPr="00BA665E">
        <w:rPr>
          <w:b/>
        </w:rPr>
        <w:t>Action 3:</w:t>
      </w:r>
      <w:r>
        <w:t>Workforce</w:t>
      </w:r>
    </w:p>
    <w:p w:rsidR="00BA665E" w:rsidRDefault="00BA665E" w:rsidP="00BA665E">
      <w:pPr>
        <w:pStyle w:val="ListParagraph"/>
        <w:numPr>
          <w:ilvl w:val="0"/>
          <w:numId w:val="6"/>
        </w:numPr>
      </w:pPr>
      <w:r w:rsidRPr="00BA665E">
        <w:rPr>
          <w:b/>
        </w:rPr>
        <w:t>Action 6:</w:t>
      </w:r>
      <w:r>
        <w:t xml:space="preserve"> Carers</w:t>
      </w:r>
    </w:p>
    <w:p w:rsidR="00BA665E" w:rsidRDefault="00BA665E" w:rsidP="009D0521">
      <w:r w:rsidRPr="00BA665E">
        <w:rPr>
          <w:b/>
        </w:rPr>
        <w:t>Action 4:</w:t>
      </w:r>
      <w:r w:rsidRPr="00BA665E">
        <w:t xml:space="preserve"> Listening to Living Experience</w:t>
      </w:r>
      <w:r>
        <w:t xml:space="preserve"> </w:t>
      </w:r>
      <w:r w:rsidRPr="00F90E89">
        <w:t xml:space="preserve">cuts across all </w:t>
      </w:r>
      <w:proofErr w:type="gramStart"/>
      <w:r w:rsidRPr="00F90E89">
        <w:t>4</w:t>
      </w:r>
      <w:proofErr w:type="gramEnd"/>
      <w:r w:rsidRPr="00F90E89">
        <w:t xml:space="preserve"> Focus Areas</w:t>
      </w:r>
      <w:r w:rsidR="00F90E89">
        <w:t>.</w:t>
      </w:r>
    </w:p>
    <w:p w:rsidR="009D0521" w:rsidRDefault="00160600" w:rsidP="00BA665E">
      <w:pPr>
        <w:pStyle w:val="Heading2"/>
      </w:pPr>
      <w:r>
        <w:t>How will these activities help us achie</w:t>
      </w:r>
      <w:r w:rsidR="00F90E89">
        <w:t>ve the 10-year outcomes and sub</w:t>
      </w:r>
      <w:r w:rsidR="00F90E89" w:rsidRPr="00F90E89">
        <w:noBreakHyphen/>
      </w:r>
      <w:r>
        <w:t xml:space="preserve">outcomes for all Priority Groups at </w:t>
      </w:r>
      <w:r w:rsidR="00BA665E">
        <w:t xml:space="preserve">the system and service level </w:t>
      </w:r>
    </w:p>
    <w:p w:rsidR="00BA665E" w:rsidRDefault="00BA665E" w:rsidP="002B67EF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 xml:space="preserve">: </w:t>
      </w:r>
      <w:r w:rsidRPr="00FD70EE">
        <w:t>A national approach to early intervention and targeted support for children and families experiencing vulnerability or disadvantage</w:t>
      </w:r>
      <w:r w:rsidR="00BC4B51" w:rsidRPr="00FD70EE">
        <w:t>.</w:t>
      </w:r>
      <w:r w:rsidRPr="00BA665E">
        <w:t xml:space="preserve"> </w:t>
      </w:r>
    </w:p>
    <w:p w:rsidR="00BA665E" w:rsidRPr="00BA665E" w:rsidRDefault="00BA665E" w:rsidP="00BA665E">
      <w:proofErr w:type="gramStart"/>
      <w:r w:rsidRPr="00BA665E">
        <w:rPr>
          <w:b/>
        </w:rPr>
        <w:t>S1(</w:t>
      </w:r>
      <w:proofErr w:type="gramEnd"/>
      <w:r w:rsidRPr="00BA665E">
        <w:rPr>
          <w:b/>
        </w:rPr>
        <w:t>b)</w:t>
      </w:r>
      <w:r w:rsidRPr="00BA665E">
        <w:t xml:space="preserve"> – Systems and services prioritise resourcing, strengthening and supporting families to stay safe together</w:t>
      </w:r>
      <w:r w:rsidR="00BC4B51">
        <w:t>.</w:t>
      </w:r>
    </w:p>
    <w:p w:rsidR="00BA665E" w:rsidRPr="00FD70EE" w:rsidRDefault="00BA665E" w:rsidP="00702828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 xml:space="preserve">: </w:t>
      </w:r>
      <w:r w:rsidRPr="00FD70EE">
        <w:t>Addressing the over representation of Aboriginal and Torres Strait Islander children in child protection systems.</w:t>
      </w:r>
    </w:p>
    <w:p w:rsidR="00BA665E" w:rsidRPr="00702828" w:rsidRDefault="00BA665E" w:rsidP="00BA665E">
      <w:r w:rsidRPr="00702828">
        <w:t>See the Aboriginal and Torres Strait Islander Outcomes Framework for outcomes specific to Focus Area 2.</w:t>
      </w:r>
    </w:p>
    <w:p w:rsidR="00BA665E" w:rsidRPr="00FD70EE" w:rsidRDefault="00BA665E" w:rsidP="00702828">
      <w:pPr>
        <w:spacing w:after="0"/>
      </w:pPr>
      <w:r w:rsidRPr="00293F15">
        <w:rPr>
          <w:rStyle w:val="Heading3Char"/>
        </w:rPr>
        <w:t>Focus Area:</w:t>
      </w:r>
      <w:r w:rsidRPr="00F90E89">
        <w:rPr>
          <w:rStyle w:val="Heading6Char"/>
        </w:rPr>
        <w:t xml:space="preserve"> </w:t>
      </w:r>
      <w:r w:rsidRPr="00FD70EE">
        <w:t>Improved information sharing, data development and analysis.</w:t>
      </w:r>
    </w:p>
    <w:p w:rsidR="00BA665E" w:rsidRDefault="00BA665E" w:rsidP="00BA665E">
      <w:proofErr w:type="gramStart"/>
      <w:r w:rsidRPr="00BA665E">
        <w:rPr>
          <w:b/>
        </w:rPr>
        <w:t>S3(</w:t>
      </w:r>
      <w:proofErr w:type="gramEnd"/>
      <w:r w:rsidRPr="00BA665E">
        <w:rPr>
          <w:b/>
        </w:rPr>
        <w:t>b)</w:t>
      </w:r>
      <w:r w:rsidRPr="00BA665E">
        <w:t xml:space="preserve"> – Child and family support policies and services are consistently based on reliable evidence, including living experience.</w:t>
      </w:r>
    </w:p>
    <w:p w:rsidR="00BA665E" w:rsidRPr="00BA665E" w:rsidRDefault="00BA665E" w:rsidP="00702828">
      <w:pPr>
        <w:spacing w:after="0"/>
      </w:pPr>
      <w:r w:rsidRPr="00293F15">
        <w:rPr>
          <w:rStyle w:val="Heading3Char"/>
        </w:rPr>
        <w:t>Focus Area:</w:t>
      </w:r>
      <w:r w:rsidRPr="00BA665E">
        <w:t xml:space="preserve"> </w:t>
      </w:r>
      <w:r w:rsidRPr="00FD70EE">
        <w:t>Strengthening the child and family sector and workforce capability.</w:t>
      </w:r>
    </w:p>
    <w:p w:rsidR="009D0521" w:rsidRDefault="00BA665E" w:rsidP="009D0521">
      <w:proofErr w:type="gramStart"/>
      <w:r w:rsidRPr="00BA665E">
        <w:rPr>
          <w:b/>
        </w:rPr>
        <w:t>S4(</w:t>
      </w:r>
      <w:proofErr w:type="gramEnd"/>
      <w:r w:rsidRPr="00BA665E">
        <w:rPr>
          <w:b/>
        </w:rPr>
        <w:t>b)</w:t>
      </w:r>
      <w:r w:rsidRPr="00BA665E">
        <w:t xml:space="preserve"> – The child and family support system has the capacity to respond effectively and adapt to meet future demand.</w:t>
      </w:r>
    </w:p>
    <w:p w:rsidR="00702828" w:rsidRDefault="00702828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9D0521" w:rsidRDefault="00BA665E" w:rsidP="00BA665E">
      <w:pPr>
        <w:pStyle w:val="Heading2"/>
      </w:pPr>
      <w:r w:rsidRPr="00BA665E">
        <w:lastRenderedPageBreak/>
        <w:t xml:space="preserve">How will these activities help us achieve the 10-year outcomes and sub-outcomes for all Priority Groups at the </w:t>
      </w:r>
      <w:r w:rsidR="009D0521">
        <w:t>child and family level</w:t>
      </w:r>
    </w:p>
    <w:p w:rsidR="00BA665E" w:rsidRPr="00FD70EE" w:rsidRDefault="00BA665E" w:rsidP="00BA665E">
      <w:r w:rsidRPr="00FD70EE">
        <w:t>See the</w:t>
      </w:r>
      <w:r w:rsidRPr="00AE160A">
        <w:rPr>
          <w:i/>
        </w:rPr>
        <w:t xml:space="preserve"> Aboriginal and Torres Strait Islander Outcomes Framework </w:t>
      </w:r>
      <w:r w:rsidRPr="00FD70EE">
        <w:t>for outcomes specific to First Nations children and families.</w:t>
      </w:r>
    </w:p>
    <w:p w:rsidR="00BA665E" w:rsidRPr="00FD70EE" w:rsidRDefault="00BA665E" w:rsidP="00702828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>:</w:t>
      </w:r>
      <w:r w:rsidRPr="00FD70EE">
        <w:t xml:space="preserve"> A national approach to early intervention and targeted support for children and families experiencing vulnerability or disadvantage: </w:t>
      </w:r>
    </w:p>
    <w:p w:rsidR="00BA665E" w:rsidRPr="00BA665E" w:rsidRDefault="00BA665E" w:rsidP="00BA665E">
      <w:proofErr w:type="gramStart"/>
      <w:r w:rsidRPr="00BA665E">
        <w:rPr>
          <w:b/>
        </w:rPr>
        <w:t>S1(</w:t>
      </w:r>
      <w:proofErr w:type="gramEnd"/>
      <w:r w:rsidRPr="00BA665E">
        <w:rPr>
          <w:b/>
        </w:rPr>
        <w:t>a)</w:t>
      </w:r>
      <w:r w:rsidRPr="00BA665E">
        <w:t xml:space="preserve"> – Children and young people grow up in safe and nurturing homes, supported by strong families and communities</w:t>
      </w:r>
      <w:r>
        <w:t>.</w:t>
      </w:r>
    </w:p>
    <w:p w:rsidR="00BA665E" w:rsidRPr="00FD70EE" w:rsidRDefault="00BA665E" w:rsidP="00702828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>:</w:t>
      </w:r>
      <w:r w:rsidRPr="00FD70EE">
        <w:t xml:space="preserve"> Addressing the over representation of Aboriginal and Torres Strait Islander children in child protection systems.</w:t>
      </w:r>
    </w:p>
    <w:p w:rsidR="00BA665E" w:rsidRDefault="00BA665E" w:rsidP="00BA665E">
      <w:proofErr w:type="gramStart"/>
      <w:r w:rsidRPr="00BA665E">
        <w:rPr>
          <w:b/>
        </w:rPr>
        <w:t>S5(</w:t>
      </w:r>
      <w:proofErr w:type="gramEnd"/>
      <w:r w:rsidRPr="00BA665E">
        <w:rPr>
          <w:b/>
        </w:rPr>
        <w:t xml:space="preserve">a) </w:t>
      </w:r>
      <w:r w:rsidRPr="00BA665E">
        <w:t>– Children, young people, families and communities have their holistic needs fulfilled. As such, fewer families experience social, emotional and economic risk factors for child abuse and neglect.</w:t>
      </w:r>
    </w:p>
    <w:p w:rsidR="00BA665E" w:rsidRPr="00FD70EE" w:rsidRDefault="00BA665E" w:rsidP="00702828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>:</w:t>
      </w:r>
      <w:r w:rsidRPr="00FD70EE">
        <w:t xml:space="preserve"> Improved information sharing, data development and analysis.</w:t>
      </w:r>
    </w:p>
    <w:p w:rsidR="00BA665E" w:rsidRDefault="00BA665E" w:rsidP="00BA665E">
      <w:proofErr w:type="gramStart"/>
      <w:r w:rsidRPr="00BA665E">
        <w:rPr>
          <w:b/>
        </w:rPr>
        <w:t>S3(</w:t>
      </w:r>
      <w:proofErr w:type="gramEnd"/>
      <w:r w:rsidRPr="00BA665E">
        <w:rPr>
          <w:b/>
        </w:rPr>
        <w:t>a)</w:t>
      </w:r>
      <w:r w:rsidRPr="00BA665E">
        <w:t xml:space="preserve"> – Children, young people and families, and their experiences, are accurately represented in the evidence about them.</w:t>
      </w:r>
    </w:p>
    <w:p w:rsidR="00BA665E" w:rsidRPr="00BA665E" w:rsidRDefault="00BA665E" w:rsidP="00702828">
      <w:pPr>
        <w:spacing w:after="0"/>
      </w:pPr>
      <w:r w:rsidRPr="00293F15">
        <w:rPr>
          <w:rStyle w:val="Heading3Char"/>
        </w:rPr>
        <w:t>Focus Area</w:t>
      </w:r>
      <w:r w:rsidRPr="00FD70EE">
        <w:rPr>
          <w:rStyle w:val="Heading3Char"/>
        </w:rPr>
        <w:t>:</w:t>
      </w:r>
      <w:r w:rsidRPr="00FD70EE">
        <w:t xml:space="preserve"> Strengthening the child and family sector and workforce capability.</w:t>
      </w:r>
    </w:p>
    <w:p w:rsidR="009D0521" w:rsidRDefault="00BA665E" w:rsidP="009D0521">
      <w:proofErr w:type="gramStart"/>
      <w:r w:rsidRPr="00BA665E">
        <w:rPr>
          <w:b/>
        </w:rPr>
        <w:t>S4(</w:t>
      </w:r>
      <w:proofErr w:type="gramEnd"/>
      <w:r w:rsidRPr="00BA665E">
        <w:rPr>
          <w:b/>
        </w:rPr>
        <w:t>a)</w:t>
      </w:r>
      <w:r w:rsidRPr="00BA665E">
        <w:t xml:space="preserve"> – Children, young people and families have their needs met by an effective and skilled workforce.</w:t>
      </w:r>
    </w:p>
    <w:p w:rsidR="003B0329" w:rsidRPr="003B0329" w:rsidRDefault="003B0329" w:rsidP="009D0521">
      <w:r w:rsidRPr="002B67EF">
        <w:t>As outlined above the actions and activities will help us to achieve the 10-year outcomes and sub</w:t>
      </w:r>
      <w:r w:rsidRPr="002B67EF">
        <w:noBreakHyphen/>
        <w:t>outcomes for all Priority Groups at the system and service level</w:t>
      </w:r>
      <w:r w:rsidR="00C640D5" w:rsidRPr="002B67EF">
        <w:t>,</w:t>
      </w:r>
      <w:r w:rsidRPr="002B67EF">
        <w:t xml:space="preserve"> helping us to achieve our shared Vision and Goal (below).</w:t>
      </w:r>
    </w:p>
    <w:p w:rsidR="009D0521" w:rsidRDefault="009D0521" w:rsidP="009D0521">
      <w:r w:rsidRPr="00293F15">
        <w:rPr>
          <w:rStyle w:val="Heading2Char"/>
        </w:rPr>
        <w:t>Safe and Supported Vision:</w:t>
      </w:r>
      <w:r w:rsidRPr="009D0521">
        <w:t xml:space="preserve"> </w:t>
      </w:r>
      <w:r>
        <w:t>Children and young people in Australia reach their full potential by growing up safe and supported, free from harm and neglect.</w:t>
      </w:r>
    </w:p>
    <w:p w:rsidR="009D0521" w:rsidRPr="00B91E3E" w:rsidRDefault="009D0521" w:rsidP="006510F5">
      <w:r w:rsidRPr="00293F15">
        <w:rPr>
          <w:rStyle w:val="Heading2Char"/>
        </w:rPr>
        <w:t>Safe and Supported Goal:</w:t>
      </w:r>
      <w:r w:rsidRPr="009D0521">
        <w:t xml:space="preserve"> </w:t>
      </w:r>
      <w:r>
        <w:t>To make significant and sustained progress in reducing the rates of child abuse and neglect, and its intergenera</w:t>
      </w:r>
      <w:r w:rsidR="006510F5">
        <w:t>tional impacts.</w:t>
      </w:r>
    </w:p>
    <w:sectPr w:rsidR="009D0521" w:rsidRPr="00B91E3E" w:rsidSect="00651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1E" w:rsidRDefault="006D1A1E" w:rsidP="00B04ED8">
      <w:pPr>
        <w:spacing w:after="0" w:line="240" w:lineRule="auto"/>
      </w:pPr>
      <w:r>
        <w:separator/>
      </w:r>
    </w:p>
  </w:endnote>
  <w:endnote w:type="continuationSeparator" w:id="0">
    <w:p w:rsidR="006D1A1E" w:rsidRDefault="006D1A1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1E" w:rsidRDefault="006D1A1E" w:rsidP="00B04ED8">
      <w:pPr>
        <w:spacing w:after="0" w:line="240" w:lineRule="auto"/>
      </w:pPr>
      <w:r>
        <w:separator/>
      </w:r>
    </w:p>
  </w:footnote>
  <w:footnote w:type="continuationSeparator" w:id="0">
    <w:p w:rsidR="006D1A1E" w:rsidRDefault="006D1A1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B65"/>
    <w:multiLevelType w:val="hybridMultilevel"/>
    <w:tmpl w:val="3CC0D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612D"/>
    <w:multiLevelType w:val="hybridMultilevel"/>
    <w:tmpl w:val="B526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019B"/>
    <w:multiLevelType w:val="hybridMultilevel"/>
    <w:tmpl w:val="86E6C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C73B8"/>
    <w:multiLevelType w:val="hybridMultilevel"/>
    <w:tmpl w:val="5D921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00AFD"/>
    <w:multiLevelType w:val="hybridMultilevel"/>
    <w:tmpl w:val="7F6CC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2F5"/>
    <w:multiLevelType w:val="hybridMultilevel"/>
    <w:tmpl w:val="98C2B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7D70"/>
    <w:multiLevelType w:val="hybridMultilevel"/>
    <w:tmpl w:val="14161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A9"/>
    <w:rsid w:val="00005633"/>
    <w:rsid w:val="00160600"/>
    <w:rsid w:val="001B61DE"/>
    <w:rsid w:val="001E630D"/>
    <w:rsid w:val="002243E1"/>
    <w:rsid w:val="00284DC9"/>
    <w:rsid w:val="00293F15"/>
    <w:rsid w:val="002B67EF"/>
    <w:rsid w:val="002D27E5"/>
    <w:rsid w:val="003B0329"/>
    <w:rsid w:val="003B2BB8"/>
    <w:rsid w:val="003D34FF"/>
    <w:rsid w:val="00441C04"/>
    <w:rsid w:val="0049738B"/>
    <w:rsid w:val="004B54CA"/>
    <w:rsid w:val="004E5CBF"/>
    <w:rsid w:val="005C3AA9"/>
    <w:rsid w:val="005F32E7"/>
    <w:rsid w:val="00621FC5"/>
    <w:rsid w:val="00637B02"/>
    <w:rsid w:val="006510F5"/>
    <w:rsid w:val="00683A84"/>
    <w:rsid w:val="006A4CE7"/>
    <w:rsid w:val="006D1A1E"/>
    <w:rsid w:val="00702828"/>
    <w:rsid w:val="00785261"/>
    <w:rsid w:val="007B0256"/>
    <w:rsid w:val="007E04B5"/>
    <w:rsid w:val="007F4E2E"/>
    <w:rsid w:val="0083177B"/>
    <w:rsid w:val="009225F0"/>
    <w:rsid w:val="0093462C"/>
    <w:rsid w:val="00953795"/>
    <w:rsid w:val="00974189"/>
    <w:rsid w:val="009D0521"/>
    <w:rsid w:val="00AE160A"/>
    <w:rsid w:val="00B04ED8"/>
    <w:rsid w:val="00B91E3E"/>
    <w:rsid w:val="00BA2DB9"/>
    <w:rsid w:val="00BA665E"/>
    <w:rsid w:val="00BC4B51"/>
    <w:rsid w:val="00BE31A9"/>
    <w:rsid w:val="00BE7148"/>
    <w:rsid w:val="00C640D5"/>
    <w:rsid w:val="00C84DD7"/>
    <w:rsid w:val="00CB5863"/>
    <w:rsid w:val="00DA243A"/>
    <w:rsid w:val="00E21F33"/>
    <w:rsid w:val="00E273E4"/>
    <w:rsid w:val="00EE1D81"/>
    <w:rsid w:val="00F30AFE"/>
    <w:rsid w:val="00F319A4"/>
    <w:rsid w:val="00F90E89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6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44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Framework@dss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2D30-E395-497D-B6CB-06BB1F1E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7120</Characters>
  <Application>Microsoft Office Word</Application>
  <DocSecurity>0</DocSecurity>
  <Lines>137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2023-01-25T06:55:00Z</dcterms:created>
  <dcterms:modified xsi:type="dcterms:W3CDTF">2023-01-25T06:55:00Z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DDED98F21F144C52A7C4F45FB1C1BB3D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1111357E37618DA7AB1BE4784BB6E675C5834A58</vt:lpwstr>
  </property>
  <property fmtid="{D5CDD505-2E9C-101B-9397-08002B2CF9AE}" pid="11" name="PM_OriginationTimeStamp">
    <vt:lpwstr>2023-01-25T06:55:35Z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3209211AAE307CFFE98DC8EC1FBFFA8A</vt:lpwstr>
  </property>
  <property fmtid="{D5CDD505-2E9C-101B-9397-08002B2CF9AE}" pid="21" name="PM_Hash_Salt">
    <vt:lpwstr>6FAEBF1866DD54BD4DB6376650A889FD</vt:lpwstr>
  </property>
  <property fmtid="{D5CDD505-2E9C-101B-9397-08002B2CF9AE}" pid="22" name="PM_Hash_SHA1">
    <vt:lpwstr>7969757ED6DA7523A5800F863014CF3C0F229C93</vt:lpwstr>
  </property>
  <property fmtid="{D5CDD505-2E9C-101B-9397-08002B2CF9AE}" pid="23" name="PM_OriginatorUserAccountName_SHA256">
    <vt:lpwstr>EA6F481EA953165BD578A29A7C406FA6D709228CE4C1BDA8FB5423B96E9FDB0C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