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77110" w14:textId="77777777" w:rsidR="005316BE" w:rsidRPr="003F0411" w:rsidRDefault="00CF553B" w:rsidP="00537B50">
      <w:pPr>
        <w:spacing w:before="0" w:after="0"/>
        <w:ind w:left="-850"/>
      </w:pPr>
      <w:r w:rsidRPr="003F0411">
        <w:rPr>
          <w:noProof/>
        </w:rPr>
        <w:drawing>
          <wp:inline distT="0" distB="0" distL="0" distR="0" wp14:anchorId="023CDC85" wp14:editId="5155BE9E">
            <wp:extent cx="7541998" cy="1436354"/>
            <wp:effectExtent l="0" t="0" r="1905" b="0"/>
            <wp:docPr id="1" name="Picture 1" descr="Australian Government -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98" cy="143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9D2CA" w14:textId="2BDA9B25" w:rsidR="003B474C" w:rsidRPr="003F0411" w:rsidRDefault="005C0B1B" w:rsidP="00C80192">
      <w:pPr>
        <w:pStyle w:val="Title"/>
      </w:pPr>
      <w:r w:rsidRPr="003F0411">
        <w:t>Safe and S</w:t>
      </w:r>
      <w:bookmarkStart w:id="0" w:name="_GoBack"/>
      <w:bookmarkEnd w:id="0"/>
      <w:r w:rsidRPr="003F0411">
        <w:t xml:space="preserve">upported Action Plans – </w:t>
      </w:r>
      <w:r w:rsidR="00557332" w:rsidRPr="003F0411">
        <w:t xml:space="preserve">Key messages </w:t>
      </w:r>
    </w:p>
    <w:p w14:paraId="373B1179" w14:textId="77777777" w:rsidR="00812B05" w:rsidRPr="003F0411" w:rsidRDefault="00812B05" w:rsidP="007A361A">
      <w:pPr>
        <w:rPr>
          <w:b/>
        </w:rPr>
      </w:pPr>
    </w:p>
    <w:p w14:paraId="7B560982" w14:textId="77777777" w:rsidR="003B474C" w:rsidRPr="003F0411" w:rsidRDefault="003B474C" w:rsidP="005A3E66">
      <w:pPr>
        <w:rPr>
          <w:rFonts w:cs="Arial"/>
        </w:rPr>
      </w:pPr>
      <w:r w:rsidRPr="003F0411">
        <w:t xml:space="preserve">Safe and Supported sets out Australia’s 10-year strategy to reduce the rates of child abuse </w:t>
      </w:r>
      <w:proofErr w:type="gramStart"/>
      <w:r w:rsidRPr="003F0411">
        <w:t>and</w:t>
      </w:r>
      <w:proofErr w:type="gramEnd"/>
      <w:r w:rsidRPr="003F0411">
        <w:t xml:space="preserve"> neglect and its effects across generations. </w:t>
      </w:r>
      <w:r w:rsidRPr="003F0411">
        <w:rPr>
          <w:rFonts w:cs="Arial"/>
        </w:rPr>
        <w:t>It recognises that all children and young people in Australia have the right to grow up safe, connected and supported in their family, community and culture.</w:t>
      </w:r>
    </w:p>
    <w:p w14:paraId="2EB7B078" w14:textId="35426B3D" w:rsidR="003B474C" w:rsidRPr="003F0411" w:rsidRDefault="00D01CB5" w:rsidP="003B474C">
      <w:r>
        <w:t>Two</w:t>
      </w:r>
      <w:r w:rsidR="006E0538" w:rsidRPr="003F0411">
        <w:t xml:space="preserve"> sets of </w:t>
      </w:r>
      <w:hyperlink r:id="rId9" w:history="1">
        <w:r w:rsidR="006E0538" w:rsidRPr="00E36367">
          <w:rPr>
            <w:rStyle w:val="Hyperlink"/>
          </w:rPr>
          <w:t>Action Plans</w:t>
        </w:r>
      </w:hyperlink>
      <w:r w:rsidR="006E0538" w:rsidRPr="003F0411">
        <w:t xml:space="preserve"> </w:t>
      </w:r>
      <w:r w:rsidR="003B474C" w:rsidRPr="003F0411">
        <w:t xml:space="preserve">will deliver on </w:t>
      </w:r>
      <w:proofErr w:type="gramStart"/>
      <w:r w:rsidR="003B474C" w:rsidRPr="003F0411">
        <w:t>Safe</w:t>
      </w:r>
      <w:proofErr w:type="gramEnd"/>
      <w:r w:rsidR="003B474C" w:rsidRPr="003F0411">
        <w:t xml:space="preserve"> and Supported</w:t>
      </w:r>
      <w:r w:rsidR="003F0411">
        <w:t>:</w:t>
      </w:r>
    </w:p>
    <w:p w14:paraId="24AD7E46" w14:textId="08202A88" w:rsidR="00D25EBE" w:rsidRPr="003F0411" w:rsidRDefault="00E302DB" w:rsidP="003B474C">
      <w:pPr>
        <w:numPr>
          <w:ilvl w:val="1"/>
          <w:numId w:val="68"/>
        </w:numPr>
      </w:pPr>
      <w:hyperlink r:id="rId10" w:history="1">
        <w:r w:rsidR="003B474C" w:rsidRPr="00E36367">
          <w:rPr>
            <w:rStyle w:val="Hyperlink"/>
            <w:i/>
          </w:rPr>
          <w:t>Safe and Supported: First Action Plan 2023</w:t>
        </w:r>
        <w:r w:rsidR="0083134F">
          <w:rPr>
            <w:rStyle w:val="Hyperlink"/>
            <w:i/>
          </w:rPr>
          <w:t>–</w:t>
        </w:r>
        <w:r w:rsidR="003B474C" w:rsidRPr="00E36367">
          <w:rPr>
            <w:rStyle w:val="Hyperlink"/>
            <w:i/>
          </w:rPr>
          <w:t>2026</w:t>
        </w:r>
      </w:hyperlink>
      <w:r w:rsidR="003B474C" w:rsidRPr="003F0411">
        <w:rPr>
          <w:i/>
        </w:rPr>
        <w:t xml:space="preserve"> </w:t>
      </w:r>
      <w:r w:rsidR="003B474C" w:rsidRPr="003F0411">
        <w:t>(First Action Plan)</w:t>
      </w:r>
      <w:r w:rsidR="006E0538" w:rsidRPr="003F0411">
        <w:t xml:space="preserve"> </w:t>
      </w:r>
    </w:p>
    <w:p w14:paraId="17B9E682" w14:textId="556DEDC6" w:rsidR="003B474C" w:rsidRPr="003F0411" w:rsidRDefault="00E302DB" w:rsidP="007A361A">
      <w:pPr>
        <w:numPr>
          <w:ilvl w:val="1"/>
          <w:numId w:val="68"/>
        </w:numPr>
        <w:rPr>
          <w:b/>
        </w:rPr>
      </w:pPr>
      <w:hyperlink r:id="rId11" w:history="1">
        <w:r w:rsidR="003B474C" w:rsidRPr="00E36367">
          <w:rPr>
            <w:rStyle w:val="Hyperlink"/>
            <w:i/>
          </w:rPr>
          <w:t xml:space="preserve">Safe and Supported: Aboriginal and Torres Strait Islander First Action Plan </w:t>
        </w:r>
        <w:r w:rsidR="00F71861" w:rsidRPr="00E36367">
          <w:rPr>
            <w:rStyle w:val="Hyperlink"/>
            <w:i/>
          </w:rPr>
          <w:br/>
        </w:r>
        <w:r w:rsidR="003B474C" w:rsidRPr="00E36367">
          <w:rPr>
            <w:rStyle w:val="Hyperlink"/>
            <w:i/>
          </w:rPr>
          <w:t>2023</w:t>
        </w:r>
        <w:r w:rsidR="0083134F">
          <w:rPr>
            <w:rStyle w:val="Hyperlink"/>
            <w:i/>
          </w:rPr>
          <w:t>–</w:t>
        </w:r>
        <w:r w:rsidR="003B474C" w:rsidRPr="00E36367">
          <w:rPr>
            <w:rStyle w:val="Hyperlink"/>
            <w:i/>
          </w:rPr>
          <w:t>2026</w:t>
        </w:r>
      </w:hyperlink>
      <w:r w:rsidR="003B474C" w:rsidRPr="003F0411">
        <w:t xml:space="preserve"> (Aboriginal and Torres Strait Islander First Action Plan)</w:t>
      </w:r>
      <w:r w:rsidR="003B474C" w:rsidRPr="003F0411">
        <w:rPr>
          <w:i/>
        </w:rPr>
        <w:t>.</w:t>
      </w:r>
    </w:p>
    <w:p w14:paraId="51CCD7E7" w14:textId="5ADF02AC" w:rsidR="00D25EBE" w:rsidRPr="003F0411" w:rsidRDefault="00D25EBE" w:rsidP="007A361A">
      <w:r w:rsidRPr="003F0411">
        <w:t xml:space="preserve">The </w:t>
      </w:r>
      <w:r w:rsidRPr="003F0411">
        <w:rPr>
          <w:b/>
        </w:rPr>
        <w:t>First Action Plan</w:t>
      </w:r>
      <w:r w:rsidRPr="003F0411">
        <w:t xml:space="preserve"> addresses the needs of all Australian children. It focuses on children and families who are experiencing disadvantage and/or are vulnerable.</w:t>
      </w:r>
    </w:p>
    <w:p w14:paraId="3A83881E" w14:textId="12F61D66" w:rsidR="00D25EBE" w:rsidRPr="003F0411" w:rsidRDefault="00D25EBE" w:rsidP="007A361A">
      <w:r w:rsidRPr="003F0411">
        <w:t xml:space="preserve">The </w:t>
      </w:r>
      <w:r w:rsidRPr="003F0411">
        <w:rPr>
          <w:b/>
        </w:rPr>
        <w:t>Aboriginal and Torres Strait Islander First Action Plan</w:t>
      </w:r>
      <w:r w:rsidRPr="003F0411">
        <w:t xml:space="preserve"> focuses on Aboriginal and Torres Strait Islander children and families who are experiencing disadvantage and</w:t>
      </w:r>
      <w:r w:rsidR="00CB00EA" w:rsidRPr="003F0411">
        <w:t>/or</w:t>
      </w:r>
      <w:r w:rsidRPr="003F0411">
        <w:t xml:space="preserve"> who are vulnerable. This Action Plan:</w:t>
      </w:r>
    </w:p>
    <w:p w14:paraId="6309C083" w14:textId="003C968E" w:rsidR="00D25EBE" w:rsidRPr="003F0411" w:rsidRDefault="00F71861" w:rsidP="00D25EBE">
      <w:pPr>
        <w:numPr>
          <w:ilvl w:val="1"/>
          <w:numId w:val="63"/>
        </w:numPr>
      </w:pPr>
      <w:r w:rsidRPr="003F0411">
        <w:t>Sets</w:t>
      </w:r>
      <w:r w:rsidR="00D25EBE" w:rsidRPr="003F0411">
        <w:t xml:space="preserve"> out the targeted actions and activities to address the over</w:t>
      </w:r>
      <w:r w:rsidR="00CB00EA" w:rsidRPr="003F0411">
        <w:t>-</w:t>
      </w:r>
      <w:r w:rsidR="00D25EBE" w:rsidRPr="003F0411">
        <w:t xml:space="preserve">representation of Aboriginal and Torres Strait Islander children in child protection systems. </w:t>
      </w:r>
    </w:p>
    <w:p w14:paraId="082B44B9" w14:textId="5369C9F9" w:rsidR="00D25EBE" w:rsidRPr="003F0411" w:rsidRDefault="00F71861" w:rsidP="00D25EBE">
      <w:pPr>
        <w:numPr>
          <w:ilvl w:val="1"/>
          <w:numId w:val="63"/>
        </w:numPr>
      </w:pPr>
      <w:r w:rsidRPr="003F0411">
        <w:t>Responds</w:t>
      </w:r>
      <w:r w:rsidR="00D25EBE" w:rsidRPr="003F0411">
        <w:t xml:space="preserve"> to the National Agreement on Closing the Gap (Closing the Gap) Target</w:t>
      </w:r>
      <w:r w:rsidR="003F0411">
        <w:t> </w:t>
      </w:r>
      <w:r w:rsidR="00D25EBE" w:rsidRPr="003F0411">
        <w:t>12</w:t>
      </w:r>
      <w:r w:rsidR="00D25EBE" w:rsidRPr="003F0411">
        <w:rPr>
          <w:i/>
        </w:rPr>
        <w:t xml:space="preserve"> (</w:t>
      </w:r>
      <w:r w:rsidR="00D25EBE" w:rsidRPr="003F0411">
        <w:rPr>
          <w:i/>
          <w:iCs/>
        </w:rPr>
        <w:t xml:space="preserve">to reduce the rate of over-representation of Aboriginal and Torres Strait Islander children in out-of-home care by 45% by 2031). </w:t>
      </w:r>
    </w:p>
    <w:p w14:paraId="77BDFA28" w14:textId="7C2C91D9" w:rsidR="008257FA" w:rsidRPr="003F0411" w:rsidRDefault="00D25EBE" w:rsidP="007A361A">
      <w:r w:rsidRPr="003F0411">
        <w:t>Both Action Plans a</w:t>
      </w:r>
      <w:r w:rsidR="00CB00EA" w:rsidRPr="003F0411">
        <w:t xml:space="preserve">im </w:t>
      </w:r>
      <w:r w:rsidRPr="003F0411">
        <w:t>to protect children and young people from harm and neglect.</w:t>
      </w:r>
    </w:p>
    <w:p w14:paraId="70C62A44" w14:textId="5EFDEDE7" w:rsidR="008257FA" w:rsidRPr="003F0411" w:rsidRDefault="008257FA" w:rsidP="003F0411">
      <w:pPr>
        <w:pStyle w:val="ListBullet"/>
        <w:numPr>
          <w:ilvl w:val="0"/>
          <w:numId w:val="0"/>
        </w:numPr>
        <w:tabs>
          <w:tab w:val="clear" w:pos="170"/>
          <w:tab w:val="left" w:pos="0"/>
        </w:tabs>
      </w:pPr>
      <w:r w:rsidRPr="003F0411">
        <w:t>The voices of children, young people and families will be central to implementing the first Action Plans.</w:t>
      </w:r>
    </w:p>
    <w:p w14:paraId="31140CA2" w14:textId="23D60F1F" w:rsidR="00D25EBE" w:rsidRPr="003F0411" w:rsidRDefault="003B474C" w:rsidP="007A361A">
      <w:pPr>
        <w:rPr>
          <w:b/>
        </w:rPr>
      </w:pPr>
      <w:bookmarkStart w:id="1" w:name="_Toc391890681"/>
      <w:r w:rsidRPr="003F0411">
        <w:rPr>
          <w:b/>
        </w:rPr>
        <w:t xml:space="preserve">What will the action plans deliver </w:t>
      </w:r>
      <w:proofErr w:type="gramStart"/>
      <w:r w:rsidRPr="003F0411">
        <w:rPr>
          <w:b/>
        </w:rPr>
        <w:t>on</w:t>
      </w:r>
      <w:proofErr w:type="gramEnd"/>
      <w:r w:rsidRPr="003F0411">
        <w:rPr>
          <w:b/>
        </w:rPr>
        <w:t xml:space="preserve">? </w:t>
      </w:r>
    </w:p>
    <w:p w14:paraId="6935751F" w14:textId="73E0A12D" w:rsidR="006729B4" w:rsidRPr="003F0411" w:rsidRDefault="00D25EBE" w:rsidP="007A361A">
      <w:r w:rsidRPr="003F0411">
        <w:t xml:space="preserve">The </w:t>
      </w:r>
      <w:r w:rsidR="006729B4" w:rsidRPr="003F0411">
        <w:t xml:space="preserve">Action Plans will deliver on the </w:t>
      </w:r>
      <w:proofErr w:type="gramStart"/>
      <w:r w:rsidR="003F0411">
        <w:t>4</w:t>
      </w:r>
      <w:proofErr w:type="gramEnd"/>
      <w:r w:rsidR="003F0411">
        <w:t xml:space="preserve"> focus areas under </w:t>
      </w:r>
      <w:r w:rsidR="006729B4" w:rsidRPr="003F0411">
        <w:t>Safe and Supported</w:t>
      </w:r>
      <w:r w:rsidR="003F0411">
        <w:t>:</w:t>
      </w:r>
    </w:p>
    <w:p w14:paraId="42DB1109" w14:textId="77777777" w:rsidR="006729B4" w:rsidRPr="003F0411" w:rsidRDefault="006729B4" w:rsidP="006729B4">
      <w:pPr>
        <w:numPr>
          <w:ilvl w:val="1"/>
          <w:numId w:val="62"/>
        </w:numPr>
      </w:pPr>
      <w:r w:rsidRPr="003F0411">
        <w:t>a national approach to early intervention and targeted support for children and families experiencing vulnerability or disadvantage</w:t>
      </w:r>
    </w:p>
    <w:p w14:paraId="692959E3" w14:textId="77777777" w:rsidR="006729B4" w:rsidRPr="003F0411" w:rsidRDefault="006729B4" w:rsidP="006729B4">
      <w:pPr>
        <w:numPr>
          <w:ilvl w:val="1"/>
          <w:numId w:val="62"/>
        </w:numPr>
      </w:pPr>
      <w:r w:rsidRPr="003F0411">
        <w:lastRenderedPageBreak/>
        <w:t>addressing the over-representation of Aboriginal and Torres Strait Islander children in child protection systems</w:t>
      </w:r>
    </w:p>
    <w:p w14:paraId="726A4E93" w14:textId="77777777" w:rsidR="006729B4" w:rsidRPr="003F0411" w:rsidRDefault="006729B4" w:rsidP="006729B4">
      <w:pPr>
        <w:numPr>
          <w:ilvl w:val="1"/>
          <w:numId w:val="62"/>
        </w:numPr>
      </w:pPr>
      <w:r w:rsidRPr="003F0411">
        <w:t>improving information sharing, data development and analysis, and</w:t>
      </w:r>
    </w:p>
    <w:p w14:paraId="2C67FB78" w14:textId="644B598F" w:rsidR="003B474C" w:rsidRPr="003F0411" w:rsidRDefault="006729B4" w:rsidP="00D25EBE">
      <w:pPr>
        <w:numPr>
          <w:ilvl w:val="1"/>
          <w:numId w:val="62"/>
        </w:numPr>
      </w:pPr>
      <w:proofErr w:type="gramStart"/>
      <w:r w:rsidRPr="003F0411">
        <w:t>strengthening</w:t>
      </w:r>
      <w:proofErr w:type="gramEnd"/>
      <w:r w:rsidRPr="003F0411">
        <w:t xml:space="preserve"> the child and family sector and workforce capability.</w:t>
      </w:r>
      <w:r w:rsidR="003B474C" w:rsidRPr="003F0411">
        <w:t xml:space="preserve"> </w:t>
      </w:r>
    </w:p>
    <w:p w14:paraId="39945CA6" w14:textId="0A180E9B" w:rsidR="00CB00EA" w:rsidRPr="003F0411" w:rsidRDefault="00BC6EA0" w:rsidP="00897AAA">
      <w:r w:rsidRPr="003F0411">
        <w:t>G</w:t>
      </w:r>
      <w:r w:rsidR="00193C0F" w:rsidRPr="003F0411">
        <w:t xml:space="preserve">overnments, </w:t>
      </w:r>
      <w:r w:rsidR="00CB00EA" w:rsidRPr="003F0411">
        <w:t xml:space="preserve">in partnership with Aboriginal and Torres Strait Islander leaders, will work with </w:t>
      </w:r>
      <w:r w:rsidR="00193C0F" w:rsidRPr="003F0411">
        <w:t xml:space="preserve">relevant sectors and communities </w:t>
      </w:r>
      <w:r w:rsidR="00CB00EA" w:rsidRPr="003F0411">
        <w:t>to</w:t>
      </w:r>
      <w:r w:rsidR="00193C0F" w:rsidRPr="003F0411">
        <w:t xml:space="preserve"> keep children safe and supported. This includes </w:t>
      </w:r>
      <w:r w:rsidR="00CB00EA" w:rsidRPr="003F0411">
        <w:t>addressing the social determinants of child safety and wellbeing by better connecting child and family service systems</w:t>
      </w:r>
      <w:r w:rsidR="00242033" w:rsidRPr="003F0411">
        <w:t>.</w:t>
      </w:r>
    </w:p>
    <w:p w14:paraId="2975F2A8" w14:textId="77777777" w:rsidR="003B474C" w:rsidRPr="003F0411" w:rsidRDefault="003B474C" w:rsidP="007A361A">
      <w:pPr>
        <w:rPr>
          <w:b/>
        </w:rPr>
      </w:pPr>
      <w:r w:rsidRPr="003F0411">
        <w:rPr>
          <w:b/>
        </w:rPr>
        <w:t xml:space="preserve">How </w:t>
      </w:r>
      <w:proofErr w:type="gramStart"/>
      <w:r w:rsidRPr="003F0411">
        <w:rPr>
          <w:b/>
        </w:rPr>
        <w:t>were the Action Plans developed</w:t>
      </w:r>
      <w:proofErr w:type="gramEnd"/>
      <w:r w:rsidRPr="003F0411">
        <w:rPr>
          <w:b/>
        </w:rPr>
        <w:t xml:space="preserve">? </w:t>
      </w:r>
    </w:p>
    <w:p w14:paraId="2CEAEA0E" w14:textId="72508EF5" w:rsidR="00D25EBE" w:rsidRPr="003F0411" w:rsidRDefault="00D25EBE" w:rsidP="007A361A">
      <w:r w:rsidRPr="003F0411">
        <w:t xml:space="preserve">The Action Plans </w:t>
      </w:r>
      <w:proofErr w:type="gramStart"/>
      <w:r w:rsidRPr="003F0411">
        <w:t>w</w:t>
      </w:r>
      <w:r w:rsidR="00BA1179" w:rsidRPr="003F0411">
        <w:t>ere</w:t>
      </w:r>
      <w:r w:rsidRPr="003F0411">
        <w:t xml:space="preserve"> informed</w:t>
      </w:r>
      <w:proofErr w:type="gramEnd"/>
      <w:r w:rsidRPr="003F0411">
        <w:t xml:space="preserve"> by </w:t>
      </w:r>
      <w:r w:rsidRPr="003F0411">
        <w:rPr>
          <w:spacing w:val="0"/>
        </w:rPr>
        <w:t>the wider community via online consultation, the</w:t>
      </w:r>
      <w:r w:rsidR="003F0411">
        <w:rPr>
          <w:spacing w:val="0"/>
        </w:rPr>
        <w:t> </w:t>
      </w:r>
      <w:r w:rsidRPr="003F0411">
        <w:t>National</w:t>
      </w:r>
      <w:r w:rsidR="003F0411">
        <w:t> </w:t>
      </w:r>
      <w:r w:rsidRPr="003F0411">
        <w:t>Children’s Commissioner</w:t>
      </w:r>
      <w:r w:rsidR="00BA1179" w:rsidRPr="003F0411">
        <w:t>’s</w:t>
      </w:r>
      <w:r w:rsidRPr="003F0411">
        <w:t xml:space="preserve"> </w:t>
      </w:r>
      <w:r w:rsidR="00BA1179" w:rsidRPr="003F0411">
        <w:t xml:space="preserve">consultations </w:t>
      </w:r>
      <w:r w:rsidRPr="003F0411">
        <w:t>with children and young people</w:t>
      </w:r>
      <w:r w:rsidR="00BA1179" w:rsidRPr="003F0411">
        <w:t>, as</w:t>
      </w:r>
      <w:r w:rsidR="003F0411">
        <w:t> </w:t>
      </w:r>
      <w:r w:rsidR="00BA1179" w:rsidRPr="003F0411">
        <w:t xml:space="preserve">well as consultations undertaken by </w:t>
      </w:r>
      <w:r w:rsidRPr="003F0411">
        <w:t>SNAICC – National Voice for Our Children</w:t>
      </w:r>
      <w:r w:rsidR="00BA1179" w:rsidRPr="003F0411">
        <w:t xml:space="preserve"> (SNAICC)</w:t>
      </w:r>
      <w:r w:rsidRPr="003F0411">
        <w:t xml:space="preserve"> and Families Australia.</w:t>
      </w:r>
    </w:p>
    <w:p w14:paraId="4B21D874" w14:textId="4C8AF776" w:rsidR="00FB2C1D" w:rsidRPr="003F0411" w:rsidRDefault="00FB2C1D" w:rsidP="007A361A">
      <w:r w:rsidRPr="003F0411">
        <w:t xml:space="preserve">To finalise </w:t>
      </w:r>
      <w:r w:rsidR="00DB4F49" w:rsidRPr="003F0411">
        <w:t>the Action Plans</w:t>
      </w:r>
      <w:r w:rsidRPr="003F0411">
        <w:t>, t</w:t>
      </w:r>
      <w:r w:rsidR="005A3E66" w:rsidRPr="003F0411">
        <w:t xml:space="preserve">he Department of Social Services worked </w:t>
      </w:r>
      <w:r w:rsidR="00BA1179" w:rsidRPr="003F0411">
        <w:t>in partnership with State and Territory Governments and an Aboriginal and Torres Strait Islander Leadership Group</w:t>
      </w:r>
      <w:r w:rsidR="008257FA" w:rsidRPr="003F0411">
        <w:t xml:space="preserve"> (Leadership Group)</w:t>
      </w:r>
      <w:r w:rsidR="00BA1179" w:rsidRPr="003F0411">
        <w:t xml:space="preserve">. The </w:t>
      </w:r>
      <w:r w:rsidR="00D01CB5">
        <w:t>department</w:t>
      </w:r>
      <w:r w:rsidR="00BA1179" w:rsidRPr="003F0411">
        <w:t xml:space="preserve"> also worked closely with other Commonwealth agencies and the broader non-government sector through the National Coalition on Child Safety and Wellbeing (facilitated by Families Australia).</w:t>
      </w:r>
    </w:p>
    <w:p w14:paraId="216CB3AE" w14:textId="052C4A0D" w:rsidR="00E94477" w:rsidRPr="003F0411" w:rsidRDefault="00E94477" w:rsidP="00D25EBE">
      <w:r w:rsidRPr="003F0411">
        <w:t xml:space="preserve">A </w:t>
      </w:r>
      <w:r w:rsidR="00554183" w:rsidRPr="003F0411">
        <w:t>P</w:t>
      </w:r>
      <w:r w:rsidRPr="003F0411">
        <w:t xml:space="preserve">artnership </w:t>
      </w:r>
      <w:r w:rsidR="00554183" w:rsidRPr="003F0411">
        <w:t>A</w:t>
      </w:r>
      <w:r w:rsidRPr="003F0411">
        <w:t>greement</w:t>
      </w:r>
      <w:r w:rsidR="00330C5D" w:rsidRPr="003F0411">
        <w:t xml:space="preserve"> between</w:t>
      </w:r>
      <w:r w:rsidR="00554183" w:rsidRPr="003F0411">
        <w:t xml:space="preserve"> Commonwealth, state and territory governments and the Leadership Group </w:t>
      </w:r>
      <w:proofErr w:type="gramStart"/>
      <w:r w:rsidR="008257FA" w:rsidRPr="003F0411">
        <w:t>is being developed</w:t>
      </w:r>
      <w:proofErr w:type="gramEnd"/>
      <w:r w:rsidR="008257FA" w:rsidRPr="003F0411">
        <w:t>. It will</w:t>
      </w:r>
      <w:r w:rsidR="007D5000" w:rsidRPr="003F0411">
        <w:t xml:space="preserve"> capture the commitment</w:t>
      </w:r>
      <w:r w:rsidR="008257FA" w:rsidRPr="003F0411">
        <w:t xml:space="preserve"> from governments</w:t>
      </w:r>
      <w:r w:rsidR="007D5000" w:rsidRPr="003F0411">
        <w:t xml:space="preserve"> to working in partnership and shared decision-making with </w:t>
      </w:r>
      <w:r w:rsidR="008257FA" w:rsidRPr="003F0411">
        <w:t>Aboriginal and Torres Strait Islander</w:t>
      </w:r>
      <w:r w:rsidR="007D5000" w:rsidRPr="003F0411">
        <w:t xml:space="preserve"> leaders to achieve the goals of Safe and Supported. The Partnership Agreement will be finalised in early 2023.</w:t>
      </w:r>
    </w:p>
    <w:p w14:paraId="16348AA8" w14:textId="77777777" w:rsidR="00330C5D" w:rsidRPr="003F0411" w:rsidRDefault="00EE26C1" w:rsidP="007A361A">
      <w:r w:rsidRPr="003F0411">
        <w:rPr>
          <w:b/>
        </w:rPr>
        <w:t>Will</w:t>
      </w:r>
      <w:r w:rsidR="00330C5D" w:rsidRPr="003F0411">
        <w:rPr>
          <w:b/>
        </w:rPr>
        <w:t xml:space="preserve"> the Action Plans </w:t>
      </w:r>
      <w:r w:rsidR="00E22F84" w:rsidRPr="003F0411">
        <w:rPr>
          <w:b/>
        </w:rPr>
        <w:t>link with</w:t>
      </w:r>
      <w:r w:rsidR="00330C5D" w:rsidRPr="003F0411">
        <w:rPr>
          <w:b/>
        </w:rPr>
        <w:t xml:space="preserve"> other national initiatives to support change for Australian children, young people and families?</w:t>
      </w:r>
    </w:p>
    <w:p w14:paraId="78B81490" w14:textId="1DBB4C7B" w:rsidR="00ED4439" w:rsidRPr="003F0411" w:rsidRDefault="00ED4439" w:rsidP="00ED4439">
      <w:r w:rsidRPr="003F0411">
        <w:t>The Action Plans will align with other relevant national initiatives, such as:</w:t>
      </w:r>
    </w:p>
    <w:p w14:paraId="48F9C7BB" w14:textId="4168029A" w:rsidR="00ED4439" w:rsidRPr="003F0411" w:rsidRDefault="00ED4439" w:rsidP="00ED4439">
      <w:pPr>
        <w:numPr>
          <w:ilvl w:val="0"/>
          <w:numId w:val="63"/>
        </w:numPr>
      </w:pPr>
      <w:r w:rsidRPr="003F0411">
        <w:t>those under Closing the Gap</w:t>
      </w:r>
      <w:r w:rsidR="00182D11" w:rsidRPr="003F0411">
        <w:t>,</w:t>
      </w:r>
      <w:r w:rsidRPr="003F0411">
        <w:t xml:space="preserve"> including the Early Childhood Care and Development Policy Partnership</w:t>
      </w:r>
      <w:r w:rsidR="0033776A" w:rsidRPr="003F0411">
        <w:t xml:space="preserve"> (ECPP)</w:t>
      </w:r>
      <w:r w:rsidR="00182D11" w:rsidRPr="003F0411">
        <w:t>,</w:t>
      </w:r>
      <w:r w:rsidRPr="003F0411">
        <w:t xml:space="preserve"> and Sector Strengthening Plans focusing on early childhood care and development, housing, health, and disability</w:t>
      </w:r>
    </w:p>
    <w:p w14:paraId="31702EAC" w14:textId="77777777" w:rsidR="00ED4439" w:rsidRPr="003F0411" w:rsidRDefault="00ED4439" w:rsidP="00ED4439">
      <w:pPr>
        <w:numPr>
          <w:ilvl w:val="0"/>
          <w:numId w:val="63"/>
        </w:numPr>
      </w:pPr>
      <w:r w:rsidRPr="003F0411">
        <w:t>the National Strategy to Prevent and Respond to Child Sexual Abuse 2021</w:t>
      </w:r>
      <w:r w:rsidR="00182D11" w:rsidRPr="003F0411">
        <w:t>–</w:t>
      </w:r>
      <w:r w:rsidRPr="003F0411">
        <w:t>2030</w:t>
      </w:r>
    </w:p>
    <w:p w14:paraId="37BB38E1" w14:textId="77777777" w:rsidR="00ED4439" w:rsidRPr="003F0411" w:rsidRDefault="00ED4439" w:rsidP="00ED4439">
      <w:pPr>
        <w:numPr>
          <w:ilvl w:val="0"/>
          <w:numId w:val="63"/>
        </w:numPr>
      </w:pPr>
      <w:r w:rsidRPr="003F0411">
        <w:t>the National Plan to End Violence against Women and Children 2022</w:t>
      </w:r>
      <w:r w:rsidR="00182D11" w:rsidRPr="003F0411">
        <w:t>–</w:t>
      </w:r>
      <w:r w:rsidRPr="003F0411">
        <w:t>2032</w:t>
      </w:r>
    </w:p>
    <w:p w14:paraId="237B0C03" w14:textId="3571C98D" w:rsidR="00812B05" w:rsidRPr="003F0411" w:rsidRDefault="00ED4439" w:rsidP="007A361A">
      <w:pPr>
        <w:numPr>
          <w:ilvl w:val="0"/>
          <w:numId w:val="63"/>
        </w:numPr>
        <w:rPr>
          <w:b/>
        </w:rPr>
      </w:pPr>
      <w:r w:rsidRPr="003F0411">
        <w:t>Australia’s Disability Strategy.</w:t>
      </w:r>
    </w:p>
    <w:p w14:paraId="4288A389" w14:textId="694DE8E8" w:rsidR="00330C5D" w:rsidRPr="003F0411" w:rsidRDefault="00330C5D" w:rsidP="007A361A">
      <w:r w:rsidRPr="003F0411">
        <w:rPr>
          <w:b/>
        </w:rPr>
        <w:t xml:space="preserve">How will we know if the Action Plans </w:t>
      </w:r>
      <w:r w:rsidR="00D25EBE" w:rsidRPr="003F0411">
        <w:rPr>
          <w:b/>
        </w:rPr>
        <w:t>are working</w:t>
      </w:r>
      <w:r w:rsidRPr="003F0411">
        <w:rPr>
          <w:b/>
        </w:rPr>
        <w:t>?</w:t>
      </w:r>
    </w:p>
    <w:p w14:paraId="239D1D9E" w14:textId="0648C360" w:rsidR="00812B05" w:rsidRPr="003F0411" w:rsidRDefault="00D378C2" w:rsidP="00342476">
      <w:r w:rsidRPr="003F0411">
        <w:t>A</w:t>
      </w:r>
      <w:r w:rsidR="00182D11" w:rsidRPr="003F0411">
        <w:t xml:space="preserve"> Monitoring and Evaluation Strategy is under development and expected to </w:t>
      </w:r>
      <w:proofErr w:type="gramStart"/>
      <w:r w:rsidR="00182D11" w:rsidRPr="003F0411">
        <w:t>be completed</w:t>
      </w:r>
      <w:proofErr w:type="gramEnd"/>
      <w:r w:rsidR="00182D11" w:rsidRPr="003F0411">
        <w:t xml:space="preserve"> by the end of 2023. It will </w:t>
      </w:r>
      <w:r w:rsidR="001F262E">
        <w:t xml:space="preserve">set out </w:t>
      </w:r>
      <w:r w:rsidR="00182D11" w:rsidRPr="003F0411">
        <w:t xml:space="preserve">how </w:t>
      </w:r>
      <w:proofErr w:type="gramStart"/>
      <w:r w:rsidR="00182D11" w:rsidRPr="003F0411">
        <w:t>Safe</w:t>
      </w:r>
      <w:proofErr w:type="gramEnd"/>
      <w:r w:rsidR="00182D11" w:rsidRPr="003F0411">
        <w:t xml:space="preserve"> and Supported will be evaluated. This includes how progress towards outcomes </w:t>
      </w:r>
      <w:proofErr w:type="gramStart"/>
      <w:r w:rsidR="00182D11" w:rsidRPr="003F0411">
        <w:t>will be tracked and reported</w:t>
      </w:r>
      <w:proofErr w:type="gramEnd"/>
      <w:r w:rsidR="00182D11" w:rsidRPr="003F0411">
        <w:t>.</w:t>
      </w:r>
    </w:p>
    <w:p w14:paraId="5D85E9A6" w14:textId="77777777" w:rsidR="00812B05" w:rsidRPr="003F0411" w:rsidRDefault="00812B05" w:rsidP="00342476">
      <w:pPr>
        <w:rPr>
          <w:b/>
        </w:rPr>
      </w:pPr>
      <w:r w:rsidRPr="003F0411">
        <w:rPr>
          <w:b/>
        </w:rPr>
        <w:t xml:space="preserve">Where can I find out more about the action plans? </w:t>
      </w:r>
    </w:p>
    <w:p w14:paraId="34F05014" w14:textId="63102EA4" w:rsidR="00CB05BE" w:rsidRPr="004649E2" w:rsidRDefault="00812B05" w:rsidP="008D4E4B">
      <w:r w:rsidRPr="003F0411">
        <w:t xml:space="preserve">To find out more about the </w:t>
      </w:r>
      <w:r w:rsidR="008257FA" w:rsidRPr="003F0411">
        <w:t>A</w:t>
      </w:r>
      <w:r w:rsidRPr="003F0411">
        <w:t xml:space="preserve">ction </w:t>
      </w:r>
      <w:r w:rsidR="008257FA" w:rsidRPr="003F0411">
        <w:t>P</w:t>
      </w:r>
      <w:r w:rsidRPr="003F0411">
        <w:t xml:space="preserve">lans visit </w:t>
      </w:r>
      <w:hyperlink r:id="rId12" w:history="1">
        <w:r w:rsidR="00E36367" w:rsidRPr="00E36367">
          <w:rPr>
            <w:rStyle w:val="Hyperlink"/>
          </w:rPr>
          <w:t>Safe and Supported action plans</w:t>
        </w:r>
      </w:hyperlink>
      <w:r w:rsidR="00C3014D" w:rsidRPr="003F0411">
        <w:t xml:space="preserve">, email </w:t>
      </w:r>
      <w:hyperlink r:id="rId13" w:history="1">
        <w:r w:rsidR="00567A31" w:rsidRPr="00E36367">
          <w:rPr>
            <w:rStyle w:val="Hyperlink"/>
          </w:rPr>
          <w:t>NationalFramework@dss.gov.au</w:t>
        </w:r>
      </w:hyperlink>
      <w:r w:rsidR="00567A31" w:rsidRPr="003F0411">
        <w:t xml:space="preserve"> </w:t>
      </w:r>
      <w:r w:rsidRPr="003F0411">
        <w:t xml:space="preserve">or call </w:t>
      </w:r>
      <w:bookmarkEnd w:id="1"/>
      <w:r w:rsidR="00152B2D">
        <w:t xml:space="preserve">the Department of Social Services on </w:t>
      </w:r>
      <w:r w:rsidR="00152B2D" w:rsidRPr="00897AAA">
        <w:t>1300 653 227</w:t>
      </w:r>
      <w:r w:rsidR="00152B2D">
        <w:t>.</w:t>
      </w:r>
    </w:p>
    <w:sectPr w:rsidR="00CB05BE" w:rsidRPr="004649E2" w:rsidSect="00D87F42">
      <w:headerReference w:type="first" r:id="rId14"/>
      <w:pgSz w:w="11906" w:h="16838" w:code="9"/>
      <w:pgMar w:top="1112" w:right="851" w:bottom="1134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EB65F" w14:textId="77777777" w:rsidR="00035183" w:rsidRDefault="00035183">
      <w:r>
        <w:separator/>
      </w:r>
    </w:p>
  </w:endnote>
  <w:endnote w:type="continuationSeparator" w:id="0">
    <w:p w14:paraId="77EEF324" w14:textId="77777777" w:rsidR="00035183" w:rsidRDefault="0003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9ECCE" w14:textId="77777777" w:rsidR="00035183" w:rsidRDefault="00035183">
      <w:r>
        <w:separator/>
      </w:r>
    </w:p>
  </w:footnote>
  <w:footnote w:type="continuationSeparator" w:id="0">
    <w:p w14:paraId="4C7606D8" w14:textId="77777777" w:rsidR="00035183" w:rsidRDefault="00035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40195" w14:textId="77777777" w:rsidR="00142F3E" w:rsidRDefault="00E30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C2A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E0EF1"/>
    <w:multiLevelType w:val="hybridMultilevel"/>
    <w:tmpl w:val="BEFC57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6537F"/>
    <w:multiLevelType w:val="hybridMultilevel"/>
    <w:tmpl w:val="E182FBB6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67327"/>
    <w:multiLevelType w:val="hybridMultilevel"/>
    <w:tmpl w:val="E7D6B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A3A42"/>
    <w:multiLevelType w:val="hybridMultilevel"/>
    <w:tmpl w:val="83DC3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C352E"/>
    <w:multiLevelType w:val="hybridMultilevel"/>
    <w:tmpl w:val="9F6EC4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37E46"/>
    <w:multiLevelType w:val="hybridMultilevel"/>
    <w:tmpl w:val="F0B266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1165AD"/>
    <w:multiLevelType w:val="hybridMultilevel"/>
    <w:tmpl w:val="D8EC6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BE4C76"/>
    <w:multiLevelType w:val="hybridMultilevel"/>
    <w:tmpl w:val="143ED4A4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0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42"/>
  </w:num>
  <w:num w:numId="4">
    <w:abstractNumId w:val="13"/>
  </w:num>
  <w:num w:numId="5">
    <w:abstractNumId w:val="17"/>
  </w:num>
  <w:num w:numId="6">
    <w:abstractNumId w:val="64"/>
  </w:num>
  <w:num w:numId="7">
    <w:abstractNumId w:val="51"/>
  </w:num>
  <w:num w:numId="8">
    <w:abstractNumId w:val="56"/>
  </w:num>
  <w:num w:numId="9">
    <w:abstractNumId w:val="8"/>
  </w:num>
  <w:num w:numId="10">
    <w:abstractNumId w:val="63"/>
  </w:num>
  <w:num w:numId="11">
    <w:abstractNumId w:val="18"/>
  </w:num>
  <w:num w:numId="12">
    <w:abstractNumId w:val="46"/>
  </w:num>
  <w:num w:numId="13">
    <w:abstractNumId w:val="58"/>
  </w:num>
  <w:num w:numId="14">
    <w:abstractNumId w:val="39"/>
  </w:num>
  <w:num w:numId="15">
    <w:abstractNumId w:val="3"/>
  </w:num>
  <w:num w:numId="16">
    <w:abstractNumId w:val="14"/>
  </w:num>
  <w:num w:numId="17">
    <w:abstractNumId w:val="62"/>
  </w:num>
  <w:num w:numId="18">
    <w:abstractNumId w:val="55"/>
  </w:num>
  <w:num w:numId="19">
    <w:abstractNumId w:val="15"/>
  </w:num>
  <w:num w:numId="20">
    <w:abstractNumId w:val="2"/>
  </w:num>
  <w:num w:numId="21">
    <w:abstractNumId w:val="6"/>
  </w:num>
  <w:num w:numId="22">
    <w:abstractNumId w:val="24"/>
  </w:num>
  <w:num w:numId="23">
    <w:abstractNumId w:val="19"/>
  </w:num>
  <w:num w:numId="24">
    <w:abstractNumId w:val="66"/>
  </w:num>
  <w:num w:numId="25">
    <w:abstractNumId w:val="38"/>
  </w:num>
  <w:num w:numId="26">
    <w:abstractNumId w:val="43"/>
  </w:num>
  <w:num w:numId="27">
    <w:abstractNumId w:val="22"/>
  </w:num>
  <w:num w:numId="28">
    <w:abstractNumId w:val="65"/>
  </w:num>
  <w:num w:numId="29">
    <w:abstractNumId w:val="54"/>
  </w:num>
  <w:num w:numId="30">
    <w:abstractNumId w:val="30"/>
  </w:num>
  <w:num w:numId="31">
    <w:abstractNumId w:val="50"/>
  </w:num>
  <w:num w:numId="32">
    <w:abstractNumId w:val="59"/>
  </w:num>
  <w:num w:numId="33">
    <w:abstractNumId w:val="61"/>
  </w:num>
  <w:num w:numId="34">
    <w:abstractNumId w:val="5"/>
  </w:num>
  <w:num w:numId="35">
    <w:abstractNumId w:val="28"/>
  </w:num>
  <w:num w:numId="36">
    <w:abstractNumId w:val="53"/>
  </w:num>
  <w:num w:numId="37">
    <w:abstractNumId w:val="9"/>
  </w:num>
  <w:num w:numId="38">
    <w:abstractNumId w:val="33"/>
  </w:num>
  <w:num w:numId="39">
    <w:abstractNumId w:val="27"/>
  </w:num>
  <w:num w:numId="40">
    <w:abstractNumId w:val="37"/>
  </w:num>
  <w:num w:numId="41">
    <w:abstractNumId w:val="41"/>
  </w:num>
  <w:num w:numId="42">
    <w:abstractNumId w:val="26"/>
  </w:num>
  <w:num w:numId="43">
    <w:abstractNumId w:val="16"/>
  </w:num>
  <w:num w:numId="44">
    <w:abstractNumId w:val="45"/>
  </w:num>
  <w:num w:numId="45">
    <w:abstractNumId w:val="52"/>
  </w:num>
  <w:num w:numId="46">
    <w:abstractNumId w:val="36"/>
  </w:num>
  <w:num w:numId="47">
    <w:abstractNumId w:val="34"/>
  </w:num>
  <w:num w:numId="48">
    <w:abstractNumId w:val="1"/>
  </w:num>
  <w:num w:numId="49">
    <w:abstractNumId w:val="47"/>
  </w:num>
  <w:num w:numId="50">
    <w:abstractNumId w:val="60"/>
  </w:num>
  <w:num w:numId="51">
    <w:abstractNumId w:val="44"/>
  </w:num>
  <w:num w:numId="52">
    <w:abstractNumId w:val="10"/>
  </w:num>
  <w:num w:numId="53">
    <w:abstractNumId w:val="57"/>
  </w:num>
  <w:num w:numId="54">
    <w:abstractNumId w:val="29"/>
  </w:num>
  <w:num w:numId="55">
    <w:abstractNumId w:val="20"/>
  </w:num>
  <w:num w:numId="56">
    <w:abstractNumId w:val="32"/>
  </w:num>
  <w:num w:numId="57">
    <w:abstractNumId w:val="31"/>
  </w:num>
  <w:num w:numId="58">
    <w:abstractNumId w:val="11"/>
  </w:num>
  <w:num w:numId="59">
    <w:abstractNumId w:val="40"/>
  </w:num>
  <w:num w:numId="60">
    <w:abstractNumId w:val="7"/>
  </w:num>
  <w:num w:numId="61">
    <w:abstractNumId w:val="35"/>
  </w:num>
  <w:num w:numId="62">
    <w:abstractNumId w:val="4"/>
  </w:num>
  <w:num w:numId="63">
    <w:abstractNumId w:val="25"/>
  </w:num>
  <w:num w:numId="64">
    <w:abstractNumId w:val="48"/>
  </w:num>
  <w:num w:numId="65">
    <w:abstractNumId w:val="12"/>
  </w:num>
  <w:num w:numId="66">
    <w:abstractNumId w:val="49"/>
  </w:num>
  <w:num w:numId="67">
    <w:abstractNumId w:val="21"/>
  </w:num>
  <w:num w:numId="68">
    <w:abstractNumId w:val="2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66"/>
    <w:rsid w:val="00002C18"/>
    <w:rsid w:val="00010549"/>
    <w:rsid w:val="00012F84"/>
    <w:rsid w:val="00013F99"/>
    <w:rsid w:val="00025376"/>
    <w:rsid w:val="00027B26"/>
    <w:rsid w:val="00030192"/>
    <w:rsid w:val="0003104E"/>
    <w:rsid w:val="0003107A"/>
    <w:rsid w:val="00031195"/>
    <w:rsid w:val="00032861"/>
    <w:rsid w:val="00035183"/>
    <w:rsid w:val="00035CA1"/>
    <w:rsid w:val="0003679F"/>
    <w:rsid w:val="000435BB"/>
    <w:rsid w:val="00045CCD"/>
    <w:rsid w:val="00047524"/>
    <w:rsid w:val="00047ACD"/>
    <w:rsid w:val="000505B2"/>
    <w:rsid w:val="00050E5B"/>
    <w:rsid w:val="000547EF"/>
    <w:rsid w:val="00054B89"/>
    <w:rsid w:val="00067CD0"/>
    <w:rsid w:val="00080F2E"/>
    <w:rsid w:val="00081CEB"/>
    <w:rsid w:val="00083791"/>
    <w:rsid w:val="00086E3C"/>
    <w:rsid w:val="00087B2C"/>
    <w:rsid w:val="00087DBD"/>
    <w:rsid w:val="00090570"/>
    <w:rsid w:val="00090753"/>
    <w:rsid w:val="000961BF"/>
    <w:rsid w:val="00096F54"/>
    <w:rsid w:val="00097BFF"/>
    <w:rsid w:val="000A53DA"/>
    <w:rsid w:val="000A669D"/>
    <w:rsid w:val="000A66A8"/>
    <w:rsid w:val="000C014D"/>
    <w:rsid w:val="000D0178"/>
    <w:rsid w:val="000D4703"/>
    <w:rsid w:val="000D693C"/>
    <w:rsid w:val="000E12D4"/>
    <w:rsid w:val="00104669"/>
    <w:rsid w:val="00110028"/>
    <w:rsid w:val="00116EDF"/>
    <w:rsid w:val="00124B26"/>
    <w:rsid w:val="00130C4E"/>
    <w:rsid w:val="00131B54"/>
    <w:rsid w:val="001354B7"/>
    <w:rsid w:val="001404FA"/>
    <w:rsid w:val="001413C5"/>
    <w:rsid w:val="00142956"/>
    <w:rsid w:val="00143310"/>
    <w:rsid w:val="00143502"/>
    <w:rsid w:val="00144494"/>
    <w:rsid w:val="00144868"/>
    <w:rsid w:val="00152B2D"/>
    <w:rsid w:val="00157709"/>
    <w:rsid w:val="00167330"/>
    <w:rsid w:val="00167CF4"/>
    <w:rsid w:val="00182D11"/>
    <w:rsid w:val="00185F6A"/>
    <w:rsid w:val="00193C0F"/>
    <w:rsid w:val="001943DD"/>
    <w:rsid w:val="0019494C"/>
    <w:rsid w:val="00195374"/>
    <w:rsid w:val="001A127F"/>
    <w:rsid w:val="001A1F53"/>
    <w:rsid w:val="001A3CA4"/>
    <w:rsid w:val="001A3EA4"/>
    <w:rsid w:val="001B3AEC"/>
    <w:rsid w:val="001B5000"/>
    <w:rsid w:val="001B6F28"/>
    <w:rsid w:val="001D4585"/>
    <w:rsid w:val="001D5D54"/>
    <w:rsid w:val="001E41C8"/>
    <w:rsid w:val="001F262E"/>
    <w:rsid w:val="001F3AD7"/>
    <w:rsid w:val="001F45EB"/>
    <w:rsid w:val="00207630"/>
    <w:rsid w:val="00213082"/>
    <w:rsid w:val="0021714E"/>
    <w:rsid w:val="00222187"/>
    <w:rsid w:val="00222C8D"/>
    <w:rsid w:val="00222E33"/>
    <w:rsid w:val="00227B95"/>
    <w:rsid w:val="00235089"/>
    <w:rsid w:val="0023523A"/>
    <w:rsid w:val="002353DF"/>
    <w:rsid w:val="00235F71"/>
    <w:rsid w:val="00242033"/>
    <w:rsid w:val="0025272A"/>
    <w:rsid w:val="00271922"/>
    <w:rsid w:val="0027204E"/>
    <w:rsid w:val="00273412"/>
    <w:rsid w:val="00274ACF"/>
    <w:rsid w:val="00285F1B"/>
    <w:rsid w:val="00295831"/>
    <w:rsid w:val="00296F1B"/>
    <w:rsid w:val="002A6DF5"/>
    <w:rsid w:val="002C5B89"/>
    <w:rsid w:val="002D00B0"/>
    <w:rsid w:val="002D2E16"/>
    <w:rsid w:val="002F19EF"/>
    <w:rsid w:val="00302415"/>
    <w:rsid w:val="0030693C"/>
    <w:rsid w:val="003102F6"/>
    <w:rsid w:val="00312F28"/>
    <w:rsid w:val="00313304"/>
    <w:rsid w:val="00313C48"/>
    <w:rsid w:val="00314D15"/>
    <w:rsid w:val="003162AD"/>
    <w:rsid w:val="00321148"/>
    <w:rsid w:val="00321798"/>
    <w:rsid w:val="00325F44"/>
    <w:rsid w:val="00326976"/>
    <w:rsid w:val="00330C5D"/>
    <w:rsid w:val="003311D7"/>
    <w:rsid w:val="00332B8B"/>
    <w:rsid w:val="0033776A"/>
    <w:rsid w:val="00342476"/>
    <w:rsid w:val="00347104"/>
    <w:rsid w:val="0035213F"/>
    <w:rsid w:val="003555D2"/>
    <w:rsid w:val="00363DF3"/>
    <w:rsid w:val="003656B1"/>
    <w:rsid w:val="0037056B"/>
    <w:rsid w:val="00377173"/>
    <w:rsid w:val="003774DA"/>
    <w:rsid w:val="00392557"/>
    <w:rsid w:val="003945C0"/>
    <w:rsid w:val="003A06C2"/>
    <w:rsid w:val="003A2C61"/>
    <w:rsid w:val="003B173C"/>
    <w:rsid w:val="003B474C"/>
    <w:rsid w:val="003B6D2E"/>
    <w:rsid w:val="003C430D"/>
    <w:rsid w:val="003C7404"/>
    <w:rsid w:val="003D3C5A"/>
    <w:rsid w:val="003D404A"/>
    <w:rsid w:val="003E60B0"/>
    <w:rsid w:val="003E6FDA"/>
    <w:rsid w:val="003F0411"/>
    <w:rsid w:val="003F3072"/>
    <w:rsid w:val="00401A2A"/>
    <w:rsid w:val="004103D7"/>
    <w:rsid w:val="0041307C"/>
    <w:rsid w:val="004167B4"/>
    <w:rsid w:val="00430D7E"/>
    <w:rsid w:val="00433892"/>
    <w:rsid w:val="00433B04"/>
    <w:rsid w:val="00440BD3"/>
    <w:rsid w:val="00446F93"/>
    <w:rsid w:val="00455A46"/>
    <w:rsid w:val="004649E2"/>
    <w:rsid w:val="00464E8C"/>
    <w:rsid w:val="00466D36"/>
    <w:rsid w:val="00467185"/>
    <w:rsid w:val="0047050C"/>
    <w:rsid w:val="00475504"/>
    <w:rsid w:val="00480F21"/>
    <w:rsid w:val="00484FED"/>
    <w:rsid w:val="00495AF1"/>
    <w:rsid w:val="004D44E8"/>
    <w:rsid w:val="004E3480"/>
    <w:rsid w:val="004F775C"/>
    <w:rsid w:val="004F77BF"/>
    <w:rsid w:val="005015E4"/>
    <w:rsid w:val="0050291D"/>
    <w:rsid w:val="005050B8"/>
    <w:rsid w:val="0050697E"/>
    <w:rsid w:val="00524B3C"/>
    <w:rsid w:val="005300B9"/>
    <w:rsid w:val="005315A9"/>
    <w:rsid w:val="005316BE"/>
    <w:rsid w:val="00532B56"/>
    <w:rsid w:val="00537B50"/>
    <w:rsid w:val="00540AD0"/>
    <w:rsid w:val="00542659"/>
    <w:rsid w:val="0054322A"/>
    <w:rsid w:val="00543923"/>
    <w:rsid w:val="00547618"/>
    <w:rsid w:val="005519C9"/>
    <w:rsid w:val="005523D1"/>
    <w:rsid w:val="00554183"/>
    <w:rsid w:val="00554A9C"/>
    <w:rsid w:val="00557332"/>
    <w:rsid w:val="00557624"/>
    <w:rsid w:val="0056023E"/>
    <w:rsid w:val="00565845"/>
    <w:rsid w:val="005658EF"/>
    <w:rsid w:val="00567A31"/>
    <w:rsid w:val="005822A3"/>
    <w:rsid w:val="0059070B"/>
    <w:rsid w:val="00594445"/>
    <w:rsid w:val="005A3E66"/>
    <w:rsid w:val="005B1225"/>
    <w:rsid w:val="005C09F4"/>
    <w:rsid w:val="005C0B1B"/>
    <w:rsid w:val="005C561A"/>
    <w:rsid w:val="005C5B93"/>
    <w:rsid w:val="005C66FF"/>
    <w:rsid w:val="005C785A"/>
    <w:rsid w:val="005D03CA"/>
    <w:rsid w:val="005D45AB"/>
    <w:rsid w:val="005E4662"/>
    <w:rsid w:val="005F093F"/>
    <w:rsid w:val="005F214A"/>
    <w:rsid w:val="005F6BD6"/>
    <w:rsid w:val="00601C99"/>
    <w:rsid w:val="00607597"/>
    <w:rsid w:val="006255E4"/>
    <w:rsid w:val="006325E2"/>
    <w:rsid w:val="00641020"/>
    <w:rsid w:val="006410C1"/>
    <w:rsid w:val="00647F05"/>
    <w:rsid w:val="006530EF"/>
    <w:rsid w:val="00654D06"/>
    <w:rsid w:val="00661536"/>
    <w:rsid w:val="006678ED"/>
    <w:rsid w:val="0067233D"/>
    <w:rsid w:val="006729B4"/>
    <w:rsid w:val="006745AE"/>
    <w:rsid w:val="00675BEF"/>
    <w:rsid w:val="00676AF3"/>
    <w:rsid w:val="00676D10"/>
    <w:rsid w:val="00680F71"/>
    <w:rsid w:val="00682A53"/>
    <w:rsid w:val="0069174B"/>
    <w:rsid w:val="00693FA1"/>
    <w:rsid w:val="006A7837"/>
    <w:rsid w:val="006B05E3"/>
    <w:rsid w:val="006B09BC"/>
    <w:rsid w:val="006B0FAA"/>
    <w:rsid w:val="006B42A0"/>
    <w:rsid w:val="006B4E59"/>
    <w:rsid w:val="006C3402"/>
    <w:rsid w:val="006C3622"/>
    <w:rsid w:val="006C395C"/>
    <w:rsid w:val="006C45D4"/>
    <w:rsid w:val="006E0538"/>
    <w:rsid w:val="006E1F3C"/>
    <w:rsid w:val="006E6073"/>
    <w:rsid w:val="006F3BF4"/>
    <w:rsid w:val="006F7300"/>
    <w:rsid w:val="00703C09"/>
    <w:rsid w:val="00712300"/>
    <w:rsid w:val="00720739"/>
    <w:rsid w:val="00721695"/>
    <w:rsid w:val="007242B4"/>
    <w:rsid w:val="00725FB2"/>
    <w:rsid w:val="00730C64"/>
    <w:rsid w:val="007322AF"/>
    <w:rsid w:val="00734F72"/>
    <w:rsid w:val="00735477"/>
    <w:rsid w:val="00736DCA"/>
    <w:rsid w:val="00742399"/>
    <w:rsid w:val="007457E8"/>
    <w:rsid w:val="0074640C"/>
    <w:rsid w:val="0075003D"/>
    <w:rsid w:val="00751B37"/>
    <w:rsid w:val="00754D44"/>
    <w:rsid w:val="007639AA"/>
    <w:rsid w:val="00767B7E"/>
    <w:rsid w:val="007746A9"/>
    <w:rsid w:val="00782904"/>
    <w:rsid w:val="00785465"/>
    <w:rsid w:val="00787656"/>
    <w:rsid w:val="007A361A"/>
    <w:rsid w:val="007A67EA"/>
    <w:rsid w:val="007B15AF"/>
    <w:rsid w:val="007B7E83"/>
    <w:rsid w:val="007C1631"/>
    <w:rsid w:val="007C636F"/>
    <w:rsid w:val="007D0EF8"/>
    <w:rsid w:val="007D39EB"/>
    <w:rsid w:val="007D5000"/>
    <w:rsid w:val="00800A4D"/>
    <w:rsid w:val="00812B05"/>
    <w:rsid w:val="008131E7"/>
    <w:rsid w:val="00813711"/>
    <w:rsid w:val="00814279"/>
    <w:rsid w:val="008257FA"/>
    <w:rsid w:val="008263C2"/>
    <w:rsid w:val="0083134F"/>
    <w:rsid w:val="00842959"/>
    <w:rsid w:val="008451DC"/>
    <w:rsid w:val="008451FE"/>
    <w:rsid w:val="008466A1"/>
    <w:rsid w:val="00846C1D"/>
    <w:rsid w:val="00851758"/>
    <w:rsid w:val="00856D5A"/>
    <w:rsid w:val="008609EB"/>
    <w:rsid w:val="00862D6D"/>
    <w:rsid w:val="008653E0"/>
    <w:rsid w:val="008657FB"/>
    <w:rsid w:val="00871D4F"/>
    <w:rsid w:val="00874FB3"/>
    <w:rsid w:val="00880BE3"/>
    <w:rsid w:val="00882588"/>
    <w:rsid w:val="00895792"/>
    <w:rsid w:val="00897AAA"/>
    <w:rsid w:val="008A3738"/>
    <w:rsid w:val="008A384C"/>
    <w:rsid w:val="008A6981"/>
    <w:rsid w:val="008B298F"/>
    <w:rsid w:val="008B645B"/>
    <w:rsid w:val="008B67B8"/>
    <w:rsid w:val="008B774D"/>
    <w:rsid w:val="008C123E"/>
    <w:rsid w:val="008C3ED0"/>
    <w:rsid w:val="008C5585"/>
    <w:rsid w:val="008C5E94"/>
    <w:rsid w:val="008D4E4B"/>
    <w:rsid w:val="008E63C7"/>
    <w:rsid w:val="008E6E9D"/>
    <w:rsid w:val="008F1897"/>
    <w:rsid w:val="008F4774"/>
    <w:rsid w:val="008F68F7"/>
    <w:rsid w:val="008F7480"/>
    <w:rsid w:val="009037B6"/>
    <w:rsid w:val="00906CBE"/>
    <w:rsid w:val="00906FFA"/>
    <w:rsid w:val="00910384"/>
    <w:rsid w:val="00913652"/>
    <w:rsid w:val="009139C0"/>
    <w:rsid w:val="009161C8"/>
    <w:rsid w:val="009164AD"/>
    <w:rsid w:val="00922289"/>
    <w:rsid w:val="00933EE7"/>
    <w:rsid w:val="00936F46"/>
    <w:rsid w:val="0094271E"/>
    <w:rsid w:val="00943142"/>
    <w:rsid w:val="00943A29"/>
    <w:rsid w:val="0095197E"/>
    <w:rsid w:val="00952AB2"/>
    <w:rsid w:val="009551E0"/>
    <w:rsid w:val="00955801"/>
    <w:rsid w:val="0095654E"/>
    <w:rsid w:val="00956F3C"/>
    <w:rsid w:val="0095779B"/>
    <w:rsid w:val="0096485D"/>
    <w:rsid w:val="009857B1"/>
    <w:rsid w:val="009900F0"/>
    <w:rsid w:val="00991769"/>
    <w:rsid w:val="00994E9F"/>
    <w:rsid w:val="00996931"/>
    <w:rsid w:val="009A0F18"/>
    <w:rsid w:val="009A4CD8"/>
    <w:rsid w:val="009A6AFA"/>
    <w:rsid w:val="009A7B5C"/>
    <w:rsid w:val="009B3ED1"/>
    <w:rsid w:val="009C1932"/>
    <w:rsid w:val="009C206F"/>
    <w:rsid w:val="009C433C"/>
    <w:rsid w:val="009C76CF"/>
    <w:rsid w:val="009D28B7"/>
    <w:rsid w:val="009D6B40"/>
    <w:rsid w:val="009D7E1A"/>
    <w:rsid w:val="009E2162"/>
    <w:rsid w:val="009F2F95"/>
    <w:rsid w:val="009F5B73"/>
    <w:rsid w:val="00A006EB"/>
    <w:rsid w:val="00A03709"/>
    <w:rsid w:val="00A06C77"/>
    <w:rsid w:val="00A10147"/>
    <w:rsid w:val="00A13D26"/>
    <w:rsid w:val="00A146A5"/>
    <w:rsid w:val="00A17411"/>
    <w:rsid w:val="00A2223D"/>
    <w:rsid w:val="00A223EF"/>
    <w:rsid w:val="00A34A74"/>
    <w:rsid w:val="00A35351"/>
    <w:rsid w:val="00A42ADE"/>
    <w:rsid w:val="00A54471"/>
    <w:rsid w:val="00A60693"/>
    <w:rsid w:val="00A67728"/>
    <w:rsid w:val="00A81A4F"/>
    <w:rsid w:val="00A82E14"/>
    <w:rsid w:val="00A901E9"/>
    <w:rsid w:val="00A9762C"/>
    <w:rsid w:val="00AA3367"/>
    <w:rsid w:val="00AA4067"/>
    <w:rsid w:val="00AB1A5B"/>
    <w:rsid w:val="00AC0A54"/>
    <w:rsid w:val="00AC125E"/>
    <w:rsid w:val="00AC45DF"/>
    <w:rsid w:val="00AC474D"/>
    <w:rsid w:val="00AC4DFD"/>
    <w:rsid w:val="00AC58FD"/>
    <w:rsid w:val="00AC60CD"/>
    <w:rsid w:val="00AD60E6"/>
    <w:rsid w:val="00AD793A"/>
    <w:rsid w:val="00AE457D"/>
    <w:rsid w:val="00AE5956"/>
    <w:rsid w:val="00AE619F"/>
    <w:rsid w:val="00AF26E8"/>
    <w:rsid w:val="00AF27E5"/>
    <w:rsid w:val="00AF373A"/>
    <w:rsid w:val="00AF7EFE"/>
    <w:rsid w:val="00B03BEE"/>
    <w:rsid w:val="00B049AA"/>
    <w:rsid w:val="00B0517E"/>
    <w:rsid w:val="00B056E2"/>
    <w:rsid w:val="00B11314"/>
    <w:rsid w:val="00B1192C"/>
    <w:rsid w:val="00B138E3"/>
    <w:rsid w:val="00B20454"/>
    <w:rsid w:val="00B23267"/>
    <w:rsid w:val="00B25891"/>
    <w:rsid w:val="00B27149"/>
    <w:rsid w:val="00B40D26"/>
    <w:rsid w:val="00B4451B"/>
    <w:rsid w:val="00B51316"/>
    <w:rsid w:val="00B5166A"/>
    <w:rsid w:val="00B618DB"/>
    <w:rsid w:val="00B72D62"/>
    <w:rsid w:val="00B843C8"/>
    <w:rsid w:val="00B951E2"/>
    <w:rsid w:val="00B96F37"/>
    <w:rsid w:val="00BA1179"/>
    <w:rsid w:val="00BA607C"/>
    <w:rsid w:val="00BB3E2A"/>
    <w:rsid w:val="00BC16F5"/>
    <w:rsid w:val="00BC287D"/>
    <w:rsid w:val="00BC4A76"/>
    <w:rsid w:val="00BC6EA0"/>
    <w:rsid w:val="00BD32E5"/>
    <w:rsid w:val="00BD7ADD"/>
    <w:rsid w:val="00BE2473"/>
    <w:rsid w:val="00BE41C3"/>
    <w:rsid w:val="00BE6767"/>
    <w:rsid w:val="00BE68D7"/>
    <w:rsid w:val="00BF0784"/>
    <w:rsid w:val="00BF7763"/>
    <w:rsid w:val="00C04D5E"/>
    <w:rsid w:val="00C24EA2"/>
    <w:rsid w:val="00C24F70"/>
    <w:rsid w:val="00C25D5B"/>
    <w:rsid w:val="00C3014D"/>
    <w:rsid w:val="00C325C4"/>
    <w:rsid w:val="00C33479"/>
    <w:rsid w:val="00C47BA2"/>
    <w:rsid w:val="00C60533"/>
    <w:rsid w:val="00C612DC"/>
    <w:rsid w:val="00C622CB"/>
    <w:rsid w:val="00C64D15"/>
    <w:rsid w:val="00C71027"/>
    <w:rsid w:val="00C74F74"/>
    <w:rsid w:val="00C7554B"/>
    <w:rsid w:val="00C77DED"/>
    <w:rsid w:val="00C80192"/>
    <w:rsid w:val="00C83E31"/>
    <w:rsid w:val="00C916A4"/>
    <w:rsid w:val="00CA2A52"/>
    <w:rsid w:val="00CA2B15"/>
    <w:rsid w:val="00CA6490"/>
    <w:rsid w:val="00CB00EA"/>
    <w:rsid w:val="00CB05BE"/>
    <w:rsid w:val="00CB5744"/>
    <w:rsid w:val="00CB7022"/>
    <w:rsid w:val="00CD1937"/>
    <w:rsid w:val="00CD5D2D"/>
    <w:rsid w:val="00CE214C"/>
    <w:rsid w:val="00CE6858"/>
    <w:rsid w:val="00CF50BE"/>
    <w:rsid w:val="00CF553B"/>
    <w:rsid w:val="00CF6A52"/>
    <w:rsid w:val="00D01CB5"/>
    <w:rsid w:val="00D03583"/>
    <w:rsid w:val="00D117B4"/>
    <w:rsid w:val="00D169F7"/>
    <w:rsid w:val="00D21382"/>
    <w:rsid w:val="00D25EBE"/>
    <w:rsid w:val="00D26D01"/>
    <w:rsid w:val="00D33DA3"/>
    <w:rsid w:val="00D378C2"/>
    <w:rsid w:val="00D45D9D"/>
    <w:rsid w:val="00D4723B"/>
    <w:rsid w:val="00D55EE8"/>
    <w:rsid w:val="00D5785A"/>
    <w:rsid w:val="00D6101B"/>
    <w:rsid w:val="00D64C48"/>
    <w:rsid w:val="00D731C4"/>
    <w:rsid w:val="00D746DF"/>
    <w:rsid w:val="00D76BB8"/>
    <w:rsid w:val="00D81BAA"/>
    <w:rsid w:val="00D85BE0"/>
    <w:rsid w:val="00D87C1A"/>
    <w:rsid w:val="00D87F42"/>
    <w:rsid w:val="00D87FD7"/>
    <w:rsid w:val="00D92167"/>
    <w:rsid w:val="00D9502B"/>
    <w:rsid w:val="00D97047"/>
    <w:rsid w:val="00D97108"/>
    <w:rsid w:val="00D97A14"/>
    <w:rsid w:val="00DB4F49"/>
    <w:rsid w:val="00DC5665"/>
    <w:rsid w:val="00DD46FC"/>
    <w:rsid w:val="00DD4F44"/>
    <w:rsid w:val="00DD5D8B"/>
    <w:rsid w:val="00DE0F9E"/>
    <w:rsid w:val="00DE5D76"/>
    <w:rsid w:val="00E04C8D"/>
    <w:rsid w:val="00E128D8"/>
    <w:rsid w:val="00E22F84"/>
    <w:rsid w:val="00E302DB"/>
    <w:rsid w:val="00E30D45"/>
    <w:rsid w:val="00E36367"/>
    <w:rsid w:val="00E42FE4"/>
    <w:rsid w:val="00E4609D"/>
    <w:rsid w:val="00E46FAA"/>
    <w:rsid w:val="00E50FB5"/>
    <w:rsid w:val="00E5750B"/>
    <w:rsid w:val="00E60E2E"/>
    <w:rsid w:val="00E63A24"/>
    <w:rsid w:val="00E67913"/>
    <w:rsid w:val="00E71A2D"/>
    <w:rsid w:val="00E8698A"/>
    <w:rsid w:val="00E923F2"/>
    <w:rsid w:val="00E94477"/>
    <w:rsid w:val="00EA31CC"/>
    <w:rsid w:val="00EB14DF"/>
    <w:rsid w:val="00EB2B64"/>
    <w:rsid w:val="00EB3A07"/>
    <w:rsid w:val="00EB4143"/>
    <w:rsid w:val="00EB4728"/>
    <w:rsid w:val="00EB4E7F"/>
    <w:rsid w:val="00EC207A"/>
    <w:rsid w:val="00EC3F31"/>
    <w:rsid w:val="00ED3C91"/>
    <w:rsid w:val="00ED4112"/>
    <w:rsid w:val="00ED4439"/>
    <w:rsid w:val="00EE26C1"/>
    <w:rsid w:val="00EF1347"/>
    <w:rsid w:val="00EF2BEB"/>
    <w:rsid w:val="00F01129"/>
    <w:rsid w:val="00F03D93"/>
    <w:rsid w:val="00F03D9E"/>
    <w:rsid w:val="00F227BF"/>
    <w:rsid w:val="00F374B2"/>
    <w:rsid w:val="00F40AFC"/>
    <w:rsid w:val="00F419E7"/>
    <w:rsid w:val="00F4730E"/>
    <w:rsid w:val="00F50A92"/>
    <w:rsid w:val="00F53F24"/>
    <w:rsid w:val="00F63341"/>
    <w:rsid w:val="00F71861"/>
    <w:rsid w:val="00F7536E"/>
    <w:rsid w:val="00F81F93"/>
    <w:rsid w:val="00F839A8"/>
    <w:rsid w:val="00F86F1B"/>
    <w:rsid w:val="00F92A21"/>
    <w:rsid w:val="00F92E9B"/>
    <w:rsid w:val="00F95814"/>
    <w:rsid w:val="00FA01D9"/>
    <w:rsid w:val="00FA031C"/>
    <w:rsid w:val="00FB13C1"/>
    <w:rsid w:val="00FB2C1D"/>
    <w:rsid w:val="00FB401C"/>
    <w:rsid w:val="00FB420B"/>
    <w:rsid w:val="00FC1C5F"/>
    <w:rsid w:val="00FC5A4D"/>
    <w:rsid w:val="00FC5C0C"/>
    <w:rsid w:val="00FC64EF"/>
    <w:rsid w:val="00FD2673"/>
    <w:rsid w:val="00FE22FA"/>
    <w:rsid w:val="00FE26C9"/>
    <w:rsid w:val="00FE2A29"/>
    <w:rsid w:val="00FF3801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EF2F50"/>
  <w15:docId w15:val="{3623E0B1-4D65-4CA8-A222-6A78433A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E22F84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/>
      <w:bCs/>
      <w:color w:val="005A7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E22F84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/>
      <w:bCs/>
      <w:iCs/>
      <w:color w:val="005A7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E22F84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4F77BF"/>
    <w:pPr>
      <w:spacing w:before="240" w:line="240" w:lineRule="auto"/>
      <w:contextualSpacing/>
      <w:outlineLvl w:val="0"/>
    </w:pPr>
    <w:rPr>
      <w:rFonts w:ascii="Georgia" w:hAnsi="Georgia" w:cs="Arial"/>
      <w:bCs/>
      <w:color w:val="005A70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60"/>
      </w:numPr>
      <w:tabs>
        <w:tab w:val="left" w:pos="170"/>
      </w:tabs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8A384C"/>
    <w:pPr>
      <w:spacing w:before="120" w:after="120"/>
      <w:ind w:left="397"/>
      <w:contextualSpacing/>
    </w:pPr>
    <w:rPr>
      <w:rFonts w:ascii="Georgia" w:hAnsi="Georgia" w:cs="Arial"/>
      <w:bCs/>
      <w:iCs/>
      <w:color w:val="005A7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E22F84"/>
    <w:rPr>
      <w:rFonts w:ascii="Georgia" w:hAnsi="Georgia" w:cs="Arial"/>
      <w:b/>
      <w:bCs/>
      <w:iCs/>
      <w:color w:val="005A70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8A384C"/>
    <w:rPr>
      <w:rFonts w:ascii="Georgia" w:hAnsi="Georgia" w:cs="Arial"/>
      <w:b/>
      <w:bCs/>
      <w:iCs/>
      <w:color w:val="005A70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E22F84"/>
    <w:rPr>
      <w:rFonts w:ascii="Georgia" w:hAnsi="Georgia" w:cs="Arial"/>
      <w:b/>
      <w:bCs/>
      <w:color w:val="005A70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E22F84"/>
    <w:rPr>
      <w:rFonts w:ascii="Georgia" w:hAnsi="Georgia" w:cs="Arial"/>
      <w:b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F77BF"/>
    <w:rPr>
      <w:rFonts w:ascii="Georgia" w:hAnsi="Georgia" w:cs="Arial"/>
      <w:bCs/>
      <w:color w:val="005A70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E460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09D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rsid w:val="00C80192"/>
    <w:pPr>
      <w:ind w:left="720"/>
      <w:contextualSpacing/>
    </w:pPr>
  </w:style>
  <w:style w:type="table" w:styleId="ColorfulList-Accent2">
    <w:name w:val="Colorful List Accent 2"/>
    <w:basedOn w:val="TableNormal"/>
    <w:uiPriority w:val="72"/>
    <w:rsid w:val="008451DC"/>
    <w:rPr>
      <w:rFonts w:ascii="Arial" w:hAnsi="Arial"/>
      <w:color w:val="000000" w:themeColor="text1"/>
      <w:sz w:val="24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bottom w:val="single" w:sz="12" w:space="0" w:color="FFFFFF" w:themeColor="background1"/>
        </w:tcBorders>
        <w:shd w:val="clear" w:color="auto" w:fill="008C94" w:themeFill="accent2" w:themeFillShade="CC"/>
      </w:tcPr>
    </w:tblStylePr>
    <w:tblStylePr w:type="lastRow">
      <w:rPr>
        <w:b/>
        <w:bCs/>
        <w:color w:val="008C9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AFF" w:themeFill="accent2" w:themeFillTint="3F"/>
      </w:tcPr>
    </w:tblStylePr>
    <w:tblStylePr w:type="band2Horz">
      <w:rPr>
        <w:rFonts w:ascii="Arial" w:hAnsi="Arial"/>
        <w:sz w:val="24"/>
      </w:rPr>
    </w:tblStylePr>
  </w:style>
  <w:style w:type="table" w:customStyle="1" w:styleId="DSSDatatablestyle">
    <w:name w:val="DSS Data table style"/>
    <w:basedOn w:val="TableNormal"/>
    <w:uiPriority w:val="99"/>
    <w:rsid w:val="008451DC"/>
    <w:rPr>
      <w:rFonts w:ascii="Arial" w:eastAsia="Arial" w:hAnsi="Arial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A3E66"/>
    <w:pPr>
      <w:spacing w:before="0" w:after="200" w:line="240" w:lineRule="auto"/>
    </w:pPr>
    <w:rPr>
      <w:rFonts w:eastAsiaTheme="minorHAnsi" w:cstheme="minorBidi"/>
      <w:spacing w:val="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E66"/>
    <w:rPr>
      <w:rFonts w:ascii="Arial" w:eastAsiaTheme="minorHAnsi" w:hAnsi="Arial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A3E6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2659"/>
    <w:pPr>
      <w:spacing w:before="120" w:after="180"/>
    </w:pPr>
    <w:rPr>
      <w:rFonts w:eastAsia="Times New Roman" w:cs="Times New Roman"/>
      <w:b/>
      <w:bCs/>
      <w:spacing w:val="4"/>
      <w:lang w:eastAsia="en-AU"/>
    </w:rPr>
  </w:style>
  <w:style w:type="character" w:customStyle="1" w:styleId="CommentSubjectChar">
    <w:name w:val="Comment Subject Char"/>
    <w:basedOn w:val="CommentTextChar"/>
    <w:link w:val="CommentSubject"/>
    <w:semiHidden/>
    <w:rsid w:val="00542659"/>
    <w:rPr>
      <w:rFonts w:ascii="Arial" w:eastAsiaTheme="minorHAnsi" w:hAnsi="Arial" w:cstheme="minorBidi"/>
      <w:b/>
      <w:bCs/>
      <w:spacing w:val="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82D11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mNationalFramework@dss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ss.gov.au/families-and-children-programs-services-children-protecting-australias-children-safe-and-supported-the-national-framework-for-protecting-australias-children-2021-2031/safe-and-supported-action-plan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ss.gov.au/families-and-children-programs-services-children-protecting-australias-children-safe-and-supported-the-national-framework-for-protecting-australias-children-2021-2031/safe-and-supported-aboriginal-and-torres-strait-islander-first-action-plan-2023-202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ss.gov.au/families-and-children-programs-services-children-protecting-australias-children-safe-and-supported-the-national-framework-for-protecting-australias-children-2021-2031/safe-and-supported-first-action-plan-2023-20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ss.gov.au/families-and-children-programs-services-children-protecting-australias-children-safe-and-supported-the-national-framework-for-protecting-australias-children-2021-2031/safe-and-supported-action-plan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Factsheet%20Templates\DSS%20Fact%20Sheet%20Portrait%20Blue.dotx" TargetMode="External"/></Relationships>
</file>

<file path=word/theme/theme1.xml><?xml version="1.0" encoding="utf-8"?>
<a:theme xmlns:a="http://schemas.openxmlformats.org/drawingml/2006/main" name="Office Theme">
  <a:themeElements>
    <a:clrScheme name="DSS Blu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005A70"/>
      </a:accent4>
      <a:accent5>
        <a:srgbClr val="00B0B9"/>
      </a:accent5>
      <a:accent6>
        <a:srgbClr val="B1E4E3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7D7ED-CDB6-4F2F-9433-7F601672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Fact Sheet Portrait Blue.dotx</Template>
  <TotalTime>5</TotalTime>
  <Pages>2</Pages>
  <Words>680</Words>
  <Characters>3901</Characters>
  <Application>Microsoft Office Word</Application>
  <DocSecurity>0</DocSecurity>
  <Lines>68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Document Title</vt:lpstr>
    </vt:vector>
  </TitlesOfParts>
  <Company>Department of Social Services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Document Title</dc:title>
  <dc:creator>Vicki Taylor</dc:creator>
  <cp:keywords>[SEC=OFFICIAL]</cp:keywords>
  <cp:lastModifiedBy>MILLER, Vicky</cp:lastModifiedBy>
  <cp:revision>4</cp:revision>
  <cp:lastPrinted>2014-08-12T05:56:00Z</cp:lastPrinted>
  <dcterms:created xsi:type="dcterms:W3CDTF">2023-02-07T05:28:00Z</dcterms:created>
  <dcterms:modified xsi:type="dcterms:W3CDTF">2023-02-13T21:55:00Z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B6BBF888DF3F424F8B13E161FCE2E37C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2023-02-13T21:55:34Z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AADFABC0428B69E6B4A35B67F69E6086</vt:lpwstr>
  </property>
  <property fmtid="{D5CDD505-2E9C-101B-9397-08002B2CF9AE}" pid="21" name="PM_Hash_Salt">
    <vt:lpwstr>DBD971E61789413FAE55821BDC73B170</vt:lpwstr>
  </property>
  <property fmtid="{D5CDD505-2E9C-101B-9397-08002B2CF9AE}" pid="22" name="PM_Hash_SHA1">
    <vt:lpwstr>8EBF16CB82AE2B890A03536E89B25BC72A25AAB1</vt:lpwstr>
  </property>
  <property fmtid="{D5CDD505-2E9C-101B-9397-08002B2CF9AE}" pid="23" name="PM_OriginatorUserAccountName_SHA256">
    <vt:lpwstr>9871F6CFFBF84B5DD096BCB24488EABDE9250CEAA716568F68B24D42DED533FD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