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C0EA4" w14:textId="77777777" w:rsidR="00C9260F" w:rsidRDefault="008E1C15" w:rsidP="000B61DC">
      <w:pPr>
        <w:ind w:left="-284"/>
        <w:jc w:val="center"/>
      </w:pPr>
      <w:r w:rsidRPr="008E1C15">
        <w:rPr>
          <w:noProof/>
        </w:rPr>
        <w:drawing>
          <wp:inline distT="0" distB="0" distL="0" distR="0" wp14:anchorId="7D217D00" wp14:editId="08C56A41">
            <wp:extent cx="3912870" cy="2732405"/>
            <wp:effectExtent l="19050" t="0" r="0" b="0"/>
            <wp:docPr id="1" name="Picture 1" descr="DES with Cres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 with Crest 2"/>
                    <pic:cNvPicPr>
                      <a:picLocks noChangeAspect="1" noChangeArrowheads="1"/>
                    </pic:cNvPicPr>
                  </pic:nvPicPr>
                  <pic:blipFill>
                    <a:blip r:embed="rId8" cstate="print"/>
                    <a:srcRect/>
                    <a:stretch>
                      <a:fillRect/>
                    </a:stretch>
                  </pic:blipFill>
                  <pic:spPr bwMode="auto">
                    <a:xfrm>
                      <a:off x="0" y="0"/>
                      <a:ext cx="3912870" cy="2732405"/>
                    </a:xfrm>
                    <a:prstGeom prst="rect">
                      <a:avLst/>
                    </a:prstGeom>
                    <a:noFill/>
                    <a:ln w="9525">
                      <a:noFill/>
                      <a:miter lim="800000"/>
                      <a:headEnd/>
                      <a:tailEnd/>
                    </a:ln>
                  </pic:spPr>
                </pic:pic>
              </a:graphicData>
            </a:graphic>
          </wp:inline>
        </w:drawing>
      </w:r>
    </w:p>
    <w:p w14:paraId="49DA84B1" w14:textId="77777777" w:rsidR="001D7C32" w:rsidRPr="001D7C32" w:rsidRDefault="001D7C32" w:rsidP="001D7C32">
      <w:pPr>
        <w:pStyle w:val="Heading1"/>
        <w:keepNext w:val="0"/>
        <w:spacing w:before="1320" w:after="240"/>
        <w:contextualSpacing/>
        <w:jc w:val="center"/>
        <w:rPr>
          <w:rFonts w:cs="Times New Roman"/>
          <w:bCs w:val="0"/>
          <w:color w:val="auto"/>
          <w:kern w:val="0"/>
          <w:sz w:val="52"/>
          <w:szCs w:val="24"/>
        </w:rPr>
      </w:pPr>
      <w:bookmarkStart w:id="0" w:name="_Toc509327385"/>
      <w:bookmarkStart w:id="1" w:name="_Toc509580896"/>
      <w:bookmarkStart w:id="2" w:name="_Toc525561144"/>
      <w:bookmarkStart w:id="3" w:name="_Toc530486992"/>
      <w:r>
        <w:rPr>
          <w:rFonts w:cs="Times New Roman"/>
          <w:bCs w:val="0"/>
          <w:color w:val="auto"/>
          <w:kern w:val="0"/>
          <w:sz w:val="52"/>
          <w:szCs w:val="24"/>
        </w:rPr>
        <w:t>Referral for an Employment Services Assessment Guidelines</w:t>
      </w:r>
      <w:bookmarkEnd w:id="0"/>
      <w:bookmarkEnd w:id="1"/>
      <w:bookmarkEnd w:id="2"/>
      <w:bookmarkEnd w:id="3"/>
    </w:p>
    <w:p w14:paraId="5F214F58" w14:textId="0C66EDA1" w:rsidR="001D7C32" w:rsidRPr="000B61DC" w:rsidRDefault="001D7C32" w:rsidP="000B61DC">
      <w:pPr>
        <w:jc w:val="center"/>
        <w:rPr>
          <w:b/>
          <w:bCs/>
          <w:sz w:val="36"/>
          <w:szCs w:val="36"/>
        </w:rPr>
      </w:pPr>
      <w:bookmarkStart w:id="4" w:name="_Toc266886220"/>
      <w:bookmarkStart w:id="5" w:name="_Toc363551783"/>
      <w:r w:rsidRPr="000B61DC">
        <w:rPr>
          <w:b/>
          <w:sz w:val="36"/>
          <w:szCs w:val="36"/>
        </w:rPr>
        <w:t xml:space="preserve">V </w:t>
      </w:r>
      <w:bookmarkEnd w:id="4"/>
      <w:bookmarkEnd w:id="5"/>
      <w:r w:rsidRPr="000B61DC">
        <w:rPr>
          <w:b/>
          <w:sz w:val="36"/>
          <w:szCs w:val="36"/>
        </w:rPr>
        <w:t>1.</w:t>
      </w:r>
      <w:r w:rsidR="00FE2880">
        <w:rPr>
          <w:b/>
          <w:sz w:val="36"/>
          <w:szCs w:val="36"/>
        </w:rPr>
        <w:t>5</w:t>
      </w:r>
    </w:p>
    <w:p w14:paraId="1BEDC308" w14:textId="17D89BDD" w:rsidR="001D7C32" w:rsidRPr="001D7C32" w:rsidRDefault="001D7C32" w:rsidP="001D7C32">
      <w:pPr>
        <w:pBdr>
          <w:top w:val="single" w:sz="4" w:space="1" w:color="auto"/>
          <w:left w:val="single" w:sz="4" w:space="4" w:color="auto"/>
          <w:bottom w:val="single" w:sz="4" w:space="1" w:color="auto"/>
          <w:right w:val="single" w:sz="4" w:space="4" w:color="auto"/>
        </w:pBdr>
        <w:spacing w:before="4800"/>
        <w:rPr>
          <w:sz w:val="20"/>
          <w:szCs w:val="20"/>
        </w:rPr>
      </w:pPr>
      <w:r w:rsidRPr="001D7C32">
        <w:rPr>
          <w:b/>
          <w:sz w:val="20"/>
          <w:szCs w:val="20"/>
        </w:rPr>
        <w:t>Disclaimer</w:t>
      </w:r>
      <w:r w:rsidRPr="001D7C32">
        <w:rPr>
          <w:sz w:val="20"/>
          <w:szCs w:val="20"/>
        </w:rPr>
        <w:br/>
        <w:t xml:space="preserve">This document is not a stand-alone document and does not contain the entirety of Disability Employment Services </w:t>
      </w:r>
      <w:r w:rsidR="00D92A4E">
        <w:rPr>
          <w:sz w:val="20"/>
          <w:szCs w:val="20"/>
        </w:rPr>
        <w:t>provider</w:t>
      </w:r>
      <w:r w:rsidRPr="001D7C32">
        <w:rPr>
          <w:sz w:val="20"/>
          <w:szCs w:val="20"/>
        </w:rPr>
        <w:t>s' obligations. It should be read in conjunction with the Disability Employment Services Grant Agreement and any relevant guidelines or reference material issued by the Department of Social Services under or in connection with the Disability Employment Services Grant Agreement.</w:t>
      </w:r>
    </w:p>
    <w:p w14:paraId="0B5FB824" w14:textId="77777777" w:rsidR="001D7C32" w:rsidRDefault="001D7C32" w:rsidP="00BD4483">
      <w:pPr>
        <w:jc w:val="center"/>
      </w:pPr>
    </w:p>
    <w:p w14:paraId="7227F353" w14:textId="77777777" w:rsidR="008F630D" w:rsidRDefault="008F630D">
      <w:pPr>
        <w:rPr>
          <w:sz w:val="22"/>
        </w:rPr>
      </w:pPr>
      <w:r>
        <w:rPr>
          <w:sz w:val="22"/>
        </w:rPr>
        <w:br w:type="page"/>
      </w:r>
    </w:p>
    <w:bookmarkStart w:id="6" w:name="_Toc432676650" w:displacedByCustomXml="next"/>
    <w:bookmarkStart w:id="7" w:name="_Toc496091738" w:displacedByCustomXml="next"/>
    <w:bookmarkStart w:id="8" w:name="_Toc509327277" w:displacedByCustomXml="next"/>
    <w:bookmarkStart w:id="9" w:name="_Toc509327386" w:displacedByCustomXml="next"/>
    <w:bookmarkStart w:id="10" w:name="_Toc509580897" w:displacedByCustomXml="next"/>
    <w:bookmarkStart w:id="11" w:name="_Toc525561145" w:displacedByCustomXml="next"/>
    <w:sdt>
      <w:sdtPr>
        <w:rPr>
          <w:bCs/>
        </w:rPr>
        <w:id w:val="-1282956814"/>
        <w:docPartObj>
          <w:docPartGallery w:val="Table of Contents"/>
          <w:docPartUnique/>
        </w:docPartObj>
      </w:sdtPr>
      <w:sdtEndPr>
        <w:rPr>
          <w:bCs w:val="0"/>
          <w:noProof/>
        </w:rPr>
      </w:sdtEndPr>
      <w:sdtContent>
        <w:p w14:paraId="01AEA47A" w14:textId="77777777" w:rsidR="00BA17CF" w:rsidRPr="00BA17CF" w:rsidRDefault="006F5E6D" w:rsidP="00BA17CF">
          <w:pPr>
            <w:pStyle w:val="TOC3"/>
            <w:rPr>
              <w:b/>
              <w:sz w:val="24"/>
            </w:rPr>
          </w:pPr>
          <w:r w:rsidRPr="00BA17CF">
            <w:rPr>
              <w:b/>
              <w:sz w:val="24"/>
            </w:rPr>
            <w:t>Table of Contents</w:t>
          </w:r>
          <w:bookmarkEnd w:id="11"/>
          <w:bookmarkEnd w:id="10"/>
          <w:bookmarkEnd w:id="9"/>
          <w:bookmarkEnd w:id="8"/>
          <w:bookmarkEnd w:id="7"/>
          <w:bookmarkEnd w:id="6"/>
        </w:p>
        <w:p w14:paraId="5AC0F8E5" w14:textId="06A8C434" w:rsidR="0097161C" w:rsidRDefault="00BA17CF">
          <w:pPr>
            <w:pStyle w:val="TOC3"/>
            <w:rPr>
              <w:rFonts w:eastAsiaTheme="minorEastAsia" w:cstheme="minorBidi"/>
              <w:noProof/>
              <w:sz w:val="22"/>
              <w:szCs w:val="22"/>
            </w:rPr>
          </w:pPr>
          <w:r>
            <w:rPr>
              <w:rStyle w:val="Hyperlink"/>
              <w:noProof/>
              <w:color w:val="auto"/>
              <w:sz w:val="22"/>
              <w:szCs w:val="22"/>
            </w:rPr>
            <w:fldChar w:fldCharType="begin"/>
          </w:r>
          <w:r>
            <w:rPr>
              <w:rStyle w:val="Hyperlink"/>
              <w:noProof/>
              <w:color w:val="auto"/>
              <w:sz w:val="22"/>
              <w:szCs w:val="22"/>
            </w:rPr>
            <w:instrText xml:space="preserve"> TOC \o "2-3" \h \z \u </w:instrText>
          </w:r>
          <w:r>
            <w:rPr>
              <w:rStyle w:val="Hyperlink"/>
              <w:noProof/>
              <w:color w:val="auto"/>
              <w:sz w:val="22"/>
              <w:szCs w:val="22"/>
            </w:rPr>
            <w:fldChar w:fldCharType="separate"/>
          </w:r>
          <w:hyperlink w:anchor="_Toc126830098" w:history="1">
            <w:r w:rsidR="0097161C" w:rsidRPr="00B006A3">
              <w:rPr>
                <w:rStyle w:val="Hyperlink"/>
                <w:noProof/>
              </w:rPr>
              <w:t>Document Change History</w:t>
            </w:r>
            <w:r w:rsidR="0097161C">
              <w:rPr>
                <w:noProof/>
                <w:webHidden/>
              </w:rPr>
              <w:tab/>
            </w:r>
            <w:r w:rsidR="0097161C">
              <w:rPr>
                <w:noProof/>
                <w:webHidden/>
              </w:rPr>
              <w:fldChar w:fldCharType="begin"/>
            </w:r>
            <w:r w:rsidR="0097161C">
              <w:rPr>
                <w:noProof/>
                <w:webHidden/>
              </w:rPr>
              <w:instrText xml:space="preserve"> PAGEREF _Toc126830098 \h </w:instrText>
            </w:r>
            <w:r w:rsidR="0097161C">
              <w:rPr>
                <w:noProof/>
                <w:webHidden/>
              </w:rPr>
            </w:r>
            <w:r w:rsidR="0097161C">
              <w:rPr>
                <w:noProof/>
                <w:webHidden/>
              </w:rPr>
              <w:fldChar w:fldCharType="separate"/>
            </w:r>
            <w:r w:rsidR="00082082">
              <w:rPr>
                <w:noProof/>
                <w:webHidden/>
              </w:rPr>
              <w:t>3</w:t>
            </w:r>
            <w:r w:rsidR="0097161C">
              <w:rPr>
                <w:noProof/>
                <w:webHidden/>
              </w:rPr>
              <w:fldChar w:fldCharType="end"/>
            </w:r>
          </w:hyperlink>
        </w:p>
        <w:p w14:paraId="38194F78" w14:textId="4B408358" w:rsidR="0097161C" w:rsidRDefault="00C87E18">
          <w:pPr>
            <w:pStyle w:val="TOC3"/>
            <w:rPr>
              <w:rFonts w:eastAsiaTheme="minorEastAsia" w:cstheme="minorBidi"/>
              <w:noProof/>
              <w:sz w:val="22"/>
              <w:szCs w:val="22"/>
            </w:rPr>
          </w:pPr>
          <w:hyperlink w:anchor="_Toc126830099" w:history="1">
            <w:r w:rsidR="0097161C" w:rsidRPr="00B006A3">
              <w:rPr>
                <w:rStyle w:val="Hyperlink"/>
                <w:noProof/>
              </w:rPr>
              <w:t>Policy Intent</w:t>
            </w:r>
            <w:r w:rsidR="0097161C">
              <w:rPr>
                <w:noProof/>
                <w:webHidden/>
              </w:rPr>
              <w:tab/>
            </w:r>
            <w:r w:rsidR="0097161C">
              <w:rPr>
                <w:noProof/>
                <w:webHidden/>
              </w:rPr>
              <w:fldChar w:fldCharType="begin"/>
            </w:r>
            <w:r w:rsidR="0097161C">
              <w:rPr>
                <w:noProof/>
                <w:webHidden/>
              </w:rPr>
              <w:instrText xml:space="preserve"> PAGEREF _Toc126830099 \h </w:instrText>
            </w:r>
            <w:r w:rsidR="0097161C">
              <w:rPr>
                <w:noProof/>
                <w:webHidden/>
              </w:rPr>
            </w:r>
            <w:r w:rsidR="0097161C">
              <w:rPr>
                <w:noProof/>
                <w:webHidden/>
              </w:rPr>
              <w:fldChar w:fldCharType="separate"/>
            </w:r>
            <w:r w:rsidR="00082082">
              <w:rPr>
                <w:noProof/>
                <w:webHidden/>
              </w:rPr>
              <w:t>5</w:t>
            </w:r>
            <w:r w:rsidR="0097161C">
              <w:rPr>
                <w:noProof/>
                <w:webHidden/>
              </w:rPr>
              <w:fldChar w:fldCharType="end"/>
            </w:r>
          </w:hyperlink>
        </w:p>
        <w:p w14:paraId="3E0A861C" w14:textId="46B65B74" w:rsidR="0097161C" w:rsidRDefault="00C87E18">
          <w:pPr>
            <w:pStyle w:val="TOC3"/>
            <w:rPr>
              <w:rFonts w:eastAsiaTheme="minorEastAsia" w:cstheme="minorBidi"/>
              <w:noProof/>
              <w:sz w:val="22"/>
              <w:szCs w:val="22"/>
            </w:rPr>
          </w:pPr>
          <w:hyperlink w:anchor="_Toc126830100" w:history="1">
            <w:r w:rsidR="0097161C" w:rsidRPr="00B006A3">
              <w:rPr>
                <w:rStyle w:val="Hyperlink"/>
                <w:noProof/>
              </w:rPr>
              <w:t>Eligibility for DES</w:t>
            </w:r>
            <w:r w:rsidR="0097161C">
              <w:rPr>
                <w:noProof/>
                <w:webHidden/>
              </w:rPr>
              <w:tab/>
            </w:r>
            <w:r w:rsidR="0097161C">
              <w:rPr>
                <w:noProof/>
                <w:webHidden/>
              </w:rPr>
              <w:fldChar w:fldCharType="begin"/>
            </w:r>
            <w:r w:rsidR="0097161C">
              <w:rPr>
                <w:noProof/>
                <w:webHidden/>
              </w:rPr>
              <w:instrText xml:space="preserve"> PAGEREF _Toc126830100 \h </w:instrText>
            </w:r>
            <w:r w:rsidR="0097161C">
              <w:rPr>
                <w:noProof/>
                <w:webHidden/>
              </w:rPr>
            </w:r>
            <w:r w:rsidR="0097161C">
              <w:rPr>
                <w:noProof/>
                <w:webHidden/>
              </w:rPr>
              <w:fldChar w:fldCharType="separate"/>
            </w:r>
            <w:r w:rsidR="00082082">
              <w:rPr>
                <w:noProof/>
                <w:webHidden/>
              </w:rPr>
              <w:t>6</w:t>
            </w:r>
            <w:r w:rsidR="0097161C">
              <w:rPr>
                <w:noProof/>
                <w:webHidden/>
              </w:rPr>
              <w:fldChar w:fldCharType="end"/>
            </w:r>
          </w:hyperlink>
        </w:p>
        <w:p w14:paraId="34C7C002" w14:textId="7E8882A0" w:rsidR="0097161C" w:rsidRDefault="00C87E18">
          <w:pPr>
            <w:pStyle w:val="TOC3"/>
            <w:rPr>
              <w:rFonts w:eastAsiaTheme="minorEastAsia" w:cstheme="minorBidi"/>
              <w:noProof/>
              <w:sz w:val="22"/>
              <w:szCs w:val="22"/>
            </w:rPr>
          </w:pPr>
          <w:hyperlink w:anchor="_Toc126830101" w:history="1">
            <w:r w:rsidR="0097161C" w:rsidRPr="00B006A3">
              <w:rPr>
                <w:rStyle w:val="Hyperlink"/>
                <w:noProof/>
              </w:rPr>
              <w:t>Referral of participants for an ESAt</w:t>
            </w:r>
            <w:r w:rsidR="0097161C">
              <w:rPr>
                <w:noProof/>
                <w:webHidden/>
              </w:rPr>
              <w:tab/>
            </w:r>
            <w:r w:rsidR="0097161C">
              <w:rPr>
                <w:noProof/>
                <w:webHidden/>
              </w:rPr>
              <w:fldChar w:fldCharType="begin"/>
            </w:r>
            <w:r w:rsidR="0097161C">
              <w:rPr>
                <w:noProof/>
                <w:webHidden/>
              </w:rPr>
              <w:instrText xml:space="preserve"> PAGEREF _Toc126830101 \h </w:instrText>
            </w:r>
            <w:r w:rsidR="0097161C">
              <w:rPr>
                <w:noProof/>
                <w:webHidden/>
              </w:rPr>
            </w:r>
            <w:r w:rsidR="0097161C">
              <w:rPr>
                <w:noProof/>
                <w:webHidden/>
              </w:rPr>
              <w:fldChar w:fldCharType="separate"/>
            </w:r>
            <w:r w:rsidR="00082082">
              <w:rPr>
                <w:noProof/>
                <w:webHidden/>
              </w:rPr>
              <w:t>7</w:t>
            </w:r>
            <w:r w:rsidR="0097161C">
              <w:rPr>
                <w:noProof/>
                <w:webHidden/>
              </w:rPr>
              <w:fldChar w:fldCharType="end"/>
            </w:r>
          </w:hyperlink>
        </w:p>
        <w:p w14:paraId="6E1DCC6A" w14:textId="14C940E2" w:rsidR="0097161C" w:rsidRDefault="00C87E18">
          <w:pPr>
            <w:pStyle w:val="TOC3"/>
            <w:rPr>
              <w:rFonts w:eastAsiaTheme="minorEastAsia" w:cstheme="minorBidi"/>
              <w:noProof/>
              <w:sz w:val="22"/>
              <w:szCs w:val="22"/>
            </w:rPr>
          </w:pPr>
          <w:hyperlink w:anchor="_Toc126830102" w:history="1">
            <w:r w:rsidR="0097161C" w:rsidRPr="00B006A3">
              <w:rPr>
                <w:rStyle w:val="Hyperlink"/>
                <w:noProof/>
              </w:rPr>
              <w:t>Participants who directly register for assistance</w:t>
            </w:r>
            <w:r w:rsidR="0097161C">
              <w:rPr>
                <w:noProof/>
                <w:webHidden/>
              </w:rPr>
              <w:tab/>
            </w:r>
            <w:r w:rsidR="0097161C">
              <w:rPr>
                <w:noProof/>
                <w:webHidden/>
              </w:rPr>
              <w:fldChar w:fldCharType="begin"/>
            </w:r>
            <w:r w:rsidR="0097161C">
              <w:rPr>
                <w:noProof/>
                <w:webHidden/>
              </w:rPr>
              <w:instrText xml:space="preserve"> PAGEREF _Toc126830102 \h </w:instrText>
            </w:r>
            <w:r w:rsidR="0097161C">
              <w:rPr>
                <w:noProof/>
                <w:webHidden/>
              </w:rPr>
            </w:r>
            <w:r w:rsidR="0097161C">
              <w:rPr>
                <w:noProof/>
                <w:webHidden/>
              </w:rPr>
              <w:fldChar w:fldCharType="separate"/>
            </w:r>
            <w:r w:rsidR="00082082">
              <w:rPr>
                <w:noProof/>
                <w:webHidden/>
              </w:rPr>
              <w:t>7</w:t>
            </w:r>
            <w:r w:rsidR="0097161C">
              <w:rPr>
                <w:noProof/>
                <w:webHidden/>
              </w:rPr>
              <w:fldChar w:fldCharType="end"/>
            </w:r>
          </w:hyperlink>
        </w:p>
        <w:p w14:paraId="0837E77C" w14:textId="0EF5DCFA" w:rsidR="0097161C" w:rsidRDefault="00C87E18">
          <w:pPr>
            <w:pStyle w:val="TOC3"/>
            <w:rPr>
              <w:rFonts w:eastAsiaTheme="minorEastAsia" w:cstheme="minorBidi"/>
              <w:noProof/>
              <w:sz w:val="22"/>
              <w:szCs w:val="22"/>
            </w:rPr>
          </w:pPr>
          <w:hyperlink w:anchor="_Toc126830103" w:history="1">
            <w:r w:rsidR="0097161C" w:rsidRPr="00B006A3">
              <w:rPr>
                <w:rStyle w:val="Hyperlink"/>
                <w:noProof/>
              </w:rPr>
              <w:t>DES participant with a deferred referral from Services Australia</w:t>
            </w:r>
            <w:r w:rsidR="0097161C">
              <w:rPr>
                <w:noProof/>
                <w:webHidden/>
              </w:rPr>
              <w:tab/>
            </w:r>
            <w:r w:rsidR="0097161C">
              <w:rPr>
                <w:noProof/>
                <w:webHidden/>
              </w:rPr>
              <w:fldChar w:fldCharType="begin"/>
            </w:r>
            <w:r w:rsidR="0097161C">
              <w:rPr>
                <w:noProof/>
                <w:webHidden/>
              </w:rPr>
              <w:instrText xml:space="preserve"> PAGEREF _Toc126830103 \h </w:instrText>
            </w:r>
            <w:r w:rsidR="0097161C">
              <w:rPr>
                <w:noProof/>
                <w:webHidden/>
              </w:rPr>
            </w:r>
            <w:r w:rsidR="0097161C">
              <w:rPr>
                <w:noProof/>
                <w:webHidden/>
              </w:rPr>
              <w:fldChar w:fldCharType="separate"/>
            </w:r>
            <w:r w:rsidR="00082082">
              <w:rPr>
                <w:noProof/>
                <w:webHidden/>
              </w:rPr>
              <w:t>7</w:t>
            </w:r>
            <w:r w:rsidR="0097161C">
              <w:rPr>
                <w:noProof/>
                <w:webHidden/>
              </w:rPr>
              <w:fldChar w:fldCharType="end"/>
            </w:r>
          </w:hyperlink>
        </w:p>
        <w:p w14:paraId="63B845F4" w14:textId="5841EDE8" w:rsidR="0097161C" w:rsidRDefault="00C87E18">
          <w:pPr>
            <w:pStyle w:val="TOC3"/>
            <w:rPr>
              <w:rFonts w:eastAsiaTheme="minorEastAsia" w:cstheme="minorBidi"/>
              <w:noProof/>
              <w:sz w:val="22"/>
              <w:szCs w:val="22"/>
            </w:rPr>
          </w:pPr>
          <w:hyperlink w:anchor="_Toc126830104" w:history="1">
            <w:r w:rsidR="0097161C" w:rsidRPr="00B006A3">
              <w:rPr>
                <w:rStyle w:val="Hyperlink"/>
                <w:noProof/>
              </w:rPr>
              <w:t>Participants who directly register for assistance</w:t>
            </w:r>
            <w:r w:rsidR="0097161C">
              <w:rPr>
                <w:noProof/>
                <w:webHidden/>
              </w:rPr>
              <w:tab/>
            </w:r>
            <w:r w:rsidR="0097161C">
              <w:rPr>
                <w:noProof/>
                <w:webHidden/>
              </w:rPr>
              <w:fldChar w:fldCharType="begin"/>
            </w:r>
            <w:r w:rsidR="0097161C">
              <w:rPr>
                <w:noProof/>
                <w:webHidden/>
              </w:rPr>
              <w:instrText xml:space="preserve"> PAGEREF _Toc126830104 \h </w:instrText>
            </w:r>
            <w:r w:rsidR="0097161C">
              <w:rPr>
                <w:noProof/>
                <w:webHidden/>
              </w:rPr>
            </w:r>
            <w:r w:rsidR="0097161C">
              <w:rPr>
                <w:noProof/>
                <w:webHidden/>
              </w:rPr>
              <w:fldChar w:fldCharType="separate"/>
            </w:r>
            <w:r w:rsidR="00082082">
              <w:rPr>
                <w:noProof/>
                <w:webHidden/>
              </w:rPr>
              <w:t>7</w:t>
            </w:r>
            <w:r w:rsidR="0097161C">
              <w:rPr>
                <w:noProof/>
                <w:webHidden/>
              </w:rPr>
              <w:fldChar w:fldCharType="end"/>
            </w:r>
          </w:hyperlink>
        </w:p>
        <w:p w14:paraId="2F608D8A" w14:textId="573A95AF" w:rsidR="0097161C" w:rsidRDefault="00C87E18">
          <w:pPr>
            <w:pStyle w:val="TOC3"/>
            <w:rPr>
              <w:rFonts w:eastAsiaTheme="minorEastAsia" w:cstheme="minorBidi"/>
              <w:noProof/>
              <w:sz w:val="22"/>
              <w:szCs w:val="22"/>
            </w:rPr>
          </w:pPr>
          <w:hyperlink w:anchor="_Toc126830105" w:history="1">
            <w:r w:rsidR="0097161C" w:rsidRPr="00B006A3">
              <w:rPr>
                <w:rStyle w:val="Hyperlink"/>
                <w:noProof/>
              </w:rPr>
              <w:t>Change of Circumstances Reassessment (CoCR)</w:t>
            </w:r>
            <w:r w:rsidR="0097161C">
              <w:rPr>
                <w:noProof/>
                <w:webHidden/>
              </w:rPr>
              <w:tab/>
            </w:r>
            <w:r w:rsidR="0097161C">
              <w:rPr>
                <w:noProof/>
                <w:webHidden/>
              </w:rPr>
              <w:fldChar w:fldCharType="begin"/>
            </w:r>
            <w:r w:rsidR="0097161C">
              <w:rPr>
                <w:noProof/>
                <w:webHidden/>
              </w:rPr>
              <w:instrText xml:space="preserve"> PAGEREF _Toc126830105 \h </w:instrText>
            </w:r>
            <w:r w:rsidR="0097161C">
              <w:rPr>
                <w:noProof/>
                <w:webHidden/>
              </w:rPr>
            </w:r>
            <w:r w:rsidR="0097161C">
              <w:rPr>
                <w:noProof/>
                <w:webHidden/>
              </w:rPr>
              <w:fldChar w:fldCharType="separate"/>
            </w:r>
            <w:r w:rsidR="00082082">
              <w:rPr>
                <w:noProof/>
                <w:webHidden/>
              </w:rPr>
              <w:t>8</w:t>
            </w:r>
            <w:r w:rsidR="0097161C">
              <w:rPr>
                <w:noProof/>
                <w:webHidden/>
              </w:rPr>
              <w:fldChar w:fldCharType="end"/>
            </w:r>
          </w:hyperlink>
        </w:p>
        <w:p w14:paraId="2622B031" w14:textId="2DBBD133" w:rsidR="0097161C" w:rsidRDefault="00C87E18">
          <w:pPr>
            <w:pStyle w:val="TOC3"/>
            <w:rPr>
              <w:rFonts w:eastAsiaTheme="minorEastAsia" w:cstheme="minorBidi"/>
              <w:noProof/>
              <w:sz w:val="22"/>
              <w:szCs w:val="22"/>
            </w:rPr>
          </w:pPr>
          <w:hyperlink w:anchor="_Toc126830106" w:history="1">
            <w:r w:rsidR="0097161C" w:rsidRPr="00B006A3">
              <w:rPr>
                <w:rStyle w:val="Hyperlink"/>
                <w:noProof/>
              </w:rPr>
              <w:t>Program Review</w:t>
            </w:r>
            <w:r w:rsidR="0097161C">
              <w:rPr>
                <w:noProof/>
                <w:webHidden/>
              </w:rPr>
              <w:tab/>
            </w:r>
            <w:r w:rsidR="0097161C">
              <w:rPr>
                <w:noProof/>
                <w:webHidden/>
              </w:rPr>
              <w:fldChar w:fldCharType="begin"/>
            </w:r>
            <w:r w:rsidR="0097161C">
              <w:rPr>
                <w:noProof/>
                <w:webHidden/>
              </w:rPr>
              <w:instrText xml:space="preserve"> PAGEREF _Toc126830106 \h </w:instrText>
            </w:r>
            <w:r w:rsidR="0097161C">
              <w:rPr>
                <w:noProof/>
                <w:webHidden/>
              </w:rPr>
            </w:r>
            <w:r w:rsidR="0097161C">
              <w:rPr>
                <w:noProof/>
                <w:webHidden/>
              </w:rPr>
              <w:fldChar w:fldCharType="separate"/>
            </w:r>
            <w:r w:rsidR="00082082">
              <w:rPr>
                <w:noProof/>
                <w:webHidden/>
              </w:rPr>
              <w:t>8</w:t>
            </w:r>
            <w:r w:rsidR="0097161C">
              <w:rPr>
                <w:noProof/>
                <w:webHidden/>
              </w:rPr>
              <w:fldChar w:fldCharType="end"/>
            </w:r>
          </w:hyperlink>
        </w:p>
        <w:p w14:paraId="1BCDFF1A" w14:textId="7858FC9E" w:rsidR="0097161C" w:rsidRDefault="00C87E18">
          <w:pPr>
            <w:pStyle w:val="TOC2"/>
            <w:tabs>
              <w:tab w:val="right" w:pos="8681"/>
            </w:tabs>
            <w:rPr>
              <w:rFonts w:eastAsiaTheme="minorEastAsia" w:cstheme="minorBidi"/>
              <w:i w:val="0"/>
              <w:iCs w:val="0"/>
              <w:noProof/>
              <w:sz w:val="22"/>
              <w:szCs w:val="22"/>
            </w:rPr>
          </w:pPr>
          <w:hyperlink w:anchor="_Toc126830107" w:history="1">
            <w:r w:rsidR="0097161C" w:rsidRPr="00B006A3">
              <w:rPr>
                <w:rStyle w:val="Hyperlink"/>
                <w:rFonts w:cs="Arial"/>
                <w:b/>
                <w:bCs/>
                <w:noProof/>
              </w:rPr>
              <w:t>Arranging an ESAt</w:t>
            </w:r>
            <w:r w:rsidR="0097161C">
              <w:rPr>
                <w:noProof/>
                <w:webHidden/>
              </w:rPr>
              <w:tab/>
            </w:r>
            <w:r w:rsidR="0097161C">
              <w:rPr>
                <w:noProof/>
                <w:webHidden/>
              </w:rPr>
              <w:fldChar w:fldCharType="begin"/>
            </w:r>
            <w:r w:rsidR="0097161C">
              <w:rPr>
                <w:noProof/>
                <w:webHidden/>
              </w:rPr>
              <w:instrText xml:space="preserve"> PAGEREF _Toc126830107 \h </w:instrText>
            </w:r>
            <w:r w:rsidR="0097161C">
              <w:rPr>
                <w:noProof/>
                <w:webHidden/>
              </w:rPr>
            </w:r>
            <w:r w:rsidR="0097161C">
              <w:rPr>
                <w:noProof/>
                <w:webHidden/>
              </w:rPr>
              <w:fldChar w:fldCharType="separate"/>
            </w:r>
            <w:r w:rsidR="00082082">
              <w:rPr>
                <w:noProof/>
                <w:webHidden/>
              </w:rPr>
              <w:t>8</w:t>
            </w:r>
            <w:r w:rsidR="0097161C">
              <w:rPr>
                <w:noProof/>
                <w:webHidden/>
              </w:rPr>
              <w:fldChar w:fldCharType="end"/>
            </w:r>
          </w:hyperlink>
        </w:p>
        <w:p w14:paraId="48C03DDE" w14:textId="1B31702A" w:rsidR="0097161C" w:rsidRDefault="00C87E18">
          <w:pPr>
            <w:pStyle w:val="TOC3"/>
            <w:rPr>
              <w:rFonts w:eastAsiaTheme="minorEastAsia" w:cstheme="minorBidi"/>
              <w:noProof/>
              <w:sz w:val="22"/>
              <w:szCs w:val="22"/>
            </w:rPr>
          </w:pPr>
          <w:hyperlink w:anchor="_Toc126830108" w:history="1">
            <w:r w:rsidR="0097161C" w:rsidRPr="00B006A3">
              <w:rPr>
                <w:rStyle w:val="Hyperlink"/>
                <w:noProof/>
              </w:rPr>
              <w:t>Obtaining supporting medical evidence</w:t>
            </w:r>
            <w:r w:rsidR="0097161C">
              <w:rPr>
                <w:noProof/>
                <w:webHidden/>
              </w:rPr>
              <w:tab/>
            </w:r>
            <w:r w:rsidR="0097161C">
              <w:rPr>
                <w:noProof/>
                <w:webHidden/>
              </w:rPr>
              <w:fldChar w:fldCharType="begin"/>
            </w:r>
            <w:r w:rsidR="0097161C">
              <w:rPr>
                <w:noProof/>
                <w:webHidden/>
              </w:rPr>
              <w:instrText xml:space="preserve"> PAGEREF _Toc126830108 \h </w:instrText>
            </w:r>
            <w:r w:rsidR="0097161C">
              <w:rPr>
                <w:noProof/>
                <w:webHidden/>
              </w:rPr>
            </w:r>
            <w:r w:rsidR="0097161C">
              <w:rPr>
                <w:noProof/>
                <w:webHidden/>
              </w:rPr>
              <w:fldChar w:fldCharType="separate"/>
            </w:r>
            <w:r w:rsidR="00082082">
              <w:rPr>
                <w:noProof/>
                <w:webHidden/>
              </w:rPr>
              <w:t>9</w:t>
            </w:r>
            <w:r w:rsidR="0097161C">
              <w:rPr>
                <w:noProof/>
                <w:webHidden/>
              </w:rPr>
              <w:fldChar w:fldCharType="end"/>
            </w:r>
          </w:hyperlink>
        </w:p>
        <w:p w14:paraId="12125B0C" w14:textId="2C4713D7" w:rsidR="0097161C" w:rsidRDefault="00C87E18">
          <w:pPr>
            <w:pStyle w:val="TOC3"/>
            <w:rPr>
              <w:rFonts w:eastAsiaTheme="minorEastAsia" w:cstheme="minorBidi"/>
              <w:noProof/>
              <w:sz w:val="22"/>
              <w:szCs w:val="22"/>
            </w:rPr>
          </w:pPr>
          <w:hyperlink w:anchor="_Toc126830109" w:history="1">
            <w:r w:rsidR="0097161C" w:rsidRPr="00B006A3">
              <w:rPr>
                <w:rStyle w:val="Hyperlink"/>
                <w:noProof/>
              </w:rPr>
              <w:t>Providing medical evidence to Services Australia</w:t>
            </w:r>
            <w:r w:rsidR="0097161C">
              <w:rPr>
                <w:noProof/>
                <w:webHidden/>
              </w:rPr>
              <w:tab/>
            </w:r>
            <w:r w:rsidR="0097161C">
              <w:rPr>
                <w:noProof/>
                <w:webHidden/>
              </w:rPr>
              <w:fldChar w:fldCharType="begin"/>
            </w:r>
            <w:r w:rsidR="0097161C">
              <w:rPr>
                <w:noProof/>
                <w:webHidden/>
              </w:rPr>
              <w:instrText xml:space="preserve"> PAGEREF _Toc126830109 \h </w:instrText>
            </w:r>
            <w:r w:rsidR="0097161C">
              <w:rPr>
                <w:noProof/>
                <w:webHidden/>
              </w:rPr>
            </w:r>
            <w:r w:rsidR="0097161C">
              <w:rPr>
                <w:noProof/>
                <w:webHidden/>
              </w:rPr>
              <w:fldChar w:fldCharType="separate"/>
            </w:r>
            <w:r w:rsidR="00082082">
              <w:rPr>
                <w:noProof/>
                <w:webHidden/>
              </w:rPr>
              <w:t>10</w:t>
            </w:r>
            <w:r w:rsidR="0097161C">
              <w:rPr>
                <w:noProof/>
                <w:webHidden/>
              </w:rPr>
              <w:fldChar w:fldCharType="end"/>
            </w:r>
          </w:hyperlink>
        </w:p>
        <w:p w14:paraId="653B9653" w14:textId="143BD57A" w:rsidR="0097161C" w:rsidRDefault="00C87E18">
          <w:pPr>
            <w:pStyle w:val="TOC3"/>
            <w:rPr>
              <w:rFonts w:eastAsiaTheme="minorEastAsia" w:cstheme="minorBidi"/>
              <w:noProof/>
              <w:sz w:val="22"/>
              <w:szCs w:val="22"/>
            </w:rPr>
          </w:pPr>
          <w:hyperlink w:anchor="_Toc126830110" w:history="1">
            <w:r w:rsidR="0097161C" w:rsidRPr="00B006A3">
              <w:rPr>
                <w:rStyle w:val="Hyperlink"/>
                <w:rFonts w:cs="Arial"/>
                <w:noProof/>
              </w:rPr>
              <w:t>Requesting ESAt appointments</w:t>
            </w:r>
            <w:r w:rsidR="0097161C">
              <w:rPr>
                <w:noProof/>
                <w:webHidden/>
              </w:rPr>
              <w:tab/>
            </w:r>
            <w:r w:rsidR="0097161C">
              <w:rPr>
                <w:noProof/>
                <w:webHidden/>
              </w:rPr>
              <w:fldChar w:fldCharType="begin"/>
            </w:r>
            <w:r w:rsidR="0097161C">
              <w:rPr>
                <w:noProof/>
                <w:webHidden/>
              </w:rPr>
              <w:instrText xml:space="preserve"> PAGEREF _Toc126830110 \h </w:instrText>
            </w:r>
            <w:r w:rsidR="0097161C">
              <w:rPr>
                <w:noProof/>
                <w:webHidden/>
              </w:rPr>
            </w:r>
            <w:r w:rsidR="0097161C">
              <w:rPr>
                <w:noProof/>
                <w:webHidden/>
              </w:rPr>
              <w:fldChar w:fldCharType="separate"/>
            </w:r>
            <w:r w:rsidR="00082082">
              <w:rPr>
                <w:noProof/>
                <w:webHidden/>
              </w:rPr>
              <w:t>10</w:t>
            </w:r>
            <w:r w:rsidR="0097161C">
              <w:rPr>
                <w:noProof/>
                <w:webHidden/>
              </w:rPr>
              <w:fldChar w:fldCharType="end"/>
            </w:r>
          </w:hyperlink>
        </w:p>
        <w:p w14:paraId="3A02EC7B" w14:textId="0C060BF6" w:rsidR="0097161C" w:rsidRDefault="00C87E18">
          <w:pPr>
            <w:pStyle w:val="TOC3"/>
            <w:rPr>
              <w:rFonts w:eastAsiaTheme="minorEastAsia" w:cstheme="minorBidi"/>
              <w:noProof/>
              <w:sz w:val="22"/>
              <w:szCs w:val="22"/>
            </w:rPr>
          </w:pPr>
          <w:hyperlink w:anchor="_Toc126830111" w:history="1">
            <w:r w:rsidR="0097161C" w:rsidRPr="00B006A3">
              <w:rPr>
                <w:rStyle w:val="Hyperlink"/>
                <w:rFonts w:cs="Arial"/>
                <w:noProof/>
              </w:rPr>
              <w:t>Informing the participant of the appointments</w:t>
            </w:r>
            <w:r w:rsidR="0097161C">
              <w:rPr>
                <w:noProof/>
                <w:webHidden/>
              </w:rPr>
              <w:tab/>
            </w:r>
            <w:r w:rsidR="0097161C">
              <w:rPr>
                <w:noProof/>
                <w:webHidden/>
              </w:rPr>
              <w:fldChar w:fldCharType="begin"/>
            </w:r>
            <w:r w:rsidR="0097161C">
              <w:rPr>
                <w:noProof/>
                <w:webHidden/>
              </w:rPr>
              <w:instrText xml:space="preserve"> PAGEREF _Toc126830111 \h </w:instrText>
            </w:r>
            <w:r w:rsidR="0097161C">
              <w:rPr>
                <w:noProof/>
                <w:webHidden/>
              </w:rPr>
            </w:r>
            <w:r w:rsidR="0097161C">
              <w:rPr>
                <w:noProof/>
                <w:webHidden/>
              </w:rPr>
              <w:fldChar w:fldCharType="separate"/>
            </w:r>
            <w:r w:rsidR="00082082">
              <w:rPr>
                <w:noProof/>
                <w:webHidden/>
              </w:rPr>
              <w:t>11</w:t>
            </w:r>
            <w:r w:rsidR="0097161C">
              <w:rPr>
                <w:noProof/>
                <w:webHidden/>
              </w:rPr>
              <w:fldChar w:fldCharType="end"/>
            </w:r>
          </w:hyperlink>
        </w:p>
        <w:p w14:paraId="1D370DF7" w14:textId="74C233BF" w:rsidR="0097161C" w:rsidRDefault="00C87E18">
          <w:pPr>
            <w:pStyle w:val="TOC2"/>
            <w:tabs>
              <w:tab w:val="right" w:pos="8681"/>
            </w:tabs>
            <w:rPr>
              <w:rFonts w:eastAsiaTheme="minorEastAsia" w:cstheme="minorBidi"/>
              <w:i w:val="0"/>
              <w:iCs w:val="0"/>
              <w:noProof/>
              <w:sz w:val="22"/>
              <w:szCs w:val="22"/>
            </w:rPr>
          </w:pPr>
          <w:hyperlink w:anchor="_Toc126830112" w:history="1">
            <w:r w:rsidR="0097161C" w:rsidRPr="00B006A3">
              <w:rPr>
                <w:rStyle w:val="Hyperlink"/>
                <w:rFonts w:cs="Arial"/>
                <w:b/>
                <w:bCs/>
                <w:noProof/>
              </w:rPr>
              <w:t>Managing ESAt referrals</w:t>
            </w:r>
            <w:r w:rsidR="0097161C">
              <w:rPr>
                <w:noProof/>
                <w:webHidden/>
              </w:rPr>
              <w:tab/>
            </w:r>
            <w:r w:rsidR="0097161C">
              <w:rPr>
                <w:noProof/>
                <w:webHidden/>
              </w:rPr>
              <w:fldChar w:fldCharType="begin"/>
            </w:r>
            <w:r w:rsidR="0097161C">
              <w:rPr>
                <w:noProof/>
                <w:webHidden/>
              </w:rPr>
              <w:instrText xml:space="preserve"> PAGEREF _Toc126830112 \h </w:instrText>
            </w:r>
            <w:r w:rsidR="0097161C">
              <w:rPr>
                <w:noProof/>
                <w:webHidden/>
              </w:rPr>
            </w:r>
            <w:r w:rsidR="0097161C">
              <w:rPr>
                <w:noProof/>
                <w:webHidden/>
              </w:rPr>
              <w:fldChar w:fldCharType="separate"/>
            </w:r>
            <w:r w:rsidR="00082082">
              <w:rPr>
                <w:noProof/>
                <w:webHidden/>
              </w:rPr>
              <w:t>12</w:t>
            </w:r>
            <w:r w:rsidR="0097161C">
              <w:rPr>
                <w:noProof/>
                <w:webHidden/>
              </w:rPr>
              <w:fldChar w:fldCharType="end"/>
            </w:r>
          </w:hyperlink>
        </w:p>
        <w:p w14:paraId="641F8A0E" w14:textId="412B12F3" w:rsidR="0097161C" w:rsidRDefault="00C87E18">
          <w:pPr>
            <w:pStyle w:val="TOC3"/>
            <w:rPr>
              <w:rFonts w:eastAsiaTheme="minorEastAsia" w:cstheme="minorBidi"/>
              <w:noProof/>
              <w:sz w:val="22"/>
              <w:szCs w:val="22"/>
            </w:rPr>
          </w:pPr>
          <w:hyperlink w:anchor="_Toc126830113" w:history="1">
            <w:r w:rsidR="0097161C" w:rsidRPr="00B006A3">
              <w:rPr>
                <w:rStyle w:val="Hyperlink"/>
                <w:rFonts w:cs="Arial"/>
                <w:noProof/>
              </w:rPr>
              <w:t>The consequences of not attending the appointment</w:t>
            </w:r>
            <w:r w:rsidR="0097161C">
              <w:rPr>
                <w:noProof/>
                <w:webHidden/>
              </w:rPr>
              <w:tab/>
            </w:r>
            <w:r w:rsidR="0097161C">
              <w:rPr>
                <w:noProof/>
                <w:webHidden/>
              </w:rPr>
              <w:fldChar w:fldCharType="begin"/>
            </w:r>
            <w:r w:rsidR="0097161C">
              <w:rPr>
                <w:noProof/>
                <w:webHidden/>
              </w:rPr>
              <w:instrText xml:space="preserve"> PAGEREF _Toc126830113 \h </w:instrText>
            </w:r>
            <w:r w:rsidR="0097161C">
              <w:rPr>
                <w:noProof/>
                <w:webHidden/>
              </w:rPr>
            </w:r>
            <w:r w:rsidR="0097161C">
              <w:rPr>
                <w:noProof/>
                <w:webHidden/>
              </w:rPr>
              <w:fldChar w:fldCharType="separate"/>
            </w:r>
            <w:r w:rsidR="00082082">
              <w:rPr>
                <w:noProof/>
                <w:webHidden/>
              </w:rPr>
              <w:t>12</w:t>
            </w:r>
            <w:r w:rsidR="0097161C">
              <w:rPr>
                <w:noProof/>
                <w:webHidden/>
              </w:rPr>
              <w:fldChar w:fldCharType="end"/>
            </w:r>
          </w:hyperlink>
        </w:p>
        <w:p w14:paraId="2900264F" w14:textId="2F7DD9D7" w:rsidR="0097161C" w:rsidRDefault="00C87E18">
          <w:pPr>
            <w:pStyle w:val="TOC3"/>
            <w:rPr>
              <w:rFonts w:eastAsiaTheme="minorEastAsia" w:cstheme="minorBidi"/>
              <w:noProof/>
              <w:sz w:val="22"/>
              <w:szCs w:val="22"/>
            </w:rPr>
          </w:pPr>
          <w:hyperlink w:anchor="_Toc126830114" w:history="1">
            <w:r w:rsidR="0097161C" w:rsidRPr="00B006A3">
              <w:rPr>
                <w:rStyle w:val="Hyperlink"/>
                <w:rFonts w:cs="Arial"/>
                <w:noProof/>
              </w:rPr>
              <w:t>Minimising unnecessary ESAt referrals</w:t>
            </w:r>
            <w:r w:rsidR="0097161C">
              <w:rPr>
                <w:noProof/>
                <w:webHidden/>
              </w:rPr>
              <w:tab/>
            </w:r>
            <w:r w:rsidR="0097161C">
              <w:rPr>
                <w:noProof/>
                <w:webHidden/>
              </w:rPr>
              <w:fldChar w:fldCharType="begin"/>
            </w:r>
            <w:r w:rsidR="0097161C">
              <w:rPr>
                <w:noProof/>
                <w:webHidden/>
              </w:rPr>
              <w:instrText xml:space="preserve"> PAGEREF _Toc126830114 \h </w:instrText>
            </w:r>
            <w:r w:rsidR="0097161C">
              <w:rPr>
                <w:noProof/>
                <w:webHidden/>
              </w:rPr>
            </w:r>
            <w:r w:rsidR="0097161C">
              <w:rPr>
                <w:noProof/>
                <w:webHidden/>
              </w:rPr>
              <w:fldChar w:fldCharType="separate"/>
            </w:r>
            <w:r w:rsidR="00082082">
              <w:rPr>
                <w:noProof/>
                <w:webHidden/>
              </w:rPr>
              <w:t>12</w:t>
            </w:r>
            <w:r w:rsidR="0097161C">
              <w:rPr>
                <w:noProof/>
                <w:webHidden/>
              </w:rPr>
              <w:fldChar w:fldCharType="end"/>
            </w:r>
          </w:hyperlink>
        </w:p>
        <w:p w14:paraId="05CA7BC5" w14:textId="451203F9" w:rsidR="0097161C" w:rsidRDefault="00C87E18">
          <w:pPr>
            <w:pStyle w:val="TOC3"/>
            <w:rPr>
              <w:rFonts w:eastAsiaTheme="minorEastAsia" w:cstheme="minorBidi"/>
              <w:noProof/>
              <w:sz w:val="22"/>
              <w:szCs w:val="22"/>
            </w:rPr>
          </w:pPr>
          <w:hyperlink w:anchor="_Toc126830115" w:history="1">
            <w:r w:rsidR="0097161C" w:rsidRPr="00B006A3">
              <w:rPr>
                <w:rStyle w:val="Hyperlink"/>
                <w:rFonts w:cs="Arial"/>
                <w:noProof/>
              </w:rPr>
              <w:t>Cancelling an ESAt referral</w:t>
            </w:r>
            <w:r w:rsidR="0097161C">
              <w:rPr>
                <w:noProof/>
                <w:webHidden/>
              </w:rPr>
              <w:tab/>
            </w:r>
            <w:r w:rsidR="0097161C">
              <w:rPr>
                <w:noProof/>
                <w:webHidden/>
              </w:rPr>
              <w:fldChar w:fldCharType="begin"/>
            </w:r>
            <w:r w:rsidR="0097161C">
              <w:rPr>
                <w:noProof/>
                <w:webHidden/>
              </w:rPr>
              <w:instrText xml:space="preserve"> PAGEREF _Toc126830115 \h </w:instrText>
            </w:r>
            <w:r w:rsidR="0097161C">
              <w:rPr>
                <w:noProof/>
                <w:webHidden/>
              </w:rPr>
            </w:r>
            <w:r w:rsidR="0097161C">
              <w:rPr>
                <w:noProof/>
                <w:webHidden/>
              </w:rPr>
              <w:fldChar w:fldCharType="separate"/>
            </w:r>
            <w:r w:rsidR="00082082">
              <w:rPr>
                <w:noProof/>
                <w:webHidden/>
              </w:rPr>
              <w:t>12</w:t>
            </w:r>
            <w:r w:rsidR="0097161C">
              <w:rPr>
                <w:noProof/>
                <w:webHidden/>
              </w:rPr>
              <w:fldChar w:fldCharType="end"/>
            </w:r>
          </w:hyperlink>
        </w:p>
        <w:p w14:paraId="43FAEA97" w14:textId="34B1DDB8" w:rsidR="0097161C" w:rsidRDefault="00C87E18">
          <w:pPr>
            <w:pStyle w:val="TOC3"/>
            <w:rPr>
              <w:rFonts w:eastAsiaTheme="minorEastAsia" w:cstheme="minorBidi"/>
              <w:noProof/>
              <w:sz w:val="22"/>
              <w:szCs w:val="22"/>
            </w:rPr>
          </w:pPr>
          <w:hyperlink w:anchor="_Toc126830116" w:history="1">
            <w:r w:rsidR="0097161C" w:rsidRPr="00B006A3">
              <w:rPr>
                <w:rStyle w:val="Hyperlink"/>
                <w:rFonts w:cs="Arial"/>
                <w:noProof/>
              </w:rPr>
              <w:t>Monitoring progress of an ESAt</w:t>
            </w:r>
            <w:r w:rsidR="0097161C">
              <w:rPr>
                <w:noProof/>
                <w:webHidden/>
              </w:rPr>
              <w:tab/>
            </w:r>
            <w:r w:rsidR="0097161C">
              <w:rPr>
                <w:noProof/>
                <w:webHidden/>
              </w:rPr>
              <w:fldChar w:fldCharType="begin"/>
            </w:r>
            <w:r w:rsidR="0097161C">
              <w:rPr>
                <w:noProof/>
                <w:webHidden/>
              </w:rPr>
              <w:instrText xml:space="preserve"> PAGEREF _Toc126830116 \h </w:instrText>
            </w:r>
            <w:r w:rsidR="0097161C">
              <w:rPr>
                <w:noProof/>
                <w:webHidden/>
              </w:rPr>
            </w:r>
            <w:r w:rsidR="0097161C">
              <w:rPr>
                <w:noProof/>
                <w:webHidden/>
              </w:rPr>
              <w:fldChar w:fldCharType="separate"/>
            </w:r>
            <w:r w:rsidR="00082082">
              <w:rPr>
                <w:noProof/>
                <w:webHidden/>
              </w:rPr>
              <w:t>12</w:t>
            </w:r>
            <w:r w:rsidR="0097161C">
              <w:rPr>
                <w:noProof/>
                <w:webHidden/>
              </w:rPr>
              <w:fldChar w:fldCharType="end"/>
            </w:r>
          </w:hyperlink>
        </w:p>
        <w:p w14:paraId="0C067B46" w14:textId="0B26B254" w:rsidR="0097161C" w:rsidRDefault="00C87E18">
          <w:pPr>
            <w:pStyle w:val="TOC2"/>
            <w:tabs>
              <w:tab w:val="right" w:pos="8681"/>
            </w:tabs>
            <w:rPr>
              <w:rFonts w:eastAsiaTheme="minorEastAsia" w:cstheme="minorBidi"/>
              <w:i w:val="0"/>
              <w:iCs w:val="0"/>
              <w:noProof/>
              <w:sz w:val="22"/>
              <w:szCs w:val="22"/>
            </w:rPr>
          </w:pPr>
          <w:hyperlink w:anchor="_Toc126830117" w:history="1">
            <w:r w:rsidR="0097161C" w:rsidRPr="00B006A3">
              <w:rPr>
                <w:rStyle w:val="Hyperlink"/>
                <w:rFonts w:cs="Arial"/>
                <w:b/>
                <w:bCs/>
                <w:noProof/>
              </w:rPr>
              <w:t>Servicing a participant while waiting for the outcome of an ESAt</w:t>
            </w:r>
            <w:r w:rsidR="0097161C">
              <w:rPr>
                <w:noProof/>
                <w:webHidden/>
              </w:rPr>
              <w:tab/>
            </w:r>
            <w:r w:rsidR="0097161C">
              <w:rPr>
                <w:noProof/>
                <w:webHidden/>
              </w:rPr>
              <w:fldChar w:fldCharType="begin"/>
            </w:r>
            <w:r w:rsidR="0097161C">
              <w:rPr>
                <w:noProof/>
                <w:webHidden/>
              </w:rPr>
              <w:instrText xml:space="preserve"> PAGEREF _Toc126830117 \h </w:instrText>
            </w:r>
            <w:r w:rsidR="0097161C">
              <w:rPr>
                <w:noProof/>
                <w:webHidden/>
              </w:rPr>
            </w:r>
            <w:r w:rsidR="0097161C">
              <w:rPr>
                <w:noProof/>
                <w:webHidden/>
              </w:rPr>
              <w:fldChar w:fldCharType="separate"/>
            </w:r>
            <w:r w:rsidR="00082082">
              <w:rPr>
                <w:noProof/>
                <w:webHidden/>
              </w:rPr>
              <w:t>13</w:t>
            </w:r>
            <w:r w:rsidR="0097161C">
              <w:rPr>
                <w:noProof/>
                <w:webHidden/>
              </w:rPr>
              <w:fldChar w:fldCharType="end"/>
            </w:r>
          </w:hyperlink>
        </w:p>
        <w:p w14:paraId="6FB3ECCA" w14:textId="553AC67D" w:rsidR="0097161C" w:rsidRDefault="00C87E18">
          <w:pPr>
            <w:pStyle w:val="TOC3"/>
            <w:rPr>
              <w:rFonts w:eastAsiaTheme="minorEastAsia" w:cstheme="minorBidi"/>
              <w:noProof/>
              <w:sz w:val="22"/>
              <w:szCs w:val="22"/>
            </w:rPr>
          </w:pPr>
          <w:hyperlink w:anchor="_Toc126830118" w:history="1">
            <w:r w:rsidR="0097161C" w:rsidRPr="00B006A3">
              <w:rPr>
                <w:rStyle w:val="Hyperlink"/>
                <w:rFonts w:cs="Arial"/>
                <w:noProof/>
              </w:rPr>
              <w:t>Direct Registration of a new participant</w:t>
            </w:r>
            <w:r w:rsidR="0097161C">
              <w:rPr>
                <w:noProof/>
                <w:webHidden/>
              </w:rPr>
              <w:tab/>
            </w:r>
            <w:r w:rsidR="0097161C">
              <w:rPr>
                <w:noProof/>
                <w:webHidden/>
              </w:rPr>
              <w:fldChar w:fldCharType="begin"/>
            </w:r>
            <w:r w:rsidR="0097161C">
              <w:rPr>
                <w:noProof/>
                <w:webHidden/>
              </w:rPr>
              <w:instrText xml:space="preserve"> PAGEREF _Toc126830118 \h </w:instrText>
            </w:r>
            <w:r w:rsidR="0097161C">
              <w:rPr>
                <w:noProof/>
                <w:webHidden/>
              </w:rPr>
            </w:r>
            <w:r w:rsidR="0097161C">
              <w:rPr>
                <w:noProof/>
                <w:webHidden/>
              </w:rPr>
              <w:fldChar w:fldCharType="separate"/>
            </w:r>
            <w:r w:rsidR="00082082">
              <w:rPr>
                <w:noProof/>
                <w:webHidden/>
              </w:rPr>
              <w:t>13</w:t>
            </w:r>
            <w:r w:rsidR="0097161C">
              <w:rPr>
                <w:noProof/>
                <w:webHidden/>
              </w:rPr>
              <w:fldChar w:fldCharType="end"/>
            </w:r>
          </w:hyperlink>
        </w:p>
        <w:p w14:paraId="649002B5" w14:textId="2EB3636A" w:rsidR="0097161C" w:rsidRDefault="00C87E18">
          <w:pPr>
            <w:pStyle w:val="TOC3"/>
            <w:rPr>
              <w:rFonts w:eastAsiaTheme="minorEastAsia" w:cstheme="minorBidi"/>
              <w:noProof/>
              <w:sz w:val="22"/>
              <w:szCs w:val="22"/>
            </w:rPr>
          </w:pPr>
          <w:hyperlink w:anchor="_Toc126830119" w:history="1">
            <w:r w:rsidR="0097161C" w:rsidRPr="00B006A3">
              <w:rPr>
                <w:rStyle w:val="Hyperlink"/>
                <w:rFonts w:cs="Arial"/>
                <w:noProof/>
              </w:rPr>
              <w:t>Participants already participating in DES</w:t>
            </w:r>
            <w:r w:rsidR="0097161C">
              <w:rPr>
                <w:noProof/>
                <w:webHidden/>
              </w:rPr>
              <w:tab/>
            </w:r>
            <w:r w:rsidR="0097161C">
              <w:rPr>
                <w:noProof/>
                <w:webHidden/>
              </w:rPr>
              <w:fldChar w:fldCharType="begin"/>
            </w:r>
            <w:r w:rsidR="0097161C">
              <w:rPr>
                <w:noProof/>
                <w:webHidden/>
              </w:rPr>
              <w:instrText xml:space="preserve"> PAGEREF _Toc126830119 \h </w:instrText>
            </w:r>
            <w:r w:rsidR="0097161C">
              <w:rPr>
                <w:noProof/>
                <w:webHidden/>
              </w:rPr>
            </w:r>
            <w:r w:rsidR="0097161C">
              <w:rPr>
                <w:noProof/>
                <w:webHidden/>
              </w:rPr>
              <w:fldChar w:fldCharType="separate"/>
            </w:r>
            <w:r w:rsidR="00082082">
              <w:rPr>
                <w:noProof/>
                <w:webHidden/>
              </w:rPr>
              <w:t>13</w:t>
            </w:r>
            <w:r w:rsidR="0097161C">
              <w:rPr>
                <w:noProof/>
                <w:webHidden/>
              </w:rPr>
              <w:fldChar w:fldCharType="end"/>
            </w:r>
          </w:hyperlink>
        </w:p>
        <w:p w14:paraId="03C4C761" w14:textId="2FBE5660" w:rsidR="0097161C" w:rsidRDefault="00C87E18">
          <w:pPr>
            <w:pStyle w:val="TOC2"/>
            <w:tabs>
              <w:tab w:val="right" w:pos="8681"/>
            </w:tabs>
            <w:rPr>
              <w:rFonts w:eastAsiaTheme="minorEastAsia" w:cstheme="minorBidi"/>
              <w:i w:val="0"/>
              <w:iCs w:val="0"/>
              <w:noProof/>
              <w:sz w:val="22"/>
              <w:szCs w:val="22"/>
            </w:rPr>
          </w:pPr>
          <w:hyperlink w:anchor="_Toc126830120" w:history="1">
            <w:r w:rsidR="0097161C" w:rsidRPr="00B006A3">
              <w:rPr>
                <w:rStyle w:val="Hyperlink"/>
                <w:rFonts w:cs="Arial"/>
                <w:b/>
                <w:bCs/>
                <w:noProof/>
              </w:rPr>
              <w:t>Submitting the ESAt Report</w:t>
            </w:r>
            <w:r w:rsidR="0097161C">
              <w:rPr>
                <w:noProof/>
                <w:webHidden/>
              </w:rPr>
              <w:tab/>
            </w:r>
            <w:r w:rsidR="0097161C">
              <w:rPr>
                <w:noProof/>
                <w:webHidden/>
              </w:rPr>
              <w:fldChar w:fldCharType="begin"/>
            </w:r>
            <w:r w:rsidR="0097161C">
              <w:rPr>
                <w:noProof/>
                <w:webHidden/>
              </w:rPr>
              <w:instrText xml:space="preserve"> PAGEREF _Toc126830120 \h </w:instrText>
            </w:r>
            <w:r w:rsidR="0097161C">
              <w:rPr>
                <w:noProof/>
                <w:webHidden/>
              </w:rPr>
            </w:r>
            <w:r w:rsidR="0097161C">
              <w:rPr>
                <w:noProof/>
                <w:webHidden/>
              </w:rPr>
              <w:fldChar w:fldCharType="separate"/>
            </w:r>
            <w:r w:rsidR="00082082">
              <w:rPr>
                <w:noProof/>
                <w:webHidden/>
              </w:rPr>
              <w:t>13</w:t>
            </w:r>
            <w:r w:rsidR="0097161C">
              <w:rPr>
                <w:noProof/>
                <w:webHidden/>
              </w:rPr>
              <w:fldChar w:fldCharType="end"/>
            </w:r>
          </w:hyperlink>
        </w:p>
        <w:p w14:paraId="2F217DC0" w14:textId="2B8868C8" w:rsidR="0097161C" w:rsidRDefault="00C87E18">
          <w:pPr>
            <w:pStyle w:val="TOC3"/>
            <w:rPr>
              <w:rFonts w:eastAsiaTheme="minorEastAsia" w:cstheme="minorBidi"/>
              <w:noProof/>
              <w:sz w:val="22"/>
              <w:szCs w:val="22"/>
            </w:rPr>
          </w:pPr>
          <w:hyperlink w:anchor="_Toc126830121" w:history="1">
            <w:r w:rsidR="0097161C" w:rsidRPr="00B006A3">
              <w:rPr>
                <w:rStyle w:val="Hyperlink"/>
                <w:rFonts w:cs="Arial"/>
                <w:noProof/>
              </w:rPr>
              <w:t>Existing ESAt/JCA remains Valid</w:t>
            </w:r>
            <w:r w:rsidR="0097161C">
              <w:rPr>
                <w:noProof/>
                <w:webHidden/>
              </w:rPr>
              <w:tab/>
            </w:r>
            <w:r w:rsidR="0097161C">
              <w:rPr>
                <w:noProof/>
                <w:webHidden/>
              </w:rPr>
              <w:fldChar w:fldCharType="begin"/>
            </w:r>
            <w:r w:rsidR="0097161C">
              <w:rPr>
                <w:noProof/>
                <w:webHidden/>
              </w:rPr>
              <w:instrText xml:space="preserve"> PAGEREF _Toc126830121 \h </w:instrText>
            </w:r>
            <w:r w:rsidR="0097161C">
              <w:rPr>
                <w:noProof/>
                <w:webHidden/>
              </w:rPr>
            </w:r>
            <w:r w:rsidR="0097161C">
              <w:rPr>
                <w:noProof/>
                <w:webHidden/>
              </w:rPr>
              <w:fldChar w:fldCharType="separate"/>
            </w:r>
            <w:r w:rsidR="00082082">
              <w:rPr>
                <w:noProof/>
                <w:webHidden/>
              </w:rPr>
              <w:t>13</w:t>
            </w:r>
            <w:r w:rsidR="0097161C">
              <w:rPr>
                <w:noProof/>
                <w:webHidden/>
              </w:rPr>
              <w:fldChar w:fldCharType="end"/>
            </w:r>
          </w:hyperlink>
        </w:p>
        <w:p w14:paraId="32E1FA5B" w14:textId="4EF574BB" w:rsidR="0097161C" w:rsidRDefault="00C87E18">
          <w:pPr>
            <w:pStyle w:val="TOC3"/>
            <w:rPr>
              <w:rFonts w:eastAsiaTheme="minorEastAsia" w:cstheme="minorBidi"/>
              <w:noProof/>
              <w:sz w:val="22"/>
              <w:szCs w:val="22"/>
            </w:rPr>
          </w:pPr>
          <w:hyperlink w:anchor="_Toc126830122" w:history="1">
            <w:r w:rsidR="0097161C" w:rsidRPr="00B006A3">
              <w:rPr>
                <w:rStyle w:val="Hyperlink"/>
                <w:rFonts w:cs="Arial"/>
                <w:noProof/>
              </w:rPr>
              <w:t>Unchanged servicing requirements</w:t>
            </w:r>
            <w:r w:rsidR="0097161C">
              <w:rPr>
                <w:noProof/>
                <w:webHidden/>
              </w:rPr>
              <w:tab/>
            </w:r>
            <w:r w:rsidR="0097161C">
              <w:rPr>
                <w:noProof/>
                <w:webHidden/>
              </w:rPr>
              <w:fldChar w:fldCharType="begin"/>
            </w:r>
            <w:r w:rsidR="0097161C">
              <w:rPr>
                <w:noProof/>
                <w:webHidden/>
              </w:rPr>
              <w:instrText xml:space="preserve"> PAGEREF _Toc126830122 \h </w:instrText>
            </w:r>
            <w:r w:rsidR="0097161C">
              <w:rPr>
                <w:noProof/>
                <w:webHidden/>
              </w:rPr>
            </w:r>
            <w:r w:rsidR="0097161C">
              <w:rPr>
                <w:noProof/>
                <w:webHidden/>
              </w:rPr>
              <w:fldChar w:fldCharType="separate"/>
            </w:r>
            <w:r w:rsidR="00082082">
              <w:rPr>
                <w:noProof/>
                <w:webHidden/>
              </w:rPr>
              <w:t>13</w:t>
            </w:r>
            <w:r w:rsidR="0097161C">
              <w:rPr>
                <w:noProof/>
                <w:webHidden/>
              </w:rPr>
              <w:fldChar w:fldCharType="end"/>
            </w:r>
          </w:hyperlink>
        </w:p>
        <w:p w14:paraId="224E331A" w14:textId="4DC6DA17" w:rsidR="0097161C" w:rsidRDefault="00C87E18">
          <w:pPr>
            <w:pStyle w:val="TOC3"/>
            <w:rPr>
              <w:rFonts w:eastAsiaTheme="minorEastAsia" w:cstheme="minorBidi"/>
              <w:noProof/>
              <w:sz w:val="22"/>
              <w:szCs w:val="22"/>
            </w:rPr>
          </w:pPr>
          <w:hyperlink w:anchor="_Toc126830123" w:history="1">
            <w:r w:rsidR="0097161C" w:rsidRPr="00B006A3">
              <w:rPr>
                <w:rStyle w:val="Hyperlink"/>
                <w:rFonts w:cs="Arial"/>
                <w:noProof/>
              </w:rPr>
              <w:t>New participant eligible for DES</w:t>
            </w:r>
            <w:r w:rsidR="0097161C">
              <w:rPr>
                <w:noProof/>
                <w:webHidden/>
              </w:rPr>
              <w:tab/>
            </w:r>
            <w:r w:rsidR="0097161C">
              <w:rPr>
                <w:noProof/>
                <w:webHidden/>
              </w:rPr>
              <w:fldChar w:fldCharType="begin"/>
            </w:r>
            <w:r w:rsidR="0097161C">
              <w:rPr>
                <w:noProof/>
                <w:webHidden/>
              </w:rPr>
              <w:instrText xml:space="preserve"> PAGEREF _Toc126830123 \h </w:instrText>
            </w:r>
            <w:r w:rsidR="0097161C">
              <w:rPr>
                <w:noProof/>
                <w:webHidden/>
              </w:rPr>
            </w:r>
            <w:r w:rsidR="0097161C">
              <w:rPr>
                <w:noProof/>
                <w:webHidden/>
              </w:rPr>
              <w:fldChar w:fldCharType="separate"/>
            </w:r>
            <w:r w:rsidR="00082082">
              <w:rPr>
                <w:noProof/>
                <w:webHidden/>
              </w:rPr>
              <w:t>13</w:t>
            </w:r>
            <w:r w:rsidR="0097161C">
              <w:rPr>
                <w:noProof/>
                <w:webHidden/>
              </w:rPr>
              <w:fldChar w:fldCharType="end"/>
            </w:r>
          </w:hyperlink>
        </w:p>
        <w:p w14:paraId="2D0B2F35" w14:textId="612A3808" w:rsidR="0097161C" w:rsidRDefault="00C87E18">
          <w:pPr>
            <w:pStyle w:val="TOC3"/>
            <w:rPr>
              <w:rFonts w:eastAsiaTheme="minorEastAsia" w:cstheme="minorBidi"/>
              <w:noProof/>
              <w:sz w:val="22"/>
              <w:szCs w:val="22"/>
            </w:rPr>
          </w:pPr>
          <w:hyperlink w:anchor="_Toc126830124" w:history="1">
            <w:r w:rsidR="0097161C" w:rsidRPr="00B006A3">
              <w:rPr>
                <w:rStyle w:val="Hyperlink"/>
                <w:rFonts w:cs="Arial"/>
                <w:noProof/>
              </w:rPr>
              <w:t>Change in DES Service (DES-DMS/DES-ESS)</w:t>
            </w:r>
            <w:r w:rsidR="0097161C">
              <w:rPr>
                <w:noProof/>
                <w:webHidden/>
              </w:rPr>
              <w:tab/>
            </w:r>
            <w:r w:rsidR="0097161C">
              <w:rPr>
                <w:noProof/>
                <w:webHidden/>
              </w:rPr>
              <w:fldChar w:fldCharType="begin"/>
            </w:r>
            <w:r w:rsidR="0097161C">
              <w:rPr>
                <w:noProof/>
                <w:webHidden/>
              </w:rPr>
              <w:instrText xml:space="preserve"> PAGEREF _Toc126830124 \h </w:instrText>
            </w:r>
            <w:r w:rsidR="0097161C">
              <w:rPr>
                <w:noProof/>
                <w:webHidden/>
              </w:rPr>
            </w:r>
            <w:r w:rsidR="0097161C">
              <w:rPr>
                <w:noProof/>
                <w:webHidden/>
              </w:rPr>
              <w:fldChar w:fldCharType="separate"/>
            </w:r>
            <w:r w:rsidR="00082082">
              <w:rPr>
                <w:noProof/>
                <w:webHidden/>
              </w:rPr>
              <w:t>13</w:t>
            </w:r>
            <w:r w:rsidR="0097161C">
              <w:rPr>
                <w:noProof/>
                <w:webHidden/>
              </w:rPr>
              <w:fldChar w:fldCharType="end"/>
            </w:r>
          </w:hyperlink>
        </w:p>
        <w:p w14:paraId="211ED807" w14:textId="47386F21" w:rsidR="0097161C" w:rsidRDefault="00C87E18">
          <w:pPr>
            <w:pStyle w:val="TOC3"/>
            <w:rPr>
              <w:rFonts w:eastAsiaTheme="minorEastAsia" w:cstheme="minorBidi"/>
              <w:noProof/>
              <w:sz w:val="22"/>
              <w:szCs w:val="22"/>
            </w:rPr>
          </w:pPr>
          <w:hyperlink w:anchor="_Toc126830125" w:history="1">
            <w:r w:rsidR="0097161C" w:rsidRPr="00B006A3">
              <w:rPr>
                <w:rStyle w:val="Hyperlink"/>
                <w:rFonts w:cs="Arial"/>
                <w:noProof/>
              </w:rPr>
              <w:t>Report recommends Workforce Australia</w:t>
            </w:r>
            <w:r w:rsidR="0097161C">
              <w:rPr>
                <w:noProof/>
                <w:webHidden/>
              </w:rPr>
              <w:tab/>
            </w:r>
            <w:r w:rsidR="0097161C">
              <w:rPr>
                <w:noProof/>
                <w:webHidden/>
              </w:rPr>
              <w:fldChar w:fldCharType="begin"/>
            </w:r>
            <w:r w:rsidR="0097161C">
              <w:rPr>
                <w:noProof/>
                <w:webHidden/>
              </w:rPr>
              <w:instrText xml:space="preserve"> PAGEREF _Toc126830125 \h </w:instrText>
            </w:r>
            <w:r w:rsidR="0097161C">
              <w:rPr>
                <w:noProof/>
                <w:webHidden/>
              </w:rPr>
            </w:r>
            <w:r w:rsidR="0097161C">
              <w:rPr>
                <w:noProof/>
                <w:webHidden/>
              </w:rPr>
              <w:fldChar w:fldCharType="separate"/>
            </w:r>
            <w:r w:rsidR="00082082">
              <w:rPr>
                <w:noProof/>
                <w:webHidden/>
              </w:rPr>
              <w:t>14</w:t>
            </w:r>
            <w:r w:rsidR="0097161C">
              <w:rPr>
                <w:noProof/>
                <w:webHidden/>
              </w:rPr>
              <w:fldChar w:fldCharType="end"/>
            </w:r>
          </w:hyperlink>
        </w:p>
        <w:p w14:paraId="37523ADE" w14:textId="7C240FE1" w:rsidR="0097161C" w:rsidRDefault="00C87E18">
          <w:pPr>
            <w:pStyle w:val="TOC3"/>
            <w:rPr>
              <w:rFonts w:eastAsiaTheme="minorEastAsia" w:cstheme="minorBidi"/>
              <w:noProof/>
              <w:sz w:val="22"/>
              <w:szCs w:val="22"/>
            </w:rPr>
          </w:pPr>
          <w:hyperlink w:anchor="_Toc126830126" w:history="1">
            <w:r w:rsidR="0097161C" w:rsidRPr="00B006A3">
              <w:rPr>
                <w:rStyle w:val="Hyperlink"/>
                <w:rFonts w:cs="Arial"/>
                <w:noProof/>
              </w:rPr>
              <w:t>Participant unable to benefit in any Program</w:t>
            </w:r>
            <w:r w:rsidR="0097161C">
              <w:rPr>
                <w:noProof/>
                <w:webHidden/>
              </w:rPr>
              <w:tab/>
            </w:r>
            <w:r w:rsidR="0097161C">
              <w:rPr>
                <w:noProof/>
                <w:webHidden/>
              </w:rPr>
              <w:fldChar w:fldCharType="begin"/>
            </w:r>
            <w:r w:rsidR="0097161C">
              <w:rPr>
                <w:noProof/>
                <w:webHidden/>
              </w:rPr>
              <w:instrText xml:space="preserve"> PAGEREF _Toc126830126 \h </w:instrText>
            </w:r>
            <w:r w:rsidR="0097161C">
              <w:rPr>
                <w:noProof/>
                <w:webHidden/>
              </w:rPr>
            </w:r>
            <w:r w:rsidR="0097161C">
              <w:rPr>
                <w:noProof/>
                <w:webHidden/>
              </w:rPr>
              <w:fldChar w:fldCharType="separate"/>
            </w:r>
            <w:r w:rsidR="00082082">
              <w:rPr>
                <w:noProof/>
                <w:webHidden/>
              </w:rPr>
              <w:t>14</w:t>
            </w:r>
            <w:r w:rsidR="0097161C">
              <w:rPr>
                <w:noProof/>
                <w:webHidden/>
              </w:rPr>
              <w:fldChar w:fldCharType="end"/>
            </w:r>
          </w:hyperlink>
        </w:p>
        <w:p w14:paraId="68A92492" w14:textId="34BE79D1" w:rsidR="0097161C" w:rsidRDefault="00C87E18">
          <w:pPr>
            <w:pStyle w:val="TOC3"/>
            <w:rPr>
              <w:rFonts w:eastAsiaTheme="minorEastAsia" w:cstheme="minorBidi"/>
              <w:noProof/>
              <w:sz w:val="22"/>
              <w:szCs w:val="22"/>
            </w:rPr>
          </w:pPr>
          <w:hyperlink w:anchor="_Toc126830127" w:history="1">
            <w:r w:rsidR="0097161C" w:rsidRPr="00B006A3">
              <w:rPr>
                <w:rStyle w:val="Hyperlink"/>
                <w:rFonts w:cs="Arial"/>
                <w:noProof/>
              </w:rPr>
              <w:t>Participant unable to be immediately commenced</w:t>
            </w:r>
            <w:r w:rsidR="0097161C">
              <w:rPr>
                <w:noProof/>
                <w:webHidden/>
              </w:rPr>
              <w:tab/>
            </w:r>
            <w:r w:rsidR="0097161C">
              <w:rPr>
                <w:noProof/>
                <w:webHidden/>
              </w:rPr>
              <w:fldChar w:fldCharType="begin"/>
            </w:r>
            <w:r w:rsidR="0097161C">
              <w:rPr>
                <w:noProof/>
                <w:webHidden/>
              </w:rPr>
              <w:instrText xml:space="preserve"> PAGEREF _Toc126830127 \h </w:instrText>
            </w:r>
            <w:r w:rsidR="0097161C">
              <w:rPr>
                <w:noProof/>
                <w:webHidden/>
              </w:rPr>
            </w:r>
            <w:r w:rsidR="0097161C">
              <w:rPr>
                <w:noProof/>
                <w:webHidden/>
              </w:rPr>
              <w:fldChar w:fldCharType="separate"/>
            </w:r>
            <w:r w:rsidR="00082082">
              <w:rPr>
                <w:noProof/>
                <w:webHidden/>
              </w:rPr>
              <w:t>14</w:t>
            </w:r>
            <w:r w:rsidR="0097161C">
              <w:rPr>
                <w:noProof/>
                <w:webHidden/>
              </w:rPr>
              <w:fldChar w:fldCharType="end"/>
            </w:r>
          </w:hyperlink>
        </w:p>
        <w:p w14:paraId="3BECF1A5" w14:textId="55DC0F02" w:rsidR="0097161C" w:rsidRDefault="00C87E18">
          <w:pPr>
            <w:pStyle w:val="TOC2"/>
            <w:tabs>
              <w:tab w:val="right" w:pos="8681"/>
            </w:tabs>
            <w:rPr>
              <w:rFonts w:eastAsiaTheme="minorEastAsia" w:cstheme="minorBidi"/>
              <w:i w:val="0"/>
              <w:iCs w:val="0"/>
              <w:noProof/>
              <w:sz w:val="22"/>
              <w:szCs w:val="22"/>
            </w:rPr>
          </w:pPr>
          <w:hyperlink w:anchor="_Toc126830128" w:history="1">
            <w:r w:rsidR="0097161C" w:rsidRPr="00B006A3">
              <w:rPr>
                <w:rStyle w:val="Hyperlink"/>
                <w:rFonts w:cs="Arial"/>
                <w:b/>
                <w:bCs/>
                <w:noProof/>
              </w:rPr>
              <w:t>Participation in DES may be affected by the participant’s Work Capacity</w:t>
            </w:r>
            <w:r w:rsidR="0097161C">
              <w:rPr>
                <w:noProof/>
                <w:webHidden/>
              </w:rPr>
              <w:tab/>
            </w:r>
            <w:r w:rsidR="0097161C">
              <w:rPr>
                <w:noProof/>
                <w:webHidden/>
              </w:rPr>
              <w:fldChar w:fldCharType="begin"/>
            </w:r>
            <w:r w:rsidR="0097161C">
              <w:rPr>
                <w:noProof/>
                <w:webHidden/>
              </w:rPr>
              <w:instrText xml:space="preserve"> PAGEREF _Toc126830128 \h </w:instrText>
            </w:r>
            <w:r w:rsidR="0097161C">
              <w:rPr>
                <w:noProof/>
                <w:webHidden/>
              </w:rPr>
            </w:r>
            <w:r w:rsidR="0097161C">
              <w:rPr>
                <w:noProof/>
                <w:webHidden/>
              </w:rPr>
              <w:fldChar w:fldCharType="separate"/>
            </w:r>
            <w:r w:rsidR="00082082">
              <w:rPr>
                <w:noProof/>
                <w:webHidden/>
              </w:rPr>
              <w:t>14</w:t>
            </w:r>
            <w:r w:rsidR="0097161C">
              <w:rPr>
                <w:noProof/>
                <w:webHidden/>
              </w:rPr>
              <w:fldChar w:fldCharType="end"/>
            </w:r>
          </w:hyperlink>
        </w:p>
        <w:p w14:paraId="0BFF2368" w14:textId="7482002E" w:rsidR="0097161C" w:rsidRDefault="00C87E18">
          <w:pPr>
            <w:pStyle w:val="TOC3"/>
            <w:rPr>
              <w:rFonts w:eastAsiaTheme="minorEastAsia" w:cstheme="minorBidi"/>
              <w:noProof/>
              <w:sz w:val="22"/>
              <w:szCs w:val="22"/>
            </w:rPr>
          </w:pPr>
          <w:hyperlink w:anchor="_Toc126830129" w:history="1">
            <w:r w:rsidR="0097161C" w:rsidRPr="00B006A3">
              <w:rPr>
                <w:rStyle w:val="Hyperlink"/>
                <w:rFonts w:cs="Arial"/>
                <w:noProof/>
              </w:rPr>
              <w:t>Participant has Future Work Capacity of 0–7 hours per week</w:t>
            </w:r>
            <w:r w:rsidR="0097161C">
              <w:rPr>
                <w:noProof/>
                <w:webHidden/>
              </w:rPr>
              <w:tab/>
            </w:r>
            <w:r w:rsidR="0097161C">
              <w:rPr>
                <w:noProof/>
                <w:webHidden/>
              </w:rPr>
              <w:fldChar w:fldCharType="begin"/>
            </w:r>
            <w:r w:rsidR="0097161C">
              <w:rPr>
                <w:noProof/>
                <w:webHidden/>
              </w:rPr>
              <w:instrText xml:space="preserve"> PAGEREF _Toc126830129 \h </w:instrText>
            </w:r>
            <w:r w:rsidR="0097161C">
              <w:rPr>
                <w:noProof/>
                <w:webHidden/>
              </w:rPr>
            </w:r>
            <w:r w:rsidR="0097161C">
              <w:rPr>
                <w:noProof/>
                <w:webHidden/>
              </w:rPr>
              <w:fldChar w:fldCharType="separate"/>
            </w:r>
            <w:r w:rsidR="00082082">
              <w:rPr>
                <w:noProof/>
                <w:webHidden/>
              </w:rPr>
              <w:t>14</w:t>
            </w:r>
            <w:r w:rsidR="0097161C">
              <w:rPr>
                <w:noProof/>
                <w:webHidden/>
              </w:rPr>
              <w:fldChar w:fldCharType="end"/>
            </w:r>
          </w:hyperlink>
        </w:p>
        <w:p w14:paraId="55FE05CD" w14:textId="59763534" w:rsidR="0097161C" w:rsidRDefault="00C87E18">
          <w:pPr>
            <w:pStyle w:val="TOC3"/>
            <w:rPr>
              <w:rFonts w:eastAsiaTheme="minorEastAsia" w:cstheme="minorBidi"/>
              <w:noProof/>
              <w:sz w:val="22"/>
              <w:szCs w:val="22"/>
            </w:rPr>
          </w:pPr>
          <w:hyperlink w:anchor="_Toc126830130" w:history="1">
            <w:r w:rsidR="0097161C" w:rsidRPr="00B006A3">
              <w:rPr>
                <w:rStyle w:val="Hyperlink"/>
                <w:rFonts w:cs="Arial"/>
                <w:noProof/>
              </w:rPr>
              <w:t>Participant has Temporary Reduced Work Capacity of 0–14 hours per week</w:t>
            </w:r>
            <w:r w:rsidR="0097161C">
              <w:rPr>
                <w:noProof/>
                <w:webHidden/>
              </w:rPr>
              <w:tab/>
            </w:r>
            <w:r w:rsidR="0097161C">
              <w:rPr>
                <w:noProof/>
                <w:webHidden/>
              </w:rPr>
              <w:fldChar w:fldCharType="begin"/>
            </w:r>
            <w:r w:rsidR="0097161C">
              <w:rPr>
                <w:noProof/>
                <w:webHidden/>
              </w:rPr>
              <w:instrText xml:space="preserve"> PAGEREF _Toc126830130 \h </w:instrText>
            </w:r>
            <w:r w:rsidR="0097161C">
              <w:rPr>
                <w:noProof/>
                <w:webHidden/>
              </w:rPr>
            </w:r>
            <w:r w:rsidR="0097161C">
              <w:rPr>
                <w:noProof/>
                <w:webHidden/>
              </w:rPr>
              <w:fldChar w:fldCharType="separate"/>
            </w:r>
            <w:r w:rsidR="00082082">
              <w:rPr>
                <w:noProof/>
                <w:webHidden/>
              </w:rPr>
              <w:t>14</w:t>
            </w:r>
            <w:r w:rsidR="0097161C">
              <w:rPr>
                <w:noProof/>
                <w:webHidden/>
              </w:rPr>
              <w:fldChar w:fldCharType="end"/>
            </w:r>
          </w:hyperlink>
        </w:p>
        <w:p w14:paraId="0D316C15" w14:textId="0F41B07F" w:rsidR="0097161C" w:rsidRDefault="00C87E18">
          <w:pPr>
            <w:pStyle w:val="TOC3"/>
            <w:rPr>
              <w:rFonts w:eastAsiaTheme="minorEastAsia" w:cstheme="minorBidi"/>
              <w:noProof/>
              <w:sz w:val="22"/>
              <w:szCs w:val="22"/>
            </w:rPr>
          </w:pPr>
          <w:hyperlink w:anchor="_Toc126830131" w:history="1">
            <w:r w:rsidR="0097161C" w:rsidRPr="00B006A3">
              <w:rPr>
                <w:rStyle w:val="Hyperlink"/>
                <w:rFonts w:cs="Arial"/>
                <w:noProof/>
              </w:rPr>
              <w:t>Participant has Baseline or Future Work Capacity of 30+ hours per week</w:t>
            </w:r>
            <w:r w:rsidR="0097161C">
              <w:rPr>
                <w:noProof/>
                <w:webHidden/>
              </w:rPr>
              <w:tab/>
            </w:r>
            <w:r w:rsidR="0097161C">
              <w:rPr>
                <w:noProof/>
                <w:webHidden/>
              </w:rPr>
              <w:fldChar w:fldCharType="begin"/>
            </w:r>
            <w:r w:rsidR="0097161C">
              <w:rPr>
                <w:noProof/>
                <w:webHidden/>
              </w:rPr>
              <w:instrText xml:space="preserve"> PAGEREF _Toc126830131 \h </w:instrText>
            </w:r>
            <w:r w:rsidR="0097161C">
              <w:rPr>
                <w:noProof/>
                <w:webHidden/>
              </w:rPr>
            </w:r>
            <w:r w:rsidR="0097161C">
              <w:rPr>
                <w:noProof/>
                <w:webHidden/>
              </w:rPr>
              <w:fldChar w:fldCharType="separate"/>
            </w:r>
            <w:r w:rsidR="00082082">
              <w:rPr>
                <w:noProof/>
                <w:webHidden/>
              </w:rPr>
              <w:t>14</w:t>
            </w:r>
            <w:r w:rsidR="0097161C">
              <w:rPr>
                <w:noProof/>
                <w:webHidden/>
              </w:rPr>
              <w:fldChar w:fldCharType="end"/>
            </w:r>
          </w:hyperlink>
        </w:p>
        <w:p w14:paraId="3C0C169B" w14:textId="780CB3E1" w:rsidR="0097161C" w:rsidRDefault="00C87E18">
          <w:pPr>
            <w:pStyle w:val="TOC2"/>
            <w:tabs>
              <w:tab w:val="right" w:pos="8681"/>
            </w:tabs>
            <w:rPr>
              <w:rFonts w:eastAsiaTheme="minorEastAsia" w:cstheme="minorBidi"/>
              <w:i w:val="0"/>
              <w:iCs w:val="0"/>
              <w:noProof/>
              <w:sz w:val="22"/>
              <w:szCs w:val="22"/>
            </w:rPr>
          </w:pPr>
          <w:hyperlink w:anchor="_Toc126830132" w:history="1">
            <w:r w:rsidR="0097161C" w:rsidRPr="00B006A3">
              <w:rPr>
                <w:rStyle w:val="Hyperlink"/>
                <w:rFonts w:cs="Arial"/>
                <w:b/>
                <w:bCs/>
                <w:noProof/>
              </w:rPr>
              <w:t>Request for review of an ESAt recommended referral (‘Disputed Assessment’)</w:t>
            </w:r>
            <w:r w:rsidR="0097161C">
              <w:rPr>
                <w:noProof/>
                <w:webHidden/>
              </w:rPr>
              <w:tab/>
            </w:r>
            <w:r w:rsidR="0097161C">
              <w:rPr>
                <w:noProof/>
                <w:webHidden/>
              </w:rPr>
              <w:fldChar w:fldCharType="begin"/>
            </w:r>
            <w:r w:rsidR="0097161C">
              <w:rPr>
                <w:noProof/>
                <w:webHidden/>
              </w:rPr>
              <w:instrText xml:space="preserve"> PAGEREF _Toc126830132 \h </w:instrText>
            </w:r>
            <w:r w:rsidR="0097161C">
              <w:rPr>
                <w:noProof/>
                <w:webHidden/>
              </w:rPr>
            </w:r>
            <w:r w:rsidR="0097161C">
              <w:rPr>
                <w:noProof/>
                <w:webHidden/>
              </w:rPr>
              <w:fldChar w:fldCharType="separate"/>
            </w:r>
            <w:r w:rsidR="00082082">
              <w:rPr>
                <w:noProof/>
                <w:webHidden/>
              </w:rPr>
              <w:t>15</w:t>
            </w:r>
            <w:r w:rsidR="0097161C">
              <w:rPr>
                <w:noProof/>
                <w:webHidden/>
              </w:rPr>
              <w:fldChar w:fldCharType="end"/>
            </w:r>
          </w:hyperlink>
        </w:p>
        <w:p w14:paraId="36CBFBE5" w14:textId="1AC905FC" w:rsidR="0097161C" w:rsidRDefault="00C87E18">
          <w:pPr>
            <w:pStyle w:val="TOC3"/>
            <w:rPr>
              <w:rFonts w:eastAsiaTheme="minorEastAsia" w:cstheme="minorBidi"/>
              <w:noProof/>
              <w:sz w:val="22"/>
              <w:szCs w:val="22"/>
            </w:rPr>
          </w:pPr>
          <w:hyperlink w:anchor="_Toc126830133" w:history="1">
            <w:r w:rsidR="0097161C" w:rsidRPr="00B006A3">
              <w:rPr>
                <w:rStyle w:val="Hyperlink"/>
                <w:rFonts w:cs="Arial"/>
                <w:noProof/>
              </w:rPr>
              <w:t>Requests from DES Providers</w:t>
            </w:r>
            <w:r w:rsidR="0097161C">
              <w:rPr>
                <w:noProof/>
                <w:webHidden/>
              </w:rPr>
              <w:tab/>
            </w:r>
            <w:r w:rsidR="0097161C">
              <w:rPr>
                <w:noProof/>
                <w:webHidden/>
              </w:rPr>
              <w:fldChar w:fldCharType="begin"/>
            </w:r>
            <w:r w:rsidR="0097161C">
              <w:rPr>
                <w:noProof/>
                <w:webHidden/>
              </w:rPr>
              <w:instrText xml:space="preserve"> PAGEREF _Toc126830133 \h </w:instrText>
            </w:r>
            <w:r w:rsidR="0097161C">
              <w:rPr>
                <w:noProof/>
                <w:webHidden/>
              </w:rPr>
            </w:r>
            <w:r w:rsidR="0097161C">
              <w:rPr>
                <w:noProof/>
                <w:webHidden/>
              </w:rPr>
              <w:fldChar w:fldCharType="separate"/>
            </w:r>
            <w:r w:rsidR="00082082">
              <w:rPr>
                <w:noProof/>
                <w:webHidden/>
              </w:rPr>
              <w:t>15</w:t>
            </w:r>
            <w:r w:rsidR="0097161C">
              <w:rPr>
                <w:noProof/>
                <w:webHidden/>
              </w:rPr>
              <w:fldChar w:fldCharType="end"/>
            </w:r>
          </w:hyperlink>
        </w:p>
        <w:p w14:paraId="4A8B53E3" w14:textId="28D75A38" w:rsidR="0097161C" w:rsidRDefault="00C87E18">
          <w:pPr>
            <w:pStyle w:val="TOC3"/>
            <w:rPr>
              <w:rFonts w:eastAsiaTheme="minorEastAsia" w:cstheme="minorBidi"/>
              <w:noProof/>
              <w:sz w:val="22"/>
              <w:szCs w:val="22"/>
            </w:rPr>
          </w:pPr>
          <w:hyperlink w:anchor="_Toc126830134" w:history="1">
            <w:r w:rsidR="0097161C" w:rsidRPr="00B006A3">
              <w:rPr>
                <w:rStyle w:val="Hyperlink"/>
                <w:rFonts w:cs="Arial"/>
                <w:noProof/>
              </w:rPr>
              <w:t>Requests from participants</w:t>
            </w:r>
            <w:r w:rsidR="0097161C">
              <w:rPr>
                <w:noProof/>
                <w:webHidden/>
              </w:rPr>
              <w:tab/>
            </w:r>
            <w:r w:rsidR="0097161C">
              <w:rPr>
                <w:noProof/>
                <w:webHidden/>
              </w:rPr>
              <w:fldChar w:fldCharType="begin"/>
            </w:r>
            <w:r w:rsidR="0097161C">
              <w:rPr>
                <w:noProof/>
                <w:webHidden/>
              </w:rPr>
              <w:instrText xml:space="preserve"> PAGEREF _Toc126830134 \h </w:instrText>
            </w:r>
            <w:r w:rsidR="0097161C">
              <w:rPr>
                <w:noProof/>
                <w:webHidden/>
              </w:rPr>
            </w:r>
            <w:r w:rsidR="0097161C">
              <w:rPr>
                <w:noProof/>
                <w:webHidden/>
              </w:rPr>
              <w:fldChar w:fldCharType="separate"/>
            </w:r>
            <w:r w:rsidR="00082082">
              <w:rPr>
                <w:noProof/>
                <w:webHidden/>
              </w:rPr>
              <w:t>15</w:t>
            </w:r>
            <w:r w:rsidR="0097161C">
              <w:rPr>
                <w:noProof/>
                <w:webHidden/>
              </w:rPr>
              <w:fldChar w:fldCharType="end"/>
            </w:r>
          </w:hyperlink>
        </w:p>
        <w:p w14:paraId="5E1E012E" w14:textId="4BF77EB9" w:rsidR="0097161C" w:rsidRDefault="00C87E18">
          <w:pPr>
            <w:pStyle w:val="TOC3"/>
            <w:rPr>
              <w:rFonts w:eastAsiaTheme="minorEastAsia" w:cstheme="minorBidi"/>
              <w:noProof/>
              <w:sz w:val="22"/>
              <w:szCs w:val="22"/>
            </w:rPr>
          </w:pPr>
          <w:hyperlink w:anchor="_Toc126830135" w:history="1">
            <w:r w:rsidR="0097161C" w:rsidRPr="00B006A3">
              <w:rPr>
                <w:rStyle w:val="Hyperlink"/>
                <w:rFonts w:cs="Arial"/>
                <w:noProof/>
              </w:rPr>
              <w:t>Participant has a Partial Capacity to Work or a Temporary Reduced Work Capacity</w:t>
            </w:r>
            <w:r w:rsidR="0097161C">
              <w:rPr>
                <w:noProof/>
                <w:webHidden/>
              </w:rPr>
              <w:tab/>
            </w:r>
            <w:r w:rsidR="0097161C">
              <w:rPr>
                <w:noProof/>
                <w:webHidden/>
              </w:rPr>
              <w:fldChar w:fldCharType="begin"/>
            </w:r>
            <w:r w:rsidR="0097161C">
              <w:rPr>
                <w:noProof/>
                <w:webHidden/>
              </w:rPr>
              <w:instrText xml:space="preserve"> PAGEREF _Toc126830135 \h </w:instrText>
            </w:r>
            <w:r w:rsidR="0097161C">
              <w:rPr>
                <w:noProof/>
                <w:webHidden/>
              </w:rPr>
            </w:r>
            <w:r w:rsidR="0097161C">
              <w:rPr>
                <w:noProof/>
                <w:webHidden/>
              </w:rPr>
              <w:fldChar w:fldCharType="separate"/>
            </w:r>
            <w:r w:rsidR="00082082">
              <w:rPr>
                <w:noProof/>
                <w:webHidden/>
              </w:rPr>
              <w:t>15</w:t>
            </w:r>
            <w:r w:rsidR="0097161C">
              <w:rPr>
                <w:noProof/>
                <w:webHidden/>
              </w:rPr>
              <w:fldChar w:fldCharType="end"/>
            </w:r>
          </w:hyperlink>
        </w:p>
        <w:p w14:paraId="40203A1F" w14:textId="5D801855" w:rsidR="0097161C" w:rsidRDefault="00C87E18">
          <w:pPr>
            <w:pStyle w:val="TOC2"/>
            <w:tabs>
              <w:tab w:val="right" w:pos="8681"/>
            </w:tabs>
            <w:rPr>
              <w:rFonts w:eastAsiaTheme="minorEastAsia" w:cstheme="minorBidi"/>
              <w:i w:val="0"/>
              <w:iCs w:val="0"/>
              <w:noProof/>
              <w:sz w:val="22"/>
              <w:szCs w:val="22"/>
            </w:rPr>
          </w:pPr>
          <w:hyperlink w:anchor="_Toc126830136" w:history="1">
            <w:r w:rsidR="0097161C" w:rsidRPr="00B006A3">
              <w:rPr>
                <w:rStyle w:val="Hyperlink"/>
                <w:rFonts w:cs="Arial"/>
                <w:b/>
                <w:bCs/>
                <w:noProof/>
              </w:rPr>
              <w:t>DES Participant with a deferred referral from Services Australia</w:t>
            </w:r>
            <w:r w:rsidR="0097161C">
              <w:rPr>
                <w:noProof/>
                <w:webHidden/>
              </w:rPr>
              <w:tab/>
            </w:r>
            <w:r w:rsidR="0097161C">
              <w:rPr>
                <w:noProof/>
                <w:webHidden/>
              </w:rPr>
              <w:fldChar w:fldCharType="begin"/>
            </w:r>
            <w:r w:rsidR="0097161C">
              <w:rPr>
                <w:noProof/>
                <w:webHidden/>
              </w:rPr>
              <w:instrText xml:space="preserve"> PAGEREF _Toc126830136 \h </w:instrText>
            </w:r>
            <w:r w:rsidR="0097161C">
              <w:rPr>
                <w:noProof/>
                <w:webHidden/>
              </w:rPr>
            </w:r>
            <w:r w:rsidR="0097161C">
              <w:rPr>
                <w:noProof/>
                <w:webHidden/>
              </w:rPr>
              <w:fldChar w:fldCharType="separate"/>
            </w:r>
            <w:r w:rsidR="00082082">
              <w:rPr>
                <w:noProof/>
                <w:webHidden/>
              </w:rPr>
              <w:t>15</w:t>
            </w:r>
            <w:r w:rsidR="0097161C">
              <w:rPr>
                <w:noProof/>
                <w:webHidden/>
              </w:rPr>
              <w:fldChar w:fldCharType="end"/>
            </w:r>
          </w:hyperlink>
        </w:p>
        <w:p w14:paraId="2F628D22" w14:textId="25476065" w:rsidR="0097161C" w:rsidRDefault="00C87E18">
          <w:pPr>
            <w:pStyle w:val="TOC2"/>
            <w:tabs>
              <w:tab w:val="right" w:pos="8681"/>
            </w:tabs>
            <w:rPr>
              <w:rFonts w:eastAsiaTheme="minorEastAsia" w:cstheme="minorBidi"/>
              <w:i w:val="0"/>
              <w:iCs w:val="0"/>
              <w:noProof/>
              <w:sz w:val="22"/>
              <w:szCs w:val="22"/>
            </w:rPr>
          </w:pPr>
          <w:hyperlink w:anchor="_Toc126830137" w:history="1">
            <w:r w:rsidR="0097161C" w:rsidRPr="00B006A3">
              <w:rPr>
                <w:rStyle w:val="Hyperlink"/>
                <w:rFonts w:cs="Arial"/>
                <w:b/>
                <w:bCs/>
                <w:noProof/>
              </w:rPr>
              <w:t>Providing copies of the ESAt/JCA Report</w:t>
            </w:r>
            <w:r w:rsidR="0097161C">
              <w:rPr>
                <w:noProof/>
                <w:webHidden/>
              </w:rPr>
              <w:tab/>
            </w:r>
            <w:r w:rsidR="0097161C">
              <w:rPr>
                <w:noProof/>
                <w:webHidden/>
              </w:rPr>
              <w:fldChar w:fldCharType="begin"/>
            </w:r>
            <w:r w:rsidR="0097161C">
              <w:rPr>
                <w:noProof/>
                <w:webHidden/>
              </w:rPr>
              <w:instrText xml:space="preserve"> PAGEREF _Toc126830137 \h </w:instrText>
            </w:r>
            <w:r w:rsidR="0097161C">
              <w:rPr>
                <w:noProof/>
                <w:webHidden/>
              </w:rPr>
            </w:r>
            <w:r w:rsidR="0097161C">
              <w:rPr>
                <w:noProof/>
                <w:webHidden/>
              </w:rPr>
              <w:fldChar w:fldCharType="separate"/>
            </w:r>
            <w:r w:rsidR="00082082">
              <w:rPr>
                <w:noProof/>
                <w:webHidden/>
              </w:rPr>
              <w:t>16</w:t>
            </w:r>
            <w:r w:rsidR="0097161C">
              <w:rPr>
                <w:noProof/>
                <w:webHidden/>
              </w:rPr>
              <w:fldChar w:fldCharType="end"/>
            </w:r>
          </w:hyperlink>
        </w:p>
        <w:p w14:paraId="72CD0AF8" w14:textId="2E87CE27" w:rsidR="0097161C" w:rsidRDefault="00C87E18">
          <w:pPr>
            <w:pStyle w:val="TOC2"/>
            <w:tabs>
              <w:tab w:val="right" w:pos="8681"/>
            </w:tabs>
            <w:rPr>
              <w:rFonts w:eastAsiaTheme="minorEastAsia" w:cstheme="minorBidi"/>
              <w:i w:val="0"/>
              <w:iCs w:val="0"/>
              <w:noProof/>
              <w:sz w:val="22"/>
              <w:szCs w:val="22"/>
            </w:rPr>
          </w:pPr>
          <w:hyperlink w:anchor="_Toc126830138" w:history="1">
            <w:r w:rsidR="0097161C" w:rsidRPr="00B006A3">
              <w:rPr>
                <w:rStyle w:val="Hyperlink"/>
                <w:rFonts w:cs="Arial"/>
                <w:b/>
                <w:bCs/>
                <w:noProof/>
              </w:rPr>
              <w:t>Special Participant Groups</w:t>
            </w:r>
            <w:r w:rsidR="0097161C">
              <w:rPr>
                <w:noProof/>
                <w:webHidden/>
              </w:rPr>
              <w:tab/>
            </w:r>
            <w:r w:rsidR="0097161C">
              <w:rPr>
                <w:noProof/>
                <w:webHidden/>
              </w:rPr>
              <w:fldChar w:fldCharType="begin"/>
            </w:r>
            <w:r w:rsidR="0097161C">
              <w:rPr>
                <w:noProof/>
                <w:webHidden/>
              </w:rPr>
              <w:instrText xml:space="preserve"> PAGEREF _Toc126830138 \h </w:instrText>
            </w:r>
            <w:r w:rsidR="0097161C">
              <w:rPr>
                <w:noProof/>
                <w:webHidden/>
              </w:rPr>
            </w:r>
            <w:r w:rsidR="0097161C">
              <w:rPr>
                <w:noProof/>
                <w:webHidden/>
              </w:rPr>
              <w:fldChar w:fldCharType="separate"/>
            </w:r>
            <w:r w:rsidR="00082082">
              <w:rPr>
                <w:noProof/>
                <w:webHidden/>
              </w:rPr>
              <w:t>16</w:t>
            </w:r>
            <w:r w:rsidR="0097161C">
              <w:rPr>
                <w:noProof/>
                <w:webHidden/>
              </w:rPr>
              <w:fldChar w:fldCharType="end"/>
            </w:r>
          </w:hyperlink>
        </w:p>
        <w:p w14:paraId="3F2AC015" w14:textId="357EC073" w:rsidR="0097161C" w:rsidRDefault="00C87E18">
          <w:pPr>
            <w:pStyle w:val="TOC3"/>
            <w:rPr>
              <w:rFonts w:eastAsiaTheme="minorEastAsia" w:cstheme="minorBidi"/>
              <w:noProof/>
              <w:sz w:val="22"/>
              <w:szCs w:val="22"/>
            </w:rPr>
          </w:pPr>
          <w:hyperlink w:anchor="_Toc126830139" w:history="1">
            <w:r w:rsidR="0097161C" w:rsidRPr="00B006A3">
              <w:rPr>
                <w:rStyle w:val="Hyperlink"/>
                <w:rFonts w:cs="Arial"/>
                <w:noProof/>
              </w:rPr>
              <w:t>DSP Recipients</w:t>
            </w:r>
            <w:r w:rsidR="0097161C">
              <w:rPr>
                <w:noProof/>
                <w:webHidden/>
              </w:rPr>
              <w:tab/>
            </w:r>
            <w:r w:rsidR="0097161C">
              <w:rPr>
                <w:noProof/>
                <w:webHidden/>
              </w:rPr>
              <w:fldChar w:fldCharType="begin"/>
            </w:r>
            <w:r w:rsidR="0097161C">
              <w:rPr>
                <w:noProof/>
                <w:webHidden/>
              </w:rPr>
              <w:instrText xml:space="preserve"> PAGEREF _Toc126830139 \h </w:instrText>
            </w:r>
            <w:r w:rsidR="0097161C">
              <w:rPr>
                <w:noProof/>
                <w:webHidden/>
              </w:rPr>
            </w:r>
            <w:r w:rsidR="0097161C">
              <w:rPr>
                <w:noProof/>
                <w:webHidden/>
              </w:rPr>
              <w:fldChar w:fldCharType="separate"/>
            </w:r>
            <w:r w:rsidR="00082082">
              <w:rPr>
                <w:noProof/>
                <w:webHidden/>
              </w:rPr>
              <w:t>16</w:t>
            </w:r>
            <w:r w:rsidR="0097161C">
              <w:rPr>
                <w:noProof/>
                <w:webHidden/>
              </w:rPr>
              <w:fldChar w:fldCharType="end"/>
            </w:r>
          </w:hyperlink>
        </w:p>
        <w:p w14:paraId="6617C65C" w14:textId="40B9DCF7" w:rsidR="0097161C" w:rsidRDefault="00C87E18">
          <w:pPr>
            <w:pStyle w:val="TOC3"/>
            <w:rPr>
              <w:rFonts w:eastAsiaTheme="minorEastAsia" w:cstheme="minorBidi"/>
              <w:noProof/>
              <w:sz w:val="22"/>
              <w:szCs w:val="22"/>
            </w:rPr>
          </w:pPr>
          <w:hyperlink w:anchor="_Toc126830140" w:history="1">
            <w:r w:rsidR="0097161C" w:rsidRPr="00B006A3">
              <w:rPr>
                <w:rStyle w:val="Hyperlink"/>
                <w:noProof/>
              </w:rPr>
              <w:t>People who are deaf and hard of hearing</w:t>
            </w:r>
            <w:r w:rsidR="0097161C">
              <w:rPr>
                <w:noProof/>
                <w:webHidden/>
              </w:rPr>
              <w:tab/>
            </w:r>
            <w:r w:rsidR="0097161C">
              <w:rPr>
                <w:noProof/>
                <w:webHidden/>
              </w:rPr>
              <w:fldChar w:fldCharType="begin"/>
            </w:r>
            <w:r w:rsidR="0097161C">
              <w:rPr>
                <w:noProof/>
                <w:webHidden/>
              </w:rPr>
              <w:instrText xml:space="preserve"> PAGEREF _Toc126830140 \h </w:instrText>
            </w:r>
            <w:r w:rsidR="0097161C">
              <w:rPr>
                <w:noProof/>
                <w:webHidden/>
              </w:rPr>
            </w:r>
            <w:r w:rsidR="0097161C">
              <w:rPr>
                <w:noProof/>
                <w:webHidden/>
              </w:rPr>
              <w:fldChar w:fldCharType="separate"/>
            </w:r>
            <w:r w:rsidR="00082082">
              <w:rPr>
                <w:noProof/>
                <w:webHidden/>
              </w:rPr>
              <w:t>16</w:t>
            </w:r>
            <w:r w:rsidR="0097161C">
              <w:rPr>
                <w:noProof/>
                <w:webHidden/>
              </w:rPr>
              <w:fldChar w:fldCharType="end"/>
            </w:r>
          </w:hyperlink>
        </w:p>
        <w:p w14:paraId="7578024D" w14:textId="60F2E584" w:rsidR="006F5E6D" w:rsidRPr="006F4C17" w:rsidRDefault="00BA17CF" w:rsidP="00BA17CF">
          <w:pPr>
            <w:pStyle w:val="TOC3"/>
          </w:pPr>
          <w:r>
            <w:rPr>
              <w:rStyle w:val="Hyperlink"/>
              <w:noProof/>
              <w:color w:val="auto"/>
              <w:sz w:val="22"/>
              <w:szCs w:val="22"/>
            </w:rPr>
            <w:fldChar w:fldCharType="end"/>
          </w:r>
        </w:p>
      </w:sdtContent>
    </w:sdt>
    <w:p w14:paraId="17FD4B39" w14:textId="77777777" w:rsidR="00E02F7E" w:rsidRDefault="00E02F7E" w:rsidP="007214E6">
      <w:pPr>
        <w:spacing w:before="120" w:after="120"/>
      </w:pPr>
    </w:p>
    <w:p w14:paraId="6B3B77EF" w14:textId="77777777" w:rsidR="00E02F7E" w:rsidRDefault="00E02F7E" w:rsidP="00E02F7E">
      <w:pPr>
        <w:tabs>
          <w:tab w:val="left" w:pos="1755"/>
        </w:tabs>
        <w:spacing w:before="120" w:after="120"/>
      </w:pPr>
      <w:r>
        <w:tab/>
      </w:r>
    </w:p>
    <w:p w14:paraId="63750ECC" w14:textId="77777777" w:rsidR="000B61DC" w:rsidRPr="00CF203F" w:rsidRDefault="0008418F" w:rsidP="007214E6">
      <w:pPr>
        <w:spacing w:before="120" w:after="120"/>
        <w:rPr>
          <w:b/>
          <w:sz w:val="20"/>
          <w:szCs w:val="20"/>
        </w:rPr>
      </w:pPr>
      <w:r w:rsidRPr="00E02F7E">
        <w:br w:type="page"/>
      </w:r>
      <w:bookmarkStart w:id="12" w:name="_Toc227571645"/>
      <w:r w:rsidR="000B61DC" w:rsidRPr="00CF203F">
        <w:rPr>
          <w:b/>
          <w:sz w:val="20"/>
          <w:szCs w:val="20"/>
        </w:rPr>
        <w:lastRenderedPageBreak/>
        <w:t>Referral for an Employment Services Assessment Guidelines</w:t>
      </w:r>
    </w:p>
    <w:p w14:paraId="1CC5956F" w14:textId="77777777" w:rsidR="00CF203F" w:rsidRPr="00CF203F" w:rsidRDefault="00CF203F" w:rsidP="00CF203F">
      <w:pPr>
        <w:pStyle w:val="Heading3"/>
        <w:spacing w:before="120" w:after="120"/>
        <w:rPr>
          <w:color w:val="000000" w:themeColor="text1"/>
        </w:rPr>
      </w:pPr>
      <w:bookmarkStart w:id="13" w:name="_Toc126830098"/>
      <w:r w:rsidRPr="00CF203F">
        <w:rPr>
          <w:color w:val="000000" w:themeColor="text1"/>
        </w:rPr>
        <w:t>Document Change History</w:t>
      </w:r>
      <w:bookmarkEnd w:id="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417"/>
        <w:gridCol w:w="1559"/>
        <w:gridCol w:w="4631"/>
      </w:tblGrid>
      <w:tr w:rsidR="001D7C32" w:rsidRPr="001333EE" w14:paraId="19A9AAA6" w14:textId="77777777" w:rsidTr="00077A82">
        <w:trPr>
          <w:tblHeader/>
          <w:jc w:val="center"/>
        </w:trPr>
        <w:tc>
          <w:tcPr>
            <w:tcW w:w="988" w:type="dxa"/>
            <w:shd w:val="clear" w:color="auto" w:fill="auto"/>
          </w:tcPr>
          <w:p w14:paraId="63027753" w14:textId="77777777" w:rsidR="001D7C32" w:rsidRPr="007214E6" w:rsidRDefault="001D7C32">
            <w:pPr>
              <w:pStyle w:val="TableHeading"/>
              <w:rPr>
                <w:color w:val="auto"/>
                <w:sz w:val="22"/>
                <w:szCs w:val="22"/>
              </w:rPr>
            </w:pPr>
            <w:bookmarkStart w:id="14" w:name="_GoBack" w:colFirst="0" w:colLast="4"/>
            <w:bookmarkEnd w:id="12"/>
            <w:r w:rsidRPr="007214E6">
              <w:rPr>
                <w:color w:val="auto"/>
                <w:sz w:val="22"/>
                <w:szCs w:val="22"/>
              </w:rPr>
              <w:t>Version</w:t>
            </w:r>
          </w:p>
        </w:tc>
        <w:tc>
          <w:tcPr>
            <w:tcW w:w="1417" w:type="dxa"/>
            <w:tcBorders>
              <w:bottom w:val="single" w:sz="4" w:space="0" w:color="auto"/>
            </w:tcBorders>
            <w:shd w:val="clear" w:color="auto" w:fill="auto"/>
          </w:tcPr>
          <w:p w14:paraId="70A8873D" w14:textId="77777777" w:rsidR="001D7C32" w:rsidRPr="007214E6" w:rsidRDefault="001D7C32">
            <w:pPr>
              <w:pStyle w:val="TableHeading"/>
              <w:rPr>
                <w:color w:val="auto"/>
                <w:sz w:val="22"/>
                <w:szCs w:val="22"/>
              </w:rPr>
            </w:pPr>
            <w:r w:rsidRPr="007214E6">
              <w:rPr>
                <w:color w:val="auto"/>
                <w:sz w:val="22"/>
                <w:szCs w:val="22"/>
              </w:rPr>
              <w:t>Effective Date</w:t>
            </w:r>
          </w:p>
        </w:tc>
        <w:tc>
          <w:tcPr>
            <w:tcW w:w="1559" w:type="dxa"/>
            <w:tcBorders>
              <w:bottom w:val="single" w:sz="4" w:space="0" w:color="auto"/>
            </w:tcBorders>
            <w:shd w:val="clear" w:color="auto" w:fill="auto"/>
          </w:tcPr>
          <w:p w14:paraId="0C591212" w14:textId="77777777" w:rsidR="001D7C32" w:rsidRPr="007214E6" w:rsidRDefault="001D7C32" w:rsidP="001D7C32">
            <w:pPr>
              <w:pStyle w:val="TableHeading"/>
              <w:rPr>
                <w:color w:val="auto"/>
                <w:sz w:val="22"/>
                <w:szCs w:val="22"/>
              </w:rPr>
            </w:pPr>
            <w:r w:rsidRPr="007214E6">
              <w:rPr>
                <w:color w:val="auto"/>
                <w:sz w:val="22"/>
                <w:szCs w:val="22"/>
              </w:rPr>
              <w:t>End Date</w:t>
            </w:r>
          </w:p>
        </w:tc>
        <w:tc>
          <w:tcPr>
            <w:tcW w:w="4631" w:type="dxa"/>
            <w:shd w:val="clear" w:color="auto" w:fill="auto"/>
            <w:vAlign w:val="center"/>
          </w:tcPr>
          <w:p w14:paraId="5016E706" w14:textId="77777777" w:rsidR="001D7C32" w:rsidRPr="007214E6" w:rsidRDefault="001D7C32">
            <w:pPr>
              <w:pStyle w:val="TableHeading"/>
              <w:rPr>
                <w:color w:val="auto"/>
                <w:sz w:val="22"/>
                <w:szCs w:val="22"/>
              </w:rPr>
            </w:pPr>
            <w:r w:rsidRPr="007214E6">
              <w:rPr>
                <w:color w:val="auto"/>
                <w:sz w:val="22"/>
                <w:szCs w:val="22"/>
              </w:rPr>
              <w:t>Change &amp; Location</w:t>
            </w:r>
          </w:p>
        </w:tc>
      </w:tr>
      <w:tr w:rsidR="00FE2880" w:rsidRPr="00DF23AF" w14:paraId="252C1B59" w14:textId="77777777" w:rsidTr="00077A82">
        <w:trPr>
          <w:jc w:val="center"/>
        </w:trPr>
        <w:tc>
          <w:tcPr>
            <w:tcW w:w="988" w:type="dxa"/>
          </w:tcPr>
          <w:p w14:paraId="2D4DADE1" w14:textId="3EB9ECAB" w:rsidR="00FE2880" w:rsidRDefault="00FE2880" w:rsidP="00B91493">
            <w:pPr>
              <w:spacing w:before="120" w:after="120"/>
              <w:jc w:val="center"/>
              <w:rPr>
                <w:sz w:val="22"/>
                <w:szCs w:val="22"/>
              </w:rPr>
            </w:pPr>
            <w:r>
              <w:rPr>
                <w:sz w:val="22"/>
                <w:szCs w:val="22"/>
              </w:rPr>
              <w:t>1.5</w:t>
            </w:r>
          </w:p>
        </w:tc>
        <w:tc>
          <w:tcPr>
            <w:tcW w:w="1417" w:type="dxa"/>
          </w:tcPr>
          <w:p w14:paraId="18145108" w14:textId="45D05064" w:rsidR="00FE2880" w:rsidRDefault="00FE2880" w:rsidP="00B91493">
            <w:pPr>
              <w:spacing w:before="120" w:after="120"/>
              <w:jc w:val="center"/>
              <w:rPr>
                <w:sz w:val="22"/>
                <w:szCs w:val="22"/>
              </w:rPr>
            </w:pPr>
            <w:r>
              <w:rPr>
                <w:sz w:val="22"/>
                <w:szCs w:val="22"/>
              </w:rPr>
              <w:t>1 April 2023</w:t>
            </w:r>
          </w:p>
        </w:tc>
        <w:tc>
          <w:tcPr>
            <w:tcW w:w="1559" w:type="dxa"/>
            <w:shd w:val="clear" w:color="auto" w:fill="auto"/>
          </w:tcPr>
          <w:p w14:paraId="5E754D89" w14:textId="77777777" w:rsidR="00FE2880" w:rsidRPr="007214E6" w:rsidRDefault="00FE2880" w:rsidP="00B91493">
            <w:pPr>
              <w:spacing w:before="120" w:after="120"/>
              <w:jc w:val="center"/>
              <w:rPr>
                <w:sz w:val="22"/>
                <w:szCs w:val="22"/>
              </w:rPr>
            </w:pPr>
          </w:p>
        </w:tc>
        <w:tc>
          <w:tcPr>
            <w:tcW w:w="4631" w:type="dxa"/>
          </w:tcPr>
          <w:p w14:paraId="552C725C" w14:textId="2417BD2D" w:rsidR="00FE2880" w:rsidRPr="00077A82" w:rsidRDefault="00FE2880" w:rsidP="007669ED">
            <w:pPr>
              <w:spacing w:before="120" w:after="120"/>
              <w:rPr>
                <w:b/>
                <w:sz w:val="22"/>
                <w:szCs w:val="22"/>
              </w:rPr>
            </w:pPr>
            <w:r>
              <w:rPr>
                <w:b/>
                <w:sz w:val="22"/>
                <w:szCs w:val="22"/>
              </w:rPr>
              <w:t xml:space="preserve">Updated: </w:t>
            </w:r>
            <w:r w:rsidRPr="00FE2880">
              <w:rPr>
                <w:sz w:val="22"/>
                <w:szCs w:val="22"/>
              </w:rPr>
              <w:t>Removed Attachment A Making an Employment Services Assessment (ESAt) Appointment/ Referral</w:t>
            </w:r>
            <w:r>
              <w:rPr>
                <w:sz w:val="22"/>
                <w:szCs w:val="22"/>
              </w:rPr>
              <w:t>.  P</w:t>
            </w:r>
            <w:r w:rsidR="0075647A">
              <w:rPr>
                <w:sz w:val="22"/>
                <w:szCs w:val="22"/>
              </w:rPr>
              <w:t>lease refer to the stand alone f</w:t>
            </w:r>
            <w:r>
              <w:rPr>
                <w:sz w:val="22"/>
                <w:szCs w:val="22"/>
              </w:rPr>
              <w:t>orm available on the Provider Portal.</w:t>
            </w:r>
          </w:p>
        </w:tc>
      </w:tr>
      <w:tr w:rsidR="00984E3F" w:rsidRPr="00DF23AF" w14:paraId="7A30AF9C" w14:textId="77777777" w:rsidTr="00077A82">
        <w:trPr>
          <w:jc w:val="center"/>
        </w:trPr>
        <w:tc>
          <w:tcPr>
            <w:tcW w:w="988" w:type="dxa"/>
          </w:tcPr>
          <w:p w14:paraId="1D045123" w14:textId="77777777" w:rsidR="00984E3F" w:rsidRDefault="00984E3F" w:rsidP="00B91493">
            <w:pPr>
              <w:spacing w:before="120" w:after="120"/>
              <w:jc w:val="center"/>
              <w:rPr>
                <w:sz w:val="22"/>
                <w:szCs w:val="22"/>
              </w:rPr>
            </w:pPr>
            <w:r>
              <w:rPr>
                <w:sz w:val="22"/>
                <w:szCs w:val="22"/>
              </w:rPr>
              <w:t>1.4</w:t>
            </w:r>
          </w:p>
        </w:tc>
        <w:tc>
          <w:tcPr>
            <w:tcW w:w="1417" w:type="dxa"/>
          </w:tcPr>
          <w:p w14:paraId="49A97359" w14:textId="6E0B94DC" w:rsidR="00984E3F" w:rsidRDefault="00F94835" w:rsidP="00B91493">
            <w:pPr>
              <w:spacing w:before="120" w:after="120"/>
              <w:jc w:val="center"/>
              <w:rPr>
                <w:sz w:val="22"/>
                <w:szCs w:val="22"/>
              </w:rPr>
            </w:pPr>
            <w:r>
              <w:rPr>
                <w:sz w:val="22"/>
                <w:szCs w:val="22"/>
              </w:rPr>
              <w:t>1 Jan 2023</w:t>
            </w:r>
          </w:p>
        </w:tc>
        <w:tc>
          <w:tcPr>
            <w:tcW w:w="1559" w:type="dxa"/>
            <w:shd w:val="clear" w:color="auto" w:fill="auto"/>
          </w:tcPr>
          <w:p w14:paraId="04BAE9B0" w14:textId="625921F0" w:rsidR="00984E3F" w:rsidRPr="007214E6" w:rsidRDefault="00FE2880" w:rsidP="00B91493">
            <w:pPr>
              <w:spacing w:before="120" w:after="120"/>
              <w:jc w:val="center"/>
              <w:rPr>
                <w:sz w:val="22"/>
                <w:szCs w:val="22"/>
              </w:rPr>
            </w:pPr>
            <w:r>
              <w:rPr>
                <w:sz w:val="22"/>
                <w:szCs w:val="22"/>
              </w:rPr>
              <w:t>31 March 2023</w:t>
            </w:r>
          </w:p>
        </w:tc>
        <w:tc>
          <w:tcPr>
            <w:tcW w:w="4631" w:type="dxa"/>
          </w:tcPr>
          <w:p w14:paraId="11A3BBF0" w14:textId="77777777" w:rsidR="00984E3F" w:rsidRDefault="007669ED" w:rsidP="007669ED">
            <w:pPr>
              <w:spacing w:before="120" w:after="120"/>
              <w:rPr>
                <w:sz w:val="22"/>
                <w:szCs w:val="22"/>
              </w:rPr>
            </w:pPr>
            <w:r w:rsidRPr="00077A82">
              <w:rPr>
                <w:b/>
                <w:sz w:val="22"/>
                <w:szCs w:val="22"/>
              </w:rPr>
              <w:t>Narrative</w:t>
            </w:r>
            <w:r>
              <w:rPr>
                <w:sz w:val="22"/>
                <w:szCs w:val="22"/>
              </w:rPr>
              <w:t xml:space="preserve">: Includes information about supports for people that are deaf or hard of hearing and require an ESAt.   </w:t>
            </w:r>
          </w:p>
          <w:p w14:paraId="516DA61A" w14:textId="77777777" w:rsidR="00C84BBF" w:rsidRPr="00F94835" w:rsidRDefault="00930607" w:rsidP="007669ED">
            <w:pPr>
              <w:spacing w:before="120" w:after="120"/>
              <w:rPr>
                <w:bCs/>
                <w:sz w:val="22"/>
                <w:szCs w:val="22"/>
              </w:rPr>
            </w:pPr>
            <w:r w:rsidRPr="00077A82">
              <w:rPr>
                <w:b/>
                <w:sz w:val="22"/>
                <w:szCs w:val="22"/>
              </w:rPr>
              <w:t>Updated</w:t>
            </w:r>
            <w:r w:rsidR="00C84BBF">
              <w:rPr>
                <w:sz w:val="22"/>
                <w:szCs w:val="22"/>
              </w:rPr>
              <w:t>:</w:t>
            </w:r>
            <w:r>
              <w:rPr>
                <w:sz w:val="22"/>
                <w:szCs w:val="22"/>
              </w:rPr>
              <w:t xml:space="preserve"> the Services Australia phone number </w:t>
            </w:r>
            <w:r w:rsidRPr="00F94835">
              <w:rPr>
                <w:sz w:val="22"/>
                <w:szCs w:val="22"/>
              </w:rPr>
              <w:t xml:space="preserve">from </w:t>
            </w:r>
            <w:r w:rsidRPr="00F94835">
              <w:rPr>
                <w:b/>
                <w:bCs/>
                <w:sz w:val="22"/>
                <w:szCs w:val="22"/>
              </w:rPr>
              <w:t xml:space="preserve">1800 986 114 </w:t>
            </w:r>
            <w:r w:rsidRPr="00077A82">
              <w:rPr>
                <w:bCs/>
                <w:sz w:val="22"/>
                <w:szCs w:val="22"/>
              </w:rPr>
              <w:t>to</w:t>
            </w:r>
            <w:r w:rsidRPr="00F94835">
              <w:rPr>
                <w:b/>
                <w:bCs/>
                <w:sz w:val="22"/>
                <w:szCs w:val="22"/>
              </w:rPr>
              <w:t xml:space="preserve"> 1800 110 </w:t>
            </w:r>
            <w:r w:rsidRPr="00494A68">
              <w:rPr>
                <w:b/>
                <w:bCs/>
                <w:sz w:val="22"/>
                <w:szCs w:val="22"/>
              </w:rPr>
              <w:t>608</w:t>
            </w:r>
            <w:r w:rsidR="00F94835" w:rsidRPr="00494A68">
              <w:rPr>
                <w:b/>
                <w:bCs/>
                <w:sz w:val="22"/>
                <w:szCs w:val="22"/>
              </w:rPr>
              <w:t xml:space="preserve"> </w:t>
            </w:r>
            <w:r w:rsidR="00494A68" w:rsidRPr="00077A82">
              <w:rPr>
                <w:bCs/>
                <w:sz w:val="22"/>
                <w:szCs w:val="22"/>
              </w:rPr>
              <w:t>on page 10</w:t>
            </w:r>
            <w:r w:rsidR="00C84BBF">
              <w:rPr>
                <w:bCs/>
                <w:sz w:val="22"/>
                <w:szCs w:val="22"/>
              </w:rPr>
              <w:t xml:space="preserve"> and the human services email addresses to the single </w:t>
            </w:r>
          </w:p>
          <w:p w14:paraId="768A0AF5" w14:textId="77777777" w:rsidR="00F94835" w:rsidRPr="00077A82" w:rsidRDefault="00F94835" w:rsidP="00F94835">
            <w:pPr>
              <w:spacing w:before="120" w:after="120"/>
              <w:rPr>
                <w:sz w:val="22"/>
                <w:szCs w:val="22"/>
              </w:rPr>
            </w:pPr>
            <w:r w:rsidRPr="00077A82">
              <w:rPr>
                <w:rFonts w:asciiTheme="minorHAnsi" w:hAnsiTheme="minorHAnsi"/>
                <w:b/>
                <w:bCs/>
                <w:sz w:val="22"/>
                <w:szCs w:val="22"/>
              </w:rPr>
              <w:t>Formatting</w:t>
            </w:r>
            <w:r w:rsidRPr="00077A82">
              <w:rPr>
                <w:rFonts w:asciiTheme="minorHAnsi" w:hAnsiTheme="minorHAnsi"/>
                <w:bCs/>
                <w:sz w:val="22"/>
                <w:szCs w:val="22"/>
              </w:rPr>
              <w:t xml:space="preserve">: </w:t>
            </w:r>
            <w:r w:rsidRPr="00077A82">
              <w:rPr>
                <w:sz w:val="22"/>
                <w:szCs w:val="22"/>
              </w:rPr>
              <w:t xml:space="preserve">Restructured </w:t>
            </w:r>
            <w:r w:rsidR="00494A68" w:rsidRPr="00F94835">
              <w:rPr>
                <w:sz w:val="22"/>
                <w:szCs w:val="22"/>
              </w:rPr>
              <w:t>document</w:t>
            </w:r>
            <w:r w:rsidR="00494A68">
              <w:rPr>
                <w:sz w:val="22"/>
                <w:szCs w:val="22"/>
              </w:rPr>
              <w:t xml:space="preserve"> and</w:t>
            </w:r>
            <w:r w:rsidRPr="00077A82">
              <w:rPr>
                <w:sz w:val="22"/>
                <w:szCs w:val="22"/>
              </w:rPr>
              <w:t xml:space="preserve"> included additional explanation of the role of ESAts in DES eligibility and program referrals. </w:t>
            </w:r>
          </w:p>
          <w:p w14:paraId="28D35F34" w14:textId="77777777" w:rsidR="00F94835" w:rsidRPr="00077A82" w:rsidRDefault="00F94835" w:rsidP="00F94835">
            <w:pPr>
              <w:spacing w:before="120" w:after="120"/>
              <w:rPr>
                <w:sz w:val="22"/>
                <w:szCs w:val="22"/>
              </w:rPr>
            </w:pPr>
            <w:r w:rsidRPr="00077A82">
              <w:rPr>
                <w:rFonts w:asciiTheme="minorHAnsi" w:hAnsiTheme="minorHAnsi"/>
                <w:b/>
                <w:bCs/>
                <w:sz w:val="22"/>
                <w:szCs w:val="22"/>
              </w:rPr>
              <w:t>Processes</w:t>
            </w:r>
            <w:r w:rsidRPr="00077A82">
              <w:rPr>
                <w:sz w:val="22"/>
                <w:szCs w:val="22"/>
              </w:rPr>
              <w:t>: Included information about revised ESAt referral processes.</w:t>
            </w:r>
          </w:p>
          <w:p w14:paraId="4FF80DA7" w14:textId="77777777" w:rsidR="00F94835" w:rsidRPr="00077A82" w:rsidRDefault="00F94835" w:rsidP="00F94835">
            <w:pPr>
              <w:spacing w:before="120" w:after="120"/>
              <w:rPr>
                <w:b/>
                <w:bCs/>
                <w:sz w:val="22"/>
                <w:szCs w:val="22"/>
              </w:rPr>
            </w:pPr>
            <w:r w:rsidRPr="00077A82">
              <w:rPr>
                <w:rFonts w:cs="Arial"/>
                <w:b/>
                <w:sz w:val="22"/>
                <w:szCs w:val="22"/>
              </w:rPr>
              <w:t>Terminology:</w:t>
            </w:r>
            <w:r w:rsidRPr="00077A82">
              <w:rPr>
                <w:rFonts w:cs="Arial"/>
                <w:sz w:val="22"/>
                <w:szCs w:val="22"/>
              </w:rPr>
              <w:t xml:space="preserve"> </w:t>
            </w:r>
            <w:r w:rsidRPr="00077A82">
              <w:rPr>
                <w:sz w:val="22"/>
                <w:szCs w:val="22"/>
              </w:rPr>
              <w:t>Updated ‘jobactive’ references to ‘Workforce Australia’, and ‘Department of Human Services’ to ‘Services Australia’.</w:t>
            </w:r>
          </w:p>
        </w:tc>
      </w:tr>
      <w:tr w:rsidR="00B91493" w:rsidRPr="00DF23AF" w14:paraId="7694F3F5" w14:textId="77777777" w:rsidTr="00077A82">
        <w:trPr>
          <w:jc w:val="center"/>
        </w:trPr>
        <w:tc>
          <w:tcPr>
            <w:tcW w:w="988" w:type="dxa"/>
          </w:tcPr>
          <w:p w14:paraId="38CDDBBF" w14:textId="77777777" w:rsidR="00B91493" w:rsidRPr="007214E6" w:rsidRDefault="00B91493" w:rsidP="00B91493">
            <w:pPr>
              <w:spacing w:before="120" w:after="120"/>
              <w:jc w:val="center"/>
              <w:rPr>
                <w:sz w:val="22"/>
                <w:szCs w:val="22"/>
              </w:rPr>
            </w:pPr>
            <w:r>
              <w:rPr>
                <w:sz w:val="22"/>
                <w:szCs w:val="22"/>
              </w:rPr>
              <w:t>1.3</w:t>
            </w:r>
          </w:p>
        </w:tc>
        <w:tc>
          <w:tcPr>
            <w:tcW w:w="1417" w:type="dxa"/>
          </w:tcPr>
          <w:p w14:paraId="4C7413C4" w14:textId="77777777" w:rsidR="00B91493" w:rsidRPr="007214E6" w:rsidRDefault="00B91493" w:rsidP="00B91493">
            <w:pPr>
              <w:spacing w:before="120" w:after="120"/>
              <w:jc w:val="center"/>
              <w:rPr>
                <w:sz w:val="22"/>
                <w:szCs w:val="22"/>
              </w:rPr>
            </w:pPr>
            <w:r>
              <w:rPr>
                <w:sz w:val="22"/>
                <w:szCs w:val="22"/>
              </w:rPr>
              <w:t>1 Jul</w:t>
            </w:r>
            <w:r w:rsidRPr="007214E6">
              <w:rPr>
                <w:sz w:val="22"/>
                <w:szCs w:val="22"/>
              </w:rPr>
              <w:t xml:space="preserve"> 20</w:t>
            </w:r>
            <w:r>
              <w:rPr>
                <w:sz w:val="22"/>
                <w:szCs w:val="22"/>
              </w:rPr>
              <w:t>21</w:t>
            </w:r>
          </w:p>
        </w:tc>
        <w:tc>
          <w:tcPr>
            <w:tcW w:w="1559" w:type="dxa"/>
            <w:shd w:val="clear" w:color="auto" w:fill="auto"/>
          </w:tcPr>
          <w:p w14:paraId="1C2716D4" w14:textId="4D5AA80B" w:rsidR="00B91493" w:rsidRPr="007214E6" w:rsidRDefault="00F94835" w:rsidP="00984E3F">
            <w:pPr>
              <w:spacing w:before="120" w:after="120"/>
              <w:jc w:val="center"/>
              <w:rPr>
                <w:sz w:val="22"/>
                <w:szCs w:val="22"/>
              </w:rPr>
            </w:pPr>
            <w:r>
              <w:rPr>
                <w:sz w:val="22"/>
                <w:szCs w:val="22"/>
              </w:rPr>
              <w:t>31 Dec 2022</w:t>
            </w:r>
          </w:p>
        </w:tc>
        <w:tc>
          <w:tcPr>
            <w:tcW w:w="4631" w:type="dxa"/>
          </w:tcPr>
          <w:p w14:paraId="22A38794" w14:textId="77777777" w:rsidR="00B91493" w:rsidRDefault="00B91493" w:rsidP="00B91493">
            <w:pPr>
              <w:spacing w:before="120" w:after="120"/>
              <w:rPr>
                <w:sz w:val="22"/>
                <w:szCs w:val="22"/>
              </w:rPr>
            </w:pPr>
            <w:r>
              <w:rPr>
                <w:sz w:val="22"/>
                <w:szCs w:val="22"/>
              </w:rPr>
              <w:t>Narrative:</w:t>
            </w:r>
            <w:r w:rsidRPr="007214E6">
              <w:rPr>
                <w:sz w:val="22"/>
                <w:szCs w:val="22"/>
              </w:rPr>
              <w:t xml:space="preserve"> </w:t>
            </w:r>
            <w:r>
              <w:rPr>
                <w:sz w:val="22"/>
                <w:szCs w:val="22"/>
              </w:rPr>
              <w:t>Includes additional commentary about a job seeker’s conditions and supporting medical evidence that may be considered in a medical ESAt.</w:t>
            </w:r>
          </w:p>
        </w:tc>
      </w:tr>
      <w:tr w:rsidR="00B91493" w:rsidRPr="00DF23AF" w14:paraId="774D6E0B" w14:textId="77777777" w:rsidTr="00077A82">
        <w:trPr>
          <w:jc w:val="center"/>
        </w:trPr>
        <w:tc>
          <w:tcPr>
            <w:tcW w:w="988" w:type="dxa"/>
          </w:tcPr>
          <w:p w14:paraId="4B5FEAE0" w14:textId="77777777" w:rsidR="00B91493" w:rsidRPr="007214E6" w:rsidRDefault="00B91493" w:rsidP="00B91493">
            <w:pPr>
              <w:spacing w:before="120" w:after="120"/>
              <w:jc w:val="center"/>
              <w:rPr>
                <w:sz w:val="22"/>
                <w:szCs w:val="22"/>
              </w:rPr>
            </w:pPr>
            <w:r w:rsidRPr="007214E6">
              <w:rPr>
                <w:sz w:val="22"/>
                <w:szCs w:val="22"/>
              </w:rPr>
              <w:t>1.</w:t>
            </w:r>
            <w:r>
              <w:rPr>
                <w:sz w:val="22"/>
                <w:szCs w:val="22"/>
              </w:rPr>
              <w:t>2</w:t>
            </w:r>
          </w:p>
        </w:tc>
        <w:tc>
          <w:tcPr>
            <w:tcW w:w="1417" w:type="dxa"/>
          </w:tcPr>
          <w:p w14:paraId="39C26A5E" w14:textId="77777777" w:rsidR="00B91493" w:rsidRPr="007214E6" w:rsidRDefault="00B91493" w:rsidP="00B91493">
            <w:pPr>
              <w:spacing w:before="120" w:after="120"/>
              <w:jc w:val="center"/>
              <w:rPr>
                <w:sz w:val="22"/>
                <w:szCs w:val="22"/>
              </w:rPr>
            </w:pPr>
            <w:r>
              <w:rPr>
                <w:sz w:val="22"/>
                <w:szCs w:val="22"/>
              </w:rPr>
              <w:t xml:space="preserve"> 9 Mar 2020</w:t>
            </w:r>
          </w:p>
        </w:tc>
        <w:tc>
          <w:tcPr>
            <w:tcW w:w="1559" w:type="dxa"/>
            <w:shd w:val="clear" w:color="auto" w:fill="auto"/>
          </w:tcPr>
          <w:p w14:paraId="72776D90" w14:textId="77777777" w:rsidR="00B91493" w:rsidRPr="007214E6" w:rsidRDefault="002F1ED0" w:rsidP="00B91493">
            <w:pPr>
              <w:spacing w:before="120" w:after="120"/>
              <w:jc w:val="center"/>
              <w:rPr>
                <w:sz w:val="22"/>
                <w:szCs w:val="22"/>
              </w:rPr>
            </w:pPr>
            <w:r>
              <w:rPr>
                <w:sz w:val="22"/>
                <w:szCs w:val="22"/>
              </w:rPr>
              <w:t>30 Jun 2021</w:t>
            </w:r>
          </w:p>
        </w:tc>
        <w:tc>
          <w:tcPr>
            <w:tcW w:w="4631" w:type="dxa"/>
          </w:tcPr>
          <w:p w14:paraId="6AB33036" w14:textId="77777777" w:rsidR="00B91493" w:rsidRPr="007214E6" w:rsidRDefault="00B91493" w:rsidP="00B91493">
            <w:pPr>
              <w:spacing w:before="120" w:after="120"/>
              <w:rPr>
                <w:sz w:val="22"/>
                <w:szCs w:val="22"/>
              </w:rPr>
            </w:pPr>
            <w:r>
              <w:rPr>
                <w:rFonts w:cs="Arial"/>
                <w:sz w:val="22"/>
                <w:szCs w:val="22"/>
              </w:rPr>
              <w:t xml:space="preserve"> Updated terminology</w:t>
            </w:r>
          </w:p>
        </w:tc>
      </w:tr>
      <w:tr w:rsidR="00B91493" w:rsidRPr="00DF23AF" w14:paraId="679195F8" w14:textId="77777777" w:rsidTr="00077A82">
        <w:trPr>
          <w:jc w:val="center"/>
        </w:trPr>
        <w:tc>
          <w:tcPr>
            <w:tcW w:w="988" w:type="dxa"/>
          </w:tcPr>
          <w:p w14:paraId="70838172" w14:textId="77777777" w:rsidR="00B91493" w:rsidRPr="007214E6" w:rsidRDefault="00B91493" w:rsidP="00B91493">
            <w:pPr>
              <w:spacing w:before="120" w:after="120"/>
              <w:jc w:val="center"/>
              <w:rPr>
                <w:sz w:val="22"/>
                <w:szCs w:val="22"/>
              </w:rPr>
            </w:pPr>
            <w:r w:rsidRPr="007214E6">
              <w:rPr>
                <w:sz w:val="22"/>
                <w:szCs w:val="22"/>
              </w:rPr>
              <w:t>1.1</w:t>
            </w:r>
          </w:p>
        </w:tc>
        <w:tc>
          <w:tcPr>
            <w:tcW w:w="1417" w:type="dxa"/>
          </w:tcPr>
          <w:p w14:paraId="0009F086" w14:textId="77777777" w:rsidR="00B91493" w:rsidRPr="007214E6" w:rsidRDefault="00B91493" w:rsidP="00B91493">
            <w:pPr>
              <w:spacing w:before="120" w:after="120"/>
              <w:jc w:val="center"/>
              <w:rPr>
                <w:sz w:val="22"/>
                <w:szCs w:val="22"/>
              </w:rPr>
            </w:pPr>
            <w:r>
              <w:rPr>
                <w:sz w:val="22"/>
                <w:szCs w:val="22"/>
              </w:rPr>
              <w:t>3 Dec 2018</w:t>
            </w:r>
          </w:p>
        </w:tc>
        <w:tc>
          <w:tcPr>
            <w:tcW w:w="1559" w:type="dxa"/>
            <w:shd w:val="clear" w:color="auto" w:fill="auto"/>
          </w:tcPr>
          <w:p w14:paraId="185CECC5" w14:textId="77777777" w:rsidR="00B91493" w:rsidRPr="007214E6" w:rsidRDefault="002F1ED0" w:rsidP="00B91493">
            <w:pPr>
              <w:spacing w:before="120" w:after="120"/>
              <w:jc w:val="center"/>
              <w:rPr>
                <w:sz w:val="22"/>
                <w:szCs w:val="22"/>
              </w:rPr>
            </w:pPr>
            <w:r>
              <w:rPr>
                <w:sz w:val="22"/>
                <w:szCs w:val="22"/>
              </w:rPr>
              <w:t>8 Mar 2020</w:t>
            </w:r>
          </w:p>
        </w:tc>
        <w:tc>
          <w:tcPr>
            <w:tcW w:w="4631" w:type="dxa"/>
          </w:tcPr>
          <w:p w14:paraId="3FF3FBDD" w14:textId="77777777" w:rsidR="00B91493" w:rsidRDefault="00B91493" w:rsidP="00B91493">
            <w:pPr>
              <w:spacing w:before="120" w:after="120"/>
              <w:rPr>
                <w:rFonts w:cs="Arial"/>
                <w:sz w:val="22"/>
                <w:szCs w:val="22"/>
              </w:rPr>
            </w:pPr>
            <w:r>
              <w:rPr>
                <w:rFonts w:cs="Arial"/>
                <w:b/>
                <w:sz w:val="22"/>
                <w:szCs w:val="22"/>
              </w:rPr>
              <w:t>Terminology</w:t>
            </w:r>
            <w:r w:rsidRPr="007214E6">
              <w:rPr>
                <w:rFonts w:cs="Arial"/>
                <w:b/>
                <w:sz w:val="22"/>
                <w:szCs w:val="22"/>
              </w:rPr>
              <w:t>:</w:t>
            </w:r>
            <w:r w:rsidRPr="007214E6">
              <w:rPr>
                <w:rFonts w:cs="Arial"/>
                <w:sz w:val="22"/>
                <w:szCs w:val="22"/>
              </w:rPr>
              <w:t xml:space="preserve"> Amendments made to reflect changes in the DES Grant Agreement - Direction 2 Terminology: ‘Relationship Manager’ replaces ‘Account Manager’, and ‘</w:t>
            </w:r>
            <w:r w:rsidRPr="007214E6">
              <w:rPr>
                <w:sz w:val="22"/>
                <w:szCs w:val="22"/>
              </w:rPr>
              <w:t>Electronic Calendar’ replaces ‘Electronic Diary’</w:t>
            </w:r>
            <w:r w:rsidRPr="007214E6">
              <w:rPr>
                <w:rFonts w:cs="Arial"/>
                <w:sz w:val="22"/>
                <w:szCs w:val="22"/>
              </w:rPr>
              <w:t>.</w:t>
            </w:r>
          </w:p>
          <w:p w14:paraId="0E121A8F" w14:textId="77777777" w:rsidR="00B91493" w:rsidRPr="007214E6" w:rsidRDefault="00B91493" w:rsidP="00B91493">
            <w:pPr>
              <w:spacing w:before="120" w:after="120"/>
              <w:rPr>
                <w:sz w:val="22"/>
                <w:szCs w:val="22"/>
              </w:rPr>
            </w:pPr>
            <w:r w:rsidRPr="006671B0">
              <w:rPr>
                <w:rFonts w:asciiTheme="minorHAnsi" w:hAnsiTheme="minorHAnsi"/>
                <w:b/>
                <w:bCs/>
                <w:sz w:val="22"/>
                <w:szCs w:val="22"/>
              </w:rPr>
              <w:t>Formatting</w:t>
            </w:r>
            <w:r w:rsidRPr="006671B0">
              <w:rPr>
                <w:rFonts w:asciiTheme="minorHAnsi" w:hAnsiTheme="minorHAnsi"/>
                <w:bCs/>
                <w:sz w:val="22"/>
                <w:szCs w:val="22"/>
              </w:rPr>
              <w:t>: Throughout guideline</w:t>
            </w:r>
          </w:p>
        </w:tc>
      </w:tr>
      <w:tr w:rsidR="00B91493" w:rsidRPr="00DF23AF" w14:paraId="26105FBC" w14:textId="77777777" w:rsidTr="00077A82">
        <w:trPr>
          <w:jc w:val="center"/>
        </w:trPr>
        <w:tc>
          <w:tcPr>
            <w:tcW w:w="988" w:type="dxa"/>
          </w:tcPr>
          <w:p w14:paraId="573349DF" w14:textId="77777777" w:rsidR="00B91493" w:rsidRPr="007214E6" w:rsidRDefault="00B91493" w:rsidP="00B91493">
            <w:pPr>
              <w:spacing w:before="120" w:after="120"/>
              <w:jc w:val="center"/>
              <w:rPr>
                <w:sz w:val="22"/>
                <w:szCs w:val="22"/>
              </w:rPr>
            </w:pPr>
            <w:r w:rsidRPr="007214E6">
              <w:rPr>
                <w:sz w:val="22"/>
                <w:szCs w:val="22"/>
              </w:rPr>
              <w:t>1.0</w:t>
            </w:r>
          </w:p>
        </w:tc>
        <w:tc>
          <w:tcPr>
            <w:tcW w:w="1417" w:type="dxa"/>
          </w:tcPr>
          <w:p w14:paraId="65A5D6BD" w14:textId="77777777" w:rsidR="00B91493" w:rsidRPr="007214E6" w:rsidRDefault="00B91493" w:rsidP="00B91493">
            <w:pPr>
              <w:spacing w:before="120" w:after="120"/>
              <w:jc w:val="center"/>
              <w:rPr>
                <w:sz w:val="22"/>
                <w:szCs w:val="22"/>
              </w:rPr>
            </w:pPr>
            <w:r w:rsidRPr="007214E6">
              <w:rPr>
                <w:sz w:val="22"/>
                <w:szCs w:val="22"/>
              </w:rPr>
              <w:t>1 Jul 2018</w:t>
            </w:r>
          </w:p>
        </w:tc>
        <w:tc>
          <w:tcPr>
            <w:tcW w:w="1559" w:type="dxa"/>
            <w:shd w:val="clear" w:color="auto" w:fill="auto"/>
          </w:tcPr>
          <w:p w14:paraId="262BEBA0" w14:textId="77777777" w:rsidR="00B91493" w:rsidRPr="007214E6" w:rsidRDefault="00B91493" w:rsidP="00B91493">
            <w:pPr>
              <w:spacing w:before="120" w:after="120"/>
              <w:jc w:val="center"/>
              <w:rPr>
                <w:sz w:val="22"/>
                <w:szCs w:val="22"/>
              </w:rPr>
            </w:pPr>
            <w:r>
              <w:rPr>
                <w:sz w:val="22"/>
                <w:szCs w:val="22"/>
              </w:rPr>
              <w:t>3 Dec 2018</w:t>
            </w:r>
          </w:p>
        </w:tc>
        <w:tc>
          <w:tcPr>
            <w:tcW w:w="4631" w:type="dxa"/>
          </w:tcPr>
          <w:p w14:paraId="7DFB203A" w14:textId="77777777" w:rsidR="00B91493" w:rsidRPr="007214E6" w:rsidRDefault="00B91493" w:rsidP="00B91493">
            <w:pPr>
              <w:spacing w:before="120" w:after="120"/>
              <w:rPr>
                <w:sz w:val="22"/>
                <w:szCs w:val="22"/>
              </w:rPr>
            </w:pPr>
            <w:r w:rsidRPr="007214E6">
              <w:rPr>
                <w:sz w:val="22"/>
                <w:szCs w:val="22"/>
              </w:rPr>
              <w:t>Original version of document</w:t>
            </w:r>
          </w:p>
        </w:tc>
      </w:tr>
    </w:tbl>
    <w:p w14:paraId="5D358324" w14:textId="77777777" w:rsidR="005C0642" w:rsidRPr="00BA17CF" w:rsidRDefault="005C0642" w:rsidP="00BA17CF">
      <w:pPr>
        <w:spacing w:before="120" w:after="120"/>
        <w:rPr>
          <w:b/>
          <w:szCs w:val="22"/>
        </w:rPr>
      </w:pPr>
      <w:bookmarkStart w:id="15" w:name="_Summary"/>
      <w:bookmarkEnd w:id="15"/>
      <w:bookmarkEnd w:id="14"/>
      <w:r w:rsidRPr="00BA17CF">
        <w:rPr>
          <w:b/>
          <w:szCs w:val="22"/>
        </w:rPr>
        <w:t>Disability Employment Services Grant Agreement Clauses</w:t>
      </w:r>
    </w:p>
    <w:p w14:paraId="68F4DFBB" w14:textId="1921E72D" w:rsidR="00487234" w:rsidRPr="007214E6" w:rsidRDefault="00C87E18" w:rsidP="00152E8E">
      <w:pPr>
        <w:spacing w:before="120" w:after="120"/>
        <w:rPr>
          <w:i/>
          <w:sz w:val="22"/>
          <w:szCs w:val="22"/>
        </w:rPr>
      </w:pPr>
      <w:hyperlink r:id="rId9" w:anchor="083" w:history="1">
        <w:r w:rsidR="005C0642" w:rsidRPr="007214E6">
          <w:rPr>
            <w:sz w:val="22"/>
            <w:szCs w:val="22"/>
          </w:rPr>
          <w:t xml:space="preserve">Clause </w:t>
        </w:r>
        <w:r w:rsidR="00487234" w:rsidRPr="007214E6">
          <w:rPr>
            <w:sz w:val="22"/>
            <w:szCs w:val="22"/>
          </w:rPr>
          <w:t>87</w:t>
        </w:r>
        <w:r w:rsidR="00DA7445">
          <w:rPr>
            <w:sz w:val="22"/>
            <w:szCs w:val="22"/>
          </w:rPr>
          <w:t xml:space="preserve"> </w:t>
        </w:r>
        <w:r w:rsidR="005C0642" w:rsidRPr="007214E6">
          <w:rPr>
            <w:sz w:val="22"/>
            <w:szCs w:val="22"/>
          </w:rPr>
          <w:t>–</w:t>
        </w:r>
        <w:r w:rsidR="00DA7445">
          <w:rPr>
            <w:sz w:val="22"/>
            <w:szCs w:val="22"/>
          </w:rPr>
          <w:t xml:space="preserve"> </w:t>
        </w:r>
        <w:r w:rsidR="005C0642" w:rsidRPr="007214E6">
          <w:rPr>
            <w:sz w:val="22"/>
            <w:szCs w:val="22"/>
          </w:rPr>
          <w:t xml:space="preserve">Direct Registration of </w:t>
        </w:r>
        <w:r w:rsidR="008E03FD">
          <w:rPr>
            <w:sz w:val="22"/>
            <w:szCs w:val="22"/>
          </w:rPr>
          <w:t>participant</w:t>
        </w:r>
        <w:r w:rsidR="005C0642" w:rsidRPr="007214E6">
          <w:rPr>
            <w:sz w:val="22"/>
            <w:szCs w:val="22"/>
          </w:rPr>
          <w:t xml:space="preserve">s without a </w:t>
        </w:r>
        <w:r w:rsidR="00365F82">
          <w:rPr>
            <w:sz w:val="22"/>
            <w:szCs w:val="22"/>
          </w:rPr>
          <w:t>refer</w:t>
        </w:r>
        <w:r w:rsidR="005C0642" w:rsidRPr="007214E6">
          <w:rPr>
            <w:sz w:val="22"/>
            <w:szCs w:val="22"/>
          </w:rPr>
          <w:t>ral</w:t>
        </w:r>
      </w:hyperlink>
      <w:r w:rsidR="00487234" w:rsidRPr="007214E6">
        <w:rPr>
          <w:i/>
          <w:sz w:val="22"/>
          <w:szCs w:val="22"/>
        </w:rPr>
        <w:t xml:space="preserve"> </w:t>
      </w:r>
    </w:p>
    <w:p w14:paraId="1537F91B" w14:textId="77777777" w:rsidR="00152E8E" w:rsidRPr="007214E6" w:rsidRDefault="008F630D" w:rsidP="00152E8E">
      <w:pPr>
        <w:spacing w:before="120" w:after="120"/>
        <w:rPr>
          <w:sz w:val="22"/>
          <w:szCs w:val="22"/>
        </w:rPr>
      </w:pPr>
      <w:r w:rsidRPr="007214E6">
        <w:rPr>
          <w:sz w:val="22"/>
          <w:szCs w:val="22"/>
        </w:rPr>
        <w:t xml:space="preserve">Clause </w:t>
      </w:r>
      <w:r w:rsidR="00487234" w:rsidRPr="007214E6">
        <w:rPr>
          <w:sz w:val="22"/>
          <w:szCs w:val="22"/>
        </w:rPr>
        <w:t>11</w:t>
      </w:r>
      <w:r w:rsidR="000C1268" w:rsidRPr="007214E6">
        <w:rPr>
          <w:sz w:val="22"/>
          <w:szCs w:val="22"/>
        </w:rPr>
        <w:t>3</w:t>
      </w:r>
      <w:r w:rsidR="00DA7445">
        <w:rPr>
          <w:sz w:val="22"/>
          <w:szCs w:val="22"/>
        </w:rPr>
        <w:t xml:space="preserve"> </w:t>
      </w:r>
      <w:r w:rsidRPr="007214E6">
        <w:rPr>
          <w:sz w:val="22"/>
          <w:szCs w:val="22"/>
        </w:rPr>
        <w:t>–</w:t>
      </w:r>
      <w:r w:rsidR="00DA7445">
        <w:rPr>
          <w:sz w:val="22"/>
          <w:szCs w:val="22"/>
        </w:rPr>
        <w:t xml:space="preserve"> </w:t>
      </w:r>
      <w:r w:rsidRPr="007214E6">
        <w:rPr>
          <w:sz w:val="22"/>
          <w:szCs w:val="22"/>
        </w:rPr>
        <w:t>Program Review</w:t>
      </w:r>
      <w:r w:rsidR="00152E8E" w:rsidRPr="007214E6">
        <w:rPr>
          <w:sz w:val="22"/>
          <w:szCs w:val="22"/>
        </w:rPr>
        <w:t xml:space="preserve"> </w:t>
      </w:r>
    </w:p>
    <w:p w14:paraId="1F5C3111" w14:textId="77777777" w:rsidR="005C0642" w:rsidRPr="007214E6" w:rsidRDefault="00152E8E" w:rsidP="00152E8E">
      <w:pPr>
        <w:spacing w:before="120" w:after="120"/>
        <w:rPr>
          <w:rFonts w:cs="Arial"/>
          <w:i/>
          <w:sz w:val="22"/>
          <w:szCs w:val="22"/>
        </w:rPr>
      </w:pPr>
      <w:r w:rsidRPr="007214E6">
        <w:rPr>
          <w:sz w:val="22"/>
          <w:szCs w:val="22"/>
        </w:rPr>
        <w:t>Clause 116</w:t>
      </w:r>
      <w:r w:rsidR="00DA7445">
        <w:rPr>
          <w:sz w:val="22"/>
          <w:szCs w:val="22"/>
        </w:rPr>
        <w:t xml:space="preserve"> </w:t>
      </w:r>
      <w:r w:rsidRPr="007214E6">
        <w:rPr>
          <w:sz w:val="22"/>
          <w:szCs w:val="22"/>
        </w:rPr>
        <w:t>–</w:t>
      </w:r>
      <w:r w:rsidR="00DA7445">
        <w:rPr>
          <w:sz w:val="22"/>
          <w:szCs w:val="22"/>
        </w:rPr>
        <w:t xml:space="preserve"> </w:t>
      </w:r>
      <w:r w:rsidRPr="007214E6">
        <w:rPr>
          <w:sz w:val="22"/>
          <w:szCs w:val="22"/>
        </w:rPr>
        <w:t>Change of Circumstances Reassessment during Period of Service</w:t>
      </w:r>
    </w:p>
    <w:p w14:paraId="2ED30BC1" w14:textId="77777777" w:rsidR="005C0642" w:rsidRPr="007214E6" w:rsidRDefault="008F630D" w:rsidP="00152E8E">
      <w:pPr>
        <w:spacing w:before="120" w:after="120"/>
        <w:rPr>
          <w:rStyle w:val="Hyperlink"/>
          <w:rFonts w:cs="Arial"/>
          <w:color w:val="000000" w:themeColor="text1"/>
          <w:sz w:val="22"/>
          <w:szCs w:val="22"/>
        </w:rPr>
      </w:pPr>
      <w:r w:rsidRPr="007214E6">
        <w:rPr>
          <w:sz w:val="22"/>
          <w:szCs w:val="22"/>
        </w:rPr>
        <w:t>Annexure A</w:t>
      </w:r>
      <w:r w:rsidR="00DA7445">
        <w:rPr>
          <w:sz w:val="22"/>
          <w:szCs w:val="22"/>
        </w:rPr>
        <w:t xml:space="preserve"> </w:t>
      </w:r>
      <w:r w:rsidRPr="007214E6">
        <w:rPr>
          <w:sz w:val="22"/>
          <w:szCs w:val="22"/>
        </w:rPr>
        <w:t>–</w:t>
      </w:r>
      <w:r w:rsidR="00DA7445">
        <w:rPr>
          <w:sz w:val="22"/>
          <w:szCs w:val="22"/>
        </w:rPr>
        <w:t xml:space="preserve"> </w:t>
      </w:r>
      <w:r w:rsidRPr="007214E6">
        <w:rPr>
          <w:sz w:val="22"/>
          <w:szCs w:val="22"/>
        </w:rPr>
        <w:t>Definitions</w:t>
      </w:r>
    </w:p>
    <w:p w14:paraId="7176B5E4" w14:textId="77777777" w:rsidR="006611D3" w:rsidRPr="00BA17CF" w:rsidRDefault="006611D3" w:rsidP="00BA17CF">
      <w:pPr>
        <w:spacing w:before="120" w:after="120"/>
        <w:rPr>
          <w:b/>
          <w:szCs w:val="22"/>
        </w:rPr>
      </w:pPr>
      <w:r w:rsidRPr="00BA17CF">
        <w:rPr>
          <w:b/>
          <w:szCs w:val="22"/>
        </w:rPr>
        <w:t>Explanatory Note</w:t>
      </w:r>
    </w:p>
    <w:p w14:paraId="722CD04E" w14:textId="77777777" w:rsidR="00560EC1" w:rsidRPr="007214E6" w:rsidRDefault="00560EC1" w:rsidP="00152E8E">
      <w:pPr>
        <w:spacing w:before="120" w:after="120"/>
        <w:rPr>
          <w:sz w:val="22"/>
          <w:szCs w:val="22"/>
        </w:rPr>
      </w:pPr>
      <w:r w:rsidRPr="007214E6">
        <w:rPr>
          <w:sz w:val="22"/>
          <w:szCs w:val="22"/>
        </w:rPr>
        <w:lastRenderedPageBreak/>
        <w:t>All capitalised terms have the same meaning as in Disability Employment Services Grant Agreement.</w:t>
      </w:r>
    </w:p>
    <w:p w14:paraId="3C403081" w14:textId="77777777" w:rsidR="00560EC1" w:rsidRPr="007214E6" w:rsidRDefault="00560EC1" w:rsidP="00152E8E">
      <w:pPr>
        <w:spacing w:before="120" w:after="120"/>
        <w:rPr>
          <w:sz w:val="22"/>
          <w:szCs w:val="22"/>
        </w:rPr>
      </w:pPr>
      <w:r w:rsidRPr="007214E6">
        <w:rPr>
          <w:sz w:val="22"/>
          <w:szCs w:val="22"/>
        </w:rPr>
        <w:t>In this document, “must” means that compliance is mandatory and “should” means that compliance represents best practice.</w:t>
      </w:r>
    </w:p>
    <w:p w14:paraId="05919B8F" w14:textId="77777777" w:rsidR="00690253" w:rsidRDefault="00690253" w:rsidP="006611D3">
      <w:r>
        <w:br w:type="page"/>
      </w:r>
    </w:p>
    <w:p w14:paraId="3E09767F" w14:textId="77777777" w:rsidR="00012680" w:rsidRPr="00B773CD" w:rsidRDefault="0072133E" w:rsidP="00910F1D">
      <w:pPr>
        <w:pStyle w:val="Heading3"/>
        <w:spacing w:before="120" w:after="120"/>
        <w:rPr>
          <w:color w:val="000000" w:themeColor="text1"/>
        </w:rPr>
      </w:pPr>
      <w:bookmarkStart w:id="16" w:name="_Toc126830099"/>
      <w:r w:rsidRPr="00B773CD">
        <w:rPr>
          <w:color w:val="000000" w:themeColor="text1"/>
        </w:rPr>
        <w:lastRenderedPageBreak/>
        <w:t>Policy Intent</w:t>
      </w:r>
      <w:bookmarkEnd w:id="16"/>
    </w:p>
    <w:p w14:paraId="0C13ACCC" w14:textId="22D234F6" w:rsidR="00012680" w:rsidRDefault="00012680" w:rsidP="00910F1D">
      <w:pPr>
        <w:spacing w:before="120" w:after="120"/>
        <w:rPr>
          <w:sz w:val="22"/>
          <w:szCs w:val="22"/>
        </w:rPr>
      </w:pPr>
      <w:r w:rsidRPr="007214E6">
        <w:rPr>
          <w:sz w:val="22"/>
          <w:szCs w:val="22"/>
        </w:rPr>
        <w:t>An E</w:t>
      </w:r>
      <w:r w:rsidR="00D30977" w:rsidRPr="007214E6">
        <w:rPr>
          <w:sz w:val="22"/>
          <w:szCs w:val="22"/>
        </w:rPr>
        <w:t>mployment Services Assessment (ESAt)</w:t>
      </w:r>
      <w:r w:rsidR="005F7E9C">
        <w:rPr>
          <w:sz w:val="22"/>
          <w:szCs w:val="22"/>
        </w:rPr>
        <w:t xml:space="preserve"> </w:t>
      </w:r>
      <w:r w:rsidR="005F7E9C" w:rsidRPr="005F7E9C">
        <w:rPr>
          <w:sz w:val="22"/>
          <w:szCs w:val="22"/>
        </w:rPr>
        <w:t xml:space="preserve">or Job Capacity Assessment (JCA) provides an independent assessment of a </w:t>
      </w:r>
      <w:r w:rsidR="008E03FD">
        <w:rPr>
          <w:sz w:val="22"/>
          <w:szCs w:val="22"/>
        </w:rPr>
        <w:t>participant</w:t>
      </w:r>
      <w:r w:rsidRPr="007214E6">
        <w:rPr>
          <w:sz w:val="22"/>
          <w:szCs w:val="22"/>
        </w:rPr>
        <w:t xml:space="preserve">’s </w:t>
      </w:r>
      <w:r w:rsidR="00C340AA" w:rsidRPr="007214E6">
        <w:rPr>
          <w:sz w:val="22"/>
          <w:szCs w:val="22"/>
        </w:rPr>
        <w:t>b</w:t>
      </w:r>
      <w:r w:rsidRPr="007214E6">
        <w:rPr>
          <w:sz w:val="22"/>
          <w:szCs w:val="22"/>
        </w:rPr>
        <w:t xml:space="preserve">arriers to finding and </w:t>
      </w:r>
      <w:r w:rsidR="004048AE">
        <w:rPr>
          <w:sz w:val="22"/>
          <w:szCs w:val="22"/>
        </w:rPr>
        <w:t>keeping a job</w:t>
      </w:r>
      <w:r w:rsidRPr="007214E6">
        <w:rPr>
          <w:sz w:val="22"/>
          <w:szCs w:val="22"/>
        </w:rPr>
        <w:t xml:space="preserve">, their work capacity and ongoing support needs. </w:t>
      </w:r>
      <w:r w:rsidR="005F7E9C">
        <w:rPr>
          <w:sz w:val="22"/>
          <w:szCs w:val="22"/>
        </w:rPr>
        <w:t>Using this assessment, t</w:t>
      </w:r>
      <w:r w:rsidRPr="007214E6">
        <w:rPr>
          <w:sz w:val="22"/>
          <w:szCs w:val="22"/>
        </w:rPr>
        <w:t xml:space="preserve">he ESAt recommends the most appropriate employment services assistance for the </w:t>
      </w:r>
      <w:r w:rsidR="008E03FD">
        <w:rPr>
          <w:sz w:val="22"/>
          <w:szCs w:val="22"/>
        </w:rPr>
        <w:t>participant</w:t>
      </w:r>
      <w:r w:rsidRPr="007214E6">
        <w:rPr>
          <w:sz w:val="22"/>
          <w:szCs w:val="22"/>
        </w:rPr>
        <w:t xml:space="preserve"> and </w:t>
      </w:r>
      <w:r w:rsidR="00494A68" w:rsidRPr="007214E6">
        <w:rPr>
          <w:sz w:val="22"/>
          <w:szCs w:val="22"/>
        </w:rPr>
        <w:t>can</w:t>
      </w:r>
      <w:r w:rsidRPr="007214E6">
        <w:rPr>
          <w:sz w:val="22"/>
          <w:szCs w:val="22"/>
        </w:rPr>
        <w:t xml:space="preserve"> identify interventions that may help them overcome their identified barriers.</w:t>
      </w:r>
    </w:p>
    <w:p w14:paraId="69D8CC99" w14:textId="77777777" w:rsidR="005F7E9C" w:rsidRPr="005F7E9C" w:rsidRDefault="005F7E9C" w:rsidP="005F7E9C">
      <w:pPr>
        <w:spacing w:before="120" w:after="120"/>
        <w:rPr>
          <w:sz w:val="22"/>
          <w:szCs w:val="22"/>
        </w:rPr>
      </w:pPr>
      <w:r w:rsidRPr="005F7E9C">
        <w:rPr>
          <w:sz w:val="22"/>
          <w:szCs w:val="22"/>
        </w:rPr>
        <w:t>For DES purposes, an ESAt:</w:t>
      </w:r>
    </w:p>
    <w:p w14:paraId="3D2DF627" w14:textId="75467DFB" w:rsidR="00227DFD" w:rsidRPr="00294472" w:rsidRDefault="005F7E9C" w:rsidP="00294472">
      <w:pPr>
        <w:numPr>
          <w:ilvl w:val="0"/>
          <w:numId w:val="87"/>
        </w:numPr>
        <w:spacing w:line="276" w:lineRule="auto"/>
        <w:rPr>
          <w:bCs/>
          <w:color w:val="000000" w:themeColor="text1"/>
          <w:sz w:val="22"/>
          <w:szCs w:val="22"/>
        </w:rPr>
      </w:pPr>
      <w:r w:rsidRPr="00227DFD">
        <w:rPr>
          <w:sz w:val="22"/>
          <w:szCs w:val="22"/>
        </w:rPr>
        <w:t xml:space="preserve">recommends referral to the </w:t>
      </w:r>
      <w:r w:rsidR="00227DFD" w:rsidRPr="00B13C54">
        <w:rPr>
          <w:bCs/>
          <w:color w:val="000000" w:themeColor="text1"/>
          <w:sz w:val="22"/>
          <w:szCs w:val="22"/>
        </w:rPr>
        <w:t>DES-Employment Support Service (ESS)</w:t>
      </w:r>
      <w:r w:rsidR="00227DFD">
        <w:rPr>
          <w:bCs/>
          <w:color w:val="000000" w:themeColor="text1"/>
          <w:sz w:val="22"/>
          <w:szCs w:val="22"/>
        </w:rPr>
        <w:t xml:space="preserve"> </w:t>
      </w:r>
      <w:r w:rsidRPr="00294472">
        <w:rPr>
          <w:sz w:val="22"/>
          <w:szCs w:val="22"/>
        </w:rPr>
        <w:t xml:space="preserve">or </w:t>
      </w:r>
      <w:r w:rsidR="00227DFD" w:rsidRPr="00294472">
        <w:rPr>
          <w:bCs/>
          <w:color w:val="000000" w:themeColor="text1"/>
          <w:sz w:val="22"/>
          <w:szCs w:val="22"/>
        </w:rPr>
        <w:t>DES-Disability Management Service (DMS)</w:t>
      </w:r>
      <w:r w:rsidR="00227DFD" w:rsidRPr="00294472" w:rsidDel="008D7F2C">
        <w:rPr>
          <w:bCs/>
          <w:color w:val="000000" w:themeColor="text1"/>
          <w:sz w:val="22"/>
          <w:szCs w:val="22"/>
        </w:rPr>
        <w:t xml:space="preserve"> </w:t>
      </w:r>
    </w:p>
    <w:p w14:paraId="3A1A4156" w14:textId="61203920" w:rsidR="005F7E9C" w:rsidRPr="00227DFD" w:rsidRDefault="005F7E9C" w:rsidP="00077A82">
      <w:pPr>
        <w:numPr>
          <w:ilvl w:val="0"/>
          <w:numId w:val="87"/>
        </w:numPr>
        <w:spacing w:before="120" w:after="120"/>
        <w:rPr>
          <w:sz w:val="22"/>
          <w:szCs w:val="22"/>
        </w:rPr>
      </w:pPr>
      <w:r w:rsidRPr="00227DFD">
        <w:rPr>
          <w:sz w:val="22"/>
          <w:szCs w:val="22"/>
        </w:rPr>
        <w:t>establishes the job seeker’s work capacity which helps set their Employment Benchmark, and</w:t>
      </w:r>
    </w:p>
    <w:p w14:paraId="1C495F67" w14:textId="70F0A38E" w:rsidR="005F7E9C" w:rsidRPr="005F7E9C" w:rsidRDefault="004048AE" w:rsidP="005F7E9C">
      <w:pPr>
        <w:numPr>
          <w:ilvl w:val="0"/>
          <w:numId w:val="87"/>
        </w:numPr>
        <w:spacing w:before="120" w:after="120"/>
        <w:rPr>
          <w:sz w:val="22"/>
          <w:szCs w:val="22"/>
        </w:rPr>
      </w:pPr>
      <w:r>
        <w:rPr>
          <w:sz w:val="22"/>
          <w:szCs w:val="22"/>
        </w:rPr>
        <w:t xml:space="preserve">allows the </w:t>
      </w:r>
      <w:r w:rsidR="00692827">
        <w:rPr>
          <w:sz w:val="22"/>
          <w:szCs w:val="22"/>
        </w:rPr>
        <w:t>person</w:t>
      </w:r>
      <w:r>
        <w:rPr>
          <w:sz w:val="22"/>
          <w:szCs w:val="22"/>
        </w:rPr>
        <w:t xml:space="preserve"> to choose their </w:t>
      </w:r>
      <w:r w:rsidR="005F7E9C" w:rsidRPr="005F7E9C">
        <w:rPr>
          <w:sz w:val="22"/>
          <w:szCs w:val="22"/>
        </w:rPr>
        <w:t xml:space="preserve">ESS or DMS </w:t>
      </w:r>
      <w:r w:rsidR="00D92A4E">
        <w:rPr>
          <w:sz w:val="22"/>
          <w:szCs w:val="22"/>
        </w:rPr>
        <w:t>provider</w:t>
      </w:r>
      <w:r w:rsidR="005F7E9C" w:rsidRPr="005F7E9C">
        <w:rPr>
          <w:sz w:val="22"/>
          <w:szCs w:val="22"/>
        </w:rPr>
        <w:t>.</w:t>
      </w:r>
    </w:p>
    <w:p w14:paraId="45DDC01E" w14:textId="0550E37A" w:rsidR="00227DFD" w:rsidRDefault="005F7E9C" w:rsidP="005F7E9C">
      <w:pPr>
        <w:spacing w:before="120" w:after="120"/>
        <w:rPr>
          <w:sz w:val="22"/>
          <w:szCs w:val="22"/>
        </w:rPr>
      </w:pPr>
      <w:r w:rsidRPr="005F7E9C">
        <w:rPr>
          <w:sz w:val="22"/>
          <w:szCs w:val="22"/>
        </w:rPr>
        <w:t xml:space="preserve">With limited exceptions, a person cannot commence a DES program without a Valid ESAt </w:t>
      </w:r>
      <w:r w:rsidR="006867AD">
        <w:rPr>
          <w:sz w:val="22"/>
          <w:szCs w:val="22"/>
        </w:rPr>
        <w:t xml:space="preserve">and </w:t>
      </w:r>
      <w:r w:rsidRPr="005F7E9C">
        <w:rPr>
          <w:sz w:val="22"/>
          <w:szCs w:val="22"/>
        </w:rPr>
        <w:t>DES</w:t>
      </w:r>
      <w:r w:rsidR="006867AD">
        <w:rPr>
          <w:sz w:val="22"/>
          <w:szCs w:val="22"/>
        </w:rPr>
        <w:t xml:space="preserve"> referral.</w:t>
      </w:r>
    </w:p>
    <w:p w14:paraId="67202699" w14:textId="77777777" w:rsidR="00227DFD" w:rsidRDefault="00227DFD" w:rsidP="005F7E9C">
      <w:pPr>
        <w:spacing w:before="120" w:after="120"/>
        <w:rPr>
          <w:sz w:val="22"/>
          <w:szCs w:val="22"/>
        </w:rPr>
      </w:pPr>
      <w:r>
        <w:rPr>
          <w:sz w:val="22"/>
          <w:szCs w:val="22"/>
        </w:rPr>
        <w:t>A JCA:</w:t>
      </w:r>
    </w:p>
    <w:p w14:paraId="5775A468" w14:textId="77777777" w:rsidR="00227DFD" w:rsidRPr="00077A82" w:rsidRDefault="00227DFD" w:rsidP="00077A82">
      <w:pPr>
        <w:numPr>
          <w:ilvl w:val="0"/>
          <w:numId w:val="87"/>
        </w:numPr>
        <w:spacing w:before="120" w:after="120"/>
        <w:rPr>
          <w:sz w:val="22"/>
          <w:szCs w:val="22"/>
        </w:rPr>
      </w:pPr>
      <w:r>
        <w:rPr>
          <w:sz w:val="22"/>
          <w:szCs w:val="22"/>
        </w:rPr>
        <w:t xml:space="preserve">establishes </w:t>
      </w:r>
      <w:r w:rsidRPr="00294472">
        <w:rPr>
          <w:sz w:val="22"/>
          <w:szCs w:val="22"/>
        </w:rPr>
        <w:t>how a person’s condition affects their</w:t>
      </w:r>
      <w:r w:rsidRPr="00077A82">
        <w:rPr>
          <w:sz w:val="22"/>
          <w:szCs w:val="22"/>
        </w:rPr>
        <w:t xml:space="preserve"> ability to work</w:t>
      </w:r>
    </w:p>
    <w:p w14:paraId="5731080A" w14:textId="77777777" w:rsidR="00227DFD" w:rsidRPr="00077A82" w:rsidRDefault="00227DFD" w:rsidP="00077A82">
      <w:pPr>
        <w:numPr>
          <w:ilvl w:val="0"/>
          <w:numId w:val="87"/>
        </w:numPr>
        <w:spacing w:before="120" w:after="120"/>
        <w:rPr>
          <w:sz w:val="22"/>
          <w:szCs w:val="22"/>
        </w:rPr>
      </w:pPr>
      <w:r>
        <w:rPr>
          <w:sz w:val="22"/>
          <w:szCs w:val="22"/>
        </w:rPr>
        <w:t xml:space="preserve">identify any help a person may need </w:t>
      </w:r>
      <w:r w:rsidRPr="00077A82">
        <w:rPr>
          <w:sz w:val="22"/>
          <w:szCs w:val="22"/>
        </w:rPr>
        <w:t>to get a job</w:t>
      </w:r>
      <w:r w:rsidR="005B1FAC">
        <w:rPr>
          <w:sz w:val="22"/>
          <w:szCs w:val="22"/>
        </w:rPr>
        <w:t>, and</w:t>
      </w:r>
    </w:p>
    <w:p w14:paraId="0F0E54CF" w14:textId="77777777" w:rsidR="00227DFD" w:rsidRPr="00077A82" w:rsidRDefault="00227DFD" w:rsidP="00077A82">
      <w:pPr>
        <w:numPr>
          <w:ilvl w:val="0"/>
          <w:numId w:val="87"/>
        </w:numPr>
        <w:spacing w:before="120" w:after="120"/>
        <w:rPr>
          <w:sz w:val="22"/>
          <w:szCs w:val="22"/>
        </w:rPr>
      </w:pPr>
      <w:r w:rsidRPr="00294472">
        <w:rPr>
          <w:sz w:val="22"/>
          <w:szCs w:val="22"/>
        </w:rPr>
        <w:t xml:space="preserve">if a person is </w:t>
      </w:r>
      <w:r w:rsidRPr="00077A82">
        <w:rPr>
          <w:sz w:val="22"/>
          <w:szCs w:val="22"/>
        </w:rPr>
        <w:t xml:space="preserve">medically eligible for </w:t>
      </w:r>
      <w:r>
        <w:rPr>
          <w:sz w:val="22"/>
          <w:szCs w:val="22"/>
        </w:rPr>
        <w:t xml:space="preserve">the </w:t>
      </w:r>
      <w:r w:rsidRPr="00077A82">
        <w:rPr>
          <w:sz w:val="22"/>
          <w:szCs w:val="22"/>
        </w:rPr>
        <w:t>D</w:t>
      </w:r>
      <w:r>
        <w:rPr>
          <w:sz w:val="22"/>
          <w:szCs w:val="22"/>
        </w:rPr>
        <w:t xml:space="preserve">isability </w:t>
      </w:r>
      <w:r w:rsidRPr="00294472">
        <w:rPr>
          <w:sz w:val="22"/>
          <w:szCs w:val="22"/>
        </w:rPr>
        <w:t>S</w:t>
      </w:r>
      <w:r>
        <w:rPr>
          <w:sz w:val="22"/>
          <w:szCs w:val="22"/>
        </w:rPr>
        <w:t xml:space="preserve">upport </w:t>
      </w:r>
      <w:r w:rsidRPr="00077A82">
        <w:rPr>
          <w:sz w:val="22"/>
          <w:szCs w:val="22"/>
        </w:rPr>
        <w:t>P</w:t>
      </w:r>
      <w:r>
        <w:rPr>
          <w:sz w:val="22"/>
          <w:szCs w:val="22"/>
        </w:rPr>
        <w:t>ension</w:t>
      </w:r>
      <w:r w:rsidR="005B1FAC">
        <w:rPr>
          <w:sz w:val="22"/>
          <w:szCs w:val="22"/>
        </w:rPr>
        <w:t xml:space="preserve"> (DS</w:t>
      </w:r>
      <w:r>
        <w:rPr>
          <w:sz w:val="22"/>
          <w:szCs w:val="22"/>
        </w:rPr>
        <w:t>P</w:t>
      </w:r>
      <w:r w:rsidR="005B1FAC">
        <w:rPr>
          <w:sz w:val="22"/>
          <w:szCs w:val="22"/>
        </w:rPr>
        <w:t>)</w:t>
      </w:r>
      <w:r w:rsidRPr="00077A82">
        <w:rPr>
          <w:sz w:val="22"/>
          <w:szCs w:val="22"/>
        </w:rPr>
        <w:t>.</w:t>
      </w:r>
    </w:p>
    <w:p w14:paraId="33D82F44" w14:textId="0B337E0A" w:rsidR="005F7E9C" w:rsidRPr="00077A82" w:rsidRDefault="005F7E9C" w:rsidP="00077A82">
      <w:pPr>
        <w:pStyle w:val="ListParagraph"/>
        <w:numPr>
          <w:ilvl w:val="0"/>
          <w:numId w:val="0"/>
        </w:numPr>
        <w:spacing w:before="120" w:after="120"/>
        <w:ind w:left="720"/>
        <w:rPr>
          <w:sz w:val="22"/>
          <w:szCs w:val="22"/>
        </w:rPr>
      </w:pPr>
    </w:p>
    <w:p w14:paraId="079A01AC" w14:textId="77777777" w:rsidR="005F7E9C" w:rsidRPr="00077A82" w:rsidRDefault="005F7E9C" w:rsidP="00910F1D">
      <w:pPr>
        <w:spacing w:before="120" w:after="120"/>
        <w:rPr>
          <w:b/>
          <w:szCs w:val="22"/>
        </w:rPr>
      </w:pPr>
      <w:r w:rsidRPr="00077A82">
        <w:rPr>
          <w:b/>
          <w:szCs w:val="22"/>
        </w:rPr>
        <w:t>Overview</w:t>
      </w:r>
    </w:p>
    <w:p w14:paraId="3A3EDF47" w14:textId="5A51830E" w:rsidR="005F7E9C" w:rsidRDefault="00012680" w:rsidP="005F7E9C">
      <w:pPr>
        <w:spacing w:before="120" w:after="120"/>
        <w:rPr>
          <w:sz w:val="22"/>
          <w:szCs w:val="22"/>
        </w:rPr>
      </w:pPr>
      <w:r w:rsidRPr="007214E6">
        <w:rPr>
          <w:sz w:val="22"/>
          <w:szCs w:val="22"/>
        </w:rPr>
        <w:t xml:space="preserve">An ESAt is </w:t>
      </w:r>
      <w:r w:rsidR="005B1FAC">
        <w:rPr>
          <w:sz w:val="22"/>
          <w:szCs w:val="22"/>
        </w:rPr>
        <w:t>done</w:t>
      </w:r>
      <w:r w:rsidRPr="007214E6">
        <w:rPr>
          <w:sz w:val="22"/>
          <w:szCs w:val="22"/>
        </w:rPr>
        <w:t xml:space="preserve"> by a </w:t>
      </w:r>
      <w:r w:rsidR="00D2333D">
        <w:rPr>
          <w:sz w:val="22"/>
          <w:szCs w:val="22"/>
        </w:rPr>
        <w:t xml:space="preserve">Services Australia </w:t>
      </w:r>
      <w:r w:rsidR="006867AD" w:rsidRPr="00077A82">
        <w:rPr>
          <w:sz w:val="22"/>
          <w:szCs w:val="22"/>
        </w:rPr>
        <w:t>qualified health or allied health professionals </w:t>
      </w:r>
      <w:r w:rsidRPr="007214E6">
        <w:rPr>
          <w:sz w:val="22"/>
          <w:szCs w:val="22"/>
        </w:rPr>
        <w:t>(Assessor</w:t>
      </w:r>
      <w:r w:rsidR="006867AD">
        <w:rPr>
          <w:sz w:val="22"/>
          <w:szCs w:val="22"/>
        </w:rPr>
        <w:t xml:space="preserve">). The Assessor </w:t>
      </w:r>
      <w:r w:rsidR="00F876A2" w:rsidRPr="007214E6">
        <w:rPr>
          <w:sz w:val="22"/>
          <w:szCs w:val="22"/>
        </w:rPr>
        <w:t xml:space="preserve">may be a nurse, physiotherapist, psychologist, </w:t>
      </w:r>
      <w:r w:rsidR="006867AD">
        <w:rPr>
          <w:sz w:val="22"/>
          <w:szCs w:val="22"/>
        </w:rPr>
        <w:t xml:space="preserve">or </w:t>
      </w:r>
      <w:r w:rsidR="00F876A2" w:rsidRPr="007214E6">
        <w:rPr>
          <w:sz w:val="22"/>
          <w:szCs w:val="22"/>
        </w:rPr>
        <w:t>occupational therapist.</w:t>
      </w:r>
      <w:r w:rsidR="005F7E9C">
        <w:rPr>
          <w:sz w:val="22"/>
          <w:szCs w:val="22"/>
        </w:rPr>
        <w:t xml:space="preserve"> </w:t>
      </w:r>
      <w:r w:rsidR="005F7E9C" w:rsidRPr="005F7E9C">
        <w:rPr>
          <w:sz w:val="22"/>
          <w:szCs w:val="22"/>
        </w:rPr>
        <w:t>An ESAt may be conducted face-to-face, by phone or video conference or, where appropriate, as a file assessment.</w:t>
      </w:r>
    </w:p>
    <w:p w14:paraId="75F0DBE2" w14:textId="00770A47" w:rsidR="005F7E9C" w:rsidRPr="005F7E9C" w:rsidRDefault="005F7E9C" w:rsidP="005F7E9C">
      <w:pPr>
        <w:spacing w:before="120" w:after="120"/>
        <w:rPr>
          <w:sz w:val="22"/>
          <w:szCs w:val="22"/>
        </w:rPr>
      </w:pPr>
      <w:r w:rsidRPr="005F7E9C">
        <w:rPr>
          <w:sz w:val="22"/>
          <w:szCs w:val="22"/>
        </w:rPr>
        <w:t xml:space="preserve">ESAts and JCAs are not diagnostic </w:t>
      </w:r>
      <w:r w:rsidR="006867AD">
        <w:rPr>
          <w:sz w:val="22"/>
          <w:szCs w:val="22"/>
        </w:rPr>
        <w:t>a</w:t>
      </w:r>
      <w:r w:rsidRPr="005F7E9C">
        <w:rPr>
          <w:sz w:val="22"/>
          <w:szCs w:val="22"/>
        </w:rPr>
        <w:t>ssessments. The submitted report is based on the Assessor’s consideration of medical or other evidence, discussion with the customer, observations and conclusions and, most importantly, the justification for the assignment of work capacity hour</w:t>
      </w:r>
      <w:r w:rsidR="006867AD">
        <w:rPr>
          <w:sz w:val="22"/>
          <w:szCs w:val="22"/>
        </w:rPr>
        <w:t xml:space="preserve">s </w:t>
      </w:r>
      <w:r w:rsidRPr="005F7E9C">
        <w:rPr>
          <w:sz w:val="22"/>
          <w:szCs w:val="22"/>
        </w:rPr>
        <w:t>(including a future work capacity with intervention) and referral action.</w:t>
      </w:r>
    </w:p>
    <w:p w14:paraId="343064EA" w14:textId="77777777" w:rsidR="00924F9A" w:rsidRPr="00077A82" w:rsidRDefault="005F7E9C" w:rsidP="00910F1D">
      <w:pPr>
        <w:spacing w:before="120" w:after="120"/>
        <w:rPr>
          <w:szCs w:val="22"/>
          <w:u w:val="single"/>
        </w:rPr>
      </w:pPr>
      <w:r w:rsidRPr="00077A82">
        <w:rPr>
          <w:szCs w:val="22"/>
          <w:u w:val="single"/>
        </w:rPr>
        <w:t>Types of Assessment</w:t>
      </w:r>
    </w:p>
    <w:p w14:paraId="3F9C2991" w14:textId="77777777" w:rsidR="00012680" w:rsidRPr="007214E6" w:rsidRDefault="00012680" w:rsidP="00910F1D">
      <w:pPr>
        <w:spacing w:before="120" w:after="120"/>
        <w:rPr>
          <w:sz w:val="22"/>
          <w:szCs w:val="22"/>
        </w:rPr>
      </w:pPr>
      <w:r w:rsidRPr="007214E6">
        <w:rPr>
          <w:sz w:val="22"/>
          <w:szCs w:val="22"/>
        </w:rPr>
        <w:t>There are two types of ESAts:</w:t>
      </w:r>
    </w:p>
    <w:p w14:paraId="64F3813B" w14:textId="71D1EDF4" w:rsidR="00012680" w:rsidRPr="007214E6" w:rsidRDefault="00012680" w:rsidP="00910F1D">
      <w:pPr>
        <w:pStyle w:val="ListParagraph"/>
        <w:numPr>
          <w:ilvl w:val="0"/>
          <w:numId w:val="73"/>
        </w:numPr>
        <w:spacing w:before="120" w:after="120"/>
        <w:rPr>
          <w:sz w:val="22"/>
          <w:szCs w:val="22"/>
        </w:rPr>
      </w:pPr>
      <w:r w:rsidRPr="007214E6">
        <w:rPr>
          <w:sz w:val="22"/>
          <w:szCs w:val="22"/>
        </w:rPr>
        <w:t xml:space="preserve">A </w:t>
      </w:r>
      <w:r w:rsidR="00F876A2" w:rsidRPr="007214E6">
        <w:rPr>
          <w:sz w:val="22"/>
          <w:szCs w:val="22"/>
        </w:rPr>
        <w:t>M</w:t>
      </w:r>
      <w:r w:rsidRPr="007214E6">
        <w:rPr>
          <w:sz w:val="22"/>
          <w:szCs w:val="22"/>
        </w:rPr>
        <w:t xml:space="preserve">edical </w:t>
      </w:r>
      <w:r w:rsidR="00F876A2" w:rsidRPr="007214E6">
        <w:rPr>
          <w:sz w:val="22"/>
          <w:szCs w:val="22"/>
        </w:rPr>
        <w:t>C</w:t>
      </w:r>
      <w:r w:rsidRPr="007214E6">
        <w:rPr>
          <w:sz w:val="22"/>
          <w:szCs w:val="22"/>
        </w:rPr>
        <w:t>ondition ESAt—</w:t>
      </w:r>
      <w:r w:rsidR="00452581" w:rsidRPr="007214E6">
        <w:rPr>
          <w:sz w:val="22"/>
          <w:szCs w:val="22"/>
        </w:rPr>
        <w:t xml:space="preserve"> </w:t>
      </w:r>
      <w:r w:rsidRPr="007214E6">
        <w:rPr>
          <w:sz w:val="22"/>
          <w:szCs w:val="22"/>
        </w:rPr>
        <w:t xml:space="preserve">an </w:t>
      </w:r>
      <w:r w:rsidR="00F876A2" w:rsidRPr="007214E6">
        <w:rPr>
          <w:sz w:val="22"/>
          <w:szCs w:val="22"/>
        </w:rPr>
        <w:t>A</w:t>
      </w:r>
      <w:r w:rsidRPr="007214E6">
        <w:rPr>
          <w:sz w:val="22"/>
          <w:szCs w:val="22"/>
        </w:rPr>
        <w:t xml:space="preserve">ssessment of the </w:t>
      </w:r>
      <w:r w:rsidR="008E03FD">
        <w:rPr>
          <w:sz w:val="22"/>
          <w:szCs w:val="22"/>
        </w:rPr>
        <w:t>participant</w:t>
      </w:r>
      <w:r w:rsidRPr="007214E6">
        <w:rPr>
          <w:sz w:val="22"/>
          <w:szCs w:val="22"/>
        </w:rPr>
        <w:t xml:space="preserve">’s circumstances to determine work capacity and the most appropriate employment service, where one or more medical conditions are identified.  </w:t>
      </w:r>
    </w:p>
    <w:p w14:paraId="6CB1A14D" w14:textId="74BDF4B0" w:rsidR="00012680" w:rsidRDefault="00012680" w:rsidP="00910F1D">
      <w:pPr>
        <w:pStyle w:val="ListParagraph"/>
        <w:numPr>
          <w:ilvl w:val="0"/>
          <w:numId w:val="73"/>
        </w:numPr>
        <w:spacing w:before="120" w:after="120"/>
        <w:rPr>
          <w:sz w:val="22"/>
          <w:szCs w:val="22"/>
        </w:rPr>
      </w:pPr>
      <w:r w:rsidRPr="007214E6">
        <w:rPr>
          <w:sz w:val="22"/>
          <w:szCs w:val="22"/>
        </w:rPr>
        <w:t xml:space="preserve">A </w:t>
      </w:r>
      <w:r w:rsidR="00F876A2" w:rsidRPr="007214E6">
        <w:rPr>
          <w:sz w:val="22"/>
          <w:szCs w:val="22"/>
        </w:rPr>
        <w:t>N</w:t>
      </w:r>
      <w:r w:rsidRPr="007214E6">
        <w:rPr>
          <w:sz w:val="22"/>
          <w:szCs w:val="22"/>
        </w:rPr>
        <w:t>on-</w:t>
      </w:r>
      <w:r w:rsidR="00F876A2" w:rsidRPr="007214E6">
        <w:rPr>
          <w:sz w:val="22"/>
          <w:szCs w:val="22"/>
        </w:rPr>
        <w:t>M</w:t>
      </w:r>
      <w:r w:rsidRPr="007214E6">
        <w:rPr>
          <w:sz w:val="22"/>
          <w:szCs w:val="22"/>
        </w:rPr>
        <w:t xml:space="preserve">edical </w:t>
      </w:r>
      <w:r w:rsidR="00F876A2" w:rsidRPr="007214E6">
        <w:rPr>
          <w:sz w:val="22"/>
          <w:szCs w:val="22"/>
        </w:rPr>
        <w:t>C</w:t>
      </w:r>
      <w:r w:rsidRPr="007214E6">
        <w:rPr>
          <w:sz w:val="22"/>
          <w:szCs w:val="22"/>
        </w:rPr>
        <w:t>ondition ESAt—</w:t>
      </w:r>
      <w:r w:rsidR="00452581" w:rsidRPr="007214E6">
        <w:rPr>
          <w:sz w:val="22"/>
          <w:szCs w:val="22"/>
        </w:rPr>
        <w:t xml:space="preserve"> </w:t>
      </w:r>
      <w:r w:rsidRPr="007214E6">
        <w:rPr>
          <w:sz w:val="22"/>
          <w:szCs w:val="22"/>
        </w:rPr>
        <w:t xml:space="preserve">an </w:t>
      </w:r>
      <w:r w:rsidR="00F876A2" w:rsidRPr="007214E6">
        <w:rPr>
          <w:sz w:val="22"/>
          <w:szCs w:val="22"/>
        </w:rPr>
        <w:t>A</w:t>
      </w:r>
      <w:r w:rsidRPr="007214E6">
        <w:rPr>
          <w:sz w:val="22"/>
          <w:szCs w:val="22"/>
        </w:rPr>
        <w:t xml:space="preserve">ssessment of the </w:t>
      </w:r>
      <w:r w:rsidR="008E03FD">
        <w:rPr>
          <w:sz w:val="22"/>
          <w:szCs w:val="22"/>
        </w:rPr>
        <w:t>participant</w:t>
      </w:r>
      <w:r w:rsidRPr="007214E6">
        <w:rPr>
          <w:sz w:val="22"/>
          <w:szCs w:val="22"/>
        </w:rPr>
        <w:t xml:space="preserve">’s circumstances to determine the most appropriate employment service, where no medical conditions are identified. </w:t>
      </w:r>
    </w:p>
    <w:p w14:paraId="315E0010" w14:textId="77777777" w:rsidR="005F7E9C" w:rsidRPr="00077A82" w:rsidRDefault="005F7E9C" w:rsidP="00077A82">
      <w:pPr>
        <w:spacing w:before="120" w:after="120"/>
        <w:rPr>
          <w:szCs w:val="22"/>
          <w:u w:val="single"/>
        </w:rPr>
      </w:pPr>
      <w:r w:rsidRPr="00077A82">
        <w:rPr>
          <w:szCs w:val="22"/>
          <w:u w:val="single"/>
        </w:rPr>
        <w:t>Work Capacity</w:t>
      </w:r>
    </w:p>
    <w:p w14:paraId="7E35468B" w14:textId="1ED39D31" w:rsidR="00012680" w:rsidRDefault="00012680" w:rsidP="00910F1D">
      <w:pPr>
        <w:spacing w:before="120" w:after="120"/>
        <w:rPr>
          <w:sz w:val="22"/>
          <w:szCs w:val="22"/>
        </w:rPr>
      </w:pPr>
      <w:r w:rsidRPr="007214E6">
        <w:rPr>
          <w:sz w:val="22"/>
          <w:szCs w:val="22"/>
        </w:rPr>
        <w:t xml:space="preserve">An ESAt </w:t>
      </w:r>
      <w:r w:rsidR="005E4215">
        <w:rPr>
          <w:sz w:val="22"/>
          <w:szCs w:val="22"/>
        </w:rPr>
        <w:t xml:space="preserve">or JCA </w:t>
      </w:r>
      <w:r w:rsidRPr="007214E6">
        <w:rPr>
          <w:sz w:val="22"/>
          <w:szCs w:val="22"/>
        </w:rPr>
        <w:t>assesses the</w:t>
      </w:r>
      <w:r w:rsidR="00BA37D1" w:rsidRPr="007214E6">
        <w:rPr>
          <w:sz w:val="22"/>
          <w:szCs w:val="22"/>
        </w:rPr>
        <w:t xml:space="preserve"> </w:t>
      </w:r>
      <w:r w:rsidR="000A5C74">
        <w:rPr>
          <w:sz w:val="22"/>
          <w:szCs w:val="22"/>
        </w:rPr>
        <w:t>participant</w:t>
      </w:r>
      <w:r w:rsidR="00C340AA" w:rsidRPr="007214E6">
        <w:rPr>
          <w:sz w:val="22"/>
          <w:szCs w:val="22"/>
        </w:rPr>
        <w:t xml:space="preserve">’s </w:t>
      </w:r>
      <w:r w:rsidRPr="007214E6">
        <w:rPr>
          <w:sz w:val="22"/>
          <w:szCs w:val="22"/>
        </w:rPr>
        <w:t>work capacity in the following bandwidths: 0–7 hours per week, 8–14 hours per week, 15–22 hours per week, 23–29 hours per week and 30 or more hours per week.</w:t>
      </w:r>
      <w:r w:rsidR="005E4215">
        <w:rPr>
          <w:sz w:val="22"/>
          <w:szCs w:val="22"/>
        </w:rPr>
        <w:t xml:space="preserve"> </w:t>
      </w:r>
      <w:r w:rsidR="005E4215" w:rsidRPr="005E4215">
        <w:rPr>
          <w:sz w:val="22"/>
          <w:szCs w:val="22"/>
        </w:rPr>
        <w:t>The assessment considers both the person’s current (baseline capacity) work capacity, as well as their expected capacity for work within two years with the support of a provider (future capacity)</w:t>
      </w:r>
      <w:r w:rsidR="005E4215">
        <w:rPr>
          <w:sz w:val="22"/>
          <w:szCs w:val="22"/>
        </w:rPr>
        <w:t>.</w:t>
      </w:r>
    </w:p>
    <w:p w14:paraId="5CE02F71" w14:textId="77777777" w:rsidR="00227DFD" w:rsidRDefault="00227DFD" w:rsidP="00910F1D">
      <w:pPr>
        <w:spacing w:before="120" w:after="120"/>
        <w:rPr>
          <w:szCs w:val="22"/>
          <w:u w:val="single"/>
        </w:rPr>
      </w:pPr>
    </w:p>
    <w:p w14:paraId="1F88E017" w14:textId="77777777" w:rsidR="005E4215" w:rsidRPr="00077A82" w:rsidRDefault="005E4215" w:rsidP="00910F1D">
      <w:pPr>
        <w:spacing w:before="120" w:after="120"/>
        <w:rPr>
          <w:szCs w:val="22"/>
          <w:u w:val="single"/>
        </w:rPr>
      </w:pPr>
      <w:r w:rsidRPr="00077A82">
        <w:rPr>
          <w:szCs w:val="22"/>
          <w:u w:val="single"/>
        </w:rPr>
        <w:lastRenderedPageBreak/>
        <w:t>Interventions</w:t>
      </w:r>
    </w:p>
    <w:p w14:paraId="61098442" w14:textId="19144C96" w:rsidR="00471E75" w:rsidRPr="007214E6" w:rsidRDefault="00012680" w:rsidP="00910F1D">
      <w:pPr>
        <w:spacing w:before="120" w:after="120"/>
        <w:rPr>
          <w:rStyle w:val="Strong"/>
          <w:b w:val="0"/>
          <w:bCs w:val="0"/>
          <w:color w:val="000000" w:themeColor="text1"/>
          <w:sz w:val="22"/>
          <w:szCs w:val="22"/>
        </w:rPr>
      </w:pPr>
      <w:r w:rsidRPr="007214E6">
        <w:rPr>
          <w:sz w:val="22"/>
          <w:szCs w:val="22"/>
        </w:rPr>
        <w:t xml:space="preserve">The Assessor may suggest suitable types of employment and interventions most appropriate to meet the </w:t>
      </w:r>
      <w:r w:rsidR="000A5C74">
        <w:rPr>
          <w:sz w:val="22"/>
          <w:szCs w:val="22"/>
        </w:rPr>
        <w:t>participant</w:t>
      </w:r>
      <w:r w:rsidRPr="007214E6">
        <w:rPr>
          <w:sz w:val="22"/>
          <w:szCs w:val="22"/>
        </w:rPr>
        <w:t xml:space="preserve">’s needs. The report prepared by the Assessor is available on </w:t>
      </w:r>
      <w:r w:rsidR="00A73112" w:rsidRPr="007214E6">
        <w:rPr>
          <w:sz w:val="22"/>
          <w:szCs w:val="22"/>
        </w:rPr>
        <w:t xml:space="preserve">the Department’s IT </w:t>
      </w:r>
      <w:r w:rsidR="00C16FF0" w:rsidRPr="007214E6">
        <w:rPr>
          <w:sz w:val="22"/>
          <w:szCs w:val="22"/>
        </w:rPr>
        <w:t>S</w:t>
      </w:r>
      <w:r w:rsidR="00A73112" w:rsidRPr="007214E6">
        <w:rPr>
          <w:sz w:val="22"/>
          <w:szCs w:val="22"/>
        </w:rPr>
        <w:t>ystem</w:t>
      </w:r>
      <w:r w:rsidR="00C2422A" w:rsidRPr="007214E6">
        <w:rPr>
          <w:sz w:val="22"/>
          <w:szCs w:val="22"/>
        </w:rPr>
        <w:t>s</w:t>
      </w:r>
      <w:r w:rsidR="005B1FAC">
        <w:rPr>
          <w:sz w:val="22"/>
          <w:szCs w:val="22"/>
        </w:rPr>
        <w:t>. It is</w:t>
      </w:r>
      <w:r w:rsidR="00227DFD">
        <w:rPr>
          <w:sz w:val="22"/>
          <w:szCs w:val="22"/>
        </w:rPr>
        <w:t xml:space="preserve"> </w:t>
      </w:r>
      <w:r w:rsidRPr="007214E6">
        <w:rPr>
          <w:sz w:val="22"/>
          <w:szCs w:val="22"/>
        </w:rPr>
        <w:t>a</w:t>
      </w:r>
      <w:r w:rsidR="005B1FAC">
        <w:rPr>
          <w:sz w:val="22"/>
          <w:szCs w:val="22"/>
        </w:rPr>
        <w:t xml:space="preserve"> u</w:t>
      </w:r>
      <w:r w:rsidRPr="007214E6">
        <w:rPr>
          <w:sz w:val="22"/>
          <w:szCs w:val="22"/>
        </w:rPr>
        <w:t xml:space="preserve">sed to develop the suite of services to meet the </w:t>
      </w:r>
      <w:r w:rsidR="000A5C74">
        <w:rPr>
          <w:sz w:val="22"/>
          <w:szCs w:val="22"/>
        </w:rPr>
        <w:t>participant</w:t>
      </w:r>
      <w:r w:rsidRPr="007214E6">
        <w:rPr>
          <w:sz w:val="22"/>
          <w:szCs w:val="22"/>
        </w:rPr>
        <w:t>’s needs.</w:t>
      </w:r>
    </w:p>
    <w:p w14:paraId="4523B0C4" w14:textId="77777777" w:rsidR="00B13C54" w:rsidRPr="00077A82" w:rsidRDefault="00B13C54" w:rsidP="007214E6">
      <w:pPr>
        <w:rPr>
          <w:rStyle w:val="Strong"/>
          <w:b w:val="0"/>
          <w:color w:val="000000" w:themeColor="text1"/>
          <w:szCs w:val="22"/>
          <w:u w:val="single"/>
        </w:rPr>
      </w:pPr>
      <w:r w:rsidRPr="00077A82">
        <w:rPr>
          <w:rStyle w:val="Strong"/>
          <w:b w:val="0"/>
          <w:color w:val="000000" w:themeColor="text1"/>
          <w:szCs w:val="22"/>
          <w:u w:val="single"/>
        </w:rPr>
        <w:t>Recommended Referrals</w:t>
      </w:r>
    </w:p>
    <w:p w14:paraId="05413269" w14:textId="5B734431" w:rsidR="00B13C54" w:rsidRPr="00B13C54" w:rsidRDefault="00B13C54" w:rsidP="00077A82">
      <w:pPr>
        <w:spacing w:line="276" w:lineRule="auto"/>
        <w:rPr>
          <w:bCs/>
          <w:color w:val="000000" w:themeColor="text1"/>
          <w:sz w:val="22"/>
          <w:szCs w:val="22"/>
        </w:rPr>
      </w:pPr>
      <w:r w:rsidRPr="00B13C54">
        <w:rPr>
          <w:bCs/>
          <w:color w:val="000000" w:themeColor="text1"/>
          <w:sz w:val="22"/>
          <w:szCs w:val="22"/>
        </w:rPr>
        <w:t>An ESAt/JCA can include a recommended referral to:</w:t>
      </w:r>
    </w:p>
    <w:p w14:paraId="3FE199D8" w14:textId="61E643A3" w:rsidR="00227DFD" w:rsidRPr="00B13C54" w:rsidRDefault="00B13C54" w:rsidP="00077A82">
      <w:pPr>
        <w:numPr>
          <w:ilvl w:val="0"/>
          <w:numId w:val="87"/>
        </w:numPr>
        <w:spacing w:line="276" w:lineRule="auto"/>
        <w:rPr>
          <w:bCs/>
          <w:color w:val="000000" w:themeColor="text1"/>
          <w:sz w:val="22"/>
          <w:szCs w:val="22"/>
        </w:rPr>
      </w:pPr>
      <w:r w:rsidRPr="00B13C54">
        <w:rPr>
          <w:bCs/>
          <w:color w:val="000000" w:themeColor="text1"/>
          <w:sz w:val="22"/>
          <w:szCs w:val="22"/>
        </w:rPr>
        <w:t>DMS</w:t>
      </w:r>
    </w:p>
    <w:p w14:paraId="4CD7CA29" w14:textId="0AEFFF46" w:rsidR="00B13C54" w:rsidRPr="00294472" w:rsidRDefault="00B13C54" w:rsidP="00077A82">
      <w:pPr>
        <w:numPr>
          <w:ilvl w:val="0"/>
          <w:numId w:val="87"/>
        </w:numPr>
        <w:spacing w:line="276" w:lineRule="auto"/>
        <w:rPr>
          <w:bCs/>
          <w:color w:val="000000" w:themeColor="text1"/>
          <w:sz w:val="22"/>
          <w:szCs w:val="22"/>
        </w:rPr>
      </w:pPr>
      <w:r w:rsidRPr="00294472">
        <w:rPr>
          <w:bCs/>
          <w:color w:val="000000" w:themeColor="text1"/>
          <w:sz w:val="22"/>
          <w:szCs w:val="22"/>
        </w:rPr>
        <w:t>ESS</w:t>
      </w:r>
    </w:p>
    <w:p w14:paraId="0D7366CE" w14:textId="77777777" w:rsidR="00B13C54" w:rsidRPr="00B13C54" w:rsidRDefault="00B13C54" w:rsidP="00077A82">
      <w:pPr>
        <w:numPr>
          <w:ilvl w:val="0"/>
          <w:numId w:val="87"/>
        </w:numPr>
        <w:spacing w:line="276" w:lineRule="auto"/>
        <w:rPr>
          <w:bCs/>
          <w:color w:val="000000" w:themeColor="text1"/>
          <w:sz w:val="22"/>
          <w:szCs w:val="22"/>
        </w:rPr>
      </w:pPr>
      <w:r w:rsidRPr="00B13C54">
        <w:rPr>
          <w:bCs/>
          <w:color w:val="000000" w:themeColor="text1"/>
          <w:sz w:val="22"/>
          <w:szCs w:val="22"/>
        </w:rPr>
        <w:t>Workforce Australia</w:t>
      </w:r>
    </w:p>
    <w:p w14:paraId="1F3BB37F" w14:textId="77777777" w:rsidR="00B13C54" w:rsidRPr="00B13C54" w:rsidRDefault="00B13C54" w:rsidP="00077A82">
      <w:pPr>
        <w:numPr>
          <w:ilvl w:val="0"/>
          <w:numId w:val="87"/>
        </w:numPr>
        <w:spacing w:line="276" w:lineRule="auto"/>
        <w:rPr>
          <w:bCs/>
          <w:color w:val="000000" w:themeColor="text1"/>
          <w:sz w:val="22"/>
          <w:szCs w:val="22"/>
        </w:rPr>
      </w:pPr>
      <w:r w:rsidRPr="00B13C54">
        <w:rPr>
          <w:bCs/>
          <w:color w:val="000000" w:themeColor="text1"/>
          <w:sz w:val="22"/>
          <w:szCs w:val="22"/>
        </w:rPr>
        <w:t xml:space="preserve">Workforce Australia – Enhanced services; or </w:t>
      </w:r>
    </w:p>
    <w:p w14:paraId="5061CDA0" w14:textId="77777777" w:rsidR="00B13C54" w:rsidRPr="00B13C54" w:rsidRDefault="00B13C54" w:rsidP="00077A82">
      <w:pPr>
        <w:numPr>
          <w:ilvl w:val="0"/>
          <w:numId w:val="87"/>
        </w:numPr>
        <w:spacing w:line="276" w:lineRule="auto"/>
        <w:rPr>
          <w:bCs/>
          <w:color w:val="000000" w:themeColor="text1"/>
          <w:sz w:val="22"/>
          <w:szCs w:val="22"/>
        </w:rPr>
      </w:pPr>
      <w:r w:rsidRPr="00B13C54">
        <w:rPr>
          <w:bCs/>
          <w:color w:val="000000" w:themeColor="text1"/>
          <w:sz w:val="22"/>
          <w:szCs w:val="22"/>
        </w:rPr>
        <w:t>Transition to Work</w:t>
      </w:r>
      <w:r w:rsidR="00294472">
        <w:rPr>
          <w:bCs/>
          <w:color w:val="000000" w:themeColor="text1"/>
          <w:sz w:val="22"/>
          <w:szCs w:val="22"/>
        </w:rPr>
        <w:t>.</w:t>
      </w:r>
    </w:p>
    <w:p w14:paraId="531A5FB2" w14:textId="3420D973" w:rsidR="00B13C54" w:rsidRPr="00B13C54" w:rsidRDefault="00B13C54" w:rsidP="00077A82">
      <w:pPr>
        <w:spacing w:line="276" w:lineRule="auto"/>
        <w:rPr>
          <w:bCs/>
          <w:color w:val="000000" w:themeColor="text1"/>
          <w:sz w:val="22"/>
          <w:szCs w:val="22"/>
        </w:rPr>
      </w:pPr>
      <w:r w:rsidRPr="00B13C54">
        <w:rPr>
          <w:bCs/>
          <w:color w:val="000000" w:themeColor="text1"/>
          <w:sz w:val="22"/>
          <w:szCs w:val="22"/>
        </w:rPr>
        <w:t xml:space="preserve">An ESAt can also determine </w:t>
      </w:r>
      <w:r w:rsidR="00C24D8E">
        <w:rPr>
          <w:bCs/>
          <w:color w:val="000000" w:themeColor="text1"/>
          <w:sz w:val="22"/>
          <w:szCs w:val="22"/>
        </w:rPr>
        <w:t xml:space="preserve">if </w:t>
      </w:r>
      <w:r w:rsidRPr="00B13C54">
        <w:rPr>
          <w:bCs/>
          <w:color w:val="000000" w:themeColor="text1"/>
          <w:sz w:val="22"/>
          <w:szCs w:val="22"/>
        </w:rPr>
        <w:t>the person is unable to benefit from employment service</w:t>
      </w:r>
      <w:r w:rsidR="00C24D8E">
        <w:rPr>
          <w:bCs/>
          <w:color w:val="000000" w:themeColor="text1"/>
          <w:sz w:val="22"/>
          <w:szCs w:val="22"/>
        </w:rPr>
        <w:t>s.</w:t>
      </w:r>
      <w:r w:rsidRPr="00B13C54">
        <w:rPr>
          <w:bCs/>
          <w:color w:val="000000" w:themeColor="text1"/>
          <w:sz w:val="22"/>
          <w:szCs w:val="22"/>
        </w:rPr>
        <w:t xml:space="preserve"> </w:t>
      </w:r>
    </w:p>
    <w:p w14:paraId="35D61112" w14:textId="77777777" w:rsidR="00B13C54" w:rsidRDefault="00B13C54" w:rsidP="007214E6">
      <w:pPr>
        <w:rPr>
          <w:rStyle w:val="Strong"/>
          <w:b w:val="0"/>
          <w:color w:val="000000" w:themeColor="text1"/>
          <w:sz w:val="22"/>
          <w:szCs w:val="22"/>
        </w:rPr>
      </w:pPr>
    </w:p>
    <w:p w14:paraId="7059BE78" w14:textId="77777777" w:rsidR="00B13C54" w:rsidRDefault="00B13C54" w:rsidP="007214E6">
      <w:pPr>
        <w:rPr>
          <w:rStyle w:val="Strong"/>
          <w:b w:val="0"/>
          <w:color w:val="000000" w:themeColor="text1"/>
          <w:szCs w:val="22"/>
          <w:u w:val="single"/>
        </w:rPr>
      </w:pPr>
      <w:r w:rsidRPr="00077A82">
        <w:rPr>
          <w:rStyle w:val="Strong"/>
          <w:b w:val="0"/>
          <w:color w:val="000000" w:themeColor="text1"/>
          <w:szCs w:val="22"/>
          <w:u w:val="single"/>
        </w:rPr>
        <w:t>Referrals</w:t>
      </w:r>
    </w:p>
    <w:p w14:paraId="3DED071E" w14:textId="7FE4C847" w:rsidR="00B13C54" w:rsidRDefault="00B13C54" w:rsidP="00B13C54">
      <w:pPr>
        <w:rPr>
          <w:bCs/>
          <w:color w:val="000000" w:themeColor="text1"/>
          <w:sz w:val="22"/>
          <w:szCs w:val="22"/>
        </w:rPr>
      </w:pPr>
      <w:r w:rsidRPr="00077A82">
        <w:rPr>
          <w:bCs/>
          <w:color w:val="000000" w:themeColor="text1"/>
          <w:sz w:val="22"/>
          <w:szCs w:val="22"/>
        </w:rPr>
        <w:t xml:space="preserve">Where an ESAt recommends referral to a service, including DES, the Assessor will normally assist the person to choose an available </w:t>
      </w:r>
      <w:r w:rsidR="00D92A4E">
        <w:rPr>
          <w:bCs/>
          <w:color w:val="000000" w:themeColor="text1"/>
          <w:sz w:val="22"/>
          <w:szCs w:val="22"/>
        </w:rPr>
        <w:t>provider and r</w:t>
      </w:r>
      <w:r w:rsidRPr="00077A82">
        <w:rPr>
          <w:bCs/>
          <w:color w:val="000000" w:themeColor="text1"/>
          <w:sz w:val="22"/>
          <w:szCs w:val="22"/>
        </w:rPr>
        <w:t xml:space="preserve">efer the person to that </w:t>
      </w:r>
      <w:r w:rsidR="00D92A4E">
        <w:rPr>
          <w:bCs/>
          <w:color w:val="000000" w:themeColor="text1"/>
          <w:sz w:val="22"/>
          <w:szCs w:val="22"/>
        </w:rPr>
        <w:t>provider</w:t>
      </w:r>
      <w:r w:rsidRPr="00077A82">
        <w:rPr>
          <w:bCs/>
          <w:color w:val="000000" w:themeColor="text1"/>
          <w:sz w:val="22"/>
          <w:szCs w:val="22"/>
        </w:rPr>
        <w:t xml:space="preserve">. </w:t>
      </w:r>
      <w:r w:rsidR="00D92A4E">
        <w:rPr>
          <w:bCs/>
          <w:color w:val="000000" w:themeColor="text1"/>
          <w:sz w:val="22"/>
          <w:szCs w:val="22"/>
        </w:rPr>
        <w:t>Provider</w:t>
      </w:r>
      <w:r w:rsidRPr="00077A82">
        <w:rPr>
          <w:bCs/>
          <w:color w:val="000000" w:themeColor="text1"/>
          <w:sz w:val="22"/>
          <w:szCs w:val="22"/>
        </w:rPr>
        <w:t xml:space="preserve">s must have scheduled available </w:t>
      </w:r>
      <w:r w:rsidR="00C24D8E">
        <w:rPr>
          <w:bCs/>
          <w:color w:val="000000" w:themeColor="text1"/>
          <w:sz w:val="22"/>
          <w:szCs w:val="22"/>
        </w:rPr>
        <w:t>i</w:t>
      </w:r>
      <w:r w:rsidRPr="00077A82">
        <w:rPr>
          <w:bCs/>
          <w:color w:val="000000" w:themeColor="text1"/>
          <w:sz w:val="22"/>
          <w:szCs w:val="22"/>
        </w:rPr>
        <w:t xml:space="preserve">nitial Appointment sessions in the </w:t>
      </w:r>
      <w:r w:rsidR="00C24D8E">
        <w:rPr>
          <w:bCs/>
          <w:color w:val="000000" w:themeColor="text1"/>
          <w:sz w:val="22"/>
          <w:szCs w:val="22"/>
        </w:rPr>
        <w:t>e</w:t>
      </w:r>
      <w:r w:rsidRPr="00077A82">
        <w:rPr>
          <w:bCs/>
          <w:color w:val="000000" w:themeColor="text1"/>
          <w:sz w:val="22"/>
          <w:szCs w:val="22"/>
        </w:rPr>
        <w:t xml:space="preserve">lectronic </w:t>
      </w:r>
      <w:r w:rsidR="00C24D8E">
        <w:rPr>
          <w:bCs/>
          <w:color w:val="000000" w:themeColor="text1"/>
          <w:sz w:val="22"/>
          <w:szCs w:val="22"/>
        </w:rPr>
        <w:t>c</w:t>
      </w:r>
      <w:r w:rsidRPr="00077A82">
        <w:rPr>
          <w:bCs/>
          <w:color w:val="000000" w:themeColor="text1"/>
          <w:sz w:val="22"/>
          <w:szCs w:val="22"/>
        </w:rPr>
        <w:t xml:space="preserve">alendar for a </w:t>
      </w:r>
      <w:r w:rsidR="00365F82">
        <w:rPr>
          <w:bCs/>
          <w:color w:val="000000" w:themeColor="text1"/>
          <w:sz w:val="22"/>
          <w:szCs w:val="22"/>
        </w:rPr>
        <w:t>refer</w:t>
      </w:r>
      <w:r w:rsidRPr="00077A82">
        <w:rPr>
          <w:bCs/>
          <w:color w:val="000000" w:themeColor="text1"/>
          <w:sz w:val="22"/>
          <w:szCs w:val="22"/>
        </w:rPr>
        <w:t>ral.</w:t>
      </w:r>
    </w:p>
    <w:p w14:paraId="4936D7C0" w14:textId="77777777" w:rsidR="00B13C54" w:rsidRPr="00077A82" w:rsidRDefault="00B13C54" w:rsidP="00B13C54">
      <w:pPr>
        <w:rPr>
          <w:bCs/>
          <w:color w:val="000000" w:themeColor="text1"/>
          <w:sz w:val="22"/>
          <w:szCs w:val="22"/>
        </w:rPr>
      </w:pPr>
    </w:p>
    <w:p w14:paraId="57FFB006" w14:textId="06E45AD6" w:rsidR="00B13C54" w:rsidRPr="00077A82" w:rsidRDefault="00B13C54" w:rsidP="00B13C54">
      <w:pPr>
        <w:rPr>
          <w:bCs/>
          <w:color w:val="000000" w:themeColor="text1"/>
          <w:sz w:val="22"/>
          <w:szCs w:val="22"/>
        </w:rPr>
      </w:pPr>
      <w:r w:rsidRPr="00077A82">
        <w:rPr>
          <w:bCs/>
          <w:color w:val="000000" w:themeColor="text1"/>
          <w:sz w:val="22"/>
          <w:szCs w:val="22"/>
        </w:rPr>
        <w:t xml:space="preserve">An ESAt may defer </w:t>
      </w:r>
      <w:r w:rsidR="00365F82">
        <w:rPr>
          <w:bCs/>
          <w:color w:val="000000" w:themeColor="text1"/>
          <w:sz w:val="22"/>
          <w:szCs w:val="22"/>
        </w:rPr>
        <w:t>refer</w:t>
      </w:r>
      <w:r w:rsidRPr="00077A82">
        <w:rPr>
          <w:bCs/>
          <w:color w:val="000000" w:themeColor="text1"/>
          <w:sz w:val="22"/>
          <w:szCs w:val="22"/>
        </w:rPr>
        <w:t xml:space="preserve">ral to a recommended employment service </w:t>
      </w:r>
      <w:r w:rsidR="00C24D8E">
        <w:rPr>
          <w:bCs/>
          <w:color w:val="000000" w:themeColor="text1"/>
          <w:sz w:val="22"/>
          <w:szCs w:val="22"/>
        </w:rPr>
        <w:t xml:space="preserve">if </w:t>
      </w:r>
      <w:r w:rsidRPr="00077A82">
        <w:rPr>
          <w:bCs/>
          <w:color w:val="000000" w:themeColor="text1"/>
          <w:sz w:val="22"/>
          <w:szCs w:val="22"/>
        </w:rPr>
        <w:t>the person cannot immediately benefit from the service because of a temporary incapacity. In this case, the recommended referral can be actioned once the deferral period ends.</w:t>
      </w:r>
    </w:p>
    <w:p w14:paraId="0710B6C4" w14:textId="77777777" w:rsidR="00B13C54" w:rsidRPr="00077A82" w:rsidRDefault="00B13C54" w:rsidP="007214E6">
      <w:pPr>
        <w:rPr>
          <w:rStyle w:val="Strong"/>
          <w:b w:val="0"/>
          <w:color w:val="000000" w:themeColor="text1"/>
          <w:szCs w:val="22"/>
          <w:u w:val="single"/>
        </w:rPr>
      </w:pPr>
    </w:p>
    <w:p w14:paraId="469CA0B7" w14:textId="77777777" w:rsidR="0072133E" w:rsidRPr="00B773CD" w:rsidRDefault="0072133E" w:rsidP="00910F1D">
      <w:pPr>
        <w:pStyle w:val="Heading3"/>
        <w:spacing w:before="120" w:after="120"/>
      </w:pPr>
      <w:bookmarkStart w:id="17" w:name="_Toc126830100"/>
      <w:r w:rsidRPr="00B773CD">
        <w:t>Eligibility for DES</w:t>
      </w:r>
      <w:bookmarkEnd w:id="17"/>
    </w:p>
    <w:p w14:paraId="01CE6CB1" w14:textId="1C69106A" w:rsidR="00475F64" w:rsidRDefault="0072133E" w:rsidP="00475F64">
      <w:pPr>
        <w:spacing w:before="120" w:after="120"/>
        <w:rPr>
          <w:sz w:val="22"/>
          <w:szCs w:val="22"/>
        </w:rPr>
      </w:pPr>
      <w:r w:rsidRPr="007214E6">
        <w:rPr>
          <w:sz w:val="22"/>
          <w:szCs w:val="22"/>
        </w:rPr>
        <w:t>Eligibility fo</w:t>
      </w:r>
      <w:r w:rsidR="00A47D71" w:rsidRPr="007214E6">
        <w:rPr>
          <w:sz w:val="22"/>
          <w:szCs w:val="22"/>
        </w:rPr>
        <w:t>r DES is</w:t>
      </w:r>
      <w:r w:rsidR="00B13C54">
        <w:rPr>
          <w:sz w:val="22"/>
          <w:szCs w:val="22"/>
        </w:rPr>
        <w:t xml:space="preserve"> typically</w:t>
      </w:r>
      <w:r w:rsidR="00A47D71" w:rsidRPr="007214E6">
        <w:rPr>
          <w:sz w:val="22"/>
          <w:szCs w:val="22"/>
        </w:rPr>
        <w:t xml:space="preserve"> determined through a</w:t>
      </w:r>
      <w:r w:rsidR="00C16FF0" w:rsidRPr="007214E6">
        <w:rPr>
          <w:sz w:val="22"/>
          <w:szCs w:val="22"/>
        </w:rPr>
        <w:t xml:space="preserve">n </w:t>
      </w:r>
      <w:r w:rsidRPr="007214E6">
        <w:rPr>
          <w:sz w:val="22"/>
          <w:szCs w:val="22"/>
        </w:rPr>
        <w:t>ESAt</w:t>
      </w:r>
      <w:r w:rsidR="00C16FF0" w:rsidRPr="007214E6">
        <w:rPr>
          <w:sz w:val="22"/>
          <w:szCs w:val="22"/>
        </w:rPr>
        <w:t>/J</w:t>
      </w:r>
      <w:r w:rsidRPr="007214E6">
        <w:rPr>
          <w:sz w:val="22"/>
          <w:szCs w:val="22"/>
        </w:rPr>
        <w:t>CA</w:t>
      </w:r>
      <w:r w:rsidR="00D92A4E">
        <w:rPr>
          <w:sz w:val="22"/>
          <w:szCs w:val="22"/>
        </w:rPr>
        <w:t>. To commence in</w:t>
      </w:r>
      <w:r w:rsidR="001F1BFE">
        <w:rPr>
          <w:sz w:val="22"/>
          <w:szCs w:val="22"/>
        </w:rPr>
        <w:t xml:space="preserve"> an ESS or DMS program, a person must have an ESAt/JCA with a recommended referral to ESS or DMS that:</w:t>
      </w:r>
      <w:r w:rsidR="00CE0965" w:rsidRPr="007214E6">
        <w:rPr>
          <w:sz w:val="22"/>
          <w:szCs w:val="22"/>
        </w:rPr>
        <w:t xml:space="preserve"> </w:t>
      </w:r>
    </w:p>
    <w:p w14:paraId="672C7E77" w14:textId="045BEB10" w:rsidR="001F1BFE" w:rsidRPr="001F1BFE" w:rsidRDefault="001F1BFE" w:rsidP="001F1BFE">
      <w:pPr>
        <w:numPr>
          <w:ilvl w:val="0"/>
          <w:numId w:val="87"/>
        </w:numPr>
        <w:spacing w:before="120" w:after="120"/>
        <w:rPr>
          <w:sz w:val="22"/>
          <w:szCs w:val="22"/>
        </w:rPr>
      </w:pPr>
      <w:r w:rsidRPr="001F1BFE">
        <w:rPr>
          <w:sz w:val="22"/>
          <w:szCs w:val="22"/>
        </w:rPr>
        <w:t xml:space="preserve">is </w:t>
      </w:r>
      <w:r w:rsidR="00C24D8E">
        <w:rPr>
          <w:sz w:val="22"/>
          <w:szCs w:val="22"/>
        </w:rPr>
        <w:t>v</w:t>
      </w:r>
      <w:r w:rsidRPr="001F1BFE">
        <w:rPr>
          <w:sz w:val="22"/>
          <w:szCs w:val="22"/>
        </w:rPr>
        <w:t xml:space="preserve">alid – that is, the ESAt/JCA was conducted and submitted within the two preceding years and there has been no significant change in the </w:t>
      </w:r>
      <w:r w:rsidR="000A5C74">
        <w:rPr>
          <w:sz w:val="22"/>
          <w:szCs w:val="22"/>
        </w:rPr>
        <w:t>participant</w:t>
      </w:r>
      <w:r w:rsidRPr="001F1BFE">
        <w:rPr>
          <w:sz w:val="22"/>
          <w:szCs w:val="22"/>
        </w:rPr>
        <w:t>’s circumstances</w:t>
      </w:r>
      <w:r w:rsidR="00C24D8E">
        <w:rPr>
          <w:sz w:val="22"/>
          <w:szCs w:val="22"/>
        </w:rPr>
        <w:t>,</w:t>
      </w:r>
      <w:r w:rsidRPr="001F1BFE">
        <w:rPr>
          <w:sz w:val="22"/>
          <w:szCs w:val="22"/>
        </w:rPr>
        <w:t xml:space="preserve"> and</w:t>
      </w:r>
    </w:p>
    <w:p w14:paraId="30FC95F7" w14:textId="77777777" w:rsidR="001F1BFE" w:rsidRPr="001F1BFE" w:rsidRDefault="001F1BFE" w:rsidP="001F1BFE">
      <w:pPr>
        <w:numPr>
          <w:ilvl w:val="0"/>
          <w:numId w:val="87"/>
        </w:numPr>
        <w:spacing w:before="120" w:after="120"/>
        <w:rPr>
          <w:sz w:val="22"/>
          <w:szCs w:val="22"/>
        </w:rPr>
      </w:pPr>
      <w:r w:rsidRPr="001F1BFE">
        <w:rPr>
          <w:sz w:val="22"/>
          <w:szCs w:val="22"/>
        </w:rPr>
        <w:t xml:space="preserve">was conducted and submitted after the person completed any previous DES period of service. </w:t>
      </w:r>
    </w:p>
    <w:p w14:paraId="65120370" w14:textId="555588C6" w:rsidR="001F1BFE" w:rsidRPr="001F1BFE" w:rsidRDefault="001F1BFE" w:rsidP="001F1BFE">
      <w:pPr>
        <w:spacing w:before="120" w:after="120"/>
        <w:rPr>
          <w:b/>
          <w:sz w:val="22"/>
          <w:szCs w:val="22"/>
        </w:rPr>
      </w:pPr>
      <w:r w:rsidRPr="001F1BFE">
        <w:rPr>
          <w:sz w:val="22"/>
          <w:szCs w:val="22"/>
        </w:rPr>
        <w:t xml:space="preserve">When a </w:t>
      </w:r>
      <w:r w:rsidR="00C24D8E">
        <w:rPr>
          <w:sz w:val="22"/>
          <w:szCs w:val="22"/>
        </w:rPr>
        <w:t>v</w:t>
      </w:r>
      <w:r w:rsidRPr="001F1BFE">
        <w:rPr>
          <w:sz w:val="22"/>
          <w:szCs w:val="22"/>
        </w:rPr>
        <w:t xml:space="preserve">alid ESAt is completed, the DES </w:t>
      </w:r>
      <w:r w:rsidR="00D92A4E">
        <w:rPr>
          <w:sz w:val="22"/>
          <w:szCs w:val="22"/>
        </w:rPr>
        <w:t>provider</w:t>
      </w:r>
      <w:r w:rsidRPr="001F1BFE">
        <w:rPr>
          <w:sz w:val="22"/>
          <w:szCs w:val="22"/>
        </w:rPr>
        <w:t xml:space="preserve"> will see the details of the new </w:t>
      </w:r>
      <w:r w:rsidR="000A5C74">
        <w:rPr>
          <w:sz w:val="22"/>
          <w:szCs w:val="22"/>
        </w:rPr>
        <w:t>participant</w:t>
      </w:r>
      <w:r w:rsidRPr="001F1BFE">
        <w:rPr>
          <w:sz w:val="22"/>
          <w:szCs w:val="22"/>
        </w:rPr>
        <w:t xml:space="preserve"> on their caseload.</w:t>
      </w:r>
    </w:p>
    <w:p w14:paraId="7F1AD04D" w14:textId="77777777" w:rsidR="001F1BFE" w:rsidRPr="001F1BFE" w:rsidRDefault="001F1BFE" w:rsidP="001F1BFE">
      <w:pPr>
        <w:spacing w:before="120" w:after="120"/>
        <w:rPr>
          <w:sz w:val="22"/>
          <w:szCs w:val="22"/>
        </w:rPr>
      </w:pPr>
      <w:r w:rsidRPr="001F1BFE">
        <w:rPr>
          <w:b/>
          <w:sz w:val="22"/>
          <w:szCs w:val="22"/>
        </w:rPr>
        <w:t>Note:</w:t>
      </w:r>
      <w:r w:rsidRPr="001F1BFE">
        <w:rPr>
          <w:sz w:val="22"/>
          <w:szCs w:val="22"/>
        </w:rPr>
        <w:t xml:space="preserve"> Job seekers who meet Work Assist, Special Class Client (SCC) or Eligible School Leaver (ESL) criteria are ESAt/JCA exempt and are eligible to commence DES without a Valid ESAt/JCA.</w:t>
      </w:r>
    </w:p>
    <w:p w14:paraId="42B61A66" w14:textId="4D6CE41A" w:rsidR="001F1BFE" w:rsidRPr="001F1BFE" w:rsidRDefault="001F1BFE" w:rsidP="001F1BFE">
      <w:pPr>
        <w:spacing w:before="120" w:after="120"/>
        <w:rPr>
          <w:sz w:val="22"/>
          <w:szCs w:val="22"/>
        </w:rPr>
      </w:pPr>
      <w:r w:rsidRPr="001F1BFE">
        <w:rPr>
          <w:sz w:val="22"/>
          <w:szCs w:val="22"/>
        </w:rPr>
        <w:t>From 1 July 2021, a person assessed as being able to work 30 hours or more per week is ineligible to commence a new DES program. The ESAt will not refer these participants to DES, and may instead refer them to another suitable and available program.</w:t>
      </w:r>
    </w:p>
    <w:p w14:paraId="5B8E509E" w14:textId="0A8C6A7A" w:rsidR="00D419C9" w:rsidRDefault="001F1BFE" w:rsidP="00A44CCC">
      <w:pPr>
        <w:spacing w:before="120" w:after="120"/>
        <w:rPr>
          <w:sz w:val="22"/>
          <w:szCs w:val="22"/>
        </w:rPr>
      </w:pPr>
      <w:r w:rsidRPr="001F1BFE">
        <w:rPr>
          <w:sz w:val="22"/>
          <w:szCs w:val="22"/>
        </w:rPr>
        <w:t>From 1 January 2022, a person assessed as being eligible for DES may also be considered capable of managing their own job search efforts and may be offered referral to digital services through Workforce Australia for up to twelve months, before returning to DES. The recommended referral remains to DMS or ESS, and the participant can use that recommendation to exit digital services and commence DES at any time.</w:t>
      </w:r>
    </w:p>
    <w:p w14:paraId="47DD7867" w14:textId="105FED08" w:rsidR="00A44CCC" w:rsidRDefault="00A44CCC" w:rsidP="00A44CCC">
      <w:pPr>
        <w:spacing w:before="120" w:after="120"/>
        <w:rPr>
          <w:sz w:val="22"/>
          <w:szCs w:val="22"/>
        </w:rPr>
      </w:pPr>
    </w:p>
    <w:p w14:paraId="4B150048" w14:textId="2664F535" w:rsidR="00A44CCC" w:rsidRDefault="00A44CCC" w:rsidP="00A44CCC">
      <w:pPr>
        <w:spacing w:before="120" w:after="120"/>
        <w:rPr>
          <w:sz w:val="22"/>
          <w:szCs w:val="22"/>
        </w:rPr>
      </w:pPr>
    </w:p>
    <w:p w14:paraId="0A1FB89D" w14:textId="36CBE44F" w:rsidR="00A44CCC" w:rsidRDefault="00A44CCC" w:rsidP="00A44CCC">
      <w:pPr>
        <w:spacing w:before="120" w:after="120"/>
        <w:rPr>
          <w:sz w:val="22"/>
          <w:szCs w:val="22"/>
        </w:rPr>
      </w:pPr>
    </w:p>
    <w:p w14:paraId="47027913" w14:textId="77777777" w:rsidR="00A44CCC" w:rsidRPr="00A44CCC" w:rsidRDefault="00A44CCC" w:rsidP="00A44CCC">
      <w:pPr>
        <w:spacing w:before="120" w:after="120"/>
        <w:rPr>
          <w:sz w:val="22"/>
          <w:szCs w:val="22"/>
        </w:rPr>
      </w:pPr>
    </w:p>
    <w:p w14:paraId="7DB7AADD" w14:textId="543D8A90" w:rsidR="00F2553A" w:rsidRPr="00475F64" w:rsidRDefault="005D4108" w:rsidP="00475F64">
      <w:pPr>
        <w:pStyle w:val="Heading3"/>
        <w:spacing w:before="120" w:after="120"/>
      </w:pPr>
      <w:bookmarkStart w:id="18" w:name="_Toc126830101"/>
      <w:r w:rsidRPr="00475F64">
        <w:lastRenderedPageBreak/>
        <w:t xml:space="preserve">Referral of </w:t>
      </w:r>
      <w:r w:rsidR="000A5C74">
        <w:t>participant</w:t>
      </w:r>
      <w:r w:rsidR="00E40B81" w:rsidRPr="00475F64">
        <w:t>s</w:t>
      </w:r>
      <w:r w:rsidRPr="00475F64">
        <w:t xml:space="preserve"> for an ESAt</w:t>
      </w:r>
      <w:bookmarkEnd w:id="18"/>
      <w:r w:rsidRPr="00475F64">
        <w:t xml:space="preserve"> </w:t>
      </w:r>
    </w:p>
    <w:p w14:paraId="0A22EEF4" w14:textId="4B76B240" w:rsidR="00012680" w:rsidRDefault="00012680" w:rsidP="000A3909">
      <w:pPr>
        <w:spacing w:before="120" w:after="120"/>
        <w:rPr>
          <w:sz w:val="22"/>
          <w:szCs w:val="22"/>
        </w:rPr>
      </w:pPr>
      <w:r w:rsidRPr="007214E6">
        <w:rPr>
          <w:sz w:val="22"/>
          <w:szCs w:val="22"/>
        </w:rPr>
        <w:t xml:space="preserve">A referral for an ESAt may be arranged by DES </w:t>
      </w:r>
      <w:r w:rsidR="00C84A77">
        <w:rPr>
          <w:sz w:val="22"/>
          <w:szCs w:val="22"/>
        </w:rPr>
        <w:t>provider</w:t>
      </w:r>
      <w:r w:rsidRPr="007214E6">
        <w:rPr>
          <w:sz w:val="22"/>
          <w:szCs w:val="22"/>
        </w:rPr>
        <w:t xml:space="preserve">s, </w:t>
      </w:r>
      <w:r w:rsidR="00FE4F06">
        <w:rPr>
          <w:sz w:val="22"/>
          <w:szCs w:val="22"/>
        </w:rPr>
        <w:t>Workforce Australia</w:t>
      </w:r>
      <w:r w:rsidR="00C07ADC" w:rsidRPr="007214E6">
        <w:rPr>
          <w:sz w:val="22"/>
          <w:szCs w:val="22"/>
        </w:rPr>
        <w:t xml:space="preserve"> </w:t>
      </w:r>
      <w:r w:rsidR="00C84A77">
        <w:rPr>
          <w:sz w:val="22"/>
          <w:szCs w:val="22"/>
        </w:rPr>
        <w:t>provider</w:t>
      </w:r>
      <w:r w:rsidRPr="007214E6">
        <w:rPr>
          <w:sz w:val="22"/>
          <w:szCs w:val="22"/>
        </w:rPr>
        <w:t>s</w:t>
      </w:r>
      <w:r w:rsidR="00A01EB5">
        <w:rPr>
          <w:sz w:val="22"/>
          <w:szCs w:val="22"/>
        </w:rPr>
        <w:t xml:space="preserve">, or </w:t>
      </w:r>
      <w:r w:rsidR="00B876AF">
        <w:rPr>
          <w:sz w:val="22"/>
          <w:szCs w:val="22"/>
        </w:rPr>
        <w:t>Services Australia</w:t>
      </w:r>
      <w:r w:rsidRPr="007214E6">
        <w:rPr>
          <w:sz w:val="22"/>
          <w:szCs w:val="22"/>
        </w:rPr>
        <w:t>.</w:t>
      </w:r>
    </w:p>
    <w:p w14:paraId="7935B41E" w14:textId="23A10F2D" w:rsidR="00A01EB5" w:rsidRPr="00A01EB5" w:rsidRDefault="00A01EB5" w:rsidP="00A01EB5">
      <w:pPr>
        <w:spacing w:before="120" w:after="120"/>
        <w:rPr>
          <w:sz w:val="22"/>
          <w:szCs w:val="22"/>
        </w:rPr>
      </w:pPr>
      <w:r w:rsidRPr="00A01EB5">
        <w:rPr>
          <w:sz w:val="22"/>
          <w:szCs w:val="22"/>
        </w:rPr>
        <w:t xml:space="preserve">ESAts for income support recipients are normally arranged by Services Australia, where the person’s Job Seeker Classification Index (JSCI) responses indicate that a more detailed assessment may be needed to determine the person’s needs and appropriate services. This can occur when a </w:t>
      </w:r>
      <w:r w:rsidR="000A5C74">
        <w:rPr>
          <w:sz w:val="22"/>
          <w:szCs w:val="22"/>
        </w:rPr>
        <w:t>participant</w:t>
      </w:r>
      <w:r w:rsidRPr="00A01EB5">
        <w:rPr>
          <w:sz w:val="22"/>
          <w:szCs w:val="22"/>
        </w:rPr>
        <w:t>:</w:t>
      </w:r>
    </w:p>
    <w:p w14:paraId="3FD80369" w14:textId="534B3C27" w:rsidR="00012680" w:rsidRPr="007214E6" w:rsidRDefault="00294472" w:rsidP="000A3909">
      <w:pPr>
        <w:pStyle w:val="ListParagraph"/>
        <w:numPr>
          <w:ilvl w:val="0"/>
          <w:numId w:val="77"/>
        </w:numPr>
        <w:spacing w:before="120" w:after="120"/>
        <w:rPr>
          <w:sz w:val="22"/>
          <w:szCs w:val="22"/>
        </w:rPr>
      </w:pPr>
      <w:r>
        <w:rPr>
          <w:sz w:val="22"/>
          <w:szCs w:val="22"/>
        </w:rPr>
        <w:t>r</w:t>
      </w:r>
      <w:r w:rsidR="00E40B81" w:rsidRPr="007214E6">
        <w:rPr>
          <w:sz w:val="22"/>
          <w:szCs w:val="22"/>
        </w:rPr>
        <w:t>egisters</w:t>
      </w:r>
    </w:p>
    <w:p w14:paraId="5D07AF9B" w14:textId="084F88F3" w:rsidR="00012680" w:rsidRPr="007214E6" w:rsidRDefault="00012680" w:rsidP="000A3909">
      <w:pPr>
        <w:pStyle w:val="ListParagraph"/>
        <w:numPr>
          <w:ilvl w:val="0"/>
          <w:numId w:val="77"/>
        </w:numPr>
        <w:spacing w:before="120" w:after="120"/>
        <w:rPr>
          <w:sz w:val="22"/>
          <w:szCs w:val="22"/>
        </w:rPr>
      </w:pPr>
      <w:r w:rsidRPr="007214E6">
        <w:rPr>
          <w:sz w:val="22"/>
          <w:szCs w:val="22"/>
        </w:rPr>
        <w:t>re-</w:t>
      </w:r>
      <w:r w:rsidR="00294472">
        <w:rPr>
          <w:sz w:val="22"/>
          <w:szCs w:val="22"/>
        </w:rPr>
        <w:t>r</w:t>
      </w:r>
      <w:r w:rsidRPr="007214E6">
        <w:rPr>
          <w:sz w:val="22"/>
          <w:szCs w:val="22"/>
        </w:rPr>
        <w:t>egisters, or</w:t>
      </w:r>
    </w:p>
    <w:p w14:paraId="0AE8ACB2" w14:textId="6F57FF51" w:rsidR="00012680" w:rsidRDefault="00012680" w:rsidP="00B876AF">
      <w:pPr>
        <w:pStyle w:val="ListParagraph"/>
        <w:numPr>
          <w:ilvl w:val="0"/>
          <w:numId w:val="77"/>
        </w:numPr>
        <w:spacing w:before="120" w:after="120"/>
        <w:rPr>
          <w:sz w:val="22"/>
          <w:szCs w:val="22"/>
        </w:rPr>
      </w:pPr>
      <w:r w:rsidRPr="007214E6">
        <w:rPr>
          <w:sz w:val="22"/>
          <w:szCs w:val="22"/>
        </w:rPr>
        <w:t xml:space="preserve">discloses new information, or </w:t>
      </w:r>
      <w:r w:rsidR="00B876AF" w:rsidRPr="00B876AF">
        <w:rPr>
          <w:sz w:val="22"/>
          <w:szCs w:val="22"/>
        </w:rPr>
        <w:t>Services Australia</w:t>
      </w:r>
      <w:r w:rsidRPr="007214E6">
        <w:rPr>
          <w:sz w:val="22"/>
          <w:szCs w:val="22"/>
        </w:rPr>
        <w:t xml:space="preserve"> identifies new information, that indicates a significant changes in the </w:t>
      </w:r>
      <w:r w:rsidR="000A5C74">
        <w:rPr>
          <w:sz w:val="22"/>
          <w:szCs w:val="22"/>
        </w:rPr>
        <w:t>participant</w:t>
      </w:r>
      <w:r w:rsidRPr="007214E6">
        <w:rPr>
          <w:sz w:val="22"/>
          <w:szCs w:val="22"/>
        </w:rPr>
        <w:t xml:space="preserve">’s circumstances and cannot be addressed by their current </w:t>
      </w:r>
      <w:r w:rsidR="00294472">
        <w:rPr>
          <w:sz w:val="22"/>
          <w:szCs w:val="22"/>
        </w:rPr>
        <w:t>p</w:t>
      </w:r>
      <w:r w:rsidRPr="007214E6">
        <w:rPr>
          <w:sz w:val="22"/>
          <w:szCs w:val="22"/>
        </w:rPr>
        <w:t xml:space="preserve">rogram </w:t>
      </w:r>
      <w:r w:rsidR="00294472">
        <w:rPr>
          <w:sz w:val="22"/>
          <w:szCs w:val="22"/>
        </w:rPr>
        <w:t>s</w:t>
      </w:r>
      <w:r w:rsidRPr="007214E6">
        <w:rPr>
          <w:sz w:val="22"/>
          <w:szCs w:val="22"/>
        </w:rPr>
        <w:t xml:space="preserve">ervices, and requires a </w:t>
      </w:r>
      <w:r w:rsidR="00C24D8E" w:rsidRPr="00077A82">
        <w:rPr>
          <w:sz w:val="22"/>
          <w:szCs w:val="22"/>
        </w:rPr>
        <w:t xml:space="preserve">Change of Circumstances Reassessment </w:t>
      </w:r>
      <w:r w:rsidR="00C24D8E">
        <w:rPr>
          <w:sz w:val="22"/>
          <w:szCs w:val="22"/>
        </w:rPr>
        <w:t>(</w:t>
      </w:r>
      <w:r w:rsidRPr="007214E6">
        <w:rPr>
          <w:sz w:val="22"/>
          <w:szCs w:val="22"/>
        </w:rPr>
        <w:t>C</w:t>
      </w:r>
      <w:r w:rsidR="009B4090" w:rsidRPr="007214E6">
        <w:rPr>
          <w:sz w:val="22"/>
          <w:szCs w:val="22"/>
        </w:rPr>
        <w:t>oCR</w:t>
      </w:r>
      <w:r w:rsidR="00C24D8E">
        <w:rPr>
          <w:sz w:val="22"/>
          <w:szCs w:val="22"/>
        </w:rPr>
        <w:t>)</w:t>
      </w:r>
      <w:r w:rsidR="009B4090" w:rsidRPr="007214E6">
        <w:rPr>
          <w:sz w:val="22"/>
          <w:szCs w:val="22"/>
        </w:rPr>
        <w:t xml:space="preserve"> </w:t>
      </w:r>
      <w:r w:rsidRPr="007214E6">
        <w:rPr>
          <w:sz w:val="22"/>
          <w:szCs w:val="22"/>
        </w:rPr>
        <w:t>to assess their current needs.</w:t>
      </w:r>
    </w:p>
    <w:p w14:paraId="1B35E4E9" w14:textId="77777777" w:rsidR="00A01EB5" w:rsidRPr="007214E6" w:rsidRDefault="00A01EB5" w:rsidP="00A01EB5">
      <w:pPr>
        <w:spacing w:before="120" w:after="120"/>
        <w:rPr>
          <w:sz w:val="22"/>
          <w:szCs w:val="22"/>
        </w:rPr>
      </w:pPr>
      <w:r w:rsidRPr="007214E6">
        <w:rPr>
          <w:sz w:val="22"/>
          <w:szCs w:val="22"/>
        </w:rPr>
        <w:t xml:space="preserve">DES </w:t>
      </w:r>
      <w:r w:rsidR="00C84A77">
        <w:rPr>
          <w:sz w:val="22"/>
          <w:szCs w:val="22"/>
        </w:rPr>
        <w:t>provider</w:t>
      </w:r>
      <w:r w:rsidRPr="007214E6">
        <w:rPr>
          <w:sz w:val="22"/>
          <w:szCs w:val="22"/>
        </w:rPr>
        <w:t xml:space="preserve">s will refer a </w:t>
      </w:r>
      <w:r w:rsidR="000A5C74">
        <w:rPr>
          <w:sz w:val="22"/>
          <w:szCs w:val="22"/>
        </w:rPr>
        <w:t>participant</w:t>
      </w:r>
      <w:r w:rsidRPr="007214E6">
        <w:rPr>
          <w:sz w:val="22"/>
          <w:szCs w:val="22"/>
        </w:rPr>
        <w:t xml:space="preserve"> for an ESAt when the </w:t>
      </w:r>
      <w:r w:rsidR="000A5C74">
        <w:rPr>
          <w:sz w:val="22"/>
          <w:szCs w:val="22"/>
        </w:rPr>
        <w:t>participant</w:t>
      </w:r>
      <w:r w:rsidRPr="007214E6">
        <w:rPr>
          <w:sz w:val="22"/>
          <w:szCs w:val="22"/>
        </w:rPr>
        <w:t>:</w:t>
      </w:r>
    </w:p>
    <w:p w14:paraId="7D9B739E" w14:textId="1DEAB027" w:rsidR="00A01EB5" w:rsidRPr="00A01EB5" w:rsidRDefault="00A01EB5" w:rsidP="00A01EB5">
      <w:pPr>
        <w:numPr>
          <w:ilvl w:val="0"/>
          <w:numId w:val="87"/>
        </w:numPr>
        <w:spacing w:before="120" w:after="120"/>
        <w:rPr>
          <w:sz w:val="22"/>
          <w:szCs w:val="22"/>
        </w:rPr>
      </w:pPr>
      <w:r w:rsidRPr="00A01EB5">
        <w:rPr>
          <w:sz w:val="22"/>
          <w:szCs w:val="22"/>
        </w:rPr>
        <w:t xml:space="preserve">Directly </w:t>
      </w:r>
      <w:r w:rsidR="00294472">
        <w:rPr>
          <w:sz w:val="22"/>
          <w:szCs w:val="22"/>
        </w:rPr>
        <w:t>r</w:t>
      </w:r>
      <w:r w:rsidRPr="00A01EB5">
        <w:rPr>
          <w:sz w:val="22"/>
          <w:szCs w:val="22"/>
        </w:rPr>
        <w:t xml:space="preserve">egistration with the </w:t>
      </w:r>
      <w:r w:rsidR="00C84A77">
        <w:rPr>
          <w:sz w:val="22"/>
          <w:szCs w:val="22"/>
        </w:rPr>
        <w:t>provider</w:t>
      </w:r>
      <w:r w:rsidRPr="00A01EB5">
        <w:rPr>
          <w:sz w:val="22"/>
          <w:szCs w:val="22"/>
        </w:rPr>
        <w:t xml:space="preserve"> - to confirm eligibility, or </w:t>
      </w:r>
    </w:p>
    <w:p w14:paraId="4FAF5E59" w14:textId="2A7C51CF" w:rsidR="00A01EB5" w:rsidRPr="00A01EB5" w:rsidRDefault="00294472" w:rsidP="00A01EB5">
      <w:pPr>
        <w:numPr>
          <w:ilvl w:val="0"/>
          <w:numId w:val="87"/>
        </w:numPr>
        <w:spacing w:before="120" w:after="120"/>
        <w:rPr>
          <w:sz w:val="22"/>
          <w:szCs w:val="22"/>
        </w:rPr>
      </w:pPr>
      <w:r>
        <w:rPr>
          <w:sz w:val="22"/>
          <w:szCs w:val="22"/>
        </w:rPr>
        <w:t>CoCR</w:t>
      </w:r>
      <w:r w:rsidR="00A01EB5" w:rsidRPr="00A01EB5">
        <w:rPr>
          <w:sz w:val="22"/>
          <w:szCs w:val="22"/>
        </w:rPr>
        <w:t xml:space="preserve"> – where a </w:t>
      </w:r>
      <w:r w:rsidR="000A5C74">
        <w:rPr>
          <w:sz w:val="22"/>
          <w:szCs w:val="22"/>
        </w:rPr>
        <w:t>participant</w:t>
      </w:r>
      <w:r w:rsidR="00A01EB5" w:rsidRPr="00A01EB5">
        <w:rPr>
          <w:sz w:val="22"/>
          <w:szCs w:val="22"/>
        </w:rPr>
        <w:t xml:space="preserve"> discloses new information, or the </w:t>
      </w:r>
      <w:r w:rsidR="00C84A77">
        <w:rPr>
          <w:sz w:val="22"/>
          <w:szCs w:val="22"/>
        </w:rPr>
        <w:t>provider</w:t>
      </w:r>
      <w:r w:rsidR="00A01EB5" w:rsidRPr="00A01EB5">
        <w:rPr>
          <w:sz w:val="22"/>
          <w:szCs w:val="22"/>
        </w:rPr>
        <w:t xml:space="preserve"> identifies new information, that </w:t>
      </w:r>
      <w:r w:rsidR="00A01EB5" w:rsidRPr="00077A82">
        <w:rPr>
          <w:sz w:val="22"/>
          <w:szCs w:val="22"/>
        </w:rPr>
        <w:t xml:space="preserve">significantly changes the </w:t>
      </w:r>
      <w:r w:rsidR="000A5C74" w:rsidRPr="00077A82">
        <w:rPr>
          <w:sz w:val="22"/>
          <w:szCs w:val="22"/>
        </w:rPr>
        <w:t>participant</w:t>
      </w:r>
      <w:r w:rsidR="00A01EB5" w:rsidRPr="00077A82">
        <w:rPr>
          <w:sz w:val="22"/>
          <w:szCs w:val="22"/>
        </w:rPr>
        <w:t xml:space="preserve">’s circumstances and cannot be addressed by their current </w:t>
      </w:r>
      <w:r>
        <w:rPr>
          <w:sz w:val="22"/>
          <w:szCs w:val="22"/>
        </w:rPr>
        <w:t>p</w:t>
      </w:r>
      <w:r w:rsidR="00A01EB5" w:rsidRPr="00077A82">
        <w:rPr>
          <w:sz w:val="22"/>
          <w:szCs w:val="22"/>
        </w:rPr>
        <w:t xml:space="preserve">rogram </w:t>
      </w:r>
      <w:r>
        <w:rPr>
          <w:sz w:val="22"/>
          <w:szCs w:val="22"/>
        </w:rPr>
        <w:t>s</w:t>
      </w:r>
      <w:r w:rsidR="00A01EB5" w:rsidRPr="00077A82">
        <w:rPr>
          <w:sz w:val="22"/>
          <w:szCs w:val="22"/>
        </w:rPr>
        <w:t>ervices</w:t>
      </w:r>
      <w:r w:rsidR="00A01EB5" w:rsidRPr="00A01EB5">
        <w:rPr>
          <w:sz w:val="22"/>
          <w:szCs w:val="22"/>
        </w:rPr>
        <w:t xml:space="preserve">, or </w:t>
      </w:r>
    </w:p>
    <w:p w14:paraId="15C3502E" w14:textId="7E5B2CA4" w:rsidR="00A01EB5" w:rsidRPr="00A01EB5" w:rsidRDefault="00A01EB5" w:rsidP="00A01EB5">
      <w:pPr>
        <w:numPr>
          <w:ilvl w:val="0"/>
          <w:numId w:val="87"/>
        </w:numPr>
        <w:spacing w:before="120" w:after="120"/>
        <w:rPr>
          <w:sz w:val="22"/>
          <w:szCs w:val="22"/>
        </w:rPr>
      </w:pPr>
      <w:r w:rsidRPr="00A01EB5">
        <w:rPr>
          <w:sz w:val="22"/>
          <w:szCs w:val="22"/>
        </w:rPr>
        <w:t xml:space="preserve">Program </w:t>
      </w:r>
      <w:r w:rsidR="00294472">
        <w:rPr>
          <w:sz w:val="22"/>
          <w:szCs w:val="22"/>
        </w:rPr>
        <w:t>r</w:t>
      </w:r>
      <w:r w:rsidRPr="00A01EB5">
        <w:rPr>
          <w:sz w:val="22"/>
          <w:szCs w:val="22"/>
        </w:rPr>
        <w:t xml:space="preserve">eview – where a </w:t>
      </w:r>
      <w:r w:rsidR="000A5C74">
        <w:rPr>
          <w:sz w:val="22"/>
          <w:szCs w:val="22"/>
        </w:rPr>
        <w:t>participant</w:t>
      </w:r>
      <w:r w:rsidRPr="00A01EB5">
        <w:rPr>
          <w:sz w:val="22"/>
          <w:szCs w:val="22"/>
        </w:rPr>
        <w:t xml:space="preserve"> requires confirmation of continuing need for DES, after 18 months of service.</w:t>
      </w:r>
    </w:p>
    <w:p w14:paraId="00E7B202" w14:textId="0FBB5326" w:rsidR="00A01EB5" w:rsidRPr="00077A82" w:rsidRDefault="00A01EB5" w:rsidP="00077A82">
      <w:pPr>
        <w:spacing w:before="120" w:after="120"/>
        <w:rPr>
          <w:sz w:val="22"/>
          <w:szCs w:val="22"/>
        </w:rPr>
      </w:pPr>
      <w:r w:rsidRPr="00077A82">
        <w:rPr>
          <w:sz w:val="22"/>
          <w:szCs w:val="22"/>
        </w:rPr>
        <w:t xml:space="preserve">The Department’s IT Systems will indicate when a </w:t>
      </w:r>
      <w:r w:rsidR="000A5C74">
        <w:rPr>
          <w:sz w:val="22"/>
          <w:szCs w:val="22"/>
        </w:rPr>
        <w:t>participant</w:t>
      </w:r>
      <w:r w:rsidRPr="00077A82">
        <w:rPr>
          <w:sz w:val="22"/>
          <w:szCs w:val="22"/>
        </w:rPr>
        <w:t xml:space="preserve"> requires a new ESAt due to </w:t>
      </w:r>
      <w:r w:rsidR="00294472">
        <w:rPr>
          <w:sz w:val="22"/>
          <w:szCs w:val="22"/>
        </w:rPr>
        <w:t>d</w:t>
      </w:r>
      <w:r w:rsidRPr="00077A82">
        <w:rPr>
          <w:sz w:val="22"/>
          <w:szCs w:val="22"/>
        </w:rPr>
        <w:t xml:space="preserve">irect </w:t>
      </w:r>
      <w:r w:rsidR="00294472">
        <w:rPr>
          <w:sz w:val="22"/>
          <w:szCs w:val="22"/>
        </w:rPr>
        <w:t>r</w:t>
      </w:r>
      <w:r w:rsidRPr="00077A82">
        <w:rPr>
          <w:sz w:val="22"/>
          <w:szCs w:val="22"/>
        </w:rPr>
        <w:t xml:space="preserve">egistration or a </w:t>
      </w:r>
      <w:r w:rsidR="00294472">
        <w:rPr>
          <w:sz w:val="22"/>
          <w:szCs w:val="22"/>
        </w:rPr>
        <w:t>p</w:t>
      </w:r>
      <w:r w:rsidRPr="00077A82">
        <w:rPr>
          <w:sz w:val="22"/>
          <w:szCs w:val="22"/>
        </w:rPr>
        <w:t xml:space="preserve">rogram </w:t>
      </w:r>
      <w:r w:rsidR="00294472">
        <w:rPr>
          <w:sz w:val="22"/>
          <w:szCs w:val="22"/>
        </w:rPr>
        <w:t>r</w:t>
      </w:r>
      <w:r w:rsidRPr="00077A82">
        <w:rPr>
          <w:sz w:val="22"/>
          <w:szCs w:val="22"/>
        </w:rPr>
        <w:t>eview.</w:t>
      </w:r>
    </w:p>
    <w:p w14:paraId="53A49A2B" w14:textId="3D61EBE0" w:rsidR="000242DA" w:rsidRPr="00077A82" w:rsidRDefault="000242DA" w:rsidP="000242DA">
      <w:pPr>
        <w:pStyle w:val="Heading3"/>
        <w:rPr>
          <w:b w:val="0"/>
          <w:u w:val="single"/>
        </w:rPr>
      </w:pPr>
      <w:bookmarkStart w:id="19" w:name="_Toc101954822"/>
      <w:bookmarkStart w:id="20" w:name="_Toc101956894"/>
      <w:bookmarkStart w:id="21" w:name="_Toc126830102"/>
      <w:r w:rsidRPr="00077A82">
        <w:rPr>
          <w:b w:val="0"/>
          <w:u w:val="single"/>
        </w:rPr>
        <w:t xml:space="preserve">Participants who </w:t>
      </w:r>
      <w:r w:rsidR="009E78EB" w:rsidRPr="009E78EB">
        <w:rPr>
          <w:b w:val="0"/>
          <w:u w:val="single"/>
        </w:rPr>
        <w:t>directly</w:t>
      </w:r>
      <w:r w:rsidRPr="00077A82">
        <w:rPr>
          <w:b w:val="0"/>
          <w:u w:val="single"/>
        </w:rPr>
        <w:t xml:space="preserve"> </w:t>
      </w:r>
      <w:r w:rsidR="009E78EB" w:rsidRPr="009E78EB">
        <w:rPr>
          <w:b w:val="0"/>
          <w:u w:val="single"/>
        </w:rPr>
        <w:t>register</w:t>
      </w:r>
      <w:r w:rsidRPr="00077A82">
        <w:rPr>
          <w:b w:val="0"/>
          <w:u w:val="single"/>
        </w:rPr>
        <w:t xml:space="preserve"> for assistance</w:t>
      </w:r>
      <w:bookmarkEnd w:id="19"/>
      <w:bookmarkEnd w:id="20"/>
      <w:bookmarkEnd w:id="21"/>
    </w:p>
    <w:p w14:paraId="6CBB3A3D" w14:textId="016AD78A" w:rsidR="000242DA" w:rsidRDefault="000242DA" w:rsidP="000242DA">
      <w:pPr>
        <w:autoSpaceDE w:val="0"/>
        <w:autoSpaceDN w:val="0"/>
        <w:adjustRightInd w:val="0"/>
        <w:spacing w:before="120" w:after="120"/>
        <w:rPr>
          <w:rFonts w:cs="Arial"/>
          <w:sz w:val="22"/>
          <w:szCs w:val="22"/>
        </w:rPr>
      </w:pPr>
      <w:r w:rsidRPr="007214E6">
        <w:rPr>
          <w:rFonts w:cs="Arial"/>
          <w:sz w:val="22"/>
          <w:szCs w:val="22"/>
        </w:rPr>
        <w:t xml:space="preserve">A potential DES </w:t>
      </w:r>
      <w:r w:rsidR="000A5C74">
        <w:rPr>
          <w:rFonts w:cs="Arial"/>
          <w:sz w:val="22"/>
          <w:szCs w:val="22"/>
        </w:rPr>
        <w:t>participant</w:t>
      </w:r>
      <w:r w:rsidRPr="007214E6">
        <w:rPr>
          <w:rFonts w:cs="Arial"/>
          <w:sz w:val="22"/>
          <w:szCs w:val="22"/>
        </w:rPr>
        <w:t xml:space="preserve"> may approach a DES </w:t>
      </w:r>
      <w:r w:rsidR="00C84A77">
        <w:rPr>
          <w:rFonts w:cs="Arial"/>
          <w:sz w:val="22"/>
          <w:szCs w:val="22"/>
        </w:rPr>
        <w:t>provider</w:t>
      </w:r>
      <w:r w:rsidRPr="007214E6">
        <w:rPr>
          <w:rFonts w:cs="Arial"/>
          <w:sz w:val="22"/>
          <w:szCs w:val="22"/>
        </w:rPr>
        <w:t xml:space="preserve"> directly to seek employment services assistance. </w:t>
      </w:r>
      <w:r>
        <w:rPr>
          <w:rFonts w:cs="Arial"/>
          <w:sz w:val="22"/>
          <w:szCs w:val="22"/>
        </w:rPr>
        <w:t xml:space="preserve">The </w:t>
      </w:r>
      <w:r w:rsidR="00C84A77">
        <w:rPr>
          <w:rFonts w:cs="Arial"/>
          <w:sz w:val="22"/>
          <w:szCs w:val="22"/>
        </w:rPr>
        <w:t>provider</w:t>
      </w:r>
      <w:r>
        <w:rPr>
          <w:rFonts w:cs="Arial"/>
          <w:sz w:val="22"/>
          <w:szCs w:val="22"/>
        </w:rPr>
        <w:t xml:space="preserve"> must refer a </w:t>
      </w:r>
      <w:r w:rsidR="00294472">
        <w:rPr>
          <w:rFonts w:cs="Arial"/>
          <w:sz w:val="22"/>
          <w:szCs w:val="22"/>
        </w:rPr>
        <w:t>d</w:t>
      </w:r>
      <w:r>
        <w:rPr>
          <w:rFonts w:cs="Arial"/>
          <w:sz w:val="22"/>
          <w:szCs w:val="22"/>
        </w:rPr>
        <w:t xml:space="preserve">irectly </w:t>
      </w:r>
      <w:r w:rsidR="00294472">
        <w:rPr>
          <w:rFonts w:cs="Arial"/>
          <w:sz w:val="22"/>
          <w:szCs w:val="22"/>
        </w:rPr>
        <w:t>r</w:t>
      </w:r>
      <w:r>
        <w:rPr>
          <w:rFonts w:cs="Arial"/>
          <w:sz w:val="22"/>
          <w:szCs w:val="22"/>
        </w:rPr>
        <w:t xml:space="preserve">egistering </w:t>
      </w:r>
      <w:r w:rsidR="000A5C74">
        <w:rPr>
          <w:rFonts w:cs="Arial"/>
          <w:sz w:val="22"/>
          <w:szCs w:val="22"/>
        </w:rPr>
        <w:t>participant</w:t>
      </w:r>
      <w:r>
        <w:rPr>
          <w:rFonts w:cs="Arial"/>
          <w:sz w:val="22"/>
          <w:szCs w:val="22"/>
        </w:rPr>
        <w:t xml:space="preserve"> for an ESAt unless they:</w:t>
      </w:r>
    </w:p>
    <w:p w14:paraId="65B61A90" w14:textId="77777777" w:rsidR="000242DA" w:rsidRDefault="000242DA" w:rsidP="000242DA">
      <w:pPr>
        <w:pStyle w:val="guidelinetext"/>
        <w:numPr>
          <w:ilvl w:val="0"/>
          <w:numId w:val="87"/>
        </w:numPr>
        <w:spacing w:before="60" w:line="240" w:lineRule="auto"/>
        <w:ind w:left="714" w:hanging="357"/>
        <w:rPr>
          <w:rFonts w:cs="Arial"/>
        </w:rPr>
      </w:pPr>
      <w:r w:rsidRPr="000A5ECD">
        <w:t>already</w:t>
      </w:r>
      <w:r>
        <w:rPr>
          <w:rFonts w:cs="Arial"/>
        </w:rPr>
        <w:t xml:space="preserve"> have</w:t>
      </w:r>
      <w:r w:rsidRPr="004E3B64">
        <w:rPr>
          <w:rFonts w:cs="Arial"/>
        </w:rPr>
        <w:t xml:space="preserve"> a Valid ESAt or JCA, </w:t>
      </w:r>
    </w:p>
    <w:p w14:paraId="1625EF71" w14:textId="77777777" w:rsidR="000242DA" w:rsidRPr="000A5ECD" w:rsidRDefault="000242DA" w:rsidP="000242DA">
      <w:pPr>
        <w:pStyle w:val="guidelinetext"/>
        <w:numPr>
          <w:ilvl w:val="0"/>
          <w:numId w:val="87"/>
        </w:numPr>
        <w:spacing w:before="60" w:line="240" w:lineRule="auto"/>
        <w:ind w:left="714" w:hanging="357"/>
      </w:pPr>
      <w:r>
        <w:rPr>
          <w:rFonts w:cs="Arial"/>
        </w:rPr>
        <w:t>are</w:t>
      </w:r>
      <w:r w:rsidRPr="004E3B64">
        <w:rPr>
          <w:rFonts w:cs="Arial"/>
        </w:rPr>
        <w:t xml:space="preserve"> </w:t>
      </w:r>
      <w:r w:rsidRPr="000A5ECD">
        <w:t>Directly Registering as a Work Assist participant, Special Class Client, or Eligible School Leaver, or</w:t>
      </w:r>
    </w:p>
    <w:p w14:paraId="485F6F75" w14:textId="77777777" w:rsidR="000242DA" w:rsidRDefault="000242DA" w:rsidP="000242DA">
      <w:pPr>
        <w:pStyle w:val="guidelinetext"/>
        <w:numPr>
          <w:ilvl w:val="0"/>
          <w:numId w:val="87"/>
        </w:numPr>
        <w:spacing w:before="60" w:line="240" w:lineRule="auto"/>
        <w:ind w:left="714" w:hanging="357"/>
        <w:rPr>
          <w:rFonts w:cs="Arial"/>
        </w:rPr>
      </w:pPr>
      <w:r w:rsidRPr="000A5ECD">
        <w:t>clearly</w:t>
      </w:r>
      <w:r>
        <w:rPr>
          <w:rFonts w:cs="Arial"/>
        </w:rPr>
        <w:t xml:space="preserve"> do not meet DES eligibility criteria</w:t>
      </w:r>
      <w:r w:rsidRPr="004E3B64">
        <w:rPr>
          <w:rFonts w:cs="Arial"/>
        </w:rPr>
        <w:t>.</w:t>
      </w:r>
    </w:p>
    <w:p w14:paraId="1043B832" w14:textId="77777777" w:rsidR="00A01EB5" w:rsidRPr="004048AE" w:rsidRDefault="000242DA" w:rsidP="00077A82">
      <w:pPr>
        <w:autoSpaceDE w:val="0"/>
        <w:autoSpaceDN w:val="0"/>
        <w:adjustRightInd w:val="0"/>
        <w:spacing w:before="120" w:after="120"/>
        <w:rPr>
          <w:rFonts w:cs="Arial"/>
          <w:sz w:val="22"/>
          <w:szCs w:val="22"/>
        </w:rPr>
      </w:pPr>
      <w:r w:rsidRPr="004E3B64">
        <w:rPr>
          <w:rFonts w:cs="Arial"/>
          <w:sz w:val="22"/>
          <w:szCs w:val="22"/>
        </w:rPr>
        <w:t>For more information, see the Direct Registration Guidelines.</w:t>
      </w:r>
    </w:p>
    <w:p w14:paraId="10FDFDBB" w14:textId="77777777" w:rsidR="009D0F6B" w:rsidRPr="00077A82" w:rsidRDefault="009D0F6B" w:rsidP="00077A82">
      <w:pPr>
        <w:spacing w:before="120" w:after="120"/>
        <w:rPr>
          <w:sz w:val="22"/>
          <w:szCs w:val="22"/>
        </w:rPr>
      </w:pPr>
    </w:p>
    <w:p w14:paraId="22086E07" w14:textId="43B8C866" w:rsidR="00D1180C" w:rsidRDefault="006E1B72" w:rsidP="000A3909">
      <w:pPr>
        <w:pStyle w:val="Heading3"/>
        <w:spacing w:before="120" w:after="120"/>
      </w:pPr>
      <w:bookmarkStart w:id="22" w:name="_Toc126830103"/>
      <w:r>
        <w:t xml:space="preserve">DES </w:t>
      </w:r>
      <w:r w:rsidR="000A5C74">
        <w:t>participant</w:t>
      </w:r>
      <w:r w:rsidR="00D1180C">
        <w:t xml:space="preserve"> with a deferred referral from </w:t>
      </w:r>
      <w:r w:rsidR="00B876AF" w:rsidRPr="00B876AF">
        <w:t>Services Australia</w:t>
      </w:r>
      <w:bookmarkEnd w:id="22"/>
    </w:p>
    <w:p w14:paraId="3871BBB7" w14:textId="00263C0B" w:rsidR="00D1180C" w:rsidRPr="007214E6" w:rsidRDefault="00D1180C" w:rsidP="000A3909">
      <w:pPr>
        <w:spacing w:before="120" w:after="120"/>
        <w:rPr>
          <w:sz w:val="22"/>
          <w:szCs w:val="22"/>
        </w:rPr>
      </w:pPr>
      <w:r w:rsidRPr="007214E6">
        <w:rPr>
          <w:sz w:val="22"/>
          <w:szCs w:val="22"/>
        </w:rPr>
        <w:t xml:space="preserve">Where a </w:t>
      </w:r>
      <w:r w:rsidR="000A5C74">
        <w:rPr>
          <w:sz w:val="22"/>
          <w:szCs w:val="22"/>
        </w:rPr>
        <w:t>participant</w:t>
      </w:r>
      <w:r w:rsidRPr="007214E6">
        <w:rPr>
          <w:sz w:val="22"/>
          <w:szCs w:val="22"/>
        </w:rPr>
        <w:t xml:space="preserve"> has a deferred referral from </w:t>
      </w:r>
      <w:r w:rsidR="00B876AF" w:rsidRPr="00B876AF">
        <w:rPr>
          <w:sz w:val="22"/>
          <w:szCs w:val="22"/>
        </w:rPr>
        <w:t>Services Australia</w:t>
      </w:r>
      <w:r w:rsidRPr="007214E6">
        <w:rPr>
          <w:sz w:val="22"/>
          <w:szCs w:val="22"/>
        </w:rPr>
        <w:t>, for example due to a temporary incapacity, and the recommended referral is no longer appropriate</w:t>
      </w:r>
      <w:r w:rsidR="003F1A68" w:rsidRPr="007214E6">
        <w:rPr>
          <w:sz w:val="22"/>
          <w:szCs w:val="22"/>
        </w:rPr>
        <w:t>,</w:t>
      </w:r>
      <w:r w:rsidRPr="007214E6">
        <w:rPr>
          <w:sz w:val="22"/>
          <w:szCs w:val="22"/>
        </w:rPr>
        <w:t xml:space="preserve"> the DES </w:t>
      </w:r>
      <w:r w:rsidR="00C84A77">
        <w:rPr>
          <w:sz w:val="22"/>
          <w:szCs w:val="22"/>
        </w:rPr>
        <w:t>provider</w:t>
      </w:r>
      <w:r w:rsidRPr="007214E6">
        <w:rPr>
          <w:sz w:val="22"/>
          <w:szCs w:val="22"/>
        </w:rPr>
        <w:t xml:space="preserve"> should conduct a </w:t>
      </w:r>
      <w:r w:rsidR="00A644C6" w:rsidRPr="007214E6">
        <w:rPr>
          <w:sz w:val="22"/>
          <w:szCs w:val="22"/>
        </w:rPr>
        <w:t>CoCR</w:t>
      </w:r>
      <w:r w:rsidRPr="007214E6">
        <w:rPr>
          <w:sz w:val="22"/>
          <w:szCs w:val="22"/>
        </w:rPr>
        <w:t>.</w:t>
      </w:r>
    </w:p>
    <w:p w14:paraId="7E3B25A8" w14:textId="77777777" w:rsidR="006F4C17" w:rsidRPr="007214E6" w:rsidRDefault="00D1180C" w:rsidP="000A3909">
      <w:pPr>
        <w:spacing w:before="120" w:after="120"/>
        <w:rPr>
          <w:sz w:val="22"/>
          <w:szCs w:val="22"/>
        </w:rPr>
      </w:pPr>
      <w:r w:rsidRPr="007214E6">
        <w:rPr>
          <w:sz w:val="22"/>
          <w:szCs w:val="22"/>
        </w:rPr>
        <w:t>The referral for an ESAt must only be made after taking into account the factors identified above.</w:t>
      </w:r>
    </w:p>
    <w:p w14:paraId="3E20977E" w14:textId="2CDF4481" w:rsidR="00AC1080" w:rsidRPr="009904AF" w:rsidRDefault="00592639" w:rsidP="000A3909">
      <w:pPr>
        <w:pStyle w:val="Heading3"/>
        <w:spacing w:before="120" w:after="120"/>
      </w:pPr>
      <w:bookmarkStart w:id="23" w:name="_Toc126830104"/>
      <w:r>
        <w:t>Participant</w:t>
      </w:r>
      <w:r w:rsidR="00AC1080" w:rsidRPr="001B724E">
        <w:t xml:space="preserve">s who </w:t>
      </w:r>
      <w:r w:rsidR="009E78EB">
        <w:t>d</w:t>
      </w:r>
      <w:r w:rsidR="00AC1080" w:rsidRPr="001B724E">
        <w:t xml:space="preserve">irectly </w:t>
      </w:r>
      <w:r w:rsidR="009E78EB">
        <w:t>r</w:t>
      </w:r>
      <w:r w:rsidR="00AC1080" w:rsidRPr="001B724E">
        <w:t>egister for assistance</w:t>
      </w:r>
      <w:bookmarkEnd w:id="23"/>
    </w:p>
    <w:p w14:paraId="03608130" w14:textId="43BA5EFB" w:rsidR="006F4C17" w:rsidRDefault="00AC1080" w:rsidP="000A3909">
      <w:pPr>
        <w:autoSpaceDE w:val="0"/>
        <w:autoSpaceDN w:val="0"/>
        <w:adjustRightInd w:val="0"/>
        <w:spacing w:before="120" w:after="120"/>
        <w:rPr>
          <w:rFonts w:cs="Arial"/>
          <w:sz w:val="22"/>
          <w:szCs w:val="22"/>
        </w:rPr>
      </w:pPr>
      <w:r w:rsidRPr="007214E6">
        <w:rPr>
          <w:rFonts w:cs="Arial"/>
          <w:sz w:val="22"/>
          <w:szCs w:val="22"/>
        </w:rPr>
        <w:t xml:space="preserve">A potential DES </w:t>
      </w:r>
      <w:r w:rsidR="000A5C74">
        <w:rPr>
          <w:rFonts w:cs="Arial"/>
          <w:sz w:val="22"/>
          <w:szCs w:val="22"/>
        </w:rPr>
        <w:t>participant</w:t>
      </w:r>
      <w:r w:rsidRPr="007214E6">
        <w:rPr>
          <w:rFonts w:cs="Arial"/>
          <w:sz w:val="22"/>
          <w:szCs w:val="22"/>
        </w:rPr>
        <w:t xml:space="preserve"> may approach a DES </w:t>
      </w:r>
      <w:r w:rsidR="00C84A77">
        <w:rPr>
          <w:rFonts w:cs="Arial"/>
          <w:sz w:val="22"/>
          <w:szCs w:val="22"/>
        </w:rPr>
        <w:t>provider</w:t>
      </w:r>
      <w:r w:rsidRPr="007214E6">
        <w:rPr>
          <w:rFonts w:cs="Arial"/>
          <w:sz w:val="22"/>
          <w:szCs w:val="22"/>
        </w:rPr>
        <w:t xml:space="preserve"> directly to seek employment services assistance. If the potential </w:t>
      </w:r>
      <w:r w:rsidR="000A5C74">
        <w:rPr>
          <w:rFonts w:cs="Arial"/>
          <w:sz w:val="22"/>
          <w:szCs w:val="22"/>
        </w:rPr>
        <w:t>participant</w:t>
      </w:r>
      <w:r w:rsidRPr="007214E6">
        <w:rPr>
          <w:rFonts w:cs="Arial"/>
          <w:sz w:val="22"/>
          <w:szCs w:val="22"/>
        </w:rPr>
        <w:t xml:space="preserve"> does not have a </w:t>
      </w:r>
      <w:r w:rsidR="005B3BD9" w:rsidRPr="007214E6">
        <w:rPr>
          <w:rFonts w:cs="Arial"/>
          <w:sz w:val="22"/>
          <w:szCs w:val="22"/>
        </w:rPr>
        <w:t>V</w:t>
      </w:r>
      <w:r w:rsidRPr="007214E6">
        <w:rPr>
          <w:rFonts w:cs="Arial"/>
          <w:sz w:val="22"/>
          <w:szCs w:val="22"/>
        </w:rPr>
        <w:t xml:space="preserve">alid ESAt or JCA, or is not Directly Registering as a </w:t>
      </w:r>
      <w:r w:rsidR="007F72F0" w:rsidRPr="007214E6">
        <w:rPr>
          <w:rFonts w:cs="Arial"/>
          <w:sz w:val="22"/>
          <w:szCs w:val="22"/>
        </w:rPr>
        <w:t>Work Assist</w:t>
      </w:r>
      <w:r w:rsidRPr="007214E6">
        <w:rPr>
          <w:rFonts w:cs="Arial"/>
          <w:sz w:val="22"/>
          <w:szCs w:val="22"/>
        </w:rPr>
        <w:t>, S</w:t>
      </w:r>
      <w:r w:rsidR="00F343A1" w:rsidRPr="007214E6">
        <w:rPr>
          <w:rFonts w:cs="Arial"/>
          <w:sz w:val="22"/>
          <w:szCs w:val="22"/>
        </w:rPr>
        <w:t>CC</w:t>
      </w:r>
      <w:r w:rsidR="007F72F0" w:rsidRPr="007214E6">
        <w:rPr>
          <w:rFonts w:cs="Arial"/>
          <w:sz w:val="22"/>
          <w:szCs w:val="22"/>
        </w:rPr>
        <w:t>,</w:t>
      </w:r>
      <w:r w:rsidRPr="007214E6">
        <w:rPr>
          <w:rFonts w:cs="Arial"/>
          <w:sz w:val="22"/>
          <w:szCs w:val="22"/>
        </w:rPr>
        <w:t xml:space="preserve"> E</w:t>
      </w:r>
      <w:r w:rsidR="00F343A1" w:rsidRPr="007214E6">
        <w:rPr>
          <w:rFonts w:cs="Arial"/>
          <w:sz w:val="22"/>
          <w:szCs w:val="22"/>
        </w:rPr>
        <w:t>SL</w:t>
      </w:r>
      <w:r w:rsidR="007F72F0" w:rsidRPr="007214E6">
        <w:rPr>
          <w:rFonts w:cs="Arial"/>
          <w:sz w:val="22"/>
          <w:szCs w:val="22"/>
        </w:rPr>
        <w:t>, or School Leaver Trial</w:t>
      </w:r>
      <w:r w:rsidRPr="007214E6">
        <w:rPr>
          <w:rFonts w:cs="Arial"/>
          <w:sz w:val="22"/>
          <w:szCs w:val="22"/>
        </w:rPr>
        <w:t xml:space="preserve"> </w:t>
      </w:r>
      <w:r w:rsidR="000A5C74">
        <w:rPr>
          <w:rFonts w:cs="Arial"/>
          <w:sz w:val="22"/>
          <w:szCs w:val="22"/>
        </w:rPr>
        <w:t>participant</w:t>
      </w:r>
      <w:r w:rsidRPr="007214E6">
        <w:rPr>
          <w:rFonts w:cs="Arial"/>
          <w:sz w:val="22"/>
          <w:szCs w:val="22"/>
        </w:rPr>
        <w:t xml:space="preserve">, the DES </w:t>
      </w:r>
      <w:r w:rsidR="00C84A77">
        <w:rPr>
          <w:rFonts w:cs="Arial"/>
          <w:sz w:val="22"/>
          <w:szCs w:val="22"/>
        </w:rPr>
        <w:t>provider</w:t>
      </w:r>
      <w:r w:rsidRPr="007214E6">
        <w:rPr>
          <w:rFonts w:cs="Arial"/>
          <w:sz w:val="22"/>
          <w:szCs w:val="22"/>
        </w:rPr>
        <w:t xml:space="preserve"> must refer the </w:t>
      </w:r>
      <w:r w:rsidR="000A5C74">
        <w:rPr>
          <w:rFonts w:cs="Arial"/>
          <w:sz w:val="22"/>
          <w:szCs w:val="22"/>
        </w:rPr>
        <w:t>participant</w:t>
      </w:r>
      <w:r w:rsidRPr="007214E6">
        <w:rPr>
          <w:rFonts w:cs="Arial"/>
          <w:sz w:val="22"/>
          <w:szCs w:val="22"/>
        </w:rPr>
        <w:t xml:space="preserve"> for an ESAt to have their eligibility for </w:t>
      </w:r>
      <w:r w:rsidR="00294472">
        <w:rPr>
          <w:rFonts w:cs="Arial"/>
          <w:sz w:val="22"/>
          <w:szCs w:val="22"/>
        </w:rPr>
        <w:t>p</w:t>
      </w:r>
      <w:r w:rsidRPr="007214E6">
        <w:rPr>
          <w:rFonts w:cs="Arial"/>
          <w:sz w:val="22"/>
          <w:szCs w:val="22"/>
        </w:rPr>
        <w:t xml:space="preserve">rogram </w:t>
      </w:r>
      <w:r w:rsidR="00294472">
        <w:rPr>
          <w:rFonts w:cs="Arial"/>
          <w:sz w:val="22"/>
          <w:szCs w:val="22"/>
        </w:rPr>
        <w:t>s</w:t>
      </w:r>
      <w:r w:rsidRPr="007214E6">
        <w:rPr>
          <w:rFonts w:cs="Arial"/>
          <w:sz w:val="22"/>
          <w:szCs w:val="22"/>
        </w:rPr>
        <w:t>ervices assessed.</w:t>
      </w:r>
    </w:p>
    <w:p w14:paraId="5FDAA676" w14:textId="77777777" w:rsidR="00A44CCC" w:rsidRPr="007214E6" w:rsidRDefault="00A44CCC" w:rsidP="000A3909">
      <w:pPr>
        <w:autoSpaceDE w:val="0"/>
        <w:autoSpaceDN w:val="0"/>
        <w:adjustRightInd w:val="0"/>
        <w:spacing w:before="120" w:after="120"/>
        <w:rPr>
          <w:sz w:val="22"/>
          <w:szCs w:val="22"/>
        </w:rPr>
      </w:pPr>
    </w:p>
    <w:p w14:paraId="2848BBB2" w14:textId="77777777" w:rsidR="005D4108" w:rsidRPr="00077A82" w:rsidRDefault="00BB468A" w:rsidP="000A3909">
      <w:pPr>
        <w:pStyle w:val="Heading3"/>
        <w:spacing w:before="120" w:after="120"/>
        <w:rPr>
          <w:b w:val="0"/>
          <w:u w:val="single"/>
        </w:rPr>
      </w:pPr>
      <w:bookmarkStart w:id="24" w:name="_Toc126830105"/>
      <w:r w:rsidRPr="00077A82">
        <w:rPr>
          <w:b w:val="0"/>
          <w:u w:val="single"/>
        </w:rPr>
        <w:lastRenderedPageBreak/>
        <w:t>Change of Circumstances Reassessment (</w:t>
      </w:r>
      <w:r w:rsidR="005D4108" w:rsidRPr="00077A82">
        <w:rPr>
          <w:b w:val="0"/>
          <w:u w:val="single"/>
        </w:rPr>
        <w:t>C</w:t>
      </w:r>
      <w:r w:rsidR="00A644C6" w:rsidRPr="00077A82">
        <w:rPr>
          <w:b w:val="0"/>
          <w:u w:val="single"/>
        </w:rPr>
        <w:t>oCR</w:t>
      </w:r>
      <w:r w:rsidRPr="00077A82">
        <w:rPr>
          <w:b w:val="0"/>
          <w:u w:val="single"/>
        </w:rPr>
        <w:t>)</w:t>
      </w:r>
      <w:bookmarkEnd w:id="24"/>
    </w:p>
    <w:p w14:paraId="09556A6B" w14:textId="04B31ED8" w:rsidR="00012680" w:rsidRPr="007214E6" w:rsidRDefault="00012680" w:rsidP="000A3909">
      <w:pPr>
        <w:spacing w:before="120" w:after="120"/>
        <w:rPr>
          <w:sz w:val="22"/>
          <w:szCs w:val="22"/>
          <w:lang w:eastAsia="en-US"/>
        </w:rPr>
      </w:pPr>
      <w:r w:rsidRPr="007214E6">
        <w:rPr>
          <w:sz w:val="22"/>
          <w:szCs w:val="22"/>
          <w:lang w:eastAsia="en-US"/>
        </w:rPr>
        <w:t xml:space="preserve">DES </w:t>
      </w:r>
      <w:r w:rsidR="000A5C74">
        <w:rPr>
          <w:sz w:val="22"/>
          <w:szCs w:val="22"/>
          <w:lang w:eastAsia="en-US"/>
        </w:rPr>
        <w:t>participant</w:t>
      </w:r>
      <w:r w:rsidRPr="007214E6">
        <w:rPr>
          <w:sz w:val="22"/>
          <w:szCs w:val="22"/>
          <w:lang w:eastAsia="en-US"/>
        </w:rPr>
        <w:t xml:space="preserve">s can be referred for an ESAt by their DES </w:t>
      </w:r>
      <w:r w:rsidR="00C84A77">
        <w:rPr>
          <w:sz w:val="22"/>
          <w:szCs w:val="22"/>
          <w:lang w:eastAsia="en-US"/>
        </w:rPr>
        <w:t>provider</w:t>
      </w:r>
      <w:r w:rsidRPr="007214E6">
        <w:rPr>
          <w:sz w:val="22"/>
          <w:szCs w:val="22"/>
          <w:lang w:eastAsia="en-US"/>
        </w:rPr>
        <w:t xml:space="preserve"> for a C</w:t>
      </w:r>
      <w:r w:rsidR="009B4090" w:rsidRPr="007214E6">
        <w:rPr>
          <w:sz w:val="22"/>
          <w:szCs w:val="22"/>
          <w:lang w:eastAsia="en-US"/>
        </w:rPr>
        <w:t>oC</w:t>
      </w:r>
      <w:r w:rsidR="00A644C6" w:rsidRPr="007214E6">
        <w:rPr>
          <w:sz w:val="22"/>
          <w:szCs w:val="22"/>
          <w:lang w:eastAsia="en-US"/>
        </w:rPr>
        <w:t xml:space="preserve">R </w:t>
      </w:r>
      <w:r w:rsidRPr="007214E6">
        <w:rPr>
          <w:sz w:val="22"/>
          <w:szCs w:val="22"/>
          <w:lang w:eastAsia="en-US"/>
        </w:rPr>
        <w:t xml:space="preserve">in accordance with the requirements of Clause </w:t>
      </w:r>
      <w:r w:rsidR="0041346C" w:rsidRPr="007214E6">
        <w:rPr>
          <w:sz w:val="22"/>
          <w:szCs w:val="22"/>
          <w:lang w:eastAsia="en-US"/>
        </w:rPr>
        <w:t>11</w:t>
      </w:r>
      <w:r w:rsidR="00B773CD" w:rsidRPr="007214E6">
        <w:rPr>
          <w:sz w:val="22"/>
          <w:szCs w:val="22"/>
          <w:lang w:eastAsia="en-US"/>
        </w:rPr>
        <w:t>6</w:t>
      </w:r>
      <w:r w:rsidRPr="007214E6">
        <w:rPr>
          <w:sz w:val="22"/>
          <w:szCs w:val="22"/>
          <w:lang w:eastAsia="en-US"/>
        </w:rPr>
        <w:t xml:space="preserve"> of the D</w:t>
      </w:r>
      <w:r w:rsidR="00A644C6" w:rsidRPr="007214E6">
        <w:rPr>
          <w:sz w:val="22"/>
          <w:szCs w:val="22"/>
          <w:lang w:eastAsia="en-US"/>
        </w:rPr>
        <w:t xml:space="preserve">ES </w:t>
      </w:r>
      <w:r w:rsidR="00C1559A" w:rsidRPr="007214E6">
        <w:rPr>
          <w:sz w:val="22"/>
          <w:szCs w:val="22"/>
          <w:lang w:eastAsia="en-US"/>
        </w:rPr>
        <w:t>Grant Agreement</w:t>
      </w:r>
      <w:r w:rsidRPr="007214E6">
        <w:rPr>
          <w:sz w:val="22"/>
          <w:szCs w:val="22"/>
          <w:lang w:eastAsia="en-US"/>
        </w:rPr>
        <w:t>.</w:t>
      </w:r>
    </w:p>
    <w:p w14:paraId="2CE03AAD" w14:textId="429B5BB7" w:rsidR="00012680" w:rsidRPr="007214E6" w:rsidRDefault="00012680" w:rsidP="000A3909">
      <w:pPr>
        <w:spacing w:before="120" w:after="120"/>
        <w:rPr>
          <w:rStyle w:val="Strong"/>
          <w:b w:val="0"/>
          <w:color w:val="auto"/>
          <w:sz w:val="22"/>
          <w:szCs w:val="22"/>
        </w:rPr>
      </w:pPr>
      <w:r w:rsidRPr="007214E6">
        <w:rPr>
          <w:sz w:val="22"/>
          <w:szCs w:val="22"/>
          <w:lang w:eastAsia="en-US"/>
        </w:rPr>
        <w:t xml:space="preserve">It is important that DES </w:t>
      </w:r>
      <w:r w:rsidR="00C84A77">
        <w:rPr>
          <w:sz w:val="22"/>
          <w:szCs w:val="22"/>
          <w:lang w:eastAsia="en-US"/>
        </w:rPr>
        <w:t>provider</w:t>
      </w:r>
      <w:r w:rsidRPr="007214E6">
        <w:rPr>
          <w:sz w:val="22"/>
          <w:szCs w:val="22"/>
          <w:lang w:eastAsia="en-US"/>
        </w:rPr>
        <w:t xml:space="preserve">s review all available and relevant </w:t>
      </w:r>
      <w:r w:rsidR="000A5C74">
        <w:rPr>
          <w:sz w:val="22"/>
          <w:szCs w:val="22"/>
          <w:lang w:eastAsia="en-US"/>
        </w:rPr>
        <w:t>participant</w:t>
      </w:r>
      <w:r w:rsidRPr="007214E6">
        <w:rPr>
          <w:sz w:val="22"/>
          <w:szCs w:val="22"/>
          <w:lang w:eastAsia="en-US"/>
        </w:rPr>
        <w:t xml:space="preserve"> information to determine if </w:t>
      </w:r>
      <w:r w:rsidR="0088143B" w:rsidRPr="007214E6">
        <w:rPr>
          <w:sz w:val="22"/>
          <w:szCs w:val="22"/>
          <w:lang w:eastAsia="en-US"/>
        </w:rPr>
        <w:t xml:space="preserve">the </w:t>
      </w:r>
      <w:r w:rsidR="000A5C74">
        <w:rPr>
          <w:sz w:val="22"/>
          <w:szCs w:val="22"/>
          <w:lang w:eastAsia="en-US"/>
        </w:rPr>
        <w:t>participant</w:t>
      </w:r>
      <w:r w:rsidR="0088143B" w:rsidRPr="007214E6">
        <w:rPr>
          <w:sz w:val="22"/>
          <w:szCs w:val="22"/>
          <w:lang w:eastAsia="en-US"/>
        </w:rPr>
        <w:t>’s</w:t>
      </w:r>
      <w:r w:rsidRPr="007214E6">
        <w:rPr>
          <w:sz w:val="22"/>
          <w:szCs w:val="22"/>
          <w:lang w:eastAsia="en-US"/>
        </w:rPr>
        <w:t xml:space="preserve"> </w:t>
      </w:r>
      <w:r w:rsidRPr="007214E6">
        <w:rPr>
          <w:rStyle w:val="Strong"/>
          <w:b w:val="0"/>
          <w:color w:val="auto"/>
          <w:sz w:val="22"/>
          <w:szCs w:val="22"/>
        </w:rPr>
        <w:t>circumstances are new or have changed significantly</w:t>
      </w:r>
      <w:r w:rsidRPr="007214E6">
        <w:rPr>
          <w:sz w:val="22"/>
          <w:szCs w:val="22"/>
          <w:lang w:eastAsia="en-US"/>
        </w:rPr>
        <w:t xml:space="preserve"> and </w:t>
      </w:r>
      <w:r w:rsidRPr="007214E6">
        <w:rPr>
          <w:rStyle w:val="Strong"/>
          <w:b w:val="0"/>
          <w:color w:val="auto"/>
          <w:sz w:val="22"/>
          <w:szCs w:val="22"/>
        </w:rPr>
        <w:t xml:space="preserve">cannot be addressed in their current service, before making a </w:t>
      </w:r>
      <w:r w:rsidR="00365F82">
        <w:rPr>
          <w:rStyle w:val="Strong"/>
          <w:b w:val="0"/>
          <w:color w:val="auto"/>
          <w:sz w:val="22"/>
          <w:szCs w:val="22"/>
        </w:rPr>
        <w:t>refer</w:t>
      </w:r>
      <w:r w:rsidRPr="007214E6">
        <w:rPr>
          <w:rStyle w:val="Strong"/>
          <w:b w:val="0"/>
          <w:color w:val="auto"/>
          <w:sz w:val="22"/>
          <w:szCs w:val="22"/>
        </w:rPr>
        <w:t>ral for an ESAt.</w:t>
      </w:r>
      <w:r w:rsidR="00A644C6" w:rsidRPr="007214E6">
        <w:rPr>
          <w:rStyle w:val="Strong"/>
          <w:b w:val="0"/>
          <w:color w:val="auto"/>
          <w:sz w:val="22"/>
          <w:szCs w:val="22"/>
        </w:rPr>
        <w:t xml:space="preserve"> </w:t>
      </w:r>
    </w:p>
    <w:p w14:paraId="3137D458" w14:textId="467D97CC" w:rsidR="00012680" w:rsidRPr="007214E6" w:rsidRDefault="00012680" w:rsidP="000A3909">
      <w:pPr>
        <w:spacing w:before="120" w:after="120"/>
        <w:rPr>
          <w:sz w:val="22"/>
          <w:szCs w:val="22"/>
          <w:lang w:eastAsia="en-US"/>
        </w:rPr>
      </w:pPr>
      <w:r w:rsidRPr="007214E6">
        <w:rPr>
          <w:sz w:val="22"/>
          <w:szCs w:val="22"/>
          <w:lang w:eastAsia="en-US"/>
        </w:rPr>
        <w:t xml:space="preserve">A </w:t>
      </w:r>
      <w:r w:rsidR="00A655CF" w:rsidRPr="007214E6">
        <w:rPr>
          <w:sz w:val="22"/>
          <w:szCs w:val="22"/>
          <w:lang w:eastAsia="en-US"/>
        </w:rPr>
        <w:t>r</w:t>
      </w:r>
      <w:r w:rsidRPr="007214E6">
        <w:rPr>
          <w:sz w:val="22"/>
          <w:szCs w:val="22"/>
          <w:lang w:eastAsia="en-US"/>
        </w:rPr>
        <w:t xml:space="preserve">eferral for an ESAt must be of genuine benefit to the </w:t>
      </w:r>
      <w:r w:rsidR="000A5C74">
        <w:rPr>
          <w:sz w:val="22"/>
          <w:szCs w:val="22"/>
          <w:lang w:eastAsia="en-US"/>
        </w:rPr>
        <w:t>participant</w:t>
      </w:r>
      <w:r w:rsidRPr="007214E6">
        <w:rPr>
          <w:sz w:val="22"/>
          <w:szCs w:val="22"/>
          <w:lang w:eastAsia="en-US"/>
        </w:rPr>
        <w:t xml:space="preserve"> and should </w:t>
      </w:r>
      <w:r w:rsidRPr="00077A82">
        <w:rPr>
          <w:b/>
          <w:sz w:val="22"/>
          <w:szCs w:val="22"/>
          <w:u w:val="single"/>
          <w:lang w:eastAsia="en-US"/>
        </w:rPr>
        <w:t>not</w:t>
      </w:r>
      <w:r w:rsidRPr="00077A82">
        <w:rPr>
          <w:b/>
          <w:sz w:val="22"/>
          <w:szCs w:val="22"/>
          <w:lang w:eastAsia="en-US"/>
        </w:rPr>
        <w:t xml:space="preserve"> </w:t>
      </w:r>
      <w:r w:rsidRPr="007214E6">
        <w:rPr>
          <w:sz w:val="22"/>
          <w:szCs w:val="22"/>
          <w:lang w:eastAsia="en-US"/>
        </w:rPr>
        <w:t xml:space="preserve">be completed for the </w:t>
      </w:r>
      <w:r w:rsidR="000A5C74">
        <w:rPr>
          <w:sz w:val="22"/>
          <w:szCs w:val="22"/>
          <w:lang w:eastAsia="en-US"/>
        </w:rPr>
        <w:t>participant</w:t>
      </w:r>
      <w:r w:rsidRPr="007214E6">
        <w:rPr>
          <w:sz w:val="22"/>
          <w:szCs w:val="22"/>
          <w:lang w:eastAsia="en-US"/>
        </w:rPr>
        <w:t xml:space="preserve"> if:</w:t>
      </w:r>
    </w:p>
    <w:p w14:paraId="45D9F11C" w14:textId="77777777" w:rsidR="00012680" w:rsidRPr="007214E6" w:rsidRDefault="008E170C" w:rsidP="000A3909">
      <w:pPr>
        <w:pStyle w:val="ListParagraph"/>
        <w:numPr>
          <w:ilvl w:val="0"/>
          <w:numId w:val="78"/>
        </w:numPr>
        <w:spacing w:before="120" w:after="120"/>
        <w:rPr>
          <w:sz w:val="22"/>
          <w:szCs w:val="22"/>
          <w:lang w:eastAsia="en-US"/>
        </w:rPr>
      </w:pPr>
      <w:r w:rsidRPr="007214E6">
        <w:rPr>
          <w:sz w:val="22"/>
          <w:szCs w:val="22"/>
          <w:lang w:eastAsia="en-US"/>
        </w:rPr>
        <w:t>they have a Valid ESAt</w:t>
      </w:r>
      <w:r w:rsidR="00012680" w:rsidRPr="007214E6">
        <w:rPr>
          <w:sz w:val="22"/>
          <w:szCs w:val="22"/>
          <w:lang w:eastAsia="en-US"/>
        </w:rPr>
        <w:t xml:space="preserve"> </w:t>
      </w:r>
    </w:p>
    <w:p w14:paraId="5503A167" w14:textId="5B353E41" w:rsidR="00012680" w:rsidRPr="007214E6" w:rsidRDefault="00012680" w:rsidP="000A3909">
      <w:pPr>
        <w:pStyle w:val="ListParagraph"/>
        <w:numPr>
          <w:ilvl w:val="0"/>
          <w:numId w:val="78"/>
        </w:numPr>
        <w:spacing w:before="120" w:after="120"/>
        <w:rPr>
          <w:sz w:val="22"/>
          <w:szCs w:val="22"/>
          <w:lang w:eastAsia="en-US"/>
        </w:rPr>
      </w:pPr>
      <w:r w:rsidRPr="007214E6">
        <w:rPr>
          <w:sz w:val="22"/>
          <w:szCs w:val="22"/>
          <w:lang w:eastAsia="en-US"/>
        </w:rPr>
        <w:t xml:space="preserve">their identified barriers </w:t>
      </w:r>
      <w:r w:rsidRPr="007214E6">
        <w:rPr>
          <w:sz w:val="22"/>
          <w:szCs w:val="22"/>
          <w:u w:val="single"/>
          <w:lang w:eastAsia="en-US"/>
        </w:rPr>
        <w:t>will not/do not have</w:t>
      </w:r>
      <w:r w:rsidRPr="007214E6">
        <w:rPr>
          <w:sz w:val="22"/>
          <w:szCs w:val="22"/>
          <w:lang w:eastAsia="en-US"/>
        </w:rPr>
        <w:t xml:space="preserve"> a significant long-term impact on the </w:t>
      </w:r>
      <w:r w:rsidR="000A5C74">
        <w:rPr>
          <w:sz w:val="22"/>
          <w:szCs w:val="22"/>
          <w:lang w:eastAsia="en-US"/>
        </w:rPr>
        <w:t>participant</w:t>
      </w:r>
      <w:r w:rsidRPr="007214E6">
        <w:rPr>
          <w:sz w:val="22"/>
          <w:szCs w:val="22"/>
          <w:lang w:eastAsia="en-US"/>
        </w:rPr>
        <w:t>’s ability to work or participate in other activities, including DES</w:t>
      </w:r>
    </w:p>
    <w:p w14:paraId="0753CB48" w14:textId="7E6FAD59" w:rsidR="00012680" w:rsidRPr="007214E6" w:rsidRDefault="00012680" w:rsidP="00B876AF">
      <w:pPr>
        <w:pStyle w:val="ListParagraph"/>
        <w:numPr>
          <w:ilvl w:val="0"/>
          <w:numId w:val="78"/>
        </w:numPr>
        <w:spacing w:before="120" w:after="120"/>
        <w:rPr>
          <w:sz w:val="22"/>
          <w:szCs w:val="22"/>
          <w:lang w:eastAsia="en-US"/>
        </w:rPr>
      </w:pPr>
      <w:r w:rsidRPr="007214E6">
        <w:rPr>
          <w:sz w:val="22"/>
          <w:szCs w:val="22"/>
          <w:lang w:eastAsia="en-US"/>
        </w:rPr>
        <w:t xml:space="preserve">their identified barriers are being actively addressed by the DES </w:t>
      </w:r>
      <w:r w:rsidR="00C84A77">
        <w:rPr>
          <w:sz w:val="22"/>
          <w:szCs w:val="22"/>
          <w:lang w:eastAsia="en-US"/>
        </w:rPr>
        <w:t>provider</w:t>
      </w:r>
      <w:r w:rsidRPr="007214E6">
        <w:rPr>
          <w:sz w:val="22"/>
          <w:szCs w:val="22"/>
          <w:lang w:eastAsia="en-US"/>
        </w:rPr>
        <w:t xml:space="preserve"> or another provider of appropriate services (i.e. a State Government or community sector provider and/or </w:t>
      </w:r>
      <w:r w:rsidR="00B876AF" w:rsidRPr="00B876AF">
        <w:rPr>
          <w:sz w:val="22"/>
          <w:szCs w:val="22"/>
          <w:lang w:eastAsia="en-US"/>
        </w:rPr>
        <w:t>Services Australia</w:t>
      </w:r>
      <w:r w:rsidRPr="007214E6">
        <w:rPr>
          <w:sz w:val="22"/>
          <w:szCs w:val="22"/>
          <w:lang w:eastAsia="en-US"/>
        </w:rPr>
        <w:t xml:space="preserve">) </w:t>
      </w:r>
    </w:p>
    <w:p w14:paraId="34AA3AFC" w14:textId="2799A143" w:rsidR="00012680" w:rsidRPr="007214E6" w:rsidRDefault="00012680" w:rsidP="000A3909">
      <w:pPr>
        <w:pStyle w:val="ListParagraph"/>
        <w:numPr>
          <w:ilvl w:val="0"/>
          <w:numId w:val="78"/>
        </w:numPr>
        <w:spacing w:before="120" w:after="120"/>
        <w:rPr>
          <w:sz w:val="22"/>
          <w:szCs w:val="22"/>
          <w:lang w:eastAsia="en-US"/>
        </w:rPr>
      </w:pPr>
      <w:r w:rsidRPr="007214E6">
        <w:rPr>
          <w:sz w:val="22"/>
          <w:szCs w:val="22"/>
          <w:lang w:eastAsia="en-US"/>
        </w:rPr>
        <w:t xml:space="preserve">an ESAt </w:t>
      </w:r>
      <w:r w:rsidR="00A655CF" w:rsidRPr="007214E6">
        <w:rPr>
          <w:sz w:val="22"/>
          <w:szCs w:val="22"/>
          <w:lang w:eastAsia="en-US"/>
        </w:rPr>
        <w:t>r</w:t>
      </w:r>
      <w:r w:rsidRPr="007214E6">
        <w:rPr>
          <w:sz w:val="22"/>
          <w:szCs w:val="22"/>
          <w:lang w:eastAsia="en-US"/>
        </w:rPr>
        <w:t xml:space="preserve">eferral is not likely to result in a change to the </w:t>
      </w:r>
      <w:r w:rsidR="000A5C74">
        <w:rPr>
          <w:sz w:val="22"/>
          <w:szCs w:val="22"/>
          <w:lang w:eastAsia="en-US"/>
        </w:rPr>
        <w:t>participant</w:t>
      </w:r>
      <w:r w:rsidRPr="007214E6">
        <w:rPr>
          <w:sz w:val="22"/>
          <w:szCs w:val="22"/>
          <w:lang w:eastAsia="en-US"/>
        </w:rPr>
        <w:t xml:space="preserve">’s </w:t>
      </w:r>
      <w:r w:rsidR="00294472">
        <w:rPr>
          <w:sz w:val="22"/>
          <w:szCs w:val="22"/>
          <w:lang w:eastAsia="en-US"/>
        </w:rPr>
        <w:t>p</w:t>
      </w:r>
      <w:r w:rsidRPr="007214E6">
        <w:rPr>
          <w:sz w:val="22"/>
          <w:szCs w:val="22"/>
          <w:lang w:eastAsia="en-US"/>
        </w:rPr>
        <w:t xml:space="preserve">rogram </w:t>
      </w:r>
      <w:r w:rsidR="00294472">
        <w:rPr>
          <w:sz w:val="22"/>
          <w:szCs w:val="22"/>
          <w:lang w:eastAsia="en-US"/>
        </w:rPr>
        <w:t>s</w:t>
      </w:r>
      <w:r w:rsidRPr="007214E6">
        <w:rPr>
          <w:sz w:val="22"/>
          <w:szCs w:val="22"/>
          <w:lang w:eastAsia="en-US"/>
        </w:rPr>
        <w:t xml:space="preserve">ervices or their currently assessed work capacity—e.g. because there has not been a significant change in the </w:t>
      </w:r>
      <w:r w:rsidR="000A5C74">
        <w:rPr>
          <w:sz w:val="22"/>
          <w:szCs w:val="22"/>
          <w:lang w:eastAsia="en-US"/>
        </w:rPr>
        <w:t>participant</w:t>
      </w:r>
      <w:r w:rsidRPr="007214E6">
        <w:rPr>
          <w:sz w:val="22"/>
          <w:szCs w:val="22"/>
          <w:lang w:eastAsia="en-US"/>
        </w:rPr>
        <w:t xml:space="preserve">’s barriers or medical conditions or there is no medical evidence available —and the </w:t>
      </w:r>
      <w:r w:rsidR="000A5C74">
        <w:rPr>
          <w:sz w:val="22"/>
          <w:szCs w:val="22"/>
          <w:lang w:eastAsia="en-US"/>
        </w:rPr>
        <w:t>participant</w:t>
      </w:r>
      <w:r w:rsidRPr="007214E6">
        <w:rPr>
          <w:sz w:val="22"/>
          <w:szCs w:val="22"/>
          <w:lang w:eastAsia="en-US"/>
        </w:rPr>
        <w:t xml:space="preserve"> will not benefit from further assessment, or</w:t>
      </w:r>
    </w:p>
    <w:p w14:paraId="01A5A75F" w14:textId="4BCC4AB3" w:rsidR="00012680" w:rsidRPr="007214E6" w:rsidRDefault="00012680" w:rsidP="000A3909">
      <w:pPr>
        <w:pStyle w:val="ListParagraph"/>
        <w:numPr>
          <w:ilvl w:val="0"/>
          <w:numId w:val="78"/>
        </w:numPr>
        <w:spacing w:before="120" w:after="120"/>
        <w:rPr>
          <w:sz w:val="22"/>
          <w:szCs w:val="22"/>
          <w:lang w:eastAsia="en-US"/>
        </w:rPr>
      </w:pPr>
      <w:r w:rsidRPr="007214E6">
        <w:rPr>
          <w:sz w:val="22"/>
          <w:szCs w:val="22"/>
          <w:lang w:eastAsia="en-US"/>
        </w:rPr>
        <w:t xml:space="preserve">they are expected to be exempt from </w:t>
      </w:r>
      <w:r w:rsidR="00F14160" w:rsidRPr="007214E6">
        <w:rPr>
          <w:sz w:val="22"/>
          <w:szCs w:val="22"/>
          <w:lang w:eastAsia="en-US"/>
        </w:rPr>
        <w:t xml:space="preserve">Mutual Obligation </w:t>
      </w:r>
      <w:r w:rsidR="00C24D8E">
        <w:rPr>
          <w:sz w:val="22"/>
          <w:szCs w:val="22"/>
          <w:lang w:eastAsia="en-US"/>
        </w:rPr>
        <w:t>r</w:t>
      </w:r>
      <w:r w:rsidRPr="007214E6">
        <w:rPr>
          <w:sz w:val="22"/>
          <w:szCs w:val="22"/>
          <w:lang w:eastAsia="en-US"/>
        </w:rPr>
        <w:t xml:space="preserve">equirements for an extended period) and is unlikely to benefit from further </w:t>
      </w:r>
      <w:r w:rsidR="00866ECE" w:rsidRPr="007214E6">
        <w:rPr>
          <w:sz w:val="22"/>
          <w:szCs w:val="22"/>
          <w:lang w:eastAsia="en-US"/>
        </w:rPr>
        <w:t>A</w:t>
      </w:r>
      <w:r w:rsidRPr="007214E6">
        <w:rPr>
          <w:sz w:val="22"/>
          <w:szCs w:val="22"/>
          <w:lang w:eastAsia="en-US"/>
        </w:rPr>
        <w:t>ssessment while the exemption is current.</w:t>
      </w:r>
    </w:p>
    <w:p w14:paraId="25D6164E" w14:textId="221F69A8" w:rsidR="006F4C17" w:rsidRPr="00077A82" w:rsidRDefault="00012680" w:rsidP="00077A82">
      <w:pPr>
        <w:spacing w:before="120" w:after="120"/>
        <w:rPr>
          <w:sz w:val="22"/>
          <w:szCs w:val="22"/>
          <w:lang w:eastAsia="en-US"/>
        </w:rPr>
      </w:pPr>
      <w:r w:rsidRPr="007214E6">
        <w:rPr>
          <w:sz w:val="22"/>
          <w:szCs w:val="22"/>
          <w:lang w:eastAsia="en-US"/>
        </w:rPr>
        <w:t xml:space="preserve">An ESAt or JCA report is considered </w:t>
      </w:r>
      <w:r w:rsidR="00C24D8E">
        <w:rPr>
          <w:sz w:val="22"/>
          <w:szCs w:val="22"/>
          <w:lang w:eastAsia="en-US"/>
        </w:rPr>
        <w:t>v</w:t>
      </w:r>
      <w:r w:rsidRPr="007214E6">
        <w:rPr>
          <w:sz w:val="22"/>
          <w:szCs w:val="22"/>
          <w:lang w:eastAsia="en-US"/>
        </w:rPr>
        <w:t>alid when</w:t>
      </w:r>
      <w:r w:rsidR="009D0F6B">
        <w:rPr>
          <w:sz w:val="22"/>
          <w:szCs w:val="22"/>
          <w:lang w:eastAsia="en-US"/>
        </w:rPr>
        <w:t xml:space="preserve"> </w:t>
      </w:r>
      <w:r w:rsidRPr="00077A82">
        <w:rPr>
          <w:sz w:val="22"/>
          <w:szCs w:val="22"/>
          <w:lang w:eastAsia="en-US"/>
        </w:rPr>
        <w:t xml:space="preserve">there has been no significant change in the </w:t>
      </w:r>
      <w:r w:rsidR="000A5C74">
        <w:rPr>
          <w:sz w:val="22"/>
          <w:szCs w:val="22"/>
          <w:lang w:eastAsia="en-US"/>
        </w:rPr>
        <w:t>participant</w:t>
      </w:r>
      <w:r w:rsidRPr="00077A82">
        <w:rPr>
          <w:sz w:val="22"/>
          <w:szCs w:val="22"/>
          <w:lang w:eastAsia="en-US"/>
        </w:rPr>
        <w:t xml:space="preserve">’s circumstances and the </w:t>
      </w:r>
      <w:r w:rsidR="000A5C74">
        <w:rPr>
          <w:sz w:val="22"/>
          <w:szCs w:val="22"/>
          <w:lang w:eastAsia="en-US"/>
        </w:rPr>
        <w:t>participant</w:t>
      </w:r>
      <w:r w:rsidRPr="00077A82">
        <w:rPr>
          <w:sz w:val="22"/>
          <w:szCs w:val="22"/>
          <w:lang w:eastAsia="en-US"/>
        </w:rPr>
        <w:t xml:space="preserve">’s previous </w:t>
      </w:r>
      <w:r w:rsidR="00C24D8E">
        <w:rPr>
          <w:sz w:val="22"/>
          <w:szCs w:val="22"/>
          <w:lang w:eastAsia="en-US"/>
        </w:rPr>
        <w:t>a</w:t>
      </w:r>
      <w:r w:rsidR="00C24D8E" w:rsidRPr="00077A82">
        <w:rPr>
          <w:sz w:val="22"/>
          <w:szCs w:val="22"/>
          <w:lang w:eastAsia="en-US"/>
        </w:rPr>
        <w:t>ssessment</w:t>
      </w:r>
      <w:r w:rsidRPr="00077A82">
        <w:rPr>
          <w:sz w:val="22"/>
          <w:szCs w:val="22"/>
          <w:lang w:eastAsia="en-US"/>
        </w:rPr>
        <w:t xml:space="preserve">, or the result of their last </w:t>
      </w:r>
      <w:r w:rsidR="00C24D8E">
        <w:rPr>
          <w:sz w:val="22"/>
          <w:szCs w:val="22"/>
          <w:lang w:eastAsia="en-US"/>
        </w:rPr>
        <w:t>p</w:t>
      </w:r>
      <w:r w:rsidRPr="00077A82">
        <w:rPr>
          <w:sz w:val="22"/>
          <w:szCs w:val="22"/>
          <w:lang w:eastAsia="en-US"/>
        </w:rPr>
        <w:t xml:space="preserve">rogram </w:t>
      </w:r>
      <w:r w:rsidR="00C24D8E">
        <w:rPr>
          <w:sz w:val="22"/>
          <w:szCs w:val="22"/>
          <w:lang w:eastAsia="en-US"/>
        </w:rPr>
        <w:t>r</w:t>
      </w:r>
      <w:r w:rsidRPr="00077A82">
        <w:rPr>
          <w:sz w:val="22"/>
          <w:szCs w:val="22"/>
          <w:lang w:eastAsia="en-US"/>
        </w:rPr>
        <w:t>eview, remains unaffected, taking into account the factors identified above.</w:t>
      </w:r>
    </w:p>
    <w:p w14:paraId="2122864E" w14:textId="77777777" w:rsidR="002536BC" w:rsidRDefault="002536BC" w:rsidP="000A3909">
      <w:pPr>
        <w:pStyle w:val="Heading3"/>
        <w:spacing w:before="120" w:after="120"/>
      </w:pPr>
      <w:bookmarkStart w:id="25" w:name="_Toc126830106"/>
      <w:r w:rsidRPr="00012680">
        <w:t>Program Review</w:t>
      </w:r>
      <w:bookmarkEnd w:id="25"/>
    </w:p>
    <w:p w14:paraId="44871B41" w14:textId="020341FE" w:rsidR="002536BC" w:rsidRPr="007214E6" w:rsidRDefault="002536BC" w:rsidP="000A3909">
      <w:pPr>
        <w:spacing w:before="120" w:after="120"/>
        <w:rPr>
          <w:sz w:val="22"/>
          <w:szCs w:val="22"/>
        </w:rPr>
      </w:pPr>
      <w:r w:rsidRPr="007214E6">
        <w:rPr>
          <w:sz w:val="22"/>
          <w:szCs w:val="22"/>
        </w:rPr>
        <w:t xml:space="preserve">A DES </w:t>
      </w:r>
      <w:r w:rsidR="00C24D8E">
        <w:rPr>
          <w:sz w:val="22"/>
          <w:szCs w:val="22"/>
        </w:rPr>
        <w:t>p</w:t>
      </w:r>
      <w:r w:rsidRPr="007214E6">
        <w:rPr>
          <w:sz w:val="22"/>
          <w:szCs w:val="22"/>
        </w:rPr>
        <w:t xml:space="preserve">rogram </w:t>
      </w:r>
      <w:r w:rsidR="00C24D8E">
        <w:rPr>
          <w:sz w:val="22"/>
          <w:szCs w:val="22"/>
        </w:rPr>
        <w:t>r</w:t>
      </w:r>
      <w:r w:rsidRPr="007214E6">
        <w:rPr>
          <w:sz w:val="22"/>
          <w:szCs w:val="22"/>
        </w:rPr>
        <w:t xml:space="preserve">eview is conducted for each DES </w:t>
      </w:r>
      <w:r w:rsidR="000A5C74">
        <w:rPr>
          <w:sz w:val="22"/>
          <w:szCs w:val="22"/>
        </w:rPr>
        <w:t>participant</w:t>
      </w:r>
      <w:r w:rsidRPr="007214E6">
        <w:rPr>
          <w:sz w:val="22"/>
          <w:szCs w:val="22"/>
        </w:rPr>
        <w:t xml:space="preserve"> (excluding </w:t>
      </w:r>
      <w:r w:rsidR="00CB19E4" w:rsidRPr="007214E6">
        <w:rPr>
          <w:sz w:val="22"/>
          <w:szCs w:val="22"/>
        </w:rPr>
        <w:t>Work Assist</w:t>
      </w:r>
      <w:r w:rsidR="002D60BD" w:rsidRPr="007214E6">
        <w:rPr>
          <w:sz w:val="22"/>
          <w:szCs w:val="22"/>
        </w:rPr>
        <w:t xml:space="preserve"> </w:t>
      </w:r>
      <w:r w:rsidR="000A5C74">
        <w:rPr>
          <w:sz w:val="22"/>
          <w:szCs w:val="22"/>
        </w:rPr>
        <w:t>participant</w:t>
      </w:r>
      <w:r w:rsidRPr="007214E6">
        <w:rPr>
          <w:sz w:val="22"/>
          <w:szCs w:val="22"/>
        </w:rPr>
        <w:t xml:space="preserve">s) once they have received approximately 78 weeks of </w:t>
      </w:r>
      <w:r w:rsidR="00C24D8E">
        <w:rPr>
          <w:sz w:val="22"/>
          <w:szCs w:val="22"/>
        </w:rPr>
        <w:t>e</w:t>
      </w:r>
      <w:r w:rsidRPr="007214E6">
        <w:rPr>
          <w:sz w:val="22"/>
          <w:szCs w:val="22"/>
        </w:rPr>
        <w:t xml:space="preserve">mployment </w:t>
      </w:r>
      <w:r w:rsidR="00C24D8E">
        <w:rPr>
          <w:sz w:val="22"/>
          <w:szCs w:val="22"/>
        </w:rPr>
        <w:t>a</w:t>
      </w:r>
      <w:r w:rsidRPr="007214E6">
        <w:rPr>
          <w:sz w:val="22"/>
          <w:szCs w:val="22"/>
        </w:rPr>
        <w:t>ssistance.</w:t>
      </w:r>
    </w:p>
    <w:p w14:paraId="0E2D59F1" w14:textId="676BADCE" w:rsidR="002536BC" w:rsidRPr="007214E6" w:rsidRDefault="002536BC" w:rsidP="000A3909">
      <w:pPr>
        <w:spacing w:before="120" w:after="120"/>
        <w:rPr>
          <w:sz w:val="22"/>
          <w:szCs w:val="22"/>
        </w:rPr>
      </w:pPr>
      <w:r w:rsidRPr="007214E6">
        <w:rPr>
          <w:sz w:val="22"/>
          <w:szCs w:val="22"/>
        </w:rPr>
        <w:t xml:space="preserve">The </w:t>
      </w:r>
      <w:r w:rsidR="00C24D8E">
        <w:rPr>
          <w:sz w:val="22"/>
          <w:szCs w:val="22"/>
        </w:rPr>
        <w:t>p</w:t>
      </w:r>
      <w:r w:rsidRPr="007214E6">
        <w:rPr>
          <w:sz w:val="22"/>
          <w:szCs w:val="22"/>
        </w:rPr>
        <w:t xml:space="preserve">rogram </w:t>
      </w:r>
      <w:r w:rsidR="00C24D8E">
        <w:rPr>
          <w:sz w:val="22"/>
          <w:szCs w:val="22"/>
        </w:rPr>
        <w:t>r</w:t>
      </w:r>
      <w:r w:rsidRPr="007214E6">
        <w:rPr>
          <w:sz w:val="22"/>
          <w:szCs w:val="22"/>
        </w:rPr>
        <w:t xml:space="preserve">eview is conducted by an Assessor, unless the </w:t>
      </w:r>
      <w:r w:rsidR="000A5C74">
        <w:rPr>
          <w:sz w:val="22"/>
          <w:szCs w:val="22"/>
        </w:rPr>
        <w:t>participant</w:t>
      </w:r>
      <w:r w:rsidRPr="007214E6">
        <w:rPr>
          <w:sz w:val="22"/>
          <w:szCs w:val="22"/>
        </w:rPr>
        <w:t xml:space="preserve"> is participating in </w:t>
      </w:r>
      <w:r w:rsidR="00C24D8E">
        <w:rPr>
          <w:sz w:val="22"/>
          <w:szCs w:val="22"/>
        </w:rPr>
        <w:t>e</w:t>
      </w:r>
      <w:r w:rsidRPr="007214E6">
        <w:rPr>
          <w:sz w:val="22"/>
          <w:szCs w:val="22"/>
        </w:rPr>
        <w:t xml:space="preserve">mployment or significant </w:t>
      </w:r>
      <w:r w:rsidR="00C24D8E">
        <w:rPr>
          <w:sz w:val="22"/>
          <w:szCs w:val="22"/>
        </w:rPr>
        <w:t>e</w:t>
      </w:r>
      <w:r w:rsidRPr="007214E6">
        <w:rPr>
          <w:sz w:val="22"/>
          <w:szCs w:val="22"/>
        </w:rPr>
        <w:t xml:space="preserve">ducation or </w:t>
      </w:r>
      <w:r w:rsidR="00C24D8E">
        <w:rPr>
          <w:sz w:val="22"/>
          <w:szCs w:val="22"/>
        </w:rPr>
        <w:t>t</w:t>
      </w:r>
      <w:r w:rsidRPr="007214E6">
        <w:rPr>
          <w:sz w:val="22"/>
          <w:szCs w:val="22"/>
        </w:rPr>
        <w:t xml:space="preserve">raining, in which case it may be conducted by the DES </w:t>
      </w:r>
      <w:r w:rsidR="00C84A77">
        <w:rPr>
          <w:sz w:val="22"/>
          <w:szCs w:val="22"/>
        </w:rPr>
        <w:t>provider</w:t>
      </w:r>
      <w:r w:rsidRPr="007214E6">
        <w:rPr>
          <w:sz w:val="22"/>
          <w:szCs w:val="22"/>
        </w:rPr>
        <w:t>.</w:t>
      </w:r>
    </w:p>
    <w:p w14:paraId="7CE03768" w14:textId="75CA72A4" w:rsidR="006F4C17" w:rsidRDefault="002536BC" w:rsidP="000A3909">
      <w:pPr>
        <w:spacing w:before="120" w:after="120"/>
        <w:rPr>
          <w:sz w:val="22"/>
          <w:szCs w:val="22"/>
        </w:rPr>
      </w:pPr>
      <w:r w:rsidRPr="007214E6">
        <w:rPr>
          <w:sz w:val="22"/>
          <w:szCs w:val="22"/>
        </w:rPr>
        <w:t xml:space="preserve">During the </w:t>
      </w:r>
      <w:r w:rsidR="00C24D8E">
        <w:rPr>
          <w:sz w:val="22"/>
          <w:szCs w:val="22"/>
        </w:rPr>
        <w:t>p</w:t>
      </w:r>
      <w:r w:rsidRPr="007214E6">
        <w:rPr>
          <w:sz w:val="22"/>
          <w:szCs w:val="22"/>
        </w:rPr>
        <w:t xml:space="preserve">rogram </w:t>
      </w:r>
      <w:r w:rsidR="004E05EF">
        <w:rPr>
          <w:sz w:val="22"/>
          <w:szCs w:val="22"/>
        </w:rPr>
        <w:t>r</w:t>
      </w:r>
      <w:r w:rsidR="004E05EF" w:rsidRPr="007214E6">
        <w:rPr>
          <w:sz w:val="22"/>
          <w:szCs w:val="22"/>
        </w:rPr>
        <w:t>eview,</w:t>
      </w:r>
      <w:r w:rsidRPr="007214E6">
        <w:rPr>
          <w:sz w:val="22"/>
          <w:szCs w:val="22"/>
        </w:rPr>
        <w:t xml:space="preserve"> a decision is made regarding whether the </w:t>
      </w:r>
      <w:r w:rsidR="000A5C74">
        <w:rPr>
          <w:sz w:val="22"/>
          <w:szCs w:val="22"/>
        </w:rPr>
        <w:t>participant</w:t>
      </w:r>
      <w:r w:rsidRPr="007214E6">
        <w:rPr>
          <w:sz w:val="22"/>
          <w:szCs w:val="22"/>
        </w:rPr>
        <w:t xml:space="preserve"> would benefit from a further six months of assistance in DES (known as ‘Extended Employment Assistance’).</w:t>
      </w:r>
    </w:p>
    <w:p w14:paraId="40BA8E36" w14:textId="63FCD641" w:rsidR="008008C3" w:rsidRDefault="008008C3" w:rsidP="000A3909">
      <w:pPr>
        <w:spacing w:before="120" w:after="120"/>
        <w:rPr>
          <w:sz w:val="22"/>
          <w:szCs w:val="22"/>
        </w:rPr>
      </w:pPr>
      <w:r w:rsidRPr="008008C3">
        <w:rPr>
          <w:sz w:val="22"/>
          <w:szCs w:val="22"/>
        </w:rPr>
        <w:t xml:space="preserve">Before requesting a </w:t>
      </w:r>
      <w:r w:rsidR="0007762B">
        <w:rPr>
          <w:sz w:val="22"/>
          <w:szCs w:val="22"/>
        </w:rPr>
        <w:t>p</w:t>
      </w:r>
      <w:r w:rsidRPr="008008C3">
        <w:rPr>
          <w:sz w:val="22"/>
          <w:szCs w:val="22"/>
        </w:rPr>
        <w:t xml:space="preserve">rogram </w:t>
      </w:r>
      <w:r w:rsidR="0007762B">
        <w:rPr>
          <w:sz w:val="22"/>
          <w:szCs w:val="22"/>
        </w:rPr>
        <w:t>r</w:t>
      </w:r>
      <w:r w:rsidRPr="008008C3">
        <w:rPr>
          <w:sz w:val="22"/>
          <w:szCs w:val="22"/>
        </w:rPr>
        <w:t xml:space="preserve">eview, </w:t>
      </w:r>
      <w:r w:rsidR="00C84A77">
        <w:rPr>
          <w:sz w:val="22"/>
          <w:szCs w:val="22"/>
        </w:rPr>
        <w:t>provider</w:t>
      </w:r>
      <w:r w:rsidRPr="008008C3">
        <w:rPr>
          <w:sz w:val="22"/>
          <w:szCs w:val="22"/>
        </w:rPr>
        <w:t xml:space="preserve">s must complete a </w:t>
      </w:r>
      <w:r w:rsidR="0007762B">
        <w:rPr>
          <w:sz w:val="22"/>
          <w:szCs w:val="22"/>
        </w:rPr>
        <w:t>p</w:t>
      </w:r>
      <w:r w:rsidRPr="008008C3">
        <w:rPr>
          <w:sz w:val="22"/>
          <w:szCs w:val="22"/>
        </w:rPr>
        <w:t xml:space="preserve">rogram </w:t>
      </w:r>
      <w:r w:rsidR="0007762B">
        <w:rPr>
          <w:sz w:val="22"/>
          <w:szCs w:val="22"/>
        </w:rPr>
        <w:t>r</w:t>
      </w:r>
      <w:r w:rsidRPr="008008C3">
        <w:rPr>
          <w:sz w:val="22"/>
          <w:szCs w:val="22"/>
        </w:rPr>
        <w:t xml:space="preserve">eport containing a clear indication of progress made to date and whether the </w:t>
      </w:r>
      <w:r w:rsidR="00C84A77">
        <w:rPr>
          <w:sz w:val="22"/>
          <w:szCs w:val="22"/>
        </w:rPr>
        <w:t>provider</w:t>
      </w:r>
      <w:r w:rsidRPr="008008C3">
        <w:rPr>
          <w:sz w:val="22"/>
          <w:szCs w:val="22"/>
        </w:rPr>
        <w:t xml:space="preserve"> considers further time in DES would be beneficial.</w:t>
      </w:r>
    </w:p>
    <w:p w14:paraId="4FEE8A27" w14:textId="77777777" w:rsidR="00742703" w:rsidRPr="00742703" w:rsidRDefault="00742703" w:rsidP="00742703">
      <w:pPr>
        <w:keepNext/>
        <w:outlineLvl w:val="1"/>
        <w:rPr>
          <w:rFonts w:cs="Arial"/>
          <w:b/>
          <w:bCs/>
          <w:iCs/>
          <w:szCs w:val="28"/>
        </w:rPr>
      </w:pPr>
      <w:bookmarkStart w:id="26" w:name="_Toc101954825"/>
      <w:bookmarkStart w:id="27" w:name="_Toc101956897"/>
      <w:bookmarkStart w:id="28" w:name="_Toc126830107"/>
      <w:r w:rsidRPr="00742703">
        <w:rPr>
          <w:rFonts w:cs="Arial"/>
          <w:b/>
          <w:bCs/>
          <w:iCs/>
          <w:szCs w:val="28"/>
        </w:rPr>
        <w:t>Arranging an ESAt</w:t>
      </w:r>
      <w:bookmarkEnd w:id="26"/>
      <w:bookmarkEnd w:id="27"/>
      <w:bookmarkEnd w:id="28"/>
    </w:p>
    <w:p w14:paraId="0D36E086" w14:textId="77777777" w:rsidR="00742703" w:rsidRPr="00742703" w:rsidRDefault="00742703" w:rsidP="00742703">
      <w:pPr>
        <w:spacing w:before="120" w:after="120"/>
        <w:rPr>
          <w:sz w:val="22"/>
          <w:szCs w:val="22"/>
        </w:rPr>
      </w:pPr>
      <w:r w:rsidRPr="00742703">
        <w:rPr>
          <w:sz w:val="22"/>
          <w:szCs w:val="22"/>
        </w:rPr>
        <w:t xml:space="preserve">Where a </w:t>
      </w:r>
      <w:r w:rsidR="00C84A77">
        <w:rPr>
          <w:sz w:val="22"/>
          <w:szCs w:val="22"/>
        </w:rPr>
        <w:t>provider</w:t>
      </w:r>
      <w:r w:rsidRPr="00742703">
        <w:rPr>
          <w:sz w:val="22"/>
          <w:szCs w:val="22"/>
        </w:rPr>
        <w:t xml:space="preserve"> determines that a </w:t>
      </w:r>
      <w:r w:rsidR="000A5C74">
        <w:rPr>
          <w:sz w:val="22"/>
          <w:szCs w:val="22"/>
        </w:rPr>
        <w:t>participant</w:t>
      </w:r>
      <w:r w:rsidRPr="00742703">
        <w:rPr>
          <w:sz w:val="22"/>
          <w:szCs w:val="22"/>
        </w:rPr>
        <w:t xml:space="preserve"> requires an ESAt, they must:</w:t>
      </w:r>
    </w:p>
    <w:p w14:paraId="0D502CCE" w14:textId="77777777" w:rsidR="00742703" w:rsidRPr="00742703" w:rsidRDefault="00742703" w:rsidP="00742703">
      <w:pPr>
        <w:numPr>
          <w:ilvl w:val="0"/>
          <w:numId w:val="87"/>
        </w:numPr>
        <w:spacing w:before="60"/>
        <w:ind w:left="714" w:hanging="357"/>
        <w:rPr>
          <w:rFonts w:asciiTheme="minorHAnsi" w:eastAsiaTheme="minorHAnsi" w:hAnsiTheme="minorHAnsi" w:cstheme="minorBidi"/>
          <w:sz w:val="22"/>
          <w:szCs w:val="22"/>
          <w:lang w:eastAsia="en-US"/>
        </w:rPr>
      </w:pPr>
      <w:r w:rsidRPr="00742703">
        <w:rPr>
          <w:rFonts w:asciiTheme="minorHAnsi" w:eastAsiaTheme="minorHAnsi" w:hAnsiTheme="minorHAnsi" w:cstheme="minorBidi"/>
          <w:sz w:val="22"/>
          <w:szCs w:val="22"/>
          <w:lang w:eastAsia="en-US"/>
        </w:rPr>
        <w:t xml:space="preserve">ensure the </w:t>
      </w:r>
      <w:r w:rsidR="000A5C74">
        <w:rPr>
          <w:rFonts w:asciiTheme="minorHAnsi" w:eastAsiaTheme="minorHAnsi" w:hAnsiTheme="minorHAnsi" w:cstheme="minorBidi"/>
          <w:sz w:val="22"/>
          <w:szCs w:val="22"/>
          <w:lang w:eastAsia="en-US"/>
        </w:rPr>
        <w:t>participant</w:t>
      </w:r>
      <w:r w:rsidRPr="00742703">
        <w:rPr>
          <w:rFonts w:asciiTheme="minorHAnsi" w:eastAsiaTheme="minorHAnsi" w:hAnsiTheme="minorHAnsi" w:cstheme="minorBidi"/>
          <w:sz w:val="22"/>
          <w:szCs w:val="22"/>
          <w:lang w:eastAsia="en-US"/>
        </w:rPr>
        <w:t xml:space="preserve"> has any required supporting medical evidence</w:t>
      </w:r>
    </w:p>
    <w:p w14:paraId="57D3902F" w14:textId="77777777" w:rsidR="00742703" w:rsidRPr="00742703" w:rsidRDefault="00742703" w:rsidP="00742703">
      <w:pPr>
        <w:numPr>
          <w:ilvl w:val="0"/>
          <w:numId w:val="87"/>
        </w:numPr>
        <w:spacing w:before="60"/>
        <w:ind w:left="714" w:hanging="357"/>
        <w:rPr>
          <w:rFonts w:asciiTheme="minorHAnsi" w:eastAsiaTheme="minorHAnsi" w:hAnsiTheme="minorHAnsi" w:cstheme="minorBidi"/>
          <w:sz w:val="22"/>
          <w:szCs w:val="22"/>
          <w:lang w:eastAsia="en-US"/>
        </w:rPr>
      </w:pPr>
      <w:r w:rsidRPr="00742703">
        <w:rPr>
          <w:rFonts w:asciiTheme="minorHAnsi" w:eastAsiaTheme="minorHAnsi" w:hAnsiTheme="minorHAnsi" w:cstheme="minorBidi"/>
          <w:sz w:val="22"/>
          <w:szCs w:val="22"/>
          <w:lang w:eastAsia="en-US"/>
        </w:rPr>
        <w:t>supply required evidence to Services Australia</w:t>
      </w:r>
    </w:p>
    <w:p w14:paraId="6A4F4180" w14:textId="77777777" w:rsidR="00742703" w:rsidRPr="00742703" w:rsidRDefault="00742703" w:rsidP="00742703">
      <w:pPr>
        <w:numPr>
          <w:ilvl w:val="0"/>
          <w:numId w:val="87"/>
        </w:numPr>
        <w:spacing w:before="60"/>
        <w:ind w:left="714" w:hanging="357"/>
        <w:rPr>
          <w:rFonts w:asciiTheme="minorHAnsi" w:eastAsiaTheme="minorHAnsi" w:hAnsiTheme="minorHAnsi" w:cstheme="minorBidi"/>
          <w:sz w:val="22"/>
          <w:szCs w:val="22"/>
          <w:lang w:eastAsia="en-US"/>
        </w:rPr>
      </w:pPr>
      <w:r w:rsidRPr="00742703">
        <w:rPr>
          <w:rFonts w:asciiTheme="minorHAnsi" w:eastAsiaTheme="minorHAnsi" w:hAnsiTheme="minorHAnsi" w:cstheme="minorBidi"/>
          <w:sz w:val="22"/>
          <w:szCs w:val="22"/>
          <w:lang w:eastAsia="en-US"/>
        </w:rPr>
        <w:t>request an ESAt assessment</w:t>
      </w:r>
    </w:p>
    <w:p w14:paraId="7D90B0F3" w14:textId="77777777" w:rsidR="00742703" w:rsidRPr="00742703" w:rsidRDefault="00742703" w:rsidP="00742703">
      <w:pPr>
        <w:numPr>
          <w:ilvl w:val="0"/>
          <w:numId w:val="87"/>
        </w:numPr>
        <w:spacing w:before="60"/>
        <w:ind w:left="714" w:hanging="357"/>
        <w:rPr>
          <w:rFonts w:asciiTheme="minorHAnsi" w:eastAsiaTheme="minorHAnsi" w:hAnsiTheme="minorHAnsi" w:cstheme="minorBidi"/>
          <w:sz w:val="22"/>
          <w:szCs w:val="22"/>
          <w:lang w:eastAsia="en-US"/>
        </w:rPr>
      </w:pPr>
      <w:r w:rsidRPr="00742703">
        <w:rPr>
          <w:rFonts w:asciiTheme="minorHAnsi" w:eastAsiaTheme="minorHAnsi" w:hAnsiTheme="minorHAnsi" w:cstheme="minorBidi"/>
          <w:sz w:val="22"/>
          <w:szCs w:val="22"/>
          <w:lang w:eastAsia="en-US"/>
        </w:rPr>
        <w:t>ensure Services Australia is aware of any relevant factors such as challenging behaviour</w:t>
      </w:r>
      <w:r w:rsidR="0007762B">
        <w:rPr>
          <w:rFonts w:asciiTheme="minorHAnsi" w:eastAsiaTheme="minorHAnsi" w:hAnsiTheme="minorHAnsi" w:cstheme="minorBidi"/>
          <w:sz w:val="22"/>
          <w:szCs w:val="22"/>
          <w:lang w:eastAsia="en-US"/>
        </w:rPr>
        <w:t>, and</w:t>
      </w:r>
    </w:p>
    <w:p w14:paraId="32E1583C" w14:textId="433376AD" w:rsidR="00742703" w:rsidRDefault="00742703" w:rsidP="00742703">
      <w:pPr>
        <w:numPr>
          <w:ilvl w:val="0"/>
          <w:numId w:val="87"/>
        </w:numPr>
        <w:spacing w:before="60"/>
        <w:ind w:left="714" w:hanging="357"/>
        <w:rPr>
          <w:rFonts w:asciiTheme="minorHAnsi" w:eastAsiaTheme="minorHAnsi" w:hAnsiTheme="minorHAnsi" w:cstheme="minorBidi"/>
          <w:sz w:val="22"/>
          <w:szCs w:val="22"/>
          <w:lang w:eastAsia="en-US"/>
        </w:rPr>
      </w:pPr>
      <w:r w:rsidRPr="00742703">
        <w:rPr>
          <w:rFonts w:asciiTheme="minorHAnsi" w:eastAsiaTheme="minorHAnsi" w:hAnsiTheme="minorHAnsi" w:cstheme="minorBidi"/>
          <w:sz w:val="22"/>
          <w:szCs w:val="22"/>
          <w:lang w:eastAsia="en-US"/>
        </w:rPr>
        <w:t xml:space="preserve">notify the </w:t>
      </w:r>
      <w:r w:rsidR="000A5C74">
        <w:rPr>
          <w:rFonts w:asciiTheme="minorHAnsi" w:eastAsiaTheme="minorHAnsi" w:hAnsiTheme="minorHAnsi" w:cstheme="minorBidi"/>
          <w:sz w:val="22"/>
          <w:szCs w:val="22"/>
          <w:lang w:eastAsia="en-US"/>
        </w:rPr>
        <w:t>participant</w:t>
      </w:r>
      <w:r w:rsidRPr="00742703">
        <w:rPr>
          <w:rFonts w:asciiTheme="minorHAnsi" w:eastAsiaTheme="minorHAnsi" w:hAnsiTheme="minorHAnsi" w:cstheme="minorBidi"/>
          <w:sz w:val="22"/>
          <w:szCs w:val="22"/>
          <w:lang w:eastAsia="en-US"/>
        </w:rPr>
        <w:t xml:space="preserve"> that they need to attend the ESAt.</w:t>
      </w:r>
    </w:p>
    <w:p w14:paraId="285C91F5" w14:textId="77777777" w:rsidR="00A44CCC" w:rsidRPr="00742703" w:rsidRDefault="00A44CCC" w:rsidP="00A44CCC">
      <w:pPr>
        <w:spacing w:before="60"/>
        <w:ind w:left="357"/>
        <w:rPr>
          <w:rFonts w:asciiTheme="minorHAnsi" w:eastAsiaTheme="minorHAnsi" w:hAnsiTheme="minorHAnsi" w:cstheme="minorBidi"/>
          <w:sz w:val="22"/>
          <w:szCs w:val="22"/>
          <w:lang w:eastAsia="en-US"/>
        </w:rPr>
      </w:pPr>
    </w:p>
    <w:p w14:paraId="2518DD9A" w14:textId="05072872" w:rsidR="00CA70F1" w:rsidRPr="00077A82" w:rsidRDefault="00742703" w:rsidP="000A3909">
      <w:pPr>
        <w:pStyle w:val="Heading3"/>
        <w:spacing w:before="120" w:after="120"/>
        <w:rPr>
          <w:b w:val="0"/>
          <w:u w:val="single"/>
        </w:rPr>
      </w:pPr>
      <w:bookmarkStart w:id="29" w:name="_Toc126830108"/>
      <w:r w:rsidRPr="00077A82">
        <w:rPr>
          <w:b w:val="0"/>
          <w:u w:val="single"/>
        </w:rPr>
        <w:lastRenderedPageBreak/>
        <w:t>Obtaining s</w:t>
      </w:r>
      <w:r w:rsidR="00CA70F1" w:rsidRPr="00077A82">
        <w:rPr>
          <w:b w:val="0"/>
          <w:u w:val="single"/>
        </w:rPr>
        <w:t>upporting medical evidence</w:t>
      </w:r>
      <w:bookmarkEnd w:id="29"/>
    </w:p>
    <w:p w14:paraId="45FA1BCF" w14:textId="2D86BAA3" w:rsidR="00832856" w:rsidRDefault="00012680" w:rsidP="000A3909">
      <w:pPr>
        <w:spacing w:before="120" w:after="120"/>
        <w:rPr>
          <w:sz w:val="22"/>
          <w:szCs w:val="22"/>
        </w:rPr>
      </w:pPr>
      <w:r w:rsidRPr="007214E6">
        <w:rPr>
          <w:sz w:val="22"/>
          <w:szCs w:val="22"/>
        </w:rPr>
        <w:t xml:space="preserve">When considering a referral for </w:t>
      </w:r>
      <w:r w:rsidR="00294472" w:rsidRPr="007214E6">
        <w:rPr>
          <w:sz w:val="22"/>
          <w:szCs w:val="22"/>
        </w:rPr>
        <w:t>an</w:t>
      </w:r>
      <w:r w:rsidRPr="007214E6">
        <w:rPr>
          <w:sz w:val="22"/>
          <w:szCs w:val="22"/>
        </w:rPr>
        <w:t xml:space="preserve"> </w:t>
      </w:r>
      <w:r w:rsidR="0007762B">
        <w:rPr>
          <w:sz w:val="22"/>
          <w:szCs w:val="22"/>
        </w:rPr>
        <w:t>m</w:t>
      </w:r>
      <w:r w:rsidRPr="007214E6">
        <w:rPr>
          <w:sz w:val="22"/>
          <w:szCs w:val="22"/>
        </w:rPr>
        <w:t xml:space="preserve">edical ESAt, the DES </w:t>
      </w:r>
      <w:r w:rsidR="00C84A77">
        <w:rPr>
          <w:sz w:val="22"/>
          <w:szCs w:val="22"/>
        </w:rPr>
        <w:t>provider</w:t>
      </w:r>
      <w:r w:rsidRPr="007214E6">
        <w:rPr>
          <w:sz w:val="22"/>
          <w:szCs w:val="22"/>
        </w:rPr>
        <w:t xml:space="preserve"> </w:t>
      </w:r>
      <w:r w:rsidRPr="007214E6">
        <w:rPr>
          <w:sz w:val="22"/>
          <w:szCs w:val="22"/>
          <w:u w:val="single"/>
        </w:rPr>
        <w:t>must</w:t>
      </w:r>
      <w:r w:rsidRPr="007214E6">
        <w:rPr>
          <w:sz w:val="22"/>
          <w:szCs w:val="22"/>
        </w:rPr>
        <w:t xml:space="preserve"> confirm that the </w:t>
      </w:r>
      <w:r w:rsidR="000A5C74">
        <w:rPr>
          <w:sz w:val="22"/>
          <w:szCs w:val="22"/>
        </w:rPr>
        <w:t>participant</w:t>
      </w:r>
      <w:r w:rsidRPr="007214E6">
        <w:rPr>
          <w:sz w:val="22"/>
          <w:szCs w:val="22"/>
        </w:rPr>
        <w:t xml:space="preserve"> has appropriate medical evidence supporting their condition(s) </w:t>
      </w:r>
      <w:r w:rsidRPr="007214E6">
        <w:rPr>
          <w:sz w:val="22"/>
          <w:szCs w:val="22"/>
          <w:u w:val="single"/>
        </w:rPr>
        <w:t>before</w:t>
      </w:r>
      <w:r w:rsidRPr="007214E6">
        <w:rPr>
          <w:sz w:val="22"/>
          <w:szCs w:val="22"/>
        </w:rPr>
        <w:t xml:space="preserve"> the </w:t>
      </w:r>
      <w:r w:rsidR="000A5C74">
        <w:rPr>
          <w:sz w:val="22"/>
          <w:szCs w:val="22"/>
        </w:rPr>
        <w:t>participant</w:t>
      </w:r>
      <w:r w:rsidRPr="007214E6">
        <w:rPr>
          <w:sz w:val="22"/>
          <w:szCs w:val="22"/>
        </w:rPr>
        <w:t xml:space="preserve"> is referred. </w:t>
      </w:r>
    </w:p>
    <w:p w14:paraId="2709BD40" w14:textId="78FF0521" w:rsidR="00832856" w:rsidRPr="00832856" w:rsidRDefault="00832856" w:rsidP="00832856">
      <w:pPr>
        <w:spacing w:before="120" w:after="120"/>
        <w:rPr>
          <w:sz w:val="22"/>
          <w:szCs w:val="22"/>
        </w:rPr>
      </w:pPr>
      <w:r w:rsidRPr="00832856">
        <w:rPr>
          <w:sz w:val="22"/>
          <w:szCs w:val="22"/>
        </w:rPr>
        <w:t xml:space="preserve">Note: Medical evidence is generally not required for a </w:t>
      </w:r>
      <w:r w:rsidR="0007762B">
        <w:rPr>
          <w:sz w:val="22"/>
          <w:szCs w:val="22"/>
        </w:rPr>
        <w:t>p</w:t>
      </w:r>
      <w:r w:rsidRPr="00832856">
        <w:rPr>
          <w:sz w:val="22"/>
          <w:szCs w:val="22"/>
        </w:rPr>
        <w:t xml:space="preserve">rogram </w:t>
      </w:r>
      <w:r w:rsidR="0007762B">
        <w:rPr>
          <w:sz w:val="22"/>
          <w:szCs w:val="22"/>
        </w:rPr>
        <w:t>r</w:t>
      </w:r>
      <w:r w:rsidRPr="00832856">
        <w:rPr>
          <w:sz w:val="22"/>
          <w:szCs w:val="22"/>
        </w:rPr>
        <w:t>eview unless there has been a significant change in the participant’s medical condition/s.</w:t>
      </w:r>
    </w:p>
    <w:p w14:paraId="3BAE0D0D" w14:textId="77777777" w:rsidR="00832856" w:rsidRPr="00832856" w:rsidRDefault="00832856" w:rsidP="00832856">
      <w:pPr>
        <w:spacing w:before="120" w:after="120"/>
        <w:rPr>
          <w:sz w:val="22"/>
          <w:szCs w:val="22"/>
        </w:rPr>
      </w:pPr>
      <w:r w:rsidRPr="00832856">
        <w:rPr>
          <w:sz w:val="22"/>
          <w:szCs w:val="22"/>
        </w:rPr>
        <w:t xml:space="preserve">Where a referral for an ESAt is made and a medical condition(s) is self-reported by the </w:t>
      </w:r>
      <w:r w:rsidR="000A5C74">
        <w:rPr>
          <w:sz w:val="22"/>
          <w:szCs w:val="22"/>
        </w:rPr>
        <w:t>participant</w:t>
      </w:r>
      <w:r w:rsidRPr="00832856">
        <w:rPr>
          <w:sz w:val="22"/>
          <w:szCs w:val="22"/>
        </w:rPr>
        <w:t xml:space="preserve"> but no medical evidence is presented, the ESAt could be cancelled or completed as a non-medical condition ESAt. Assessors are generally not required to suspend an ESAt to allow time for medical evidence to be presented by the </w:t>
      </w:r>
      <w:r w:rsidR="000A5C74">
        <w:rPr>
          <w:sz w:val="22"/>
          <w:szCs w:val="22"/>
        </w:rPr>
        <w:t>participant</w:t>
      </w:r>
      <w:r w:rsidRPr="00832856">
        <w:rPr>
          <w:sz w:val="22"/>
          <w:szCs w:val="22"/>
        </w:rPr>
        <w:t xml:space="preserve"> or for the Assessor to contact the </w:t>
      </w:r>
      <w:r w:rsidR="000A5C74">
        <w:rPr>
          <w:sz w:val="22"/>
          <w:szCs w:val="22"/>
        </w:rPr>
        <w:t>participant</w:t>
      </w:r>
      <w:r w:rsidRPr="00832856">
        <w:rPr>
          <w:sz w:val="22"/>
          <w:szCs w:val="22"/>
        </w:rPr>
        <w:t>’s treating doctor to obtain the evidence.</w:t>
      </w:r>
    </w:p>
    <w:p w14:paraId="1F378C88" w14:textId="77777777" w:rsidR="00832856" w:rsidRDefault="00832856" w:rsidP="000A3909">
      <w:pPr>
        <w:spacing w:before="120" w:after="120"/>
        <w:rPr>
          <w:sz w:val="22"/>
          <w:szCs w:val="22"/>
        </w:rPr>
      </w:pPr>
      <w:r w:rsidRPr="00832856">
        <w:rPr>
          <w:sz w:val="22"/>
          <w:szCs w:val="22"/>
        </w:rPr>
        <w:t xml:space="preserve">Assessments conducted for </w:t>
      </w:r>
      <w:r w:rsidR="000A5C74">
        <w:rPr>
          <w:sz w:val="22"/>
          <w:szCs w:val="22"/>
        </w:rPr>
        <w:t>participant</w:t>
      </w:r>
      <w:r w:rsidRPr="00832856">
        <w:rPr>
          <w:sz w:val="22"/>
          <w:szCs w:val="22"/>
        </w:rPr>
        <w:t>s that disclose medical conditions without medical evidence are less effective and potentially unnecessary, and a waste of Services Australia’s  resources, e.g. under Social Security Law, reduced work capacity cannot be assigned without medical evidence.</w:t>
      </w:r>
    </w:p>
    <w:p w14:paraId="31170AF5" w14:textId="0867A702" w:rsidR="00012680" w:rsidRPr="007214E6" w:rsidRDefault="00012680" w:rsidP="000A3909">
      <w:pPr>
        <w:spacing w:before="120" w:after="120"/>
        <w:rPr>
          <w:sz w:val="22"/>
          <w:szCs w:val="22"/>
        </w:rPr>
      </w:pPr>
      <w:r w:rsidRPr="007214E6">
        <w:rPr>
          <w:sz w:val="22"/>
          <w:szCs w:val="22"/>
        </w:rPr>
        <w:t xml:space="preserve">Where there is no medical evidence available to support a </w:t>
      </w:r>
      <w:r w:rsidR="000A5C74">
        <w:rPr>
          <w:sz w:val="22"/>
          <w:szCs w:val="22"/>
        </w:rPr>
        <w:t>participant</w:t>
      </w:r>
      <w:r w:rsidRPr="007214E6">
        <w:rPr>
          <w:sz w:val="22"/>
          <w:szCs w:val="22"/>
        </w:rPr>
        <w:t xml:space="preserve">’s identified condition, the DES </w:t>
      </w:r>
      <w:r w:rsidR="00C84A77">
        <w:rPr>
          <w:sz w:val="22"/>
          <w:szCs w:val="22"/>
        </w:rPr>
        <w:t>provider</w:t>
      </w:r>
      <w:r w:rsidRPr="007214E6">
        <w:rPr>
          <w:sz w:val="22"/>
          <w:szCs w:val="22"/>
        </w:rPr>
        <w:t xml:space="preserve"> should assist the </w:t>
      </w:r>
      <w:r w:rsidR="000A5C74">
        <w:rPr>
          <w:sz w:val="22"/>
          <w:szCs w:val="22"/>
        </w:rPr>
        <w:t>participant</w:t>
      </w:r>
      <w:r w:rsidRPr="007214E6">
        <w:rPr>
          <w:sz w:val="22"/>
          <w:szCs w:val="22"/>
        </w:rPr>
        <w:t xml:space="preserve"> to obtain relevant medical evidence before a referral for an ESAt is considered.</w:t>
      </w:r>
      <w:r w:rsidR="002536BC" w:rsidRPr="007214E6">
        <w:rPr>
          <w:sz w:val="22"/>
          <w:szCs w:val="22"/>
        </w:rPr>
        <w:t xml:space="preserve"> This could include:</w:t>
      </w:r>
    </w:p>
    <w:p w14:paraId="5C0C32C4" w14:textId="15E516C8" w:rsidR="002536BC" w:rsidRPr="007214E6" w:rsidRDefault="002536BC" w:rsidP="000A3909">
      <w:pPr>
        <w:pStyle w:val="ListParagraph"/>
        <w:numPr>
          <w:ilvl w:val="0"/>
          <w:numId w:val="80"/>
        </w:numPr>
        <w:spacing w:before="120" w:after="120"/>
        <w:rPr>
          <w:sz w:val="22"/>
          <w:szCs w:val="22"/>
        </w:rPr>
      </w:pPr>
      <w:r w:rsidRPr="007214E6">
        <w:rPr>
          <w:sz w:val="22"/>
          <w:szCs w:val="22"/>
        </w:rPr>
        <w:t xml:space="preserve">talking to the </w:t>
      </w:r>
      <w:r w:rsidR="000A5C74">
        <w:rPr>
          <w:sz w:val="22"/>
          <w:szCs w:val="22"/>
        </w:rPr>
        <w:t>participant</w:t>
      </w:r>
      <w:r w:rsidRPr="007214E6">
        <w:rPr>
          <w:sz w:val="22"/>
          <w:szCs w:val="22"/>
        </w:rPr>
        <w:t xml:space="preserve"> about what evidence they may already have</w:t>
      </w:r>
    </w:p>
    <w:p w14:paraId="5B047A45" w14:textId="10A7AAA9" w:rsidR="002536BC" w:rsidRPr="007214E6" w:rsidRDefault="002536BC" w:rsidP="000A3909">
      <w:pPr>
        <w:pStyle w:val="ListParagraph"/>
        <w:numPr>
          <w:ilvl w:val="0"/>
          <w:numId w:val="80"/>
        </w:numPr>
        <w:spacing w:before="120" w:after="120"/>
        <w:rPr>
          <w:sz w:val="22"/>
          <w:szCs w:val="22"/>
        </w:rPr>
      </w:pPr>
      <w:r w:rsidRPr="007214E6">
        <w:rPr>
          <w:sz w:val="22"/>
          <w:szCs w:val="22"/>
        </w:rPr>
        <w:t xml:space="preserve">supporting the </w:t>
      </w:r>
      <w:r w:rsidR="000A5C74">
        <w:rPr>
          <w:sz w:val="22"/>
          <w:szCs w:val="22"/>
        </w:rPr>
        <w:t>participant</w:t>
      </w:r>
      <w:r w:rsidRPr="007214E6">
        <w:rPr>
          <w:sz w:val="22"/>
          <w:szCs w:val="22"/>
        </w:rPr>
        <w:t xml:space="preserve"> to obtain new evidence where required, and</w:t>
      </w:r>
    </w:p>
    <w:p w14:paraId="55D38693" w14:textId="0B4ACB1F" w:rsidR="002536BC" w:rsidRPr="007214E6" w:rsidRDefault="002536BC" w:rsidP="00B876AF">
      <w:pPr>
        <w:pStyle w:val="ListParagraph"/>
        <w:numPr>
          <w:ilvl w:val="0"/>
          <w:numId w:val="80"/>
        </w:numPr>
        <w:spacing w:before="120" w:after="120"/>
        <w:rPr>
          <w:sz w:val="22"/>
          <w:szCs w:val="22"/>
        </w:rPr>
      </w:pPr>
      <w:r w:rsidRPr="007214E6">
        <w:rPr>
          <w:sz w:val="22"/>
          <w:szCs w:val="22"/>
        </w:rPr>
        <w:t xml:space="preserve">liaising with the </w:t>
      </w:r>
      <w:r w:rsidR="000A5C74">
        <w:rPr>
          <w:sz w:val="22"/>
          <w:szCs w:val="22"/>
        </w:rPr>
        <w:t>participant</w:t>
      </w:r>
      <w:r w:rsidRPr="007214E6">
        <w:rPr>
          <w:sz w:val="22"/>
          <w:szCs w:val="22"/>
        </w:rPr>
        <w:t xml:space="preserve"> to ensure that appropriate</w:t>
      </w:r>
      <w:r w:rsidR="00620716" w:rsidRPr="007214E6">
        <w:rPr>
          <w:sz w:val="22"/>
          <w:szCs w:val="22"/>
        </w:rPr>
        <w:t xml:space="preserve"> evidence has been given to </w:t>
      </w:r>
      <w:r w:rsidR="00B876AF" w:rsidRPr="00B876AF">
        <w:rPr>
          <w:sz w:val="22"/>
          <w:szCs w:val="22"/>
        </w:rPr>
        <w:t>Services Australia</w:t>
      </w:r>
      <w:r w:rsidR="00620716" w:rsidRPr="007214E6">
        <w:rPr>
          <w:sz w:val="22"/>
          <w:szCs w:val="22"/>
        </w:rPr>
        <w:t xml:space="preserve"> before the ESAt is booked.</w:t>
      </w:r>
    </w:p>
    <w:p w14:paraId="2F1DE1AD" w14:textId="3C7DC7D3" w:rsidR="008008C3" w:rsidRDefault="00012680" w:rsidP="004E508D">
      <w:pPr>
        <w:spacing w:before="120" w:after="120"/>
        <w:rPr>
          <w:sz w:val="22"/>
          <w:szCs w:val="22"/>
          <w:lang w:val="en"/>
        </w:rPr>
      </w:pPr>
      <w:r w:rsidRPr="007214E6">
        <w:rPr>
          <w:sz w:val="22"/>
          <w:szCs w:val="22"/>
        </w:rPr>
        <w:t xml:space="preserve">DES </w:t>
      </w:r>
      <w:r w:rsidR="00C84A77">
        <w:rPr>
          <w:sz w:val="22"/>
          <w:szCs w:val="22"/>
        </w:rPr>
        <w:t>provider</w:t>
      </w:r>
      <w:r w:rsidRPr="007214E6">
        <w:rPr>
          <w:sz w:val="22"/>
          <w:szCs w:val="22"/>
        </w:rPr>
        <w:t xml:space="preserve">s should advise these </w:t>
      </w:r>
      <w:r w:rsidR="000A5C74">
        <w:rPr>
          <w:sz w:val="22"/>
          <w:szCs w:val="22"/>
        </w:rPr>
        <w:t>participant</w:t>
      </w:r>
      <w:r w:rsidRPr="007214E6">
        <w:rPr>
          <w:sz w:val="22"/>
          <w:szCs w:val="22"/>
        </w:rPr>
        <w:t xml:space="preserve">s to provide new medical evidence to the Assessor. Where a referral for an ESAt is made and a medical condition(s) is </w:t>
      </w:r>
      <w:r w:rsidR="00BA37D1" w:rsidRPr="007214E6">
        <w:rPr>
          <w:sz w:val="22"/>
          <w:szCs w:val="22"/>
        </w:rPr>
        <w:t>self-reported</w:t>
      </w:r>
      <w:r w:rsidRPr="007214E6">
        <w:rPr>
          <w:sz w:val="22"/>
          <w:szCs w:val="22"/>
        </w:rPr>
        <w:t xml:space="preserve"> by the </w:t>
      </w:r>
      <w:r w:rsidR="000A5C74">
        <w:rPr>
          <w:sz w:val="22"/>
          <w:szCs w:val="22"/>
        </w:rPr>
        <w:t>participant</w:t>
      </w:r>
      <w:r w:rsidRPr="007214E6">
        <w:rPr>
          <w:sz w:val="22"/>
          <w:szCs w:val="22"/>
        </w:rPr>
        <w:t xml:space="preserve"> but no medical evid</w:t>
      </w:r>
      <w:r w:rsidR="00F2747F" w:rsidRPr="007214E6">
        <w:rPr>
          <w:sz w:val="22"/>
          <w:szCs w:val="22"/>
        </w:rPr>
        <w:t>ence is presented the ESAt</w:t>
      </w:r>
      <w:r w:rsidRPr="007214E6">
        <w:rPr>
          <w:sz w:val="22"/>
          <w:szCs w:val="22"/>
        </w:rPr>
        <w:t xml:space="preserve"> could be cancelled or completed as a non-medical condition ESAt. Assessors are generally not required to suspend an </w:t>
      </w:r>
      <w:r w:rsidR="00F2747F" w:rsidRPr="007214E6">
        <w:rPr>
          <w:sz w:val="22"/>
          <w:szCs w:val="22"/>
        </w:rPr>
        <w:t>ESAt</w:t>
      </w:r>
      <w:r w:rsidRPr="007214E6">
        <w:rPr>
          <w:sz w:val="22"/>
          <w:szCs w:val="22"/>
        </w:rPr>
        <w:t xml:space="preserve"> to allow time for medical evidence to be presented by the </w:t>
      </w:r>
      <w:r w:rsidR="000A5C74">
        <w:rPr>
          <w:sz w:val="22"/>
          <w:szCs w:val="22"/>
        </w:rPr>
        <w:t>participant</w:t>
      </w:r>
      <w:r w:rsidRPr="007214E6">
        <w:rPr>
          <w:sz w:val="22"/>
          <w:szCs w:val="22"/>
        </w:rPr>
        <w:t xml:space="preserve"> or for the Assessor to contact the </w:t>
      </w:r>
      <w:r w:rsidR="000A5C74">
        <w:rPr>
          <w:sz w:val="22"/>
          <w:szCs w:val="22"/>
        </w:rPr>
        <w:t>participant</w:t>
      </w:r>
      <w:r w:rsidRPr="007214E6">
        <w:rPr>
          <w:sz w:val="22"/>
          <w:szCs w:val="22"/>
        </w:rPr>
        <w:t>’s treating doctor to obtain the evidence.</w:t>
      </w:r>
    </w:p>
    <w:p w14:paraId="2176BF30" w14:textId="49A4280E" w:rsidR="004E508D" w:rsidRDefault="00C87EF0" w:rsidP="004E508D">
      <w:pPr>
        <w:spacing w:before="120" w:after="120"/>
        <w:rPr>
          <w:sz w:val="22"/>
          <w:szCs w:val="22"/>
          <w:lang w:val="en"/>
        </w:rPr>
      </w:pPr>
      <w:r>
        <w:rPr>
          <w:sz w:val="22"/>
          <w:szCs w:val="22"/>
          <w:lang w:val="en"/>
        </w:rPr>
        <w:t>C</w:t>
      </w:r>
      <w:r w:rsidR="004E508D">
        <w:rPr>
          <w:sz w:val="22"/>
          <w:szCs w:val="22"/>
          <w:lang w:val="en"/>
        </w:rPr>
        <w:t xml:space="preserve">onditions </w:t>
      </w:r>
      <w:r w:rsidR="002C5F90">
        <w:rPr>
          <w:sz w:val="22"/>
          <w:szCs w:val="22"/>
          <w:lang w:val="en"/>
        </w:rPr>
        <w:t xml:space="preserve">must be fully diagnosed by the </w:t>
      </w:r>
      <w:r w:rsidR="000A5C74">
        <w:rPr>
          <w:sz w:val="22"/>
          <w:szCs w:val="22"/>
          <w:lang w:val="en"/>
        </w:rPr>
        <w:t>participant</w:t>
      </w:r>
      <w:r w:rsidR="002C5F90">
        <w:rPr>
          <w:sz w:val="22"/>
          <w:szCs w:val="22"/>
          <w:lang w:val="en"/>
        </w:rPr>
        <w:t xml:space="preserve">’s treating medical practitioner and their functional impact must be able to be determined in order to be taken into account for determining whether a </w:t>
      </w:r>
      <w:r w:rsidR="000A5C74">
        <w:rPr>
          <w:sz w:val="22"/>
          <w:szCs w:val="22"/>
          <w:lang w:val="en"/>
        </w:rPr>
        <w:t>participant</w:t>
      </w:r>
      <w:r w:rsidR="002C5F90">
        <w:rPr>
          <w:sz w:val="22"/>
          <w:szCs w:val="22"/>
          <w:lang w:val="en"/>
        </w:rPr>
        <w:t xml:space="preserve"> has a partial capacity to work. Conditions do</w:t>
      </w:r>
      <w:r w:rsidR="009A64A1">
        <w:rPr>
          <w:sz w:val="22"/>
          <w:szCs w:val="22"/>
          <w:lang w:val="en"/>
        </w:rPr>
        <w:t xml:space="preserve"> </w:t>
      </w:r>
      <w:r w:rsidR="002C5F90">
        <w:rPr>
          <w:sz w:val="22"/>
          <w:szCs w:val="22"/>
          <w:lang w:val="en"/>
        </w:rPr>
        <w:t>n</w:t>
      </w:r>
      <w:r w:rsidR="009A64A1">
        <w:rPr>
          <w:sz w:val="22"/>
          <w:szCs w:val="22"/>
          <w:lang w:val="en"/>
        </w:rPr>
        <w:t>o</w:t>
      </w:r>
      <w:r w:rsidR="002C5F90">
        <w:rPr>
          <w:sz w:val="22"/>
          <w:szCs w:val="22"/>
          <w:lang w:val="en"/>
        </w:rPr>
        <w:t>t, however</w:t>
      </w:r>
      <w:r w:rsidR="009A64A1">
        <w:rPr>
          <w:sz w:val="22"/>
          <w:szCs w:val="22"/>
          <w:lang w:val="en"/>
        </w:rPr>
        <w:t>,</w:t>
      </w:r>
      <w:r w:rsidR="002C5F90">
        <w:rPr>
          <w:sz w:val="22"/>
          <w:szCs w:val="22"/>
          <w:lang w:val="en"/>
        </w:rPr>
        <w:t xml:space="preserve"> need to need to be fully treated and stabilised. </w:t>
      </w:r>
    </w:p>
    <w:p w14:paraId="63915433" w14:textId="2C9DF7F2" w:rsidR="00F13784" w:rsidRDefault="0028106C" w:rsidP="000A3909">
      <w:pPr>
        <w:spacing w:before="120" w:after="120"/>
        <w:rPr>
          <w:sz w:val="22"/>
          <w:szCs w:val="22"/>
        </w:rPr>
      </w:pPr>
      <w:r>
        <w:rPr>
          <w:sz w:val="22"/>
          <w:szCs w:val="22"/>
        </w:rPr>
        <w:t>U</w:t>
      </w:r>
      <w:r w:rsidR="00012680" w:rsidRPr="007214E6">
        <w:rPr>
          <w:sz w:val="22"/>
          <w:szCs w:val="22"/>
        </w:rPr>
        <w:t xml:space="preserve">nder </w:t>
      </w:r>
      <w:r w:rsidR="00DC724B">
        <w:rPr>
          <w:sz w:val="22"/>
          <w:szCs w:val="22"/>
        </w:rPr>
        <w:t>s</w:t>
      </w:r>
      <w:r w:rsidR="00012680" w:rsidRPr="007214E6">
        <w:rPr>
          <w:sz w:val="22"/>
          <w:szCs w:val="22"/>
        </w:rPr>
        <w:t xml:space="preserve">ocial </w:t>
      </w:r>
      <w:r w:rsidR="00DC724B">
        <w:rPr>
          <w:sz w:val="22"/>
          <w:szCs w:val="22"/>
        </w:rPr>
        <w:t>s</w:t>
      </w:r>
      <w:r w:rsidR="00012680" w:rsidRPr="007214E6">
        <w:rPr>
          <w:sz w:val="22"/>
          <w:szCs w:val="22"/>
        </w:rPr>
        <w:t xml:space="preserve">ecurity </w:t>
      </w:r>
      <w:r w:rsidR="00B96F10">
        <w:rPr>
          <w:sz w:val="22"/>
          <w:szCs w:val="22"/>
        </w:rPr>
        <w:t>l</w:t>
      </w:r>
      <w:r w:rsidR="00012680" w:rsidRPr="007214E6">
        <w:rPr>
          <w:sz w:val="22"/>
          <w:szCs w:val="22"/>
        </w:rPr>
        <w:t>aw, reduced work capacity can</w:t>
      </w:r>
      <w:r w:rsidR="009A64A1">
        <w:rPr>
          <w:sz w:val="22"/>
          <w:szCs w:val="22"/>
        </w:rPr>
        <w:t>no</w:t>
      </w:r>
      <w:r w:rsidR="00012680" w:rsidRPr="007214E6">
        <w:rPr>
          <w:sz w:val="22"/>
          <w:szCs w:val="22"/>
        </w:rPr>
        <w:t>t be assigned without medical evidence</w:t>
      </w:r>
      <w:r w:rsidR="00F13784">
        <w:rPr>
          <w:sz w:val="22"/>
          <w:szCs w:val="22"/>
        </w:rPr>
        <w:t xml:space="preserve"> from the </w:t>
      </w:r>
      <w:r w:rsidR="000A5C74">
        <w:rPr>
          <w:sz w:val="22"/>
          <w:szCs w:val="22"/>
        </w:rPr>
        <w:t>participant</w:t>
      </w:r>
      <w:r w:rsidR="00F13784">
        <w:rPr>
          <w:sz w:val="22"/>
          <w:szCs w:val="22"/>
        </w:rPr>
        <w:t xml:space="preserve">’s treating medical practitioner that provides Services Australia sufficient information to: </w:t>
      </w:r>
    </w:p>
    <w:p w14:paraId="59581878" w14:textId="433DC2E0" w:rsidR="00F13784" w:rsidRPr="00F13784" w:rsidRDefault="00F13784" w:rsidP="002F1ED0">
      <w:pPr>
        <w:pStyle w:val="ListParagraph"/>
        <w:numPr>
          <w:ilvl w:val="0"/>
          <w:numId w:val="81"/>
        </w:numPr>
        <w:spacing w:before="120" w:after="120"/>
        <w:rPr>
          <w:sz w:val="22"/>
          <w:szCs w:val="22"/>
        </w:rPr>
      </w:pPr>
      <w:r w:rsidRPr="00F13784">
        <w:rPr>
          <w:sz w:val="22"/>
          <w:szCs w:val="22"/>
        </w:rPr>
        <w:t>confirm details of the main medical conditions affecting the person’s capacity to work</w:t>
      </w:r>
      <w:r>
        <w:rPr>
          <w:sz w:val="22"/>
          <w:szCs w:val="22"/>
        </w:rPr>
        <w:t xml:space="preserve"> </w:t>
      </w:r>
    </w:p>
    <w:p w14:paraId="23AF9BAC" w14:textId="3369DB8D" w:rsidR="00F13784" w:rsidRPr="00F13784" w:rsidRDefault="00F13784" w:rsidP="002F1ED0">
      <w:pPr>
        <w:pStyle w:val="ListParagraph"/>
        <w:numPr>
          <w:ilvl w:val="0"/>
          <w:numId w:val="81"/>
        </w:numPr>
        <w:spacing w:before="120" w:after="120"/>
        <w:rPr>
          <w:sz w:val="22"/>
          <w:szCs w:val="22"/>
        </w:rPr>
      </w:pPr>
      <w:r w:rsidRPr="00F13784">
        <w:rPr>
          <w:sz w:val="22"/>
          <w:szCs w:val="22"/>
        </w:rPr>
        <w:t>assess how these conditions affect the person’s capacity to work or take part in other activities</w:t>
      </w:r>
      <w:r w:rsidR="0007762B">
        <w:rPr>
          <w:sz w:val="22"/>
          <w:szCs w:val="22"/>
        </w:rPr>
        <w:t>,</w:t>
      </w:r>
      <w:r w:rsidR="009A64A1">
        <w:rPr>
          <w:sz w:val="22"/>
          <w:szCs w:val="22"/>
        </w:rPr>
        <w:t xml:space="preserve"> and</w:t>
      </w:r>
    </w:p>
    <w:p w14:paraId="22F3D46D" w14:textId="77777777" w:rsidR="00012680" w:rsidRDefault="00F13784" w:rsidP="002F1ED0">
      <w:pPr>
        <w:pStyle w:val="ListParagraph"/>
        <w:numPr>
          <w:ilvl w:val="0"/>
          <w:numId w:val="81"/>
        </w:numPr>
        <w:spacing w:before="120" w:after="120"/>
        <w:rPr>
          <w:sz w:val="22"/>
          <w:szCs w:val="22"/>
        </w:rPr>
      </w:pPr>
      <w:r w:rsidRPr="00F13784">
        <w:rPr>
          <w:sz w:val="22"/>
          <w:szCs w:val="22"/>
        </w:rPr>
        <w:t>identify suitable interventions and assistance to help the pe</w:t>
      </w:r>
      <w:r>
        <w:rPr>
          <w:sz w:val="22"/>
          <w:szCs w:val="22"/>
        </w:rPr>
        <w:t>rson into work or stay in a job</w:t>
      </w:r>
      <w:r w:rsidR="00012680" w:rsidRPr="007214E6">
        <w:rPr>
          <w:sz w:val="22"/>
          <w:szCs w:val="22"/>
        </w:rPr>
        <w:t>.</w:t>
      </w:r>
      <w:r w:rsidR="00DC724B">
        <w:rPr>
          <w:sz w:val="22"/>
          <w:szCs w:val="22"/>
        </w:rPr>
        <w:t xml:space="preserve"> </w:t>
      </w:r>
    </w:p>
    <w:p w14:paraId="7F292340" w14:textId="77777777" w:rsidR="004E508D" w:rsidRDefault="004E508D" w:rsidP="000A3909">
      <w:pPr>
        <w:spacing w:before="120" w:after="120"/>
        <w:rPr>
          <w:sz w:val="22"/>
          <w:szCs w:val="22"/>
          <w:lang w:val="en"/>
        </w:rPr>
      </w:pPr>
      <w:r>
        <w:rPr>
          <w:sz w:val="22"/>
          <w:szCs w:val="22"/>
          <w:lang w:val="en"/>
        </w:rPr>
        <w:t xml:space="preserve">This evidence is considered primary medical evidence. </w:t>
      </w:r>
    </w:p>
    <w:p w14:paraId="683A3D4B" w14:textId="35FCAE95" w:rsidR="00DC724B" w:rsidRDefault="00F13784" w:rsidP="000A3909">
      <w:pPr>
        <w:spacing w:before="120" w:after="120"/>
        <w:rPr>
          <w:sz w:val="22"/>
          <w:szCs w:val="22"/>
          <w:lang w:val="en"/>
        </w:rPr>
      </w:pPr>
      <w:r>
        <w:rPr>
          <w:sz w:val="22"/>
          <w:szCs w:val="22"/>
          <w:lang w:val="en"/>
        </w:rPr>
        <w:t xml:space="preserve">Other evidence </w:t>
      </w:r>
      <w:r w:rsidR="004E508D">
        <w:rPr>
          <w:sz w:val="22"/>
          <w:szCs w:val="22"/>
          <w:lang w:val="en"/>
        </w:rPr>
        <w:t xml:space="preserve">that supports the treating health professional’s evidence </w:t>
      </w:r>
      <w:r>
        <w:rPr>
          <w:sz w:val="22"/>
          <w:szCs w:val="22"/>
          <w:lang w:val="en"/>
        </w:rPr>
        <w:t xml:space="preserve">may be taken into account by Services Australia, where it </w:t>
      </w:r>
      <w:r w:rsidR="0019061C">
        <w:rPr>
          <w:sz w:val="22"/>
          <w:szCs w:val="22"/>
          <w:lang w:val="en"/>
        </w:rPr>
        <w:t xml:space="preserve">provides context </w:t>
      </w:r>
      <w:r w:rsidR="004E508D">
        <w:rPr>
          <w:sz w:val="22"/>
          <w:szCs w:val="22"/>
          <w:lang w:val="en"/>
        </w:rPr>
        <w:t>regarding</w:t>
      </w:r>
      <w:r w:rsidR="0019061C">
        <w:rPr>
          <w:sz w:val="22"/>
          <w:szCs w:val="22"/>
          <w:lang w:val="en"/>
        </w:rPr>
        <w:t xml:space="preserve"> the functional impact of the </w:t>
      </w:r>
      <w:r w:rsidR="000A5C74">
        <w:rPr>
          <w:sz w:val="22"/>
          <w:szCs w:val="22"/>
          <w:lang w:val="en"/>
        </w:rPr>
        <w:t>participant</w:t>
      </w:r>
      <w:r w:rsidR="0019061C">
        <w:rPr>
          <w:sz w:val="22"/>
          <w:szCs w:val="22"/>
          <w:lang w:val="en"/>
        </w:rPr>
        <w:t xml:space="preserve">’s conditions. </w:t>
      </w:r>
      <w:r w:rsidR="004E508D">
        <w:rPr>
          <w:sz w:val="22"/>
          <w:szCs w:val="22"/>
          <w:lang w:val="en"/>
        </w:rPr>
        <w:t xml:space="preserve">This is considered supporting medical evidence. </w:t>
      </w:r>
    </w:p>
    <w:p w14:paraId="39C26CCF" w14:textId="77777777" w:rsidR="00A44CCC" w:rsidRPr="007214E6" w:rsidRDefault="00A44CCC" w:rsidP="000A3909">
      <w:pPr>
        <w:spacing w:before="120" w:after="120"/>
        <w:rPr>
          <w:sz w:val="22"/>
          <w:szCs w:val="22"/>
        </w:rPr>
      </w:pPr>
    </w:p>
    <w:p w14:paraId="1D4E4795" w14:textId="77777777" w:rsidR="00012680" w:rsidRPr="007214E6" w:rsidRDefault="00A6348F" w:rsidP="000A3909">
      <w:pPr>
        <w:spacing w:before="120" w:after="120"/>
        <w:rPr>
          <w:sz w:val="22"/>
          <w:szCs w:val="22"/>
        </w:rPr>
      </w:pPr>
      <w:r w:rsidRPr="00C22B2B">
        <w:rPr>
          <w:sz w:val="22"/>
          <w:szCs w:val="22"/>
        </w:rPr>
        <w:lastRenderedPageBreak/>
        <w:t xml:space="preserve">Depending on the </w:t>
      </w:r>
      <w:r w:rsidR="004E508D" w:rsidRPr="002F1ED0">
        <w:rPr>
          <w:sz w:val="22"/>
          <w:szCs w:val="22"/>
        </w:rPr>
        <w:t>source</w:t>
      </w:r>
      <w:r w:rsidR="0019061C" w:rsidRPr="00C22B2B">
        <w:rPr>
          <w:sz w:val="22"/>
          <w:szCs w:val="22"/>
        </w:rPr>
        <w:t xml:space="preserve"> and information contained</w:t>
      </w:r>
      <w:r w:rsidR="0019061C">
        <w:rPr>
          <w:sz w:val="22"/>
          <w:szCs w:val="22"/>
        </w:rPr>
        <w:t>, a</w:t>
      </w:r>
      <w:r w:rsidR="00012680" w:rsidRPr="007214E6">
        <w:rPr>
          <w:sz w:val="22"/>
          <w:szCs w:val="22"/>
        </w:rPr>
        <w:t xml:space="preserve">ppropriate medical evidence can include: </w:t>
      </w:r>
    </w:p>
    <w:p w14:paraId="5F1CD0BB" w14:textId="77777777" w:rsidR="00012680" w:rsidRPr="007214E6" w:rsidRDefault="00012680" w:rsidP="002F1ED0">
      <w:pPr>
        <w:pStyle w:val="ListParagraph"/>
        <w:numPr>
          <w:ilvl w:val="0"/>
          <w:numId w:val="81"/>
        </w:numPr>
        <w:spacing w:before="60" w:after="60"/>
        <w:ind w:left="714" w:hanging="357"/>
        <w:rPr>
          <w:sz w:val="22"/>
          <w:szCs w:val="22"/>
        </w:rPr>
      </w:pPr>
      <w:r w:rsidRPr="007214E6">
        <w:rPr>
          <w:sz w:val="22"/>
          <w:szCs w:val="22"/>
        </w:rPr>
        <w:t>Centrelink</w:t>
      </w:r>
      <w:r w:rsidR="00CA5ED2" w:rsidRPr="007214E6">
        <w:rPr>
          <w:rStyle w:val="FootnoteReference"/>
          <w:sz w:val="22"/>
          <w:szCs w:val="22"/>
        </w:rPr>
        <w:footnoteReference w:id="1"/>
      </w:r>
      <w:r w:rsidR="003A776F" w:rsidRPr="007214E6">
        <w:rPr>
          <w:sz w:val="22"/>
          <w:szCs w:val="22"/>
        </w:rPr>
        <w:t xml:space="preserve"> </w:t>
      </w:r>
      <w:r w:rsidRPr="007214E6">
        <w:rPr>
          <w:sz w:val="22"/>
          <w:szCs w:val="22"/>
        </w:rPr>
        <w:t xml:space="preserve">Medical Certificate </w:t>
      </w:r>
    </w:p>
    <w:p w14:paraId="6F807936" w14:textId="77777777" w:rsidR="00012680" w:rsidRPr="007214E6" w:rsidRDefault="00012680" w:rsidP="002F1ED0">
      <w:pPr>
        <w:pStyle w:val="ListParagraph"/>
        <w:numPr>
          <w:ilvl w:val="0"/>
          <w:numId w:val="81"/>
        </w:numPr>
        <w:spacing w:before="60" w:after="60"/>
        <w:ind w:left="714" w:hanging="357"/>
        <w:rPr>
          <w:sz w:val="22"/>
          <w:szCs w:val="22"/>
        </w:rPr>
      </w:pPr>
      <w:r w:rsidRPr="007214E6">
        <w:rPr>
          <w:sz w:val="22"/>
          <w:szCs w:val="22"/>
        </w:rPr>
        <w:t xml:space="preserve">standard General Practitioner medical certificate </w:t>
      </w:r>
    </w:p>
    <w:p w14:paraId="2EB7004F" w14:textId="77777777" w:rsidR="00012680" w:rsidRPr="007214E6" w:rsidRDefault="00012680" w:rsidP="002F1ED0">
      <w:pPr>
        <w:pStyle w:val="ListParagraph"/>
        <w:numPr>
          <w:ilvl w:val="0"/>
          <w:numId w:val="81"/>
        </w:numPr>
        <w:spacing w:before="60" w:after="60"/>
        <w:ind w:left="714" w:hanging="357"/>
        <w:rPr>
          <w:sz w:val="22"/>
          <w:szCs w:val="22"/>
        </w:rPr>
      </w:pPr>
      <w:r w:rsidRPr="007214E6">
        <w:rPr>
          <w:sz w:val="22"/>
          <w:szCs w:val="22"/>
        </w:rPr>
        <w:t xml:space="preserve">specialist medical reports </w:t>
      </w:r>
    </w:p>
    <w:p w14:paraId="3D939B8F" w14:textId="77777777" w:rsidR="00012680" w:rsidRPr="007214E6" w:rsidRDefault="00012680" w:rsidP="002F1ED0">
      <w:pPr>
        <w:pStyle w:val="ListParagraph"/>
        <w:numPr>
          <w:ilvl w:val="0"/>
          <w:numId w:val="81"/>
        </w:numPr>
        <w:spacing w:before="60" w:after="60"/>
        <w:ind w:left="714" w:hanging="357"/>
        <w:rPr>
          <w:sz w:val="22"/>
          <w:szCs w:val="22"/>
        </w:rPr>
      </w:pPr>
      <w:r w:rsidRPr="007214E6">
        <w:rPr>
          <w:sz w:val="22"/>
          <w:szCs w:val="22"/>
        </w:rPr>
        <w:t xml:space="preserve">hospital/outpatient’s reports </w:t>
      </w:r>
    </w:p>
    <w:p w14:paraId="62C39404" w14:textId="77777777" w:rsidR="00012680" w:rsidRPr="007214E6" w:rsidRDefault="00012680" w:rsidP="002F1ED0">
      <w:pPr>
        <w:pStyle w:val="ListParagraph"/>
        <w:numPr>
          <w:ilvl w:val="0"/>
          <w:numId w:val="81"/>
        </w:numPr>
        <w:spacing w:before="60" w:after="60"/>
        <w:ind w:left="714" w:hanging="357"/>
        <w:rPr>
          <w:sz w:val="22"/>
          <w:szCs w:val="22"/>
        </w:rPr>
      </w:pPr>
      <w:r w:rsidRPr="007214E6">
        <w:rPr>
          <w:sz w:val="22"/>
          <w:szCs w:val="22"/>
        </w:rPr>
        <w:t xml:space="preserve">psychologist reports </w:t>
      </w:r>
    </w:p>
    <w:p w14:paraId="041239D8" w14:textId="77777777" w:rsidR="00012680" w:rsidRPr="007214E6" w:rsidRDefault="00012680" w:rsidP="002F1ED0">
      <w:pPr>
        <w:pStyle w:val="ListParagraph"/>
        <w:numPr>
          <w:ilvl w:val="0"/>
          <w:numId w:val="81"/>
        </w:numPr>
        <w:spacing w:before="60" w:after="60"/>
        <w:ind w:left="714" w:hanging="357"/>
        <w:rPr>
          <w:sz w:val="22"/>
          <w:szCs w:val="22"/>
        </w:rPr>
      </w:pPr>
      <w:r w:rsidRPr="007214E6">
        <w:rPr>
          <w:sz w:val="22"/>
          <w:szCs w:val="22"/>
        </w:rPr>
        <w:t xml:space="preserve">Special School reports </w:t>
      </w:r>
    </w:p>
    <w:p w14:paraId="4A41C585" w14:textId="77777777" w:rsidR="00012680" w:rsidRPr="007214E6" w:rsidRDefault="00012680" w:rsidP="002F1ED0">
      <w:pPr>
        <w:pStyle w:val="ListParagraph"/>
        <w:numPr>
          <w:ilvl w:val="0"/>
          <w:numId w:val="81"/>
        </w:numPr>
        <w:spacing w:before="60" w:after="60"/>
        <w:ind w:left="714" w:hanging="357"/>
        <w:rPr>
          <w:sz w:val="22"/>
          <w:szCs w:val="22"/>
        </w:rPr>
      </w:pPr>
      <w:r w:rsidRPr="007214E6">
        <w:rPr>
          <w:sz w:val="22"/>
          <w:szCs w:val="22"/>
        </w:rPr>
        <w:t xml:space="preserve">x-rays and related reports </w:t>
      </w:r>
    </w:p>
    <w:p w14:paraId="5843660B" w14:textId="77777777" w:rsidR="00012680" w:rsidRPr="007214E6" w:rsidRDefault="00012680" w:rsidP="002F1ED0">
      <w:pPr>
        <w:pStyle w:val="ListParagraph"/>
        <w:numPr>
          <w:ilvl w:val="0"/>
          <w:numId w:val="81"/>
        </w:numPr>
        <w:spacing w:before="60" w:after="60"/>
        <w:ind w:left="714" w:hanging="357"/>
        <w:rPr>
          <w:sz w:val="22"/>
          <w:szCs w:val="22"/>
        </w:rPr>
      </w:pPr>
      <w:r w:rsidRPr="007214E6">
        <w:rPr>
          <w:sz w:val="22"/>
          <w:szCs w:val="22"/>
        </w:rPr>
        <w:t xml:space="preserve">psychometric test results </w:t>
      </w:r>
    </w:p>
    <w:p w14:paraId="2CAE8EF6" w14:textId="77777777" w:rsidR="00012680" w:rsidRPr="007214E6" w:rsidRDefault="00012680" w:rsidP="002F1ED0">
      <w:pPr>
        <w:pStyle w:val="ListParagraph"/>
        <w:numPr>
          <w:ilvl w:val="0"/>
          <w:numId w:val="81"/>
        </w:numPr>
        <w:spacing w:before="60" w:after="60"/>
        <w:ind w:left="714" w:hanging="357"/>
        <w:rPr>
          <w:sz w:val="22"/>
          <w:szCs w:val="22"/>
        </w:rPr>
      </w:pPr>
      <w:r w:rsidRPr="007214E6">
        <w:rPr>
          <w:sz w:val="22"/>
          <w:szCs w:val="22"/>
        </w:rPr>
        <w:t xml:space="preserve">prescription medication, and </w:t>
      </w:r>
    </w:p>
    <w:p w14:paraId="3FAF3A79" w14:textId="77777777" w:rsidR="00012680" w:rsidRPr="007214E6" w:rsidRDefault="00012680" w:rsidP="002F1ED0">
      <w:pPr>
        <w:pStyle w:val="ListParagraph"/>
        <w:numPr>
          <w:ilvl w:val="0"/>
          <w:numId w:val="81"/>
        </w:numPr>
        <w:spacing w:before="60" w:after="60"/>
        <w:ind w:left="714" w:hanging="357"/>
        <w:rPr>
          <w:sz w:val="22"/>
          <w:szCs w:val="22"/>
        </w:rPr>
      </w:pPr>
      <w:r w:rsidRPr="007214E6">
        <w:rPr>
          <w:sz w:val="22"/>
          <w:szCs w:val="22"/>
        </w:rPr>
        <w:t>reports from community services (e.g. drug and alcohol support services)</w:t>
      </w:r>
    </w:p>
    <w:p w14:paraId="40631C42" w14:textId="48550B00" w:rsidR="00E0316D" w:rsidRDefault="00E0316D" w:rsidP="000A3909">
      <w:pPr>
        <w:spacing w:before="120" w:after="120"/>
        <w:rPr>
          <w:sz w:val="22"/>
          <w:szCs w:val="22"/>
        </w:rPr>
      </w:pPr>
      <w:r>
        <w:rPr>
          <w:sz w:val="22"/>
          <w:szCs w:val="22"/>
        </w:rPr>
        <w:t>Please note, this list is not exhaustive and some</w:t>
      </w:r>
      <w:r w:rsidRPr="00E0316D">
        <w:rPr>
          <w:sz w:val="22"/>
          <w:szCs w:val="22"/>
        </w:rPr>
        <w:t xml:space="preserve"> type</w:t>
      </w:r>
      <w:r>
        <w:rPr>
          <w:sz w:val="22"/>
          <w:szCs w:val="22"/>
        </w:rPr>
        <w:t xml:space="preserve">s </w:t>
      </w:r>
      <w:r w:rsidR="009A64A1">
        <w:rPr>
          <w:sz w:val="22"/>
          <w:szCs w:val="22"/>
        </w:rPr>
        <w:t xml:space="preserve">of </w:t>
      </w:r>
      <w:r>
        <w:rPr>
          <w:sz w:val="22"/>
          <w:szCs w:val="22"/>
        </w:rPr>
        <w:t>evidence listed only contain</w:t>
      </w:r>
      <w:r w:rsidRPr="00E0316D">
        <w:rPr>
          <w:sz w:val="22"/>
          <w:szCs w:val="22"/>
        </w:rPr>
        <w:t xml:space="preserve"> information </w:t>
      </w:r>
      <w:r>
        <w:rPr>
          <w:sz w:val="22"/>
          <w:szCs w:val="22"/>
        </w:rPr>
        <w:t xml:space="preserve">that </w:t>
      </w:r>
      <w:r w:rsidRPr="00E0316D">
        <w:rPr>
          <w:sz w:val="22"/>
          <w:szCs w:val="22"/>
        </w:rPr>
        <w:t>may supplement</w:t>
      </w:r>
      <w:r w:rsidR="00C22B2B">
        <w:rPr>
          <w:sz w:val="22"/>
          <w:szCs w:val="22"/>
        </w:rPr>
        <w:t>,</w:t>
      </w:r>
      <w:r w:rsidRPr="00E0316D">
        <w:rPr>
          <w:sz w:val="22"/>
          <w:szCs w:val="22"/>
        </w:rPr>
        <w:t xml:space="preserve"> but can</w:t>
      </w:r>
      <w:r w:rsidR="009A64A1">
        <w:rPr>
          <w:sz w:val="22"/>
          <w:szCs w:val="22"/>
        </w:rPr>
        <w:t>no</w:t>
      </w:r>
      <w:r w:rsidRPr="00E0316D">
        <w:rPr>
          <w:sz w:val="22"/>
          <w:szCs w:val="22"/>
        </w:rPr>
        <w:t>t be used in isolation from or instead of</w:t>
      </w:r>
      <w:r w:rsidR="00C22B2B">
        <w:rPr>
          <w:sz w:val="22"/>
          <w:szCs w:val="22"/>
        </w:rPr>
        <w:t>,</w:t>
      </w:r>
      <w:r w:rsidRPr="00E0316D">
        <w:rPr>
          <w:sz w:val="22"/>
          <w:szCs w:val="22"/>
        </w:rPr>
        <w:t xml:space="preserve"> the primary medical evidence from appropriately qualified medical practitioners.</w:t>
      </w:r>
      <w:r>
        <w:rPr>
          <w:sz w:val="22"/>
          <w:szCs w:val="22"/>
        </w:rPr>
        <w:t xml:space="preserve"> For example, prescription medication is an indication a </w:t>
      </w:r>
      <w:r w:rsidR="000A5C74">
        <w:rPr>
          <w:sz w:val="22"/>
          <w:szCs w:val="22"/>
        </w:rPr>
        <w:t>participant</w:t>
      </w:r>
      <w:r>
        <w:rPr>
          <w:sz w:val="22"/>
          <w:szCs w:val="22"/>
        </w:rPr>
        <w:t xml:space="preserve"> has been diagnosed by a medical practitioner and may give information about the nature of a medical condition but does</w:t>
      </w:r>
      <w:r w:rsidR="009A64A1">
        <w:rPr>
          <w:sz w:val="22"/>
          <w:szCs w:val="22"/>
        </w:rPr>
        <w:t xml:space="preserve"> </w:t>
      </w:r>
      <w:r>
        <w:rPr>
          <w:sz w:val="22"/>
          <w:szCs w:val="22"/>
        </w:rPr>
        <w:t>n</w:t>
      </w:r>
      <w:r w:rsidR="009A64A1">
        <w:rPr>
          <w:sz w:val="22"/>
          <w:szCs w:val="22"/>
        </w:rPr>
        <w:t>o</w:t>
      </w:r>
      <w:r>
        <w:rPr>
          <w:sz w:val="22"/>
          <w:szCs w:val="22"/>
        </w:rPr>
        <w:t xml:space="preserve">t </w:t>
      </w:r>
      <w:r w:rsidR="00B935D7">
        <w:rPr>
          <w:sz w:val="22"/>
          <w:szCs w:val="22"/>
        </w:rPr>
        <w:t xml:space="preserve">identify all of the </w:t>
      </w:r>
      <w:r w:rsidR="000A5C74">
        <w:rPr>
          <w:sz w:val="22"/>
          <w:szCs w:val="22"/>
        </w:rPr>
        <w:t>participant</w:t>
      </w:r>
      <w:r w:rsidR="00B935D7">
        <w:rPr>
          <w:sz w:val="22"/>
          <w:szCs w:val="22"/>
        </w:rPr>
        <w:t>’s medical conditions or provide information on the</w:t>
      </w:r>
      <w:r>
        <w:rPr>
          <w:sz w:val="22"/>
          <w:szCs w:val="22"/>
        </w:rPr>
        <w:t xml:space="preserve"> diagnosis, treatment and prognosis required to inform a </w:t>
      </w:r>
      <w:r w:rsidR="000A5C74">
        <w:rPr>
          <w:sz w:val="22"/>
          <w:szCs w:val="22"/>
        </w:rPr>
        <w:t>participant</w:t>
      </w:r>
      <w:r>
        <w:rPr>
          <w:sz w:val="22"/>
          <w:szCs w:val="22"/>
        </w:rPr>
        <w:t xml:space="preserve">’s work capacity or eligibility for </w:t>
      </w:r>
      <w:r w:rsidR="009A64A1">
        <w:rPr>
          <w:sz w:val="22"/>
          <w:szCs w:val="22"/>
        </w:rPr>
        <w:t>DES</w:t>
      </w:r>
      <w:r>
        <w:rPr>
          <w:sz w:val="22"/>
          <w:szCs w:val="22"/>
        </w:rPr>
        <w:t xml:space="preserve">. </w:t>
      </w:r>
    </w:p>
    <w:p w14:paraId="353FE3D3" w14:textId="1F8546B2" w:rsidR="00504EAD" w:rsidRPr="002F1ED0" w:rsidRDefault="00504EAD" w:rsidP="000A3909">
      <w:pPr>
        <w:spacing w:before="120" w:after="120"/>
        <w:rPr>
          <w:rStyle w:val="Hyperlink"/>
          <w:color w:val="auto"/>
          <w:sz w:val="22"/>
          <w:szCs w:val="22"/>
        </w:rPr>
      </w:pPr>
      <w:r w:rsidRPr="007214E6">
        <w:rPr>
          <w:sz w:val="22"/>
          <w:szCs w:val="22"/>
        </w:rPr>
        <w:t xml:space="preserve">The 'Verification of medical conditions' (SU684) form may be given to the </w:t>
      </w:r>
      <w:r w:rsidR="000A5C74">
        <w:rPr>
          <w:sz w:val="22"/>
          <w:szCs w:val="22"/>
        </w:rPr>
        <w:t>participant</w:t>
      </w:r>
      <w:r w:rsidRPr="007214E6">
        <w:rPr>
          <w:sz w:val="22"/>
          <w:szCs w:val="22"/>
        </w:rPr>
        <w:t xml:space="preserve">, to be completed by their treating doctor. It provides appropriate information where assessment of medical conditions is required for an ESAt. The form is available at: </w:t>
      </w:r>
      <w:hyperlink r:id="rId10" w:history="1">
        <w:r w:rsidRPr="007214E6">
          <w:rPr>
            <w:rStyle w:val="Hyperlink"/>
            <w:sz w:val="22"/>
            <w:szCs w:val="22"/>
          </w:rPr>
          <w:t>Verification of medical condition(s) form (SU684)</w:t>
        </w:r>
        <w:r w:rsidRPr="002F1ED0">
          <w:rPr>
            <w:rStyle w:val="Hyperlink"/>
            <w:color w:val="auto"/>
            <w:sz w:val="22"/>
            <w:szCs w:val="22"/>
            <w:u w:val="none"/>
          </w:rPr>
          <w:t>.</w:t>
        </w:r>
      </w:hyperlink>
    </w:p>
    <w:p w14:paraId="6F13D2F1" w14:textId="1A801B51" w:rsidR="009C5F11" w:rsidRPr="007214E6" w:rsidRDefault="00504EAD" w:rsidP="000A3909">
      <w:pPr>
        <w:spacing w:before="120" w:after="120"/>
        <w:rPr>
          <w:sz w:val="22"/>
          <w:szCs w:val="22"/>
        </w:rPr>
      </w:pPr>
      <w:r w:rsidRPr="007214E6">
        <w:rPr>
          <w:sz w:val="22"/>
          <w:szCs w:val="22"/>
        </w:rPr>
        <w:t xml:space="preserve">Full medical reports such as the Medical Report for Assessor (SA433) </w:t>
      </w:r>
      <w:r w:rsidR="0007762B">
        <w:rPr>
          <w:sz w:val="22"/>
          <w:szCs w:val="22"/>
        </w:rPr>
        <w:t>are</w:t>
      </w:r>
      <w:r w:rsidRPr="007214E6">
        <w:rPr>
          <w:sz w:val="22"/>
          <w:szCs w:val="22"/>
        </w:rPr>
        <w:t xml:space="preserve"> designed to assess eligibility for </w:t>
      </w:r>
      <w:r w:rsidR="00E0511C" w:rsidRPr="007214E6">
        <w:rPr>
          <w:sz w:val="22"/>
          <w:szCs w:val="22"/>
        </w:rPr>
        <w:t xml:space="preserve">the </w:t>
      </w:r>
      <w:r w:rsidR="0089172D" w:rsidRPr="007214E6">
        <w:rPr>
          <w:sz w:val="22"/>
          <w:szCs w:val="22"/>
        </w:rPr>
        <w:t>D</w:t>
      </w:r>
      <w:r w:rsidR="007448E9" w:rsidRPr="007214E6">
        <w:rPr>
          <w:sz w:val="22"/>
          <w:szCs w:val="22"/>
        </w:rPr>
        <w:t>isability Support Pension (D</w:t>
      </w:r>
      <w:r w:rsidR="0089172D" w:rsidRPr="007214E6">
        <w:rPr>
          <w:sz w:val="22"/>
          <w:szCs w:val="22"/>
        </w:rPr>
        <w:t>SP</w:t>
      </w:r>
      <w:r w:rsidR="007448E9" w:rsidRPr="007214E6">
        <w:rPr>
          <w:sz w:val="22"/>
          <w:szCs w:val="22"/>
        </w:rPr>
        <w:t xml:space="preserve">) </w:t>
      </w:r>
      <w:r w:rsidRPr="007214E6">
        <w:rPr>
          <w:sz w:val="22"/>
          <w:szCs w:val="22"/>
        </w:rPr>
        <w:t xml:space="preserve">and request more information than is required for most ESAt referrals. Please do not use full medical reports for ESAt </w:t>
      </w:r>
      <w:r w:rsidR="00365F82">
        <w:rPr>
          <w:sz w:val="22"/>
          <w:szCs w:val="22"/>
        </w:rPr>
        <w:t>refer</w:t>
      </w:r>
      <w:r w:rsidRPr="007214E6">
        <w:rPr>
          <w:sz w:val="22"/>
          <w:szCs w:val="22"/>
        </w:rPr>
        <w:t xml:space="preserve">rals unless discussed beforehand with </w:t>
      </w:r>
      <w:r w:rsidR="00B876AF" w:rsidRPr="00B876AF">
        <w:rPr>
          <w:sz w:val="22"/>
          <w:szCs w:val="22"/>
        </w:rPr>
        <w:t>Services Australia</w:t>
      </w:r>
      <w:r w:rsidRPr="007214E6">
        <w:rPr>
          <w:sz w:val="22"/>
          <w:szCs w:val="22"/>
        </w:rPr>
        <w:t>.</w:t>
      </w:r>
      <w:r w:rsidR="00BC4076" w:rsidRPr="007214E6">
        <w:rPr>
          <w:sz w:val="22"/>
          <w:szCs w:val="22"/>
        </w:rPr>
        <w:t xml:space="preserve"> </w:t>
      </w:r>
      <w:r w:rsidR="00012680" w:rsidRPr="007214E6">
        <w:rPr>
          <w:sz w:val="22"/>
          <w:szCs w:val="22"/>
        </w:rPr>
        <w:t>Medical evidence is generally not required for a Program Review.</w:t>
      </w:r>
    </w:p>
    <w:p w14:paraId="669057B7" w14:textId="77777777" w:rsidR="002536BC" w:rsidRPr="00077A82" w:rsidRDefault="002536BC" w:rsidP="000A3909">
      <w:pPr>
        <w:pStyle w:val="Heading3"/>
        <w:spacing w:before="120" w:after="120"/>
        <w:rPr>
          <w:b w:val="0"/>
          <w:u w:val="single"/>
        </w:rPr>
      </w:pPr>
      <w:bookmarkStart w:id="30" w:name="_Toc126830109"/>
      <w:r w:rsidRPr="00077A82">
        <w:rPr>
          <w:b w:val="0"/>
          <w:u w:val="single"/>
        </w:rPr>
        <w:t xml:space="preserve">Providing medical evidence to </w:t>
      </w:r>
      <w:r w:rsidR="00F375C3" w:rsidRPr="00077A82">
        <w:rPr>
          <w:b w:val="0"/>
          <w:u w:val="single"/>
        </w:rPr>
        <w:t>Services Australia</w:t>
      </w:r>
      <w:bookmarkEnd w:id="30"/>
    </w:p>
    <w:p w14:paraId="4A820489" w14:textId="77777777" w:rsidR="00832856" w:rsidRPr="00832856" w:rsidRDefault="00832856" w:rsidP="00832856">
      <w:pPr>
        <w:spacing w:before="120" w:after="60"/>
        <w:rPr>
          <w:sz w:val="22"/>
          <w:szCs w:val="22"/>
        </w:rPr>
      </w:pPr>
      <w:r w:rsidRPr="00832856">
        <w:rPr>
          <w:sz w:val="22"/>
          <w:szCs w:val="22"/>
        </w:rPr>
        <w:t>Medical evidence can be provided by uploading to the job seeker’s online account using MyGov or by providing in person to Centrelink.</w:t>
      </w:r>
    </w:p>
    <w:p w14:paraId="78F4DBAD" w14:textId="77777777" w:rsidR="00832856" w:rsidRDefault="00832856" w:rsidP="002F1ED0">
      <w:pPr>
        <w:spacing w:before="120" w:after="60"/>
        <w:rPr>
          <w:sz w:val="22"/>
          <w:szCs w:val="22"/>
        </w:rPr>
      </w:pPr>
      <w:r w:rsidRPr="00832856">
        <w:rPr>
          <w:sz w:val="22"/>
          <w:szCs w:val="22"/>
        </w:rPr>
        <w:t xml:space="preserve">Health Professionals can provide medical evidence online using the Health Professional Online Services (HPOS). For more information, go to </w:t>
      </w:r>
      <w:hyperlink r:id="rId11" w:history="1">
        <w:r w:rsidRPr="00832856">
          <w:rPr>
            <w:rStyle w:val="Hyperlink"/>
            <w:sz w:val="22"/>
            <w:szCs w:val="22"/>
          </w:rPr>
          <w:t>www.servicesaustralia.gov.au/healthprofessionals</w:t>
        </w:r>
      </w:hyperlink>
      <w:r w:rsidRPr="00832856">
        <w:rPr>
          <w:sz w:val="22"/>
          <w:szCs w:val="22"/>
        </w:rPr>
        <w:t>.</w:t>
      </w:r>
    </w:p>
    <w:p w14:paraId="3743B800" w14:textId="77777777" w:rsidR="00EF6E4C" w:rsidRPr="00EF6E4C" w:rsidRDefault="00EF6E4C" w:rsidP="00EF6E4C">
      <w:pPr>
        <w:keepNext/>
        <w:autoSpaceDE w:val="0"/>
        <w:autoSpaceDN w:val="0"/>
        <w:adjustRightInd w:val="0"/>
        <w:spacing w:before="240" w:after="120"/>
        <w:outlineLvl w:val="2"/>
        <w:rPr>
          <w:rFonts w:cs="Arial"/>
          <w:szCs w:val="22"/>
          <w:u w:val="single"/>
        </w:rPr>
      </w:pPr>
      <w:bookmarkStart w:id="31" w:name="_Toc101954828"/>
      <w:bookmarkStart w:id="32" w:name="_Toc101956900"/>
      <w:bookmarkStart w:id="33" w:name="_Toc126830110"/>
      <w:r w:rsidRPr="00EF6E4C">
        <w:rPr>
          <w:rFonts w:cs="Arial"/>
          <w:szCs w:val="22"/>
          <w:u w:val="single"/>
        </w:rPr>
        <w:t>Requesting ESAt appointments</w:t>
      </w:r>
      <w:bookmarkEnd w:id="31"/>
      <w:bookmarkEnd w:id="32"/>
      <w:bookmarkEnd w:id="33"/>
    </w:p>
    <w:p w14:paraId="3BF6A1F4" w14:textId="77777777" w:rsidR="00EF6E4C" w:rsidRPr="00EF6E4C" w:rsidRDefault="00C84A77" w:rsidP="00EF6E4C">
      <w:pPr>
        <w:tabs>
          <w:tab w:val="right" w:pos="1701"/>
        </w:tabs>
        <w:spacing w:before="120" w:after="120"/>
        <w:rPr>
          <w:sz w:val="22"/>
          <w:szCs w:val="22"/>
        </w:rPr>
      </w:pPr>
      <w:r>
        <w:rPr>
          <w:sz w:val="22"/>
          <w:szCs w:val="22"/>
        </w:rPr>
        <w:t>Provider</w:t>
      </w:r>
      <w:r w:rsidR="00EF6E4C" w:rsidRPr="00EF6E4C">
        <w:rPr>
          <w:sz w:val="22"/>
          <w:szCs w:val="22"/>
        </w:rPr>
        <w:t xml:space="preserve">s </w:t>
      </w:r>
      <w:r w:rsidR="00EF6E4C" w:rsidRPr="00EF6E4C">
        <w:rPr>
          <w:rFonts w:asciiTheme="minorHAnsi" w:hAnsiTheme="minorHAnsi" w:cstheme="minorHAnsi"/>
          <w:sz w:val="22"/>
          <w:szCs w:val="22"/>
        </w:rPr>
        <w:t>can</w:t>
      </w:r>
      <w:r w:rsidR="00EF6E4C" w:rsidRPr="00EF6E4C">
        <w:rPr>
          <w:sz w:val="22"/>
          <w:szCs w:val="22"/>
        </w:rPr>
        <w:t xml:space="preserve"> request an ESAt appointment </w:t>
      </w:r>
      <w:r w:rsidR="00EF6E4C" w:rsidRPr="00EF6E4C">
        <w:rPr>
          <w:color w:val="000000" w:themeColor="text1"/>
          <w:sz w:val="22"/>
          <w:szCs w:val="22"/>
        </w:rPr>
        <w:t xml:space="preserve">by sending an email to Services Australia’s FOCUS Response </w:t>
      </w:r>
      <w:r w:rsidR="00EF6E4C" w:rsidRPr="00EF6E4C">
        <w:rPr>
          <w:sz w:val="22"/>
          <w:szCs w:val="22"/>
        </w:rPr>
        <w:t>Team</w:t>
      </w:r>
      <w:r w:rsidR="00EF6E4C" w:rsidRPr="00EF6E4C">
        <w:rPr>
          <w:color w:val="000000" w:themeColor="text1"/>
          <w:sz w:val="22"/>
          <w:szCs w:val="22"/>
        </w:rPr>
        <w:t xml:space="preserve">, at: </w:t>
      </w:r>
      <w:hyperlink r:id="rId12" w:history="1">
        <w:r w:rsidR="00EF6E4C" w:rsidRPr="00EF6E4C">
          <w:rPr>
            <w:b/>
            <w:color w:val="0000FF"/>
            <w:sz w:val="22"/>
            <w:szCs w:val="22"/>
            <w:u w:val="single"/>
          </w:rPr>
          <w:t>FOCUS.RESPONSE.TEAM@servicesaustralia.gov.au</w:t>
        </w:r>
      </w:hyperlink>
      <w:r w:rsidR="00EF6E4C" w:rsidRPr="00EF6E4C">
        <w:rPr>
          <w:sz w:val="22"/>
          <w:szCs w:val="22"/>
        </w:rPr>
        <w:t>.</w:t>
      </w:r>
    </w:p>
    <w:p w14:paraId="7FAFF231" w14:textId="77777777" w:rsidR="00EF6E4C" w:rsidRPr="00EF6E4C" w:rsidRDefault="00EF6E4C" w:rsidP="00EF6E4C">
      <w:pPr>
        <w:tabs>
          <w:tab w:val="right" w:pos="1701"/>
        </w:tabs>
        <w:spacing w:before="120" w:after="120"/>
        <w:rPr>
          <w:sz w:val="22"/>
          <w:szCs w:val="22"/>
        </w:rPr>
      </w:pPr>
      <w:r w:rsidRPr="00EF6E4C">
        <w:rPr>
          <w:sz w:val="22"/>
          <w:szCs w:val="22"/>
        </w:rPr>
        <w:t xml:space="preserve">An Excel form, developed by Services Australia, is available on the DES </w:t>
      </w:r>
      <w:r w:rsidR="00C84A77">
        <w:rPr>
          <w:sz w:val="22"/>
          <w:szCs w:val="22"/>
        </w:rPr>
        <w:t>provider</w:t>
      </w:r>
      <w:r w:rsidRPr="00EF6E4C">
        <w:rPr>
          <w:sz w:val="22"/>
          <w:szCs w:val="22"/>
        </w:rPr>
        <w:t xml:space="preserve"> Portal to help providers include all relevant details and avoid unnecessary delays.</w:t>
      </w:r>
    </w:p>
    <w:p w14:paraId="1BEB38DD" w14:textId="77777777" w:rsidR="00EF6E4C" w:rsidRPr="00EF6E4C" w:rsidRDefault="00EF6E4C" w:rsidP="00EF6E4C">
      <w:pPr>
        <w:keepNext/>
        <w:keepLines/>
        <w:spacing w:before="120" w:after="120"/>
        <w:rPr>
          <w:sz w:val="22"/>
          <w:szCs w:val="22"/>
        </w:rPr>
      </w:pPr>
      <w:r w:rsidRPr="00EF6E4C">
        <w:rPr>
          <w:sz w:val="22"/>
          <w:szCs w:val="22"/>
        </w:rPr>
        <w:t>If the Excel form is not used, email requests should include the following details to ensure an ESAT request can be processed correctly:</w:t>
      </w:r>
    </w:p>
    <w:p w14:paraId="29F141E4" w14:textId="77777777" w:rsidR="00EF6E4C" w:rsidRPr="00EF6E4C" w:rsidRDefault="00EF6E4C" w:rsidP="00EF6E4C">
      <w:pPr>
        <w:numPr>
          <w:ilvl w:val="0"/>
          <w:numId w:val="87"/>
        </w:numPr>
        <w:spacing w:before="60"/>
        <w:ind w:left="714" w:hanging="357"/>
        <w:rPr>
          <w:rFonts w:asciiTheme="minorHAnsi" w:eastAsiaTheme="minorHAnsi" w:hAnsiTheme="minorHAnsi" w:cstheme="minorBidi"/>
          <w:sz w:val="22"/>
          <w:szCs w:val="22"/>
          <w:lang w:eastAsia="en-US"/>
        </w:rPr>
      </w:pPr>
      <w:r w:rsidRPr="00EF6E4C">
        <w:rPr>
          <w:rFonts w:asciiTheme="minorHAnsi" w:eastAsiaTheme="minorHAnsi" w:hAnsiTheme="minorHAnsi" w:cstheme="minorBidi"/>
          <w:sz w:val="22"/>
          <w:szCs w:val="22"/>
          <w:lang w:eastAsia="en-US"/>
        </w:rPr>
        <w:t>Job seeker identification details and relevant information:</w:t>
      </w:r>
    </w:p>
    <w:p w14:paraId="277985DF" w14:textId="77777777" w:rsidR="00EF6E4C" w:rsidRPr="00EF6E4C" w:rsidRDefault="00EF6E4C" w:rsidP="00EF6E4C">
      <w:pPr>
        <w:numPr>
          <w:ilvl w:val="1"/>
          <w:numId w:val="131"/>
        </w:numPr>
        <w:spacing w:before="60"/>
        <w:ind w:left="1134"/>
        <w:rPr>
          <w:rFonts w:asciiTheme="minorHAnsi" w:eastAsiaTheme="minorHAnsi" w:hAnsiTheme="minorHAnsi" w:cstheme="minorBidi"/>
          <w:sz w:val="22"/>
          <w:szCs w:val="22"/>
          <w:lang w:eastAsia="en-US"/>
        </w:rPr>
      </w:pPr>
      <w:r w:rsidRPr="00EF6E4C">
        <w:rPr>
          <w:rFonts w:asciiTheme="minorHAnsi" w:eastAsiaTheme="minorHAnsi" w:hAnsiTheme="minorHAnsi" w:cstheme="minorBidi"/>
          <w:sz w:val="22"/>
          <w:szCs w:val="22"/>
          <w:lang w:eastAsia="en-US"/>
        </w:rPr>
        <w:t>Client Reference Number (CRN) or Job Seeker Identification (JSID)</w:t>
      </w:r>
    </w:p>
    <w:p w14:paraId="7C117EC5" w14:textId="77777777" w:rsidR="00EF6E4C" w:rsidRPr="00EF6E4C" w:rsidRDefault="00EF6E4C" w:rsidP="00EF6E4C">
      <w:pPr>
        <w:numPr>
          <w:ilvl w:val="1"/>
          <w:numId w:val="131"/>
        </w:numPr>
        <w:spacing w:before="60"/>
        <w:ind w:left="1134"/>
        <w:rPr>
          <w:rFonts w:asciiTheme="minorHAnsi" w:eastAsiaTheme="minorHAnsi" w:hAnsiTheme="minorHAnsi" w:cstheme="minorBidi"/>
          <w:sz w:val="22"/>
          <w:szCs w:val="22"/>
          <w:lang w:eastAsia="en-US"/>
        </w:rPr>
      </w:pPr>
      <w:r w:rsidRPr="00EF6E4C">
        <w:rPr>
          <w:rFonts w:asciiTheme="minorHAnsi" w:eastAsiaTheme="minorHAnsi" w:hAnsiTheme="minorHAnsi" w:cstheme="minorBidi"/>
          <w:sz w:val="22"/>
          <w:szCs w:val="22"/>
          <w:lang w:eastAsia="en-US"/>
        </w:rPr>
        <w:t>Date of birth</w:t>
      </w:r>
    </w:p>
    <w:p w14:paraId="463945B3" w14:textId="77777777" w:rsidR="00EF6E4C" w:rsidRPr="00EF6E4C" w:rsidRDefault="00EF6E4C" w:rsidP="00EF6E4C">
      <w:pPr>
        <w:numPr>
          <w:ilvl w:val="1"/>
          <w:numId w:val="131"/>
        </w:numPr>
        <w:spacing w:before="60"/>
        <w:ind w:left="1134"/>
        <w:rPr>
          <w:rFonts w:asciiTheme="minorHAnsi" w:eastAsiaTheme="minorHAnsi" w:hAnsiTheme="minorHAnsi" w:cstheme="minorBidi"/>
          <w:sz w:val="22"/>
          <w:szCs w:val="22"/>
          <w:lang w:eastAsia="en-US"/>
        </w:rPr>
      </w:pPr>
      <w:r w:rsidRPr="00EF6E4C">
        <w:rPr>
          <w:rFonts w:asciiTheme="minorHAnsi" w:eastAsiaTheme="minorHAnsi" w:hAnsiTheme="minorHAnsi" w:cstheme="minorBidi"/>
          <w:sz w:val="22"/>
          <w:szCs w:val="22"/>
          <w:lang w:eastAsia="en-US"/>
        </w:rPr>
        <w:t>State/Territory of residence</w:t>
      </w:r>
    </w:p>
    <w:p w14:paraId="1E33C0DE" w14:textId="77777777" w:rsidR="00EF6E4C" w:rsidRPr="00EF6E4C" w:rsidRDefault="00EF6E4C" w:rsidP="00EF6E4C">
      <w:pPr>
        <w:numPr>
          <w:ilvl w:val="1"/>
          <w:numId w:val="131"/>
        </w:numPr>
        <w:spacing w:before="60"/>
        <w:ind w:left="1134"/>
        <w:rPr>
          <w:rFonts w:asciiTheme="minorHAnsi" w:eastAsiaTheme="minorHAnsi" w:hAnsiTheme="minorHAnsi" w:cstheme="minorBidi"/>
          <w:sz w:val="22"/>
          <w:szCs w:val="22"/>
          <w:lang w:eastAsia="en-US"/>
        </w:rPr>
      </w:pPr>
      <w:r w:rsidRPr="00EF6E4C">
        <w:rPr>
          <w:rFonts w:asciiTheme="minorHAnsi" w:eastAsiaTheme="minorHAnsi" w:hAnsiTheme="minorHAnsi" w:cstheme="minorBidi"/>
          <w:sz w:val="22"/>
          <w:szCs w:val="22"/>
          <w:lang w:eastAsia="en-US"/>
        </w:rPr>
        <w:lastRenderedPageBreak/>
        <w:t>Nearest Centrelink office</w:t>
      </w:r>
    </w:p>
    <w:p w14:paraId="427ABA26" w14:textId="77777777" w:rsidR="00EF6E4C" w:rsidRPr="00EF6E4C" w:rsidRDefault="00EF6E4C" w:rsidP="00EF6E4C">
      <w:pPr>
        <w:numPr>
          <w:ilvl w:val="1"/>
          <w:numId w:val="131"/>
        </w:numPr>
        <w:spacing w:before="60"/>
        <w:ind w:left="1134"/>
        <w:rPr>
          <w:rFonts w:asciiTheme="minorHAnsi" w:eastAsiaTheme="minorHAnsi" w:hAnsiTheme="minorHAnsi" w:cstheme="minorBidi"/>
          <w:sz w:val="22"/>
          <w:szCs w:val="22"/>
          <w:lang w:eastAsia="en-US"/>
        </w:rPr>
      </w:pPr>
      <w:r w:rsidRPr="00EF6E4C">
        <w:rPr>
          <w:rFonts w:asciiTheme="minorHAnsi" w:eastAsiaTheme="minorHAnsi" w:hAnsiTheme="minorHAnsi" w:cstheme="minorBidi"/>
          <w:sz w:val="22"/>
          <w:szCs w:val="22"/>
          <w:lang w:eastAsia="en-US"/>
        </w:rPr>
        <w:t>Current program – including time in DES, where appropriate</w:t>
      </w:r>
    </w:p>
    <w:p w14:paraId="794411CD" w14:textId="77777777" w:rsidR="00EF6E4C" w:rsidRPr="00EF6E4C" w:rsidRDefault="00EF6E4C" w:rsidP="00EF6E4C">
      <w:pPr>
        <w:numPr>
          <w:ilvl w:val="1"/>
          <w:numId w:val="131"/>
        </w:numPr>
        <w:spacing w:before="60"/>
        <w:ind w:left="1134"/>
        <w:rPr>
          <w:rFonts w:asciiTheme="minorHAnsi" w:eastAsiaTheme="minorHAnsi" w:hAnsiTheme="minorHAnsi" w:cstheme="minorBidi"/>
          <w:sz w:val="22"/>
          <w:szCs w:val="22"/>
          <w:lang w:eastAsia="en-US"/>
        </w:rPr>
      </w:pPr>
      <w:r w:rsidRPr="00EF6E4C">
        <w:rPr>
          <w:rFonts w:asciiTheme="minorHAnsi" w:eastAsiaTheme="minorHAnsi" w:hAnsiTheme="minorHAnsi" w:cstheme="minorBidi"/>
          <w:sz w:val="22"/>
          <w:szCs w:val="22"/>
          <w:lang w:eastAsia="en-US"/>
        </w:rPr>
        <w:t>Whether the job seeker is an NDIS participant</w:t>
      </w:r>
    </w:p>
    <w:p w14:paraId="436BE90C" w14:textId="77777777" w:rsidR="00EF6E4C" w:rsidRPr="00EF6E4C" w:rsidRDefault="00EF6E4C" w:rsidP="00EF6E4C">
      <w:pPr>
        <w:numPr>
          <w:ilvl w:val="1"/>
          <w:numId w:val="131"/>
        </w:numPr>
        <w:spacing w:before="60"/>
        <w:ind w:left="1134"/>
        <w:rPr>
          <w:rFonts w:asciiTheme="minorHAnsi" w:eastAsiaTheme="minorHAnsi" w:hAnsiTheme="minorHAnsi" w:cstheme="minorBidi"/>
          <w:sz w:val="22"/>
          <w:szCs w:val="22"/>
          <w:lang w:eastAsia="en-US"/>
        </w:rPr>
      </w:pPr>
      <w:r w:rsidRPr="00EF6E4C">
        <w:rPr>
          <w:rFonts w:asciiTheme="minorHAnsi" w:eastAsiaTheme="minorHAnsi" w:hAnsiTheme="minorHAnsi" w:cstheme="minorBidi"/>
          <w:sz w:val="22"/>
          <w:szCs w:val="22"/>
          <w:lang w:eastAsia="en-US"/>
        </w:rPr>
        <w:t>Whether the job seeker is about to commence a job, and any details of the job</w:t>
      </w:r>
      <w:r w:rsidR="0007762B">
        <w:rPr>
          <w:rFonts w:asciiTheme="minorHAnsi" w:eastAsiaTheme="minorHAnsi" w:hAnsiTheme="minorHAnsi" w:cstheme="minorBidi"/>
          <w:sz w:val="22"/>
          <w:szCs w:val="22"/>
          <w:lang w:eastAsia="en-US"/>
        </w:rPr>
        <w:t>.</w:t>
      </w:r>
    </w:p>
    <w:p w14:paraId="1DD849B4" w14:textId="77777777" w:rsidR="00EF6E4C" w:rsidRPr="00EF6E4C" w:rsidRDefault="00EF6E4C" w:rsidP="00EF6E4C">
      <w:pPr>
        <w:keepNext/>
        <w:keepLines/>
        <w:numPr>
          <w:ilvl w:val="0"/>
          <w:numId w:val="87"/>
        </w:numPr>
        <w:spacing w:before="60"/>
        <w:ind w:left="714" w:hanging="357"/>
        <w:rPr>
          <w:rFonts w:asciiTheme="minorHAnsi" w:eastAsiaTheme="minorHAnsi" w:hAnsiTheme="minorHAnsi" w:cstheme="minorBidi"/>
          <w:sz w:val="22"/>
          <w:szCs w:val="22"/>
          <w:lang w:eastAsia="en-US"/>
        </w:rPr>
      </w:pPr>
      <w:r w:rsidRPr="00EF6E4C">
        <w:rPr>
          <w:rFonts w:asciiTheme="minorHAnsi" w:eastAsiaTheme="minorHAnsi" w:hAnsiTheme="minorHAnsi" w:cstheme="minorBidi"/>
          <w:sz w:val="22"/>
          <w:szCs w:val="22"/>
          <w:lang w:eastAsia="en-US"/>
        </w:rPr>
        <w:t>Assessment details:</w:t>
      </w:r>
    </w:p>
    <w:p w14:paraId="0D9037CA" w14:textId="77777777" w:rsidR="00EF6E4C" w:rsidRPr="00EF6E4C" w:rsidRDefault="00EF6E4C" w:rsidP="00EF6E4C">
      <w:pPr>
        <w:numPr>
          <w:ilvl w:val="1"/>
          <w:numId w:val="131"/>
        </w:numPr>
        <w:spacing w:before="60"/>
        <w:ind w:left="1134"/>
        <w:rPr>
          <w:rFonts w:asciiTheme="minorHAnsi" w:eastAsiaTheme="minorHAnsi" w:hAnsiTheme="minorHAnsi" w:cstheme="minorBidi"/>
          <w:sz w:val="22"/>
          <w:szCs w:val="22"/>
          <w:lang w:eastAsia="en-US"/>
        </w:rPr>
      </w:pPr>
      <w:r w:rsidRPr="00EF6E4C">
        <w:rPr>
          <w:rFonts w:asciiTheme="minorHAnsi" w:eastAsiaTheme="minorHAnsi" w:hAnsiTheme="minorHAnsi" w:cstheme="minorBidi"/>
          <w:sz w:val="22"/>
          <w:szCs w:val="22"/>
          <w:lang w:eastAsia="en-US"/>
        </w:rPr>
        <w:t>Date the request is being made</w:t>
      </w:r>
    </w:p>
    <w:p w14:paraId="70B8F91A" w14:textId="77777777" w:rsidR="00EF6E4C" w:rsidRPr="00EF6E4C" w:rsidRDefault="00EF6E4C" w:rsidP="00EF6E4C">
      <w:pPr>
        <w:numPr>
          <w:ilvl w:val="1"/>
          <w:numId w:val="131"/>
        </w:numPr>
        <w:spacing w:before="60"/>
        <w:ind w:left="1134"/>
        <w:rPr>
          <w:rFonts w:asciiTheme="minorHAnsi" w:eastAsiaTheme="minorHAnsi" w:hAnsiTheme="minorHAnsi" w:cstheme="minorBidi"/>
          <w:sz w:val="22"/>
          <w:szCs w:val="22"/>
          <w:lang w:eastAsia="en-US"/>
        </w:rPr>
      </w:pPr>
      <w:r w:rsidRPr="00EF6E4C">
        <w:rPr>
          <w:rFonts w:asciiTheme="minorHAnsi" w:eastAsiaTheme="minorHAnsi" w:hAnsiTheme="minorHAnsi" w:cstheme="minorBidi"/>
          <w:sz w:val="22"/>
          <w:szCs w:val="22"/>
          <w:lang w:eastAsia="en-US"/>
        </w:rPr>
        <w:t>Requested date for the assessment</w:t>
      </w:r>
    </w:p>
    <w:p w14:paraId="0339478C" w14:textId="77777777" w:rsidR="00EF6E4C" w:rsidRPr="00EF6E4C" w:rsidRDefault="00EF6E4C" w:rsidP="00EF6E4C">
      <w:pPr>
        <w:numPr>
          <w:ilvl w:val="1"/>
          <w:numId w:val="131"/>
        </w:numPr>
        <w:spacing w:before="60"/>
        <w:ind w:left="1134"/>
        <w:rPr>
          <w:rFonts w:asciiTheme="minorHAnsi" w:eastAsiaTheme="minorHAnsi" w:hAnsiTheme="minorHAnsi" w:cstheme="minorBidi"/>
          <w:sz w:val="22"/>
          <w:szCs w:val="22"/>
          <w:lang w:eastAsia="en-US"/>
        </w:rPr>
      </w:pPr>
      <w:r w:rsidRPr="00EF6E4C">
        <w:rPr>
          <w:rFonts w:asciiTheme="minorHAnsi" w:eastAsiaTheme="minorHAnsi" w:hAnsiTheme="minorHAnsi" w:cstheme="minorBidi"/>
          <w:sz w:val="22"/>
          <w:szCs w:val="22"/>
          <w:lang w:eastAsia="en-US"/>
        </w:rPr>
        <w:t>Assessment type (Direct Registration, Change of Circumstances or Program Review)</w:t>
      </w:r>
    </w:p>
    <w:p w14:paraId="477A64F4" w14:textId="77777777" w:rsidR="00EF6E4C" w:rsidRPr="00EF6E4C" w:rsidRDefault="00EF6E4C" w:rsidP="00EF6E4C">
      <w:pPr>
        <w:numPr>
          <w:ilvl w:val="1"/>
          <w:numId w:val="131"/>
        </w:numPr>
        <w:spacing w:before="60"/>
        <w:ind w:left="1134"/>
        <w:rPr>
          <w:rFonts w:asciiTheme="minorHAnsi" w:eastAsiaTheme="minorHAnsi" w:hAnsiTheme="minorHAnsi" w:cstheme="minorBidi"/>
          <w:sz w:val="22"/>
          <w:szCs w:val="22"/>
          <w:lang w:eastAsia="en-US"/>
        </w:rPr>
      </w:pPr>
      <w:r w:rsidRPr="00EF6E4C">
        <w:rPr>
          <w:rFonts w:asciiTheme="minorHAnsi" w:eastAsiaTheme="minorHAnsi" w:hAnsiTheme="minorHAnsi" w:cstheme="minorBidi"/>
          <w:sz w:val="22"/>
          <w:szCs w:val="22"/>
          <w:lang w:eastAsia="en-US"/>
        </w:rPr>
        <w:t>Reason assessment is required (medical and /or personal factors)</w:t>
      </w:r>
    </w:p>
    <w:p w14:paraId="3D7FCD18" w14:textId="77777777" w:rsidR="00EF6E4C" w:rsidRPr="00EF6E4C" w:rsidRDefault="00EF6E4C" w:rsidP="00EF6E4C">
      <w:pPr>
        <w:numPr>
          <w:ilvl w:val="1"/>
          <w:numId w:val="131"/>
        </w:numPr>
        <w:spacing w:before="60"/>
        <w:ind w:left="1134"/>
        <w:rPr>
          <w:rFonts w:asciiTheme="minorHAnsi" w:eastAsiaTheme="minorHAnsi" w:hAnsiTheme="minorHAnsi" w:cstheme="minorBidi"/>
          <w:sz w:val="22"/>
          <w:szCs w:val="22"/>
          <w:lang w:eastAsia="en-US"/>
        </w:rPr>
      </w:pPr>
      <w:r w:rsidRPr="00EF6E4C">
        <w:rPr>
          <w:rFonts w:asciiTheme="minorHAnsi" w:eastAsiaTheme="minorHAnsi" w:hAnsiTheme="minorHAnsi" w:cstheme="minorBidi"/>
          <w:sz w:val="22"/>
          <w:szCs w:val="22"/>
          <w:lang w:eastAsia="en-US"/>
        </w:rPr>
        <w:t>Whether an interpreter is required, and the interpretation language</w:t>
      </w:r>
    </w:p>
    <w:p w14:paraId="6AEBE423" w14:textId="77777777" w:rsidR="00EF6E4C" w:rsidRPr="00EF6E4C" w:rsidRDefault="00EF6E4C" w:rsidP="00EF6E4C">
      <w:pPr>
        <w:numPr>
          <w:ilvl w:val="1"/>
          <w:numId w:val="131"/>
        </w:numPr>
        <w:spacing w:before="60"/>
        <w:ind w:left="1134"/>
        <w:rPr>
          <w:rFonts w:asciiTheme="minorHAnsi" w:eastAsiaTheme="minorHAnsi" w:hAnsiTheme="minorHAnsi" w:cstheme="minorBidi"/>
          <w:sz w:val="22"/>
          <w:szCs w:val="22"/>
          <w:lang w:eastAsia="en-US"/>
        </w:rPr>
      </w:pPr>
      <w:r w:rsidRPr="00EF6E4C">
        <w:rPr>
          <w:rFonts w:asciiTheme="minorHAnsi" w:eastAsiaTheme="minorHAnsi" w:hAnsiTheme="minorHAnsi" w:cstheme="minorBidi"/>
          <w:sz w:val="22"/>
          <w:szCs w:val="22"/>
          <w:lang w:eastAsia="en-US"/>
        </w:rPr>
        <w:t>Any special circumstances relating to the request</w:t>
      </w:r>
      <w:r w:rsidR="0007762B">
        <w:rPr>
          <w:rFonts w:asciiTheme="minorHAnsi" w:eastAsiaTheme="minorHAnsi" w:hAnsiTheme="minorHAnsi" w:cstheme="minorBidi"/>
          <w:sz w:val="22"/>
          <w:szCs w:val="22"/>
          <w:lang w:eastAsia="en-US"/>
        </w:rPr>
        <w:t>.</w:t>
      </w:r>
    </w:p>
    <w:p w14:paraId="769C0B6C" w14:textId="77777777" w:rsidR="00EF6E4C" w:rsidRPr="00EF6E4C" w:rsidRDefault="00EF6E4C" w:rsidP="00EF6E4C">
      <w:pPr>
        <w:numPr>
          <w:ilvl w:val="0"/>
          <w:numId w:val="87"/>
        </w:numPr>
        <w:spacing w:before="60"/>
        <w:ind w:left="714" w:hanging="357"/>
        <w:rPr>
          <w:rFonts w:asciiTheme="minorHAnsi" w:eastAsiaTheme="minorHAnsi" w:hAnsiTheme="minorHAnsi" w:cstheme="minorBidi"/>
          <w:sz w:val="22"/>
          <w:szCs w:val="22"/>
          <w:lang w:eastAsia="en-US"/>
        </w:rPr>
      </w:pPr>
      <w:r w:rsidRPr="00EF6E4C">
        <w:rPr>
          <w:rFonts w:asciiTheme="minorHAnsi" w:eastAsiaTheme="minorHAnsi" w:hAnsiTheme="minorHAnsi" w:cstheme="minorBidi"/>
          <w:sz w:val="22"/>
          <w:szCs w:val="22"/>
          <w:lang w:eastAsia="en-US"/>
        </w:rPr>
        <w:t>Whether legible medical evidence clearly identifying the job seeker’s name, address and CRN has been:</w:t>
      </w:r>
    </w:p>
    <w:p w14:paraId="5B6F200D" w14:textId="77777777" w:rsidR="00EF6E4C" w:rsidRPr="00EF6E4C" w:rsidRDefault="00EF6E4C" w:rsidP="00EF6E4C">
      <w:pPr>
        <w:numPr>
          <w:ilvl w:val="1"/>
          <w:numId w:val="131"/>
        </w:numPr>
        <w:spacing w:before="60"/>
        <w:ind w:left="1134"/>
        <w:rPr>
          <w:rFonts w:asciiTheme="minorHAnsi" w:eastAsiaTheme="minorHAnsi" w:hAnsiTheme="minorHAnsi" w:cstheme="minorBidi"/>
          <w:sz w:val="22"/>
          <w:szCs w:val="22"/>
          <w:lang w:eastAsia="en-US"/>
        </w:rPr>
      </w:pPr>
      <w:r w:rsidRPr="00EF6E4C">
        <w:rPr>
          <w:rFonts w:asciiTheme="minorHAnsi" w:eastAsiaTheme="minorHAnsi" w:hAnsiTheme="minorHAnsi" w:cstheme="minorBidi"/>
          <w:sz w:val="22"/>
          <w:szCs w:val="22"/>
          <w:lang w:eastAsia="en-US"/>
        </w:rPr>
        <w:t>uploaded by the job seeker to their record via the MyGov app</w:t>
      </w:r>
    </w:p>
    <w:p w14:paraId="512D6944" w14:textId="77777777" w:rsidR="00EF6E4C" w:rsidRPr="00EF6E4C" w:rsidRDefault="00EF6E4C" w:rsidP="00EF6E4C">
      <w:pPr>
        <w:numPr>
          <w:ilvl w:val="1"/>
          <w:numId w:val="131"/>
        </w:numPr>
        <w:spacing w:before="60"/>
        <w:ind w:left="1134"/>
        <w:rPr>
          <w:rFonts w:asciiTheme="minorHAnsi" w:eastAsiaTheme="minorHAnsi" w:hAnsiTheme="minorHAnsi" w:cstheme="minorBidi"/>
          <w:sz w:val="22"/>
          <w:szCs w:val="22"/>
          <w:lang w:eastAsia="en-US"/>
        </w:rPr>
      </w:pPr>
      <w:r w:rsidRPr="00EF6E4C">
        <w:rPr>
          <w:rFonts w:asciiTheme="minorHAnsi" w:eastAsiaTheme="minorHAnsi" w:hAnsiTheme="minorHAnsi" w:cstheme="minorBidi"/>
          <w:sz w:val="22"/>
          <w:szCs w:val="22"/>
          <w:lang w:eastAsia="en-US"/>
        </w:rPr>
        <w:t xml:space="preserve">faxed to the National Business Gateway (1300 786 102), or </w:t>
      </w:r>
    </w:p>
    <w:p w14:paraId="562C27AC" w14:textId="77777777" w:rsidR="00EF6E4C" w:rsidRPr="00EF6E4C" w:rsidRDefault="00EF6E4C" w:rsidP="00EF6E4C">
      <w:pPr>
        <w:numPr>
          <w:ilvl w:val="1"/>
          <w:numId w:val="131"/>
        </w:numPr>
        <w:spacing w:before="60"/>
        <w:ind w:left="1134"/>
        <w:rPr>
          <w:rFonts w:asciiTheme="minorHAnsi" w:eastAsiaTheme="minorHAnsi" w:hAnsiTheme="minorHAnsi" w:cstheme="minorBidi"/>
          <w:sz w:val="22"/>
          <w:szCs w:val="22"/>
          <w:lang w:eastAsia="en-US"/>
        </w:rPr>
      </w:pPr>
      <w:r w:rsidRPr="00EF6E4C">
        <w:rPr>
          <w:rFonts w:asciiTheme="minorHAnsi" w:eastAsiaTheme="minorHAnsi" w:hAnsiTheme="minorHAnsi" w:cstheme="minorBidi"/>
          <w:sz w:val="22"/>
          <w:szCs w:val="22"/>
          <w:lang w:eastAsia="en-US"/>
        </w:rPr>
        <w:t>submitted in person at the local Agents Office or Service Centre</w:t>
      </w:r>
      <w:r w:rsidR="0007762B">
        <w:rPr>
          <w:rFonts w:asciiTheme="minorHAnsi" w:eastAsiaTheme="minorHAnsi" w:hAnsiTheme="minorHAnsi" w:cstheme="minorBidi"/>
          <w:sz w:val="22"/>
          <w:szCs w:val="22"/>
          <w:lang w:eastAsia="en-US"/>
        </w:rPr>
        <w:t>.</w:t>
      </w:r>
      <w:r w:rsidRPr="00EF6E4C">
        <w:rPr>
          <w:rFonts w:asciiTheme="minorHAnsi" w:eastAsiaTheme="minorHAnsi" w:hAnsiTheme="minorHAnsi" w:cstheme="minorBidi"/>
          <w:sz w:val="22"/>
          <w:szCs w:val="22"/>
          <w:lang w:eastAsia="en-US"/>
        </w:rPr>
        <w:br/>
      </w:r>
      <w:r w:rsidRPr="00EF6E4C">
        <w:rPr>
          <w:rFonts w:asciiTheme="minorHAnsi" w:eastAsiaTheme="minorHAnsi" w:hAnsiTheme="minorHAnsi" w:cstheme="minorBidi"/>
          <w:b/>
          <w:sz w:val="22"/>
          <w:szCs w:val="22"/>
          <w:lang w:eastAsia="en-US"/>
        </w:rPr>
        <w:t>Note</w:t>
      </w:r>
      <w:r w:rsidRPr="00EF6E4C">
        <w:rPr>
          <w:rFonts w:asciiTheme="minorHAnsi" w:eastAsiaTheme="minorHAnsi" w:hAnsiTheme="minorHAnsi" w:cstheme="minorBidi"/>
          <w:sz w:val="22"/>
          <w:szCs w:val="22"/>
          <w:lang w:eastAsia="en-US"/>
        </w:rPr>
        <w:t xml:space="preserve">: medical evidence </w:t>
      </w:r>
      <w:r w:rsidRPr="00EF6E4C">
        <w:rPr>
          <w:rFonts w:asciiTheme="minorHAnsi" w:eastAsiaTheme="minorHAnsi" w:hAnsiTheme="minorHAnsi" w:cstheme="minorBidi"/>
          <w:sz w:val="22"/>
          <w:szCs w:val="22"/>
          <w:u w:val="single"/>
          <w:lang w:eastAsia="en-US"/>
        </w:rPr>
        <w:t>must</w:t>
      </w:r>
      <w:r w:rsidRPr="00EF6E4C">
        <w:rPr>
          <w:rFonts w:asciiTheme="minorHAnsi" w:eastAsiaTheme="minorHAnsi" w:hAnsiTheme="minorHAnsi" w:cstheme="minorBidi"/>
          <w:sz w:val="22"/>
          <w:szCs w:val="22"/>
          <w:lang w:eastAsia="en-US"/>
        </w:rPr>
        <w:t xml:space="preserve"> </w:t>
      </w:r>
      <w:r w:rsidRPr="00EF6E4C">
        <w:rPr>
          <w:rFonts w:asciiTheme="minorHAnsi" w:eastAsiaTheme="minorHAnsi" w:hAnsiTheme="minorHAnsi" w:cstheme="minorBidi"/>
          <w:sz w:val="22"/>
          <w:szCs w:val="22"/>
          <w:u w:val="single"/>
          <w:lang w:eastAsia="en-US"/>
        </w:rPr>
        <w:t>not</w:t>
      </w:r>
      <w:r w:rsidRPr="00EF6E4C">
        <w:rPr>
          <w:rFonts w:asciiTheme="minorHAnsi" w:eastAsiaTheme="minorHAnsi" w:hAnsiTheme="minorHAnsi" w:cstheme="minorBidi"/>
          <w:sz w:val="22"/>
          <w:szCs w:val="22"/>
          <w:lang w:eastAsia="en-US"/>
        </w:rPr>
        <w:t xml:space="preserve"> be attached to the email</w:t>
      </w:r>
    </w:p>
    <w:p w14:paraId="76FAE6BE" w14:textId="77777777" w:rsidR="00EF6E4C" w:rsidRPr="00EF6E4C" w:rsidRDefault="00EF6E4C" w:rsidP="00EF6E4C">
      <w:pPr>
        <w:numPr>
          <w:ilvl w:val="0"/>
          <w:numId w:val="87"/>
        </w:numPr>
        <w:spacing w:before="60"/>
        <w:ind w:left="714" w:hanging="357"/>
        <w:rPr>
          <w:rFonts w:asciiTheme="minorHAnsi" w:eastAsiaTheme="minorHAnsi" w:hAnsiTheme="minorHAnsi" w:cstheme="minorBidi"/>
          <w:sz w:val="22"/>
          <w:szCs w:val="22"/>
          <w:lang w:eastAsia="en-US"/>
        </w:rPr>
      </w:pPr>
      <w:r w:rsidRPr="00EF6E4C">
        <w:rPr>
          <w:rFonts w:asciiTheme="minorHAnsi" w:eastAsiaTheme="minorHAnsi" w:hAnsiTheme="minorHAnsi" w:cstheme="minorBidi"/>
          <w:sz w:val="22"/>
          <w:szCs w:val="22"/>
          <w:lang w:eastAsia="en-US"/>
        </w:rPr>
        <w:t>Provider details:</w:t>
      </w:r>
    </w:p>
    <w:p w14:paraId="1273117E" w14:textId="77777777" w:rsidR="00EF6E4C" w:rsidRPr="00EF6E4C" w:rsidRDefault="00EF6E4C" w:rsidP="00EF6E4C">
      <w:pPr>
        <w:numPr>
          <w:ilvl w:val="1"/>
          <w:numId w:val="131"/>
        </w:numPr>
        <w:spacing w:before="60"/>
        <w:ind w:left="1134"/>
        <w:rPr>
          <w:rFonts w:asciiTheme="minorHAnsi" w:eastAsiaTheme="minorHAnsi" w:hAnsiTheme="minorHAnsi" w:cstheme="minorBidi"/>
          <w:sz w:val="22"/>
          <w:szCs w:val="22"/>
          <w:lang w:eastAsia="en-US"/>
        </w:rPr>
      </w:pPr>
      <w:r w:rsidRPr="00EF6E4C">
        <w:rPr>
          <w:rFonts w:asciiTheme="minorHAnsi" w:eastAsiaTheme="minorHAnsi" w:hAnsiTheme="minorHAnsi" w:cstheme="minorBidi"/>
          <w:sz w:val="22"/>
          <w:szCs w:val="22"/>
          <w:lang w:eastAsia="en-US"/>
        </w:rPr>
        <w:t>Organisation name</w:t>
      </w:r>
    </w:p>
    <w:p w14:paraId="6372DC06" w14:textId="77777777" w:rsidR="00EF6E4C" w:rsidRPr="00EF6E4C" w:rsidRDefault="00EF6E4C" w:rsidP="00EF6E4C">
      <w:pPr>
        <w:numPr>
          <w:ilvl w:val="1"/>
          <w:numId w:val="131"/>
        </w:numPr>
        <w:spacing w:before="60"/>
        <w:ind w:left="1134"/>
        <w:rPr>
          <w:rFonts w:asciiTheme="minorHAnsi" w:eastAsiaTheme="minorHAnsi" w:hAnsiTheme="minorHAnsi" w:cstheme="minorBidi"/>
          <w:sz w:val="22"/>
          <w:szCs w:val="22"/>
          <w:lang w:eastAsia="en-US"/>
        </w:rPr>
      </w:pPr>
      <w:r w:rsidRPr="00EF6E4C">
        <w:rPr>
          <w:rFonts w:asciiTheme="minorHAnsi" w:eastAsiaTheme="minorHAnsi" w:hAnsiTheme="minorHAnsi" w:cstheme="minorBidi"/>
          <w:sz w:val="22"/>
          <w:szCs w:val="22"/>
          <w:lang w:eastAsia="en-US"/>
        </w:rPr>
        <w:t>Contact person name and number.</w:t>
      </w:r>
    </w:p>
    <w:p w14:paraId="486FB66F" w14:textId="77777777" w:rsidR="00EF6E4C" w:rsidRPr="00EF6E4C" w:rsidRDefault="00EF6E4C" w:rsidP="00EF6E4C">
      <w:pPr>
        <w:tabs>
          <w:tab w:val="right" w:pos="1701"/>
        </w:tabs>
        <w:spacing w:before="120" w:after="120"/>
        <w:rPr>
          <w:sz w:val="22"/>
          <w:szCs w:val="22"/>
        </w:rPr>
      </w:pPr>
      <w:r w:rsidRPr="00EF6E4C">
        <w:rPr>
          <w:sz w:val="22"/>
          <w:szCs w:val="22"/>
        </w:rPr>
        <w:t xml:space="preserve">The FOCUS Response Team will contact the </w:t>
      </w:r>
      <w:r w:rsidR="00C84A77">
        <w:rPr>
          <w:sz w:val="22"/>
          <w:szCs w:val="22"/>
        </w:rPr>
        <w:t>provider</w:t>
      </w:r>
      <w:r w:rsidRPr="00EF6E4C">
        <w:rPr>
          <w:sz w:val="22"/>
          <w:szCs w:val="22"/>
        </w:rPr>
        <w:t xml:space="preserve"> within 48 hours of receiving an emailed request to open an appointment, if a referral is appropriate. Providers should ensure any required supporting medical evidence has been submitted in order to secure an appointment.</w:t>
      </w:r>
    </w:p>
    <w:p w14:paraId="00B69B84" w14:textId="77777777" w:rsidR="00EF6E4C" w:rsidRPr="00EF6E4C" w:rsidRDefault="00EF6E4C" w:rsidP="00EF6E4C">
      <w:pPr>
        <w:tabs>
          <w:tab w:val="right" w:pos="1701"/>
        </w:tabs>
        <w:spacing w:before="120" w:after="120"/>
        <w:rPr>
          <w:sz w:val="22"/>
          <w:szCs w:val="22"/>
        </w:rPr>
      </w:pPr>
      <w:r w:rsidRPr="00EF6E4C">
        <w:rPr>
          <w:sz w:val="22"/>
          <w:szCs w:val="22"/>
        </w:rPr>
        <w:t xml:space="preserve">If the FOCUS Response Team does not make contact within 48 hours of an emailed request, the </w:t>
      </w:r>
      <w:r w:rsidR="00C84A77">
        <w:rPr>
          <w:sz w:val="22"/>
          <w:szCs w:val="22"/>
        </w:rPr>
        <w:t>provider</w:t>
      </w:r>
      <w:r w:rsidRPr="00EF6E4C">
        <w:rPr>
          <w:sz w:val="22"/>
          <w:szCs w:val="22"/>
        </w:rPr>
        <w:t xml:space="preserve"> should contact the FOCUS Response Team on </w:t>
      </w:r>
      <w:r w:rsidRPr="00077A82">
        <w:rPr>
          <w:b/>
          <w:bCs/>
          <w:color w:val="000000" w:themeColor="text1"/>
          <w:sz w:val="22"/>
          <w:szCs w:val="22"/>
        </w:rPr>
        <w:t>1800 110 608</w:t>
      </w:r>
      <w:r w:rsidRPr="00EF6E4C">
        <w:rPr>
          <w:sz w:val="22"/>
          <w:szCs w:val="22"/>
        </w:rPr>
        <w:t>. The FOCUS Response Team will open the next available appointment.</w:t>
      </w:r>
    </w:p>
    <w:p w14:paraId="7878CC99" w14:textId="77777777" w:rsidR="00EF6E4C" w:rsidRPr="00EF6E4C" w:rsidRDefault="00EF6E4C" w:rsidP="00EF6E4C">
      <w:pPr>
        <w:spacing w:before="120" w:after="120"/>
        <w:rPr>
          <w:sz w:val="22"/>
          <w:szCs w:val="22"/>
        </w:rPr>
      </w:pPr>
      <w:r w:rsidRPr="00EF6E4C">
        <w:rPr>
          <w:sz w:val="22"/>
          <w:szCs w:val="22"/>
        </w:rPr>
        <w:t xml:space="preserve">If the </w:t>
      </w:r>
      <w:r w:rsidR="00C84A77">
        <w:rPr>
          <w:sz w:val="22"/>
          <w:szCs w:val="22"/>
        </w:rPr>
        <w:t>provider</w:t>
      </w:r>
      <w:r w:rsidRPr="00EF6E4C">
        <w:rPr>
          <w:sz w:val="22"/>
          <w:szCs w:val="22"/>
        </w:rPr>
        <w:t xml:space="preserve"> has had no return contact within two business days, they should contact their Relationship Manager or Relationship Manager’s delegate, who will contact the FOCUS Response Team on </w:t>
      </w:r>
      <w:r w:rsidRPr="00077A82">
        <w:rPr>
          <w:b/>
          <w:bCs/>
          <w:color w:val="000000" w:themeColor="text1"/>
          <w:sz w:val="22"/>
          <w:szCs w:val="22"/>
        </w:rPr>
        <w:t>1800 110 608</w:t>
      </w:r>
      <w:r w:rsidRPr="00EF6E4C">
        <w:rPr>
          <w:sz w:val="22"/>
          <w:szCs w:val="22"/>
        </w:rPr>
        <w:t>. The FOCUS Response Team will advise the Relationship Manager or their delegate of an appointment time within one business day.</w:t>
      </w:r>
    </w:p>
    <w:p w14:paraId="4D4E0BE2" w14:textId="77777777" w:rsidR="00EF6E4C" w:rsidRPr="00077A82" w:rsidRDefault="00EF6E4C" w:rsidP="00EF6E4C">
      <w:pPr>
        <w:spacing w:before="120" w:after="120"/>
        <w:rPr>
          <w:b/>
          <w:bCs/>
          <w:color w:val="000000" w:themeColor="text1"/>
          <w:sz w:val="22"/>
          <w:szCs w:val="22"/>
        </w:rPr>
      </w:pPr>
      <w:r w:rsidRPr="00EF6E4C">
        <w:rPr>
          <w:b/>
          <w:bCs/>
          <w:color w:val="000000" w:themeColor="text1"/>
          <w:sz w:val="22"/>
          <w:szCs w:val="22"/>
        </w:rPr>
        <w:t>Note:</w:t>
      </w:r>
      <w:r w:rsidRPr="00EF6E4C">
        <w:rPr>
          <w:bCs/>
          <w:color w:val="000000" w:themeColor="text1"/>
          <w:sz w:val="22"/>
          <w:szCs w:val="22"/>
        </w:rPr>
        <w:t xml:space="preserve"> For all urgent queries (for example, vulnerable jobseekers), please directly contact </w:t>
      </w:r>
      <w:r w:rsidRPr="00077A82">
        <w:rPr>
          <w:b/>
          <w:bCs/>
          <w:color w:val="000000" w:themeColor="text1"/>
          <w:sz w:val="22"/>
          <w:szCs w:val="22"/>
        </w:rPr>
        <w:t>1800 110 608.</w:t>
      </w:r>
    </w:p>
    <w:p w14:paraId="462ABDAF" w14:textId="77777777" w:rsidR="00EF6E4C" w:rsidRPr="00EF6E4C" w:rsidRDefault="00EF6E4C" w:rsidP="00EF6E4C">
      <w:pPr>
        <w:spacing w:before="240" w:after="120"/>
        <w:rPr>
          <w:u w:val="single"/>
        </w:rPr>
      </w:pPr>
      <w:r w:rsidRPr="00EF6E4C">
        <w:rPr>
          <w:u w:val="single"/>
        </w:rPr>
        <w:t>Advising Services Australia of violent or aggressive job seekers</w:t>
      </w:r>
    </w:p>
    <w:p w14:paraId="70BBC195" w14:textId="77777777" w:rsidR="00EF6E4C" w:rsidRPr="00077A82" w:rsidRDefault="00EF6E4C" w:rsidP="00EF6E4C">
      <w:pPr>
        <w:spacing w:before="120" w:after="120"/>
        <w:rPr>
          <w:bCs/>
          <w:sz w:val="22"/>
          <w:szCs w:val="22"/>
        </w:rPr>
      </w:pPr>
      <w:r w:rsidRPr="00077A82">
        <w:rPr>
          <w:bCs/>
          <w:sz w:val="22"/>
          <w:szCs w:val="22"/>
        </w:rPr>
        <w:t xml:space="preserve">If the </w:t>
      </w:r>
      <w:r w:rsidR="000A5C74">
        <w:rPr>
          <w:bCs/>
          <w:sz w:val="22"/>
          <w:szCs w:val="22"/>
        </w:rPr>
        <w:t>participant</w:t>
      </w:r>
      <w:r w:rsidRPr="00077A82">
        <w:rPr>
          <w:bCs/>
          <w:sz w:val="22"/>
          <w:szCs w:val="22"/>
        </w:rPr>
        <w:t xml:space="preserve"> has either displayed or threatened violent behaviour that may present a threat to an Assessor, the DES </w:t>
      </w:r>
      <w:r w:rsidR="00C84A77">
        <w:rPr>
          <w:bCs/>
          <w:sz w:val="22"/>
          <w:szCs w:val="22"/>
        </w:rPr>
        <w:t>provider</w:t>
      </w:r>
      <w:r w:rsidRPr="00077A82">
        <w:rPr>
          <w:bCs/>
          <w:sz w:val="22"/>
          <w:szCs w:val="22"/>
        </w:rPr>
        <w:t xml:space="preserve"> must notify the Assessor of the circumstances prior to the scheduled ESAt appointment. Refer to the </w:t>
      </w:r>
      <w:r w:rsidRPr="00077A82">
        <w:rPr>
          <w:bCs/>
          <w:i/>
          <w:sz w:val="22"/>
          <w:szCs w:val="22"/>
        </w:rPr>
        <w:t xml:space="preserve">Servicing </w:t>
      </w:r>
      <w:r w:rsidR="000A5C74">
        <w:rPr>
          <w:bCs/>
          <w:i/>
          <w:sz w:val="22"/>
          <w:szCs w:val="22"/>
        </w:rPr>
        <w:t>Participant</w:t>
      </w:r>
      <w:r w:rsidRPr="00077A82">
        <w:rPr>
          <w:bCs/>
          <w:i/>
          <w:sz w:val="22"/>
          <w:szCs w:val="22"/>
        </w:rPr>
        <w:t>s with Challenging Behaviours Guidelines</w:t>
      </w:r>
      <w:r w:rsidRPr="00077A82">
        <w:rPr>
          <w:bCs/>
          <w:sz w:val="22"/>
          <w:szCs w:val="22"/>
        </w:rPr>
        <w:t xml:space="preserve"> for further information.</w:t>
      </w:r>
    </w:p>
    <w:p w14:paraId="6DFE5741" w14:textId="77777777" w:rsidR="00EF6E4C" w:rsidRPr="00EF6E4C" w:rsidRDefault="00EF6E4C" w:rsidP="00EF6E4C">
      <w:pPr>
        <w:keepNext/>
        <w:autoSpaceDE w:val="0"/>
        <w:autoSpaceDN w:val="0"/>
        <w:adjustRightInd w:val="0"/>
        <w:spacing w:before="240" w:after="120"/>
        <w:outlineLvl w:val="2"/>
        <w:rPr>
          <w:rFonts w:cs="Arial"/>
          <w:szCs w:val="22"/>
          <w:u w:val="single"/>
        </w:rPr>
      </w:pPr>
      <w:bookmarkStart w:id="34" w:name="_Toc101954829"/>
      <w:bookmarkStart w:id="35" w:name="_Toc101956901"/>
      <w:bookmarkStart w:id="36" w:name="_Toc126830111"/>
      <w:r w:rsidRPr="00EF6E4C">
        <w:rPr>
          <w:rFonts w:cs="Arial"/>
          <w:szCs w:val="22"/>
          <w:u w:val="single"/>
        </w:rPr>
        <w:t xml:space="preserve">Informing the </w:t>
      </w:r>
      <w:r w:rsidR="000A5C74">
        <w:rPr>
          <w:rFonts w:cs="Arial"/>
          <w:szCs w:val="22"/>
          <w:u w:val="single"/>
        </w:rPr>
        <w:t>participant</w:t>
      </w:r>
      <w:r w:rsidRPr="00EF6E4C">
        <w:rPr>
          <w:rFonts w:cs="Arial"/>
          <w:szCs w:val="22"/>
          <w:u w:val="single"/>
        </w:rPr>
        <w:t xml:space="preserve"> of the appointments</w:t>
      </w:r>
      <w:bookmarkEnd w:id="34"/>
      <w:bookmarkEnd w:id="35"/>
      <w:bookmarkEnd w:id="36"/>
    </w:p>
    <w:p w14:paraId="516648A1" w14:textId="77777777" w:rsidR="00EF6E4C" w:rsidRPr="00EF6E4C" w:rsidRDefault="00EF6E4C" w:rsidP="00EF6E4C">
      <w:pPr>
        <w:spacing w:before="120" w:after="120"/>
        <w:rPr>
          <w:bCs/>
          <w:sz w:val="22"/>
          <w:szCs w:val="22"/>
        </w:rPr>
      </w:pPr>
      <w:r w:rsidRPr="00EF6E4C">
        <w:rPr>
          <w:sz w:val="22"/>
          <w:szCs w:val="22"/>
        </w:rPr>
        <w:t xml:space="preserve">Once the ESAt appointment has been made the </w:t>
      </w:r>
      <w:r w:rsidR="000A5C74">
        <w:rPr>
          <w:sz w:val="22"/>
          <w:szCs w:val="22"/>
        </w:rPr>
        <w:t>participant</w:t>
      </w:r>
      <w:r w:rsidRPr="00EF6E4C">
        <w:rPr>
          <w:sz w:val="22"/>
          <w:szCs w:val="22"/>
        </w:rPr>
        <w:t xml:space="preserve"> must be given appropriate notification of the ESAt appointment details. The </w:t>
      </w:r>
      <w:r w:rsidR="000A5C74">
        <w:rPr>
          <w:sz w:val="22"/>
          <w:szCs w:val="22"/>
        </w:rPr>
        <w:t>participant</w:t>
      </w:r>
      <w:r w:rsidRPr="00EF6E4C">
        <w:rPr>
          <w:sz w:val="22"/>
          <w:szCs w:val="22"/>
        </w:rPr>
        <w:t xml:space="preserve"> must be advised:</w:t>
      </w:r>
    </w:p>
    <w:p w14:paraId="5BFD379B" w14:textId="77777777" w:rsidR="00EF6E4C" w:rsidRPr="00EF6E4C" w:rsidRDefault="00EF6E4C" w:rsidP="00EF6E4C">
      <w:pPr>
        <w:numPr>
          <w:ilvl w:val="0"/>
          <w:numId w:val="87"/>
        </w:numPr>
        <w:spacing w:before="60"/>
        <w:ind w:left="714" w:hanging="357"/>
        <w:rPr>
          <w:rFonts w:asciiTheme="minorHAnsi" w:eastAsiaTheme="minorHAnsi" w:hAnsiTheme="minorHAnsi" w:cstheme="minorBidi"/>
          <w:sz w:val="22"/>
          <w:szCs w:val="22"/>
          <w:lang w:eastAsia="en-US"/>
        </w:rPr>
      </w:pPr>
      <w:r w:rsidRPr="00EF6E4C">
        <w:rPr>
          <w:rFonts w:asciiTheme="minorHAnsi" w:eastAsiaTheme="minorHAnsi" w:hAnsiTheme="minorHAnsi" w:cstheme="minorBidi"/>
          <w:sz w:val="22"/>
          <w:szCs w:val="22"/>
          <w:lang w:eastAsia="en-US"/>
        </w:rPr>
        <w:t>the Assessment will involve an interview to determine their work capacity and the employment services assistance that they will need to help them gain work</w:t>
      </w:r>
    </w:p>
    <w:p w14:paraId="1C4B1D76" w14:textId="77777777" w:rsidR="00EF6E4C" w:rsidRPr="00EF6E4C" w:rsidRDefault="00EF6E4C" w:rsidP="00EF6E4C">
      <w:pPr>
        <w:numPr>
          <w:ilvl w:val="0"/>
          <w:numId w:val="87"/>
        </w:numPr>
        <w:spacing w:before="60"/>
        <w:ind w:left="714" w:hanging="357"/>
        <w:rPr>
          <w:rFonts w:asciiTheme="minorHAnsi" w:eastAsiaTheme="minorHAnsi" w:hAnsiTheme="minorHAnsi" w:cstheme="minorBidi"/>
          <w:sz w:val="22"/>
          <w:szCs w:val="22"/>
          <w:lang w:eastAsia="en-US"/>
        </w:rPr>
      </w:pPr>
      <w:r w:rsidRPr="00EF6E4C">
        <w:rPr>
          <w:rFonts w:asciiTheme="minorHAnsi" w:eastAsiaTheme="minorHAnsi" w:hAnsiTheme="minorHAnsi" w:cstheme="minorBidi"/>
          <w:sz w:val="22"/>
          <w:szCs w:val="22"/>
          <w:lang w:eastAsia="en-US"/>
        </w:rPr>
        <w:t>the date, time and venue for the ESAt—an appointment letter with the details is available when the referral is made in the Department’s IT Systems</w:t>
      </w:r>
    </w:p>
    <w:p w14:paraId="08B5FDC7" w14:textId="77777777" w:rsidR="00EF6E4C" w:rsidRPr="00EF6E4C" w:rsidRDefault="00EF6E4C" w:rsidP="00EF6E4C">
      <w:pPr>
        <w:numPr>
          <w:ilvl w:val="0"/>
          <w:numId w:val="87"/>
        </w:numPr>
        <w:spacing w:before="60"/>
        <w:ind w:left="714" w:hanging="357"/>
        <w:rPr>
          <w:rFonts w:asciiTheme="minorHAnsi" w:eastAsiaTheme="minorHAnsi" w:hAnsiTheme="minorHAnsi" w:cstheme="minorBidi"/>
          <w:sz w:val="22"/>
          <w:szCs w:val="22"/>
          <w:lang w:eastAsia="en-US"/>
        </w:rPr>
      </w:pPr>
      <w:r w:rsidRPr="00EF6E4C">
        <w:rPr>
          <w:rFonts w:asciiTheme="minorHAnsi" w:eastAsiaTheme="minorHAnsi" w:hAnsiTheme="minorHAnsi" w:cstheme="minorBidi"/>
          <w:sz w:val="22"/>
          <w:szCs w:val="22"/>
          <w:lang w:eastAsia="en-US"/>
        </w:rPr>
        <w:lastRenderedPageBreak/>
        <w:t xml:space="preserve">the reason for the Assessment—for example, the </w:t>
      </w:r>
      <w:r w:rsidR="000A5C74">
        <w:rPr>
          <w:rFonts w:asciiTheme="minorHAnsi" w:eastAsiaTheme="minorHAnsi" w:hAnsiTheme="minorHAnsi" w:cstheme="minorBidi"/>
          <w:sz w:val="22"/>
          <w:szCs w:val="22"/>
          <w:lang w:eastAsia="en-US"/>
        </w:rPr>
        <w:t>participant</w:t>
      </w:r>
      <w:r w:rsidRPr="00EF6E4C">
        <w:rPr>
          <w:rFonts w:asciiTheme="minorHAnsi" w:eastAsiaTheme="minorHAnsi" w:hAnsiTheme="minorHAnsi" w:cstheme="minorBidi"/>
          <w:sz w:val="22"/>
          <w:szCs w:val="22"/>
          <w:lang w:eastAsia="en-US"/>
        </w:rPr>
        <w:t xml:space="preserve"> being referred has disclosed an addiction or a medical condition that is affecting their ability to participate in the activities listed in their Job Plan</w:t>
      </w:r>
    </w:p>
    <w:p w14:paraId="48D580D4" w14:textId="77777777" w:rsidR="00EF6E4C" w:rsidRPr="00EF6E4C" w:rsidRDefault="00EF6E4C" w:rsidP="00EF6E4C">
      <w:pPr>
        <w:numPr>
          <w:ilvl w:val="0"/>
          <w:numId w:val="87"/>
        </w:numPr>
        <w:spacing w:before="60"/>
        <w:ind w:left="714" w:hanging="357"/>
        <w:rPr>
          <w:rFonts w:asciiTheme="minorHAnsi" w:eastAsiaTheme="minorHAnsi" w:hAnsiTheme="minorHAnsi" w:cstheme="minorBidi"/>
          <w:sz w:val="22"/>
          <w:szCs w:val="22"/>
          <w:lang w:eastAsia="en-US"/>
        </w:rPr>
      </w:pPr>
      <w:r w:rsidRPr="00EF6E4C">
        <w:rPr>
          <w:rFonts w:asciiTheme="minorHAnsi" w:eastAsiaTheme="minorHAnsi" w:hAnsiTheme="minorHAnsi" w:cstheme="minorBidi"/>
          <w:sz w:val="22"/>
          <w:szCs w:val="22"/>
          <w:lang w:eastAsia="en-US"/>
        </w:rPr>
        <w:t>of the importance of disclosing all barriers to employment, including disability or mental health issues, to ensure they receive the most appropriate assistance</w:t>
      </w:r>
    </w:p>
    <w:p w14:paraId="41BC0E12" w14:textId="77777777" w:rsidR="00EF6E4C" w:rsidRPr="00EF6E4C" w:rsidRDefault="00EF6E4C" w:rsidP="00EF6E4C">
      <w:pPr>
        <w:numPr>
          <w:ilvl w:val="0"/>
          <w:numId w:val="87"/>
        </w:numPr>
        <w:spacing w:before="60"/>
        <w:ind w:left="714" w:hanging="357"/>
        <w:rPr>
          <w:rFonts w:asciiTheme="minorHAnsi" w:eastAsiaTheme="minorHAnsi" w:hAnsiTheme="minorHAnsi" w:cstheme="minorBidi"/>
          <w:sz w:val="22"/>
          <w:szCs w:val="22"/>
          <w:lang w:eastAsia="en-US"/>
        </w:rPr>
      </w:pPr>
      <w:r w:rsidRPr="00EF6E4C">
        <w:rPr>
          <w:rFonts w:asciiTheme="minorHAnsi" w:eastAsiaTheme="minorHAnsi" w:hAnsiTheme="minorHAnsi" w:cstheme="minorBidi"/>
          <w:sz w:val="22"/>
          <w:szCs w:val="22"/>
          <w:lang w:eastAsia="en-US"/>
        </w:rPr>
        <w:t>all medical evidence must be uploaded or provided to Services Australia before the ESAt is booked, as an assessment requested without medical evidence will not be progressed</w:t>
      </w:r>
    </w:p>
    <w:p w14:paraId="6674A633" w14:textId="77777777" w:rsidR="00EF6E4C" w:rsidRPr="00EF6E4C" w:rsidRDefault="00EF6E4C" w:rsidP="00EF6E4C">
      <w:pPr>
        <w:numPr>
          <w:ilvl w:val="0"/>
          <w:numId w:val="87"/>
        </w:numPr>
        <w:spacing w:before="60"/>
        <w:ind w:left="714" w:hanging="357"/>
        <w:rPr>
          <w:rFonts w:asciiTheme="minorHAnsi" w:eastAsiaTheme="minorHAnsi" w:hAnsiTheme="minorHAnsi" w:cstheme="minorBidi"/>
          <w:sz w:val="22"/>
          <w:szCs w:val="22"/>
          <w:lang w:eastAsia="en-US"/>
        </w:rPr>
      </w:pPr>
      <w:r w:rsidRPr="00EF6E4C">
        <w:rPr>
          <w:rFonts w:asciiTheme="minorHAnsi" w:eastAsiaTheme="minorHAnsi" w:hAnsiTheme="minorHAnsi" w:cstheme="minorBidi"/>
          <w:sz w:val="22"/>
          <w:szCs w:val="22"/>
          <w:lang w:eastAsia="en-US"/>
        </w:rPr>
        <w:t>the steps they can take to gather medical evidence</w:t>
      </w:r>
    </w:p>
    <w:p w14:paraId="2418CE51" w14:textId="77777777" w:rsidR="00EF6E4C" w:rsidRPr="00EF6E4C" w:rsidRDefault="00EF6E4C" w:rsidP="00EF6E4C">
      <w:pPr>
        <w:numPr>
          <w:ilvl w:val="0"/>
          <w:numId w:val="87"/>
        </w:numPr>
        <w:spacing w:before="60"/>
        <w:ind w:left="714" w:hanging="357"/>
        <w:rPr>
          <w:rFonts w:asciiTheme="minorHAnsi" w:eastAsiaTheme="minorHAnsi" w:hAnsiTheme="minorHAnsi" w:cstheme="minorBidi"/>
          <w:sz w:val="22"/>
          <w:szCs w:val="22"/>
          <w:lang w:eastAsia="en-US"/>
        </w:rPr>
      </w:pPr>
      <w:r w:rsidRPr="00EF6E4C">
        <w:rPr>
          <w:rFonts w:asciiTheme="minorHAnsi" w:eastAsiaTheme="minorHAnsi" w:hAnsiTheme="minorHAnsi" w:cstheme="minorBidi"/>
          <w:sz w:val="22"/>
          <w:szCs w:val="22"/>
          <w:lang w:eastAsia="en-US"/>
        </w:rPr>
        <w:t>they may have a nominee, for example a mental health services provider, a family member, advocate, social worker or counsellor be with them during the assessment</w:t>
      </w:r>
    </w:p>
    <w:p w14:paraId="66AFC075" w14:textId="77777777" w:rsidR="00EF6E4C" w:rsidRPr="00EF6E4C" w:rsidRDefault="00EF6E4C" w:rsidP="00EF6E4C">
      <w:pPr>
        <w:numPr>
          <w:ilvl w:val="0"/>
          <w:numId w:val="87"/>
        </w:numPr>
        <w:spacing w:before="60"/>
        <w:ind w:left="714" w:hanging="357"/>
        <w:rPr>
          <w:rFonts w:asciiTheme="minorHAnsi" w:eastAsiaTheme="minorHAnsi" w:hAnsiTheme="minorHAnsi" w:cstheme="minorBidi"/>
          <w:sz w:val="22"/>
          <w:szCs w:val="22"/>
          <w:lang w:eastAsia="en-US"/>
        </w:rPr>
      </w:pPr>
      <w:r w:rsidRPr="00EF6E4C">
        <w:rPr>
          <w:rFonts w:asciiTheme="minorHAnsi" w:eastAsiaTheme="minorHAnsi" w:hAnsiTheme="minorHAnsi" w:cstheme="minorBidi"/>
          <w:sz w:val="22"/>
          <w:szCs w:val="22"/>
          <w:lang w:eastAsia="en-US"/>
        </w:rPr>
        <w:t>if they have compulsory requirements or have Mutual Obligation Requirements, that attending the ESAt appointment is compulsory and that non-attendance without a valid reason or not notifying the Assessor of their non-attendance may result in them not receiving Income Support Payments until they attend</w:t>
      </w:r>
    </w:p>
    <w:p w14:paraId="7F7729D5" w14:textId="77777777" w:rsidR="00EF6E4C" w:rsidRPr="00EF6E4C" w:rsidRDefault="00EF6E4C" w:rsidP="00EF6E4C">
      <w:pPr>
        <w:numPr>
          <w:ilvl w:val="0"/>
          <w:numId w:val="87"/>
        </w:numPr>
        <w:spacing w:before="60"/>
        <w:ind w:left="714" w:hanging="357"/>
        <w:rPr>
          <w:rFonts w:asciiTheme="minorHAnsi" w:eastAsiaTheme="minorHAnsi" w:hAnsiTheme="minorHAnsi" w:cstheme="minorBidi"/>
          <w:sz w:val="22"/>
          <w:szCs w:val="22"/>
          <w:lang w:eastAsia="en-US"/>
        </w:rPr>
      </w:pPr>
      <w:r w:rsidRPr="00EF6E4C">
        <w:rPr>
          <w:rFonts w:asciiTheme="minorHAnsi" w:eastAsiaTheme="minorHAnsi" w:hAnsiTheme="minorHAnsi" w:cstheme="minorBidi"/>
          <w:sz w:val="22"/>
          <w:szCs w:val="22"/>
          <w:lang w:eastAsia="en-US"/>
        </w:rPr>
        <w:t>they may be referred to a different service after the Assessment that better meets their needs</w:t>
      </w:r>
      <w:r w:rsidR="0007762B">
        <w:rPr>
          <w:rFonts w:asciiTheme="minorHAnsi" w:eastAsiaTheme="minorHAnsi" w:hAnsiTheme="minorHAnsi" w:cstheme="minorBidi"/>
          <w:sz w:val="22"/>
          <w:szCs w:val="22"/>
          <w:lang w:eastAsia="en-US"/>
        </w:rPr>
        <w:t>, and</w:t>
      </w:r>
    </w:p>
    <w:p w14:paraId="198CCEB6" w14:textId="0D92E5A6" w:rsidR="00EF6E4C" w:rsidRPr="00EF6E4C" w:rsidRDefault="00EF6E4C" w:rsidP="00EF6E4C">
      <w:pPr>
        <w:numPr>
          <w:ilvl w:val="0"/>
          <w:numId w:val="87"/>
        </w:numPr>
        <w:spacing w:before="60"/>
        <w:ind w:left="714" w:hanging="357"/>
        <w:rPr>
          <w:rFonts w:asciiTheme="minorHAnsi" w:eastAsiaTheme="minorHAnsi" w:hAnsiTheme="minorHAnsi" w:cstheme="minorBidi"/>
          <w:bCs/>
          <w:sz w:val="22"/>
          <w:szCs w:val="22"/>
          <w:lang w:eastAsia="en-US"/>
        </w:rPr>
      </w:pPr>
      <w:r w:rsidRPr="00EF6E4C">
        <w:rPr>
          <w:rFonts w:asciiTheme="minorHAnsi" w:eastAsiaTheme="minorHAnsi" w:hAnsiTheme="minorHAnsi" w:cstheme="minorBidi"/>
          <w:sz w:val="22"/>
          <w:szCs w:val="22"/>
          <w:lang w:eastAsia="en-US"/>
        </w:rPr>
        <w:t>the requirement</w:t>
      </w:r>
      <w:r w:rsidRPr="00EF6E4C">
        <w:rPr>
          <w:rFonts w:asciiTheme="minorHAnsi" w:eastAsiaTheme="minorHAnsi" w:hAnsiTheme="minorHAnsi" w:cstheme="minorBidi"/>
          <w:bCs/>
          <w:sz w:val="22"/>
          <w:szCs w:val="22"/>
          <w:lang w:eastAsia="en-US"/>
        </w:rPr>
        <w:t xml:space="preserve"> to contact the Assessor at least 24 hours before the appointment time if they cannot attend the ESAt appointment. Where this timeframe cannot be met, the </w:t>
      </w:r>
      <w:r w:rsidR="000A5C74">
        <w:rPr>
          <w:rFonts w:asciiTheme="minorHAnsi" w:eastAsiaTheme="minorHAnsi" w:hAnsiTheme="minorHAnsi" w:cstheme="minorBidi"/>
          <w:bCs/>
          <w:sz w:val="22"/>
          <w:szCs w:val="22"/>
          <w:lang w:eastAsia="en-US"/>
        </w:rPr>
        <w:t>participant</w:t>
      </w:r>
      <w:r w:rsidRPr="00EF6E4C">
        <w:rPr>
          <w:rFonts w:asciiTheme="minorHAnsi" w:eastAsiaTheme="minorHAnsi" w:hAnsiTheme="minorHAnsi" w:cstheme="minorBidi"/>
          <w:bCs/>
          <w:sz w:val="22"/>
          <w:szCs w:val="22"/>
          <w:lang w:eastAsia="en-US"/>
        </w:rPr>
        <w:t xml:space="preserve"> should still contact the Assessor to advise that they cannot attend and the reason why.</w:t>
      </w:r>
    </w:p>
    <w:p w14:paraId="49E2D92F" w14:textId="77777777" w:rsidR="00EF6E4C" w:rsidRPr="00EF6E4C" w:rsidRDefault="00EF6E4C" w:rsidP="00EF6E4C">
      <w:pPr>
        <w:spacing w:before="120"/>
        <w:rPr>
          <w:rFonts w:asciiTheme="minorHAnsi" w:eastAsiaTheme="minorHAnsi" w:hAnsiTheme="minorHAnsi" w:cstheme="minorBidi"/>
          <w:sz w:val="22"/>
          <w:szCs w:val="22"/>
          <w:lang w:eastAsia="en-US"/>
        </w:rPr>
      </w:pPr>
    </w:p>
    <w:p w14:paraId="1EB2BB57" w14:textId="77777777" w:rsidR="00EF6E4C" w:rsidRPr="00EF6E4C" w:rsidRDefault="00EF6E4C" w:rsidP="00EF6E4C">
      <w:pPr>
        <w:keepNext/>
        <w:outlineLvl w:val="1"/>
        <w:rPr>
          <w:rFonts w:cs="Arial"/>
          <w:b/>
          <w:bCs/>
          <w:iCs/>
          <w:szCs w:val="28"/>
        </w:rPr>
      </w:pPr>
      <w:bookmarkStart w:id="37" w:name="_Toc101954830"/>
      <w:bookmarkStart w:id="38" w:name="_Toc101956902"/>
      <w:bookmarkStart w:id="39" w:name="_Toc126830112"/>
      <w:r w:rsidRPr="00EF6E4C">
        <w:rPr>
          <w:rFonts w:cs="Arial"/>
          <w:b/>
          <w:bCs/>
          <w:iCs/>
          <w:szCs w:val="28"/>
        </w:rPr>
        <w:t>Managing ESAt referrals</w:t>
      </w:r>
      <w:bookmarkEnd w:id="37"/>
      <w:bookmarkEnd w:id="38"/>
      <w:bookmarkEnd w:id="39"/>
    </w:p>
    <w:p w14:paraId="49C9B539" w14:textId="77777777" w:rsidR="00EF6E4C" w:rsidRPr="00EF6E4C" w:rsidRDefault="00EF6E4C" w:rsidP="00EF6E4C">
      <w:pPr>
        <w:keepNext/>
        <w:autoSpaceDE w:val="0"/>
        <w:autoSpaceDN w:val="0"/>
        <w:adjustRightInd w:val="0"/>
        <w:spacing w:before="240" w:after="120"/>
        <w:outlineLvl w:val="2"/>
        <w:rPr>
          <w:rFonts w:cs="Arial"/>
          <w:szCs w:val="22"/>
          <w:u w:val="single"/>
        </w:rPr>
      </w:pPr>
      <w:bookmarkStart w:id="40" w:name="_Toc101954831"/>
      <w:bookmarkStart w:id="41" w:name="_Toc101956903"/>
      <w:bookmarkStart w:id="42" w:name="_Toc126830113"/>
      <w:r w:rsidRPr="00EF6E4C">
        <w:rPr>
          <w:rFonts w:cs="Arial"/>
          <w:szCs w:val="22"/>
          <w:u w:val="single"/>
        </w:rPr>
        <w:t>The consequences of not attending the appointment</w:t>
      </w:r>
      <w:bookmarkEnd w:id="40"/>
      <w:bookmarkEnd w:id="41"/>
      <w:bookmarkEnd w:id="42"/>
    </w:p>
    <w:p w14:paraId="5A3A2386" w14:textId="77777777" w:rsidR="00EF6E4C" w:rsidRPr="00EF6E4C" w:rsidRDefault="00EF6E4C" w:rsidP="00EF6E4C">
      <w:pPr>
        <w:spacing w:before="120" w:after="120"/>
        <w:rPr>
          <w:sz w:val="22"/>
          <w:szCs w:val="22"/>
        </w:rPr>
      </w:pPr>
      <w:r w:rsidRPr="00EF6E4C">
        <w:rPr>
          <w:sz w:val="22"/>
          <w:szCs w:val="22"/>
        </w:rPr>
        <w:t xml:space="preserve">If a </w:t>
      </w:r>
      <w:r w:rsidR="000A5C74">
        <w:rPr>
          <w:sz w:val="22"/>
          <w:szCs w:val="22"/>
        </w:rPr>
        <w:t>participant</w:t>
      </w:r>
      <w:r w:rsidRPr="00EF6E4C">
        <w:rPr>
          <w:sz w:val="22"/>
          <w:szCs w:val="22"/>
        </w:rPr>
        <w:t xml:space="preserve"> does not attend an ESAt </w:t>
      </w:r>
      <w:r w:rsidR="00341129" w:rsidRPr="00EF6E4C">
        <w:rPr>
          <w:sz w:val="22"/>
          <w:szCs w:val="22"/>
        </w:rPr>
        <w:t>appointment,</w:t>
      </w:r>
      <w:r w:rsidRPr="00EF6E4C">
        <w:rPr>
          <w:sz w:val="22"/>
          <w:szCs w:val="22"/>
        </w:rPr>
        <w:t xml:space="preserve"> they </w:t>
      </w:r>
      <w:r w:rsidRPr="00EF6E4C">
        <w:rPr>
          <w:i/>
          <w:sz w:val="22"/>
          <w:szCs w:val="22"/>
        </w:rPr>
        <w:t>must</w:t>
      </w:r>
      <w:r w:rsidRPr="00EF6E4C">
        <w:rPr>
          <w:sz w:val="22"/>
          <w:szCs w:val="22"/>
        </w:rPr>
        <w:t xml:space="preserve"> attend the next scheduled appointment.</w:t>
      </w:r>
    </w:p>
    <w:p w14:paraId="0371A107" w14:textId="77777777" w:rsidR="00EF6E4C" w:rsidRPr="00EF6E4C" w:rsidRDefault="00EF6E4C" w:rsidP="00EF6E4C">
      <w:pPr>
        <w:spacing w:before="120" w:after="120"/>
        <w:rPr>
          <w:sz w:val="22"/>
          <w:szCs w:val="22"/>
        </w:rPr>
      </w:pPr>
      <w:r w:rsidRPr="00EF6E4C">
        <w:rPr>
          <w:sz w:val="22"/>
          <w:szCs w:val="22"/>
        </w:rPr>
        <w:t xml:space="preserve">Failure to attend a second scheduled appointment without notifying the Assessor of a valid reason will result in a follow-up contact request from Services Australia. Services Australia may suspend the </w:t>
      </w:r>
      <w:r w:rsidR="000A5C74">
        <w:rPr>
          <w:sz w:val="22"/>
          <w:szCs w:val="22"/>
        </w:rPr>
        <w:t>participant</w:t>
      </w:r>
      <w:r w:rsidRPr="00EF6E4C">
        <w:rPr>
          <w:sz w:val="22"/>
          <w:szCs w:val="22"/>
        </w:rPr>
        <w:t xml:space="preserve">’s Income Support Payment until the </w:t>
      </w:r>
      <w:r w:rsidR="000A5C74">
        <w:rPr>
          <w:sz w:val="22"/>
          <w:szCs w:val="22"/>
        </w:rPr>
        <w:t>participant</w:t>
      </w:r>
      <w:r w:rsidRPr="00EF6E4C">
        <w:rPr>
          <w:sz w:val="22"/>
          <w:szCs w:val="22"/>
        </w:rPr>
        <w:t xml:space="preserve"> contacts Services Australia to reschedule a further appointment. Failure to attend this appointment without notifying the Assessor of a valid reason may result in further administrative action being applied to the </w:t>
      </w:r>
      <w:r w:rsidR="000A5C74">
        <w:rPr>
          <w:sz w:val="22"/>
          <w:szCs w:val="22"/>
        </w:rPr>
        <w:t>participant</w:t>
      </w:r>
      <w:r w:rsidRPr="00EF6E4C">
        <w:rPr>
          <w:sz w:val="22"/>
          <w:szCs w:val="22"/>
        </w:rPr>
        <w:t>’s Income Support Payment.</w:t>
      </w:r>
    </w:p>
    <w:p w14:paraId="393B38C0" w14:textId="77777777" w:rsidR="00EF6E4C" w:rsidRPr="00EF6E4C" w:rsidRDefault="00EF6E4C" w:rsidP="00EF6E4C">
      <w:pPr>
        <w:keepNext/>
        <w:autoSpaceDE w:val="0"/>
        <w:autoSpaceDN w:val="0"/>
        <w:adjustRightInd w:val="0"/>
        <w:spacing w:before="240" w:after="120"/>
        <w:outlineLvl w:val="2"/>
        <w:rPr>
          <w:rFonts w:cs="Arial"/>
          <w:szCs w:val="22"/>
          <w:u w:val="single"/>
        </w:rPr>
      </w:pPr>
      <w:bookmarkStart w:id="43" w:name="_Toc101954832"/>
      <w:bookmarkStart w:id="44" w:name="_Toc101956904"/>
      <w:bookmarkStart w:id="45" w:name="_Toc126830114"/>
      <w:r w:rsidRPr="00EF6E4C">
        <w:rPr>
          <w:rFonts w:cs="Arial"/>
          <w:szCs w:val="22"/>
          <w:u w:val="single"/>
        </w:rPr>
        <w:t>Minimising unnecessary ESAt referrals</w:t>
      </w:r>
      <w:bookmarkEnd w:id="43"/>
      <w:bookmarkEnd w:id="44"/>
      <w:bookmarkEnd w:id="45"/>
    </w:p>
    <w:p w14:paraId="2FFCE1DC" w14:textId="77777777" w:rsidR="00EF6E4C" w:rsidRPr="00EF6E4C" w:rsidRDefault="00EF6E4C" w:rsidP="00EF6E4C">
      <w:pPr>
        <w:spacing w:before="120" w:after="120"/>
        <w:rPr>
          <w:sz w:val="22"/>
          <w:szCs w:val="22"/>
        </w:rPr>
      </w:pPr>
      <w:r w:rsidRPr="00EF6E4C">
        <w:rPr>
          <w:sz w:val="22"/>
          <w:szCs w:val="22"/>
        </w:rPr>
        <w:t xml:space="preserve">DES </w:t>
      </w:r>
      <w:r w:rsidR="00C84A77">
        <w:rPr>
          <w:sz w:val="22"/>
          <w:szCs w:val="22"/>
        </w:rPr>
        <w:t>provider</w:t>
      </w:r>
      <w:r w:rsidRPr="00EF6E4C">
        <w:rPr>
          <w:sz w:val="22"/>
          <w:szCs w:val="22"/>
        </w:rPr>
        <w:t xml:space="preserve">s must minimise unnecessary referrals for ESAts. For example, if a </w:t>
      </w:r>
      <w:r w:rsidR="000A5C74">
        <w:rPr>
          <w:sz w:val="22"/>
          <w:szCs w:val="22"/>
        </w:rPr>
        <w:t>participant</w:t>
      </w:r>
      <w:r w:rsidRPr="00EF6E4C">
        <w:rPr>
          <w:sz w:val="22"/>
          <w:szCs w:val="22"/>
        </w:rPr>
        <w:t xml:space="preserve"> genuinely requires a CoCR and their Program Review is expected within six to eight weeks, the DES </w:t>
      </w:r>
      <w:r w:rsidR="00C84A77">
        <w:rPr>
          <w:sz w:val="22"/>
          <w:szCs w:val="22"/>
        </w:rPr>
        <w:t>provider</w:t>
      </w:r>
      <w:r w:rsidRPr="00EF6E4C">
        <w:rPr>
          <w:sz w:val="22"/>
          <w:szCs w:val="22"/>
        </w:rPr>
        <w:t xml:space="preserve"> should consider if a single referral for a Program Review is appropriate.</w:t>
      </w:r>
    </w:p>
    <w:p w14:paraId="13719309" w14:textId="77777777" w:rsidR="00EF6E4C" w:rsidRPr="00EF6E4C" w:rsidRDefault="00EF6E4C" w:rsidP="00EF6E4C">
      <w:pPr>
        <w:keepNext/>
        <w:autoSpaceDE w:val="0"/>
        <w:autoSpaceDN w:val="0"/>
        <w:adjustRightInd w:val="0"/>
        <w:spacing w:before="240" w:after="120"/>
        <w:outlineLvl w:val="2"/>
        <w:rPr>
          <w:rFonts w:cs="Arial"/>
          <w:szCs w:val="22"/>
          <w:u w:val="single"/>
        </w:rPr>
      </w:pPr>
      <w:bookmarkStart w:id="46" w:name="_Toc101954833"/>
      <w:bookmarkStart w:id="47" w:name="_Toc101956905"/>
      <w:bookmarkStart w:id="48" w:name="_Toc126830115"/>
      <w:r w:rsidRPr="00EF6E4C">
        <w:rPr>
          <w:rFonts w:cs="Arial"/>
          <w:szCs w:val="22"/>
          <w:u w:val="single"/>
        </w:rPr>
        <w:t>Cancelling an ESAt referral</w:t>
      </w:r>
      <w:bookmarkEnd w:id="46"/>
      <w:bookmarkEnd w:id="47"/>
      <w:bookmarkEnd w:id="48"/>
    </w:p>
    <w:p w14:paraId="07227925" w14:textId="77777777" w:rsidR="00EF6E4C" w:rsidRPr="00EF6E4C" w:rsidRDefault="00EF6E4C" w:rsidP="00EF6E4C">
      <w:pPr>
        <w:spacing w:before="120" w:after="120"/>
        <w:rPr>
          <w:rFonts w:cs="Arial"/>
          <w:sz w:val="22"/>
          <w:szCs w:val="22"/>
        </w:rPr>
      </w:pPr>
      <w:r w:rsidRPr="00EF6E4C">
        <w:rPr>
          <w:rFonts w:cs="Arial"/>
          <w:sz w:val="22"/>
          <w:szCs w:val="22"/>
        </w:rPr>
        <w:t xml:space="preserve">An ESAt referral should only be cancelled if it was made in error. Cancelling an ESAt referral should not be used as an alternative to rescheduling an appointment. Where necessary, the DES </w:t>
      </w:r>
      <w:r w:rsidR="00C84A77">
        <w:rPr>
          <w:rFonts w:cs="Arial"/>
          <w:sz w:val="22"/>
          <w:szCs w:val="22"/>
        </w:rPr>
        <w:t>provider</w:t>
      </w:r>
      <w:r w:rsidRPr="00EF6E4C">
        <w:rPr>
          <w:rFonts w:cs="Arial"/>
          <w:sz w:val="22"/>
          <w:szCs w:val="22"/>
        </w:rPr>
        <w:t xml:space="preserve"> should contact the Assessor to arrange rescheduling of a </w:t>
      </w:r>
      <w:r w:rsidR="000A5C74">
        <w:rPr>
          <w:rFonts w:cs="Arial"/>
          <w:sz w:val="22"/>
          <w:szCs w:val="22"/>
        </w:rPr>
        <w:t>participant</w:t>
      </w:r>
      <w:r w:rsidRPr="00EF6E4C">
        <w:rPr>
          <w:rFonts w:cs="Arial"/>
          <w:sz w:val="22"/>
          <w:szCs w:val="22"/>
        </w:rPr>
        <w:t xml:space="preserve">’s appointment and advise the </w:t>
      </w:r>
      <w:r w:rsidR="000A5C74">
        <w:rPr>
          <w:rFonts w:cs="Arial"/>
          <w:sz w:val="22"/>
          <w:szCs w:val="22"/>
        </w:rPr>
        <w:t>participant</w:t>
      </w:r>
      <w:r w:rsidRPr="00EF6E4C">
        <w:rPr>
          <w:rFonts w:cs="Arial"/>
          <w:sz w:val="22"/>
          <w:szCs w:val="22"/>
        </w:rPr>
        <w:t xml:space="preserve"> of the new appointment.</w:t>
      </w:r>
    </w:p>
    <w:p w14:paraId="508E2EBF" w14:textId="77777777" w:rsidR="00EF6E4C" w:rsidRPr="00EF6E4C" w:rsidRDefault="00EF6E4C" w:rsidP="00EF6E4C">
      <w:pPr>
        <w:keepNext/>
        <w:autoSpaceDE w:val="0"/>
        <w:autoSpaceDN w:val="0"/>
        <w:adjustRightInd w:val="0"/>
        <w:spacing w:before="240" w:after="120"/>
        <w:outlineLvl w:val="2"/>
        <w:rPr>
          <w:rFonts w:cs="Arial"/>
          <w:szCs w:val="22"/>
          <w:u w:val="single"/>
        </w:rPr>
      </w:pPr>
      <w:bookmarkStart w:id="49" w:name="_Toc101954834"/>
      <w:bookmarkStart w:id="50" w:name="_Toc101956906"/>
      <w:bookmarkStart w:id="51" w:name="_Toc126830116"/>
      <w:r w:rsidRPr="00EF6E4C">
        <w:rPr>
          <w:rFonts w:cs="Arial"/>
          <w:szCs w:val="22"/>
          <w:u w:val="single"/>
        </w:rPr>
        <w:t>Monitoring progress of an ESAt</w:t>
      </w:r>
      <w:bookmarkEnd w:id="49"/>
      <w:bookmarkEnd w:id="50"/>
      <w:bookmarkEnd w:id="51"/>
    </w:p>
    <w:p w14:paraId="79A438F7" w14:textId="77777777" w:rsidR="00EF6E4C" w:rsidRPr="00EF6E4C" w:rsidRDefault="00EF6E4C" w:rsidP="00EF6E4C">
      <w:pPr>
        <w:spacing w:before="120" w:after="120"/>
        <w:rPr>
          <w:sz w:val="22"/>
          <w:szCs w:val="22"/>
        </w:rPr>
      </w:pPr>
      <w:r w:rsidRPr="00EF6E4C">
        <w:rPr>
          <w:sz w:val="22"/>
          <w:szCs w:val="22"/>
        </w:rPr>
        <w:t xml:space="preserve">Where the DES </w:t>
      </w:r>
      <w:r w:rsidR="00C84A77">
        <w:rPr>
          <w:sz w:val="22"/>
          <w:szCs w:val="22"/>
        </w:rPr>
        <w:t>provider</w:t>
      </w:r>
      <w:r w:rsidRPr="00EF6E4C">
        <w:rPr>
          <w:sz w:val="22"/>
          <w:szCs w:val="22"/>
        </w:rPr>
        <w:t xml:space="preserve"> has made a referral for an ESAt, the DES </w:t>
      </w:r>
      <w:r w:rsidR="00C84A77">
        <w:rPr>
          <w:sz w:val="22"/>
          <w:szCs w:val="22"/>
        </w:rPr>
        <w:t>provider</w:t>
      </w:r>
      <w:r w:rsidRPr="00EF6E4C">
        <w:rPr>
          <w:sz w:val="22"/>
          <w:szCs w:val="22"/>
        </w:rPr>
        <w:t xml:space="preserve"> can contact Services Australia to discuss the progress of the Assessment.</w:t>
      </w:r>
    </w:p>
    <w:p w14:paraId="2C2A44EE" w14:textId="77777777" w:rsidR="00EF6E4C" w:rsidRPr="00EF6E4C" w:rsidRDefault="00EF6E4C" w:rsidP="00EF6E4C">
      <w:pPr>
        <w:spacing w:before="120" w:after="120"/>
        <w:rPr>
          <w:sz w:val="22"/>
          <w:szCs w:val="22"/>
        </w:rPr>
      </w:pPr>
      <w:r w:rsidRPr="00EF6E4C">
        <w:rPr>
          <w:sz w:val="22"/>
          <w:szCs w:val="22"/>
        </w:rPr>
        <w:t xml:space="preserve">In most circumstances, ESAt reports are automatically finalised 28 days after submission. If the report is older than this, the DES </w:t>
      </w:r>
      <w:r w:rsidR="00C84A77">
        <w:rPr>
          <w:sz w:val="22"/>
          <w:szCs w:val="22"/>
        </w:rPr>
        <w:t>provider</w:t>
      </w:r>
      <w:r w:rsidRPr="00EF6E4C">
        <w:rPr>
          <w:sz w:val="22"/>
          <w:szCs w:val="22"/>
        </w:rPr>
        <w:t xml:space="preserve"> should contact the </w:t>
      </w:r>
      <w:r w:rsidR="000A5C74">
        <w:rPr>
          <w:sz w:val="22"/>
          <w:szCs w:val="22"/>
        </w:rPr>
        <w:t>participant</w:t>
      </w:r>
      <w:r w:rsidRPr="00EF6E4C">
        <w:rPr>
          <w:sz w:val="22"/>
          <w:szCs w:val="22"/>
        </w:rPr>
        <w:t xml:space="preserve">’s local Services Australia </w:t>
      </w:r>
      <w:r w:rsidRPr="00EF6E4C">
        <w:rPr>
          <w:sz w:val="22"/>
          <w:szCs w:val="22"/>
        </w:rPr>
        <w:lastRenderedPageBreak/>
        <w:t>Service Centre for further advice—</w:t>
      </w:r>
      <w:r w:rsidRPr="00EF6E4C">
        <w:t xml:space="preserve"> </w:t>
      </w:r>
      <w:r w:rsidRPr="00EF6E4C">
        <w:rPr>
          <w:sz w:val="22"/>
          <w:szCs w:val="22"/>
        </w:rPr>
        <w:t>Services Australia review and accepts submitted ESAt reports for income support purposes.</w:t>
      </w:r>
    </w:p>
    <w:p w14:paraId="6CA33932" w14:textId="77777777" w:rsidR="00EF6E4C" w:rsidRPr="00EF6E4C" w:rsidRDefault="00EF6E4C" w:rsidP="00EF6E4C">
      <w:pPr>
        <w:spacing w:before="120"/>
        <w:rPr>
          <w:rFonts w:asciiTheme="minorHAnsi" w:eastAsiaTheme="minorHAnsi" w:hAnsiTheme="minorHAnsi" w:cstheme="minorBidi"/>
          <w:sz w:val="22"/>
          <w:szCs w:val="22"/>
          <w:lang w:eastAsia="en-US"/>
        </w:rPr>
      </w:pPr>
    </w:p>
    <w:p w14:paraId="4CD63218" w14:textId="77777777" w:rsidR="00EF6E4C" w:rsidRPr="00EF6E4C" w:rsidRDefault="00EF6E4C" w:rsidP="00EF6E4C">
      <w:pPr>
        <w:keepNext/>
        <w:outlineLvl w:val="1"/>
        <w:rPr>
          <w:rFonts w:cs="Arial"/>
          <w:b/>
          <w:bCs/>
          <w:iCs/>
          <w:szCs w:val="28"/>
        </w:rPr>
      </w:pPr>
      <w:bookmarkStart w:id="52" w:name="_Toc101954835"/>
      <w:bookmarkStart w:id="53" w:name="_Toc101956907"/>
      <w:bookmarkStart w:id="54" w:name="_Toc126830117"/>
      <w:r w:rsidRPr="00EF6E4C">
        <w:rPr>
          <w:rFonts w:cs="Arial"/>
          <w:b/>
          <w:bCs/>
          <w:iCs/>
          <w:szCs w:val="28"/>
        </w:rPr>
        <w:t xml:space="preserve">Servicing a </w:t>
      </w:r>
      <w:r w:rsidR="000A5C74">
        <w:rPr>
          <w:rFonts w:cs="Arial"/>
          <w:b/>
          <w:bCs/>
          <w:iCs/>
          <w:szCs w:val="28"/>
        </w:rPr>
        <w:t>participant</w:t>
      </w:r>
      <w:r w:rsidRPr="00EF6E4C">
        <w:rPr>
          <w:rFonts w:cs="Arial"/>
          <w:b/>
          <w:bCs/>
          <w:iCs/>
          <w:szCs w:val="28"/>
        </w:rPr>
        <w:t xml:space="preserve"> while waiting for the outcome of an ESAt</w:t>
      </w:r>
      <w:bookmarkEnd w:id="52"/>
      <w:bookmarkEnd w:id="53"/>
      <w:bookmarkEnd w:id="54"/>
    </w:p>
    <w:p w14:paraId="504C912B" w14:textId="77777777" w:rsidR="00EF6E4C" w:rsidRPr="00EF6E4C" w:rsidRDefault="00EF6E4C" w:rsidP="00EF6E4C">
      <w:pPr>
        <w:keepNext/>
        <w:autoSpaceDE w:val="0"/>
        <w:autoSpaceDN w:val="0"/>
        <w:adjustRightInd w:val="0"/>
        <w:spacing w:before="240" w:after="120"/>
        <w:outlineLvl w:val="2"/>
        <w:rPr>
          <w:rFonts w:cs="Arial"/>
          <w:szCs w:val="22"/>
          <w:u w:val="single"/>
        </w:rPr>
      </w:pPr>
      <w:bookmarkStart w:id="55" w:name="_Toc126830118"/>
      <w:r w:rsidRPr="00EF6E4C">
        <w:rPr>
          <w:rFonts w:cs="Arial"/>
          <w:szCs w:val="22"/>
          <w:u w:val="single"/>
        </w:rPr>
        <w:t xml:space="preserve">Direct Registration of a new </w:t>
      </w:r>
      <w:r w:rsidR="000A5C74">
        <w:rPr>
          <w:rFonts w:cs="Arial"/>
          <w:szCs w:val="22"/>
          <w:u w:val="single"/>
        </w:rPr>
        <w:t>participant</w:t>
      </w:r>
      <w:bookmarkEnd w:id="55"/>
    </w:p>
    <w:p w14:paraId="2469FF48" w14:textId="23D64495" w:rsidR="00EF6E4C" w:rsidRPr="00EF6E4C" w:rsidRDefault="00EF6E4C" w:rsidP="00EF6E4C">
      <w:pPr>
        <w:spacing w:before="120" w:after="120"/>
        <w:rPr>
          <w:sz w:val="22"/>
          <w:szCs w:val="22"/>
        </w:rPr>
      </w:pPr>
      <w:r w:rsidRPr="00EF6E4C">
        <w:rPr>
          <w:sz w:val="22"/>
          <w:szCs w:val="22"/>
        </w:rPr>
        <w:t xml:space="preserve">A newly </w:t>
      </w:r>
      <w:r w:rsidR="0007762B">
        <w:rPr>
          <w:sz w:val="22"/>
          <w:szCs w:val="22"/>
        </w:rPr>
        <w:t>d</w:t>
      </w:r>
      <w:r w:rsidRPr="00EF6E4C">
        <w:rPr>
          <w:sz w:val="22"/>
          <w:szCs w:val="22"/>
        </w:rPr>
        <w:t xml:space="preserve">irectly </w:t>
      </w:r>
      <w:r w:rsidR="0007762B">
        <w:rPr>
          <w:sz w:val="22"/>
          <w:szCs w:val="22"/>
        </w:rPr>
        <w:t>r</w:t>
      </w:r>
      <w:r w:rsidRPr="00EF6E4C">
        <w:rPr>
          <w:sz w:val="22"/>
          <w:szCs w:val="22"/>
        </w:rPr>
        <w:t xml:space="preserve">egistered </w:t>
      </w:r>
      <w:r w:rsidR="000A5C74">
        <w:rPr>
          <w:sz w:val="22"/>
          <w:szCs w:val="22"/>
        </w:rPr>
        <w:t>participant</w:t>
      </w:r>
      <w:r w:rsidRPr="00EF6E4C">
        <w:rPr>
          <w:sz w:val="22"/>
          <w:szCs w:val="22"/>
        </w:rPr>
        <w:t xml:space="preserve"> cannot be commenced in a DES Program until their eligibility has been determined by an Assessor.</w:t>
      </w:r>
    </w:p>
    <w:p w14:paraId="11732CC6" w14:textId="77777777" w:rsidR="00EF6E4C" w:rsidRPr="00EF6E4C" w:rsidRDefault="000A5C74" w:rsidP="00EF6E4C">
      <w:pPr>
        <w:keepNext/>
        <w:autoSpaceDE w:val="0"/>
        <w:autoSpaceDN w:val="0"/>
        <w:adjustRightInd w:val="0"/>
        <w:spacing w:before="240" w:after="120"/>
        <w:outlineLvl w:val="2"/>
        <w:rPr>
          <w:rFonts w:cs="Arial"/>
          <w:szCs w:val="22"/>
          <w:u w:val="single"/>
        </w:rPr>
      </w:pPr>
      <w:bookmarkStart w:id="56" w:name="_Toc126830119"/>
      <w:r>
        <w:rPr>
          <w:rFonts w:cs="Arial"/>
          <w:szCs w:val="22"/>
          <w:u w:val="single"/>
        </w:rPr>
        <w:t>Participant</w:t>
      </w:r>
      <w:r w:rsidR="00EF6E4C" w:rsidRPr="00EF6E4C">
        <w:rPr>
          <w:rFonts w:cs="Arial"/>
          <w:szCs w:val="22"/>
          <w:u w:val="single"/>
        </w:rPr>
        <w:t>s already participating in DES</w:t>
      </w:r>
      <w:bookmarkEnd w:id="56"/>
    </w:p>
    <w:p w14:paraId="0A896394" w14:textId="64B6CEEB" w:rsidR="00EF6E4C" w:rsidRPr="00EF6E4C" w:rsidRDefault="00EF6E4C" w:rsidP="00EF6E4C">
      <w:pPr>
        <w:spacing w:before="120" w:after="120"/>
        <w:rPr>
          <w:sz w:val="22"/>
          <w:szCs w:val="22"/>
        </w:rPr>
      </w:pPr>
      <w:r w:rsidRPr="00EF6E4C">
        <w:rPr>
          <w:sz w:val="22"/>
          <w:szCs w:val="22"/>
        </w:rPr>
        <w:t xml:space="preserve">After the referral is made for an ESAt, the DES </w:t>
      </w:r>
      <w:r w:rsidR="00C84A77">
        <w:rPr>
          <w:sz w:val="22"/>
          <w:szCs w:val="22"/>
        </w:rPr>
        <w:t>provider</w:t>
      </w:r>
      <w:r w:rsidRPr="00EF6E4C">
        <w:rPr>
          <w:sz w:val="22"/>
          <w:szCs w:val="22"/>
        </w:rPr>
        <w:t xml:space="preserve"> must continue servicing the </w:t>
      </w:r>
      <w:r w:rsidR="000A5C74">
        <w:rPr>
          <w:sz w:val="22"/>
          <w:szCs w:val="22"/>
        </w:rPr>
        <w:t>participant</w:t>
      </w:r>
      <w:r w:rsidRPr="00EF6E4C">
        <w:rPr>
          <w:sz w:val="22"/>
          <w:szCs w:val="22"/>
        </w:rPr>
        <w:t xml:space="preserve"> while awaiting the outcome of the Assessment. The only exception is where the </w:t>
      </w:r>
      <w:r w:rsidR="000A5C74">
        <w:rPr>
          <w:sz w:val="22"/>
          <w:szCs w:val="22"/>
        </w:rPr>
        <w:t>participant</w:t>
      </w:r>
      <w:r w:rsidRPr="00EF6E4C">
        <w:rPr>
          <w:sz w:val="22"/>
          <w:szCs w:val="22"/>
        </w:rPr>
        <w:t xml:space="preserve"> has reached 78 weeks of Employment Assistance without an ESAt, in this circumstance the </w:t>
      </w:r>
      <w:r w:rsidR="000A5C74">
        <w:rPr>
          <w:sz w:val="22"/>
          <w:szCs w:val="22"/>
        </w:rPr>
        <w:t>participant</w:t>
      </w:r>
      <w:r w:rsidRPr="00EF6E4C">
        <w:rPr>
          <w:sz w:val="22"/>
          <w:szCs w:val="22"/>
        </w:rPr>
        <w:t xml:space="preserve"> will be suspended until the ESAt </w:t>
      </w:r>
      <w:r w:rsidR="0007762B">
        <w:rPr>
          <w:sz w:val="22"/>
          <w:szCs w:val="22"/>
        </w:rPr>
        <w:t>p</w:t>
      </w:r>
      <w:r w:rsidRPr="00EF6E4C">
        <w:rPr>
          <w:sz w:val="22"/>
          <w:szCs w:val="22"/>
        </w:rPr>
        <w:t xml:space="preserve">rogram </w:t>
      </w:r>
      <w:r w:rsidR="0007762B">
        <w:rPr>
          <w:sz w:val="22"/>
          <w:szCs w:val="22"/>
        </w:rPr>
        <w:t>r</w:t>
      </w:r>
      <w:r w:rsidRPr="00EF6E4C">
        <w:rPr>
          <w:sz w:val="22"/>
          <w:szCs w:val="22"/>
        </w:rPr>
        <w:t>eview is completed.</w:t>
      </w:r>
    </w:p>
    <w:p w14:paraId="53BDC85B" w14:textId="77777777" w:rsidR="00EF6E4C" w:rsidRPr="00EF6E4C" w:rsidRDefault="00EF6E4C" w:rsidP="00EF6E4C">
      <w:pPr>
        <w:spacing w:before="120" w:line="264" w:lineRule="auto"/>
        <w:ind w:left="1440"/>
        <w:rPr>
          <w:rFonts w:asciiTheme="minorHAnsi" w:eastAsiaTheme="minorHAnsi" w:hAnsiTheme="minorHAnsi" w:cstheme="minorBidi"/>
          <w:sz w:val="22"/>
          <w:szCs w:val="22"/>
          <w:lang w:eastAsia="en-US"/>
        </w:rPr>
      </w:pPr>
    </w:p>
    <w:p w14:paraId="32BC2F9D" w14:textId="77777777" w:rsidR="00EF6E4C" w:rsidRPr="00EF6E4C" w:rsidRDefault="00EF6E4C" w:rsidP="00EF6E4C">
      <w:pPr>
        <w:keepNext/>
        <w:outlineLvl w:val="1"/>
        <w:rPr>
          <w:rFonts w:cs="Arial"/>
          <w:b/>
          <w:bCs/>
          <w:iCs/>
          <w:szCs w:val="28"/>
        </w:rPr>
      </w:pPr>
      <w:bookmarkStart w:id="57" w:name="_Toc101954836"/>
      <w:bookmarkStart w:id="58" w:name="_Toc101956908"/>
      <w:bookmarkStart w:id="59" w:name="_Toc126830120"/>
      <w:r w:rsidRPr="00EF6E4C">
        <w:rPr>
          <w:rFonts w:cs="Arial"/>
          <w:b/>
          <w:bCs/>
          <w:iCs/>
          <w:szCs w:val="28"/>
        </w:rPr>
        <w:t>Submitting the ESAt Report</w:t>
      </w:r>
      <w:bookmarkEnd w:id="57"/>
      <w:bookmarkEnd w:id="58"/>
      <w:bookmarkEnd w:id="59"/>
    </w:p>
    <w:p w14:paraId="787B6ABB" w14:textId="0B18B957" w:rsidR="00EF6E4C" w:rsidRPr="00EF6E4C" w:rsidRDefault="00EF6E4C" w:rsidP="00EF6E4C">
      <w:pPr>
        <w:spacing w:before="120" w:after="120"/>
        <w:rPr>
          <w:rFonts w:cs="Calibri"/>
          <w:sz w:val="22"/>
          <w:szCs w:val="22"/>
        </w:rPr>
      </w:pPr>
      <w:r w:rsidRPr="00EF6E4C">
        <w:rPr>
          <w:rFonts w:cs="Calibri"/>
          <w:sz w:val="22"/>
          <w:szCs w:val="22"/>
        </w:rPr>
        <w:t xml:space="preserve">After the ESAt has been conducted, the Assessor will submit a report on the Department’s IT systems. The ESAt </w:t>
      </w:r>
      <w:r w:rsidR="0007762B">
        <w:rPr>
          <w:rFonts w:cs="Calibri"/>
          <w:sz w:val="22"/>
          <w:szCs w:val="22"/>
        </w:rPr>
        <w:t>r</w:t>
      </w:r>
      <w:r w:rsidRPr="00EF6E4C">
        <w:rPr>
          <w:rFonts w:cs="Calibri"/>
          <w:sz w:val="22"/>
          <w:szCs w:val="22"/>
        </w:rPr>
        <w:t xml:space="preserve">eport identifies the most suitable interventions for the </w:t>
      </w:r>
      <w:r w:rsidR="000A5C74">
        <w:rPr>
          <w:rFonts w:cs="Calibri"/>
          <w:sz w:val="22"/>
          <w:szCs w:val="22"/>
        </w:rPr>
        <w:t>participant</w:t>
      </w:r>
      <w:r w:rsidRPr="00EF6E4C">
        <w:rPr>
          <w:rFonts w:cs="Calibri"/>
          <w:sz w:val="22"/>
          <w:szCs w:val="22"/>
        </w:rPr>
        <w:t xml:space="preserve">, their assessed work capacity in hour bandwidths and the employment service recommended for the </w:t>
      </w:r>
      <w:r w:rsidR="000A5C74">
        <w:rPr>
          <w:rFonts w:cs="Calibri"/>
          <w:sz w:val="22"/>
          <w:szCs w:val="22"/>
        </w:rPr>
        <w:t>participant</w:t>
      </w:r>
      <w:r w:rsidRPr="00EF6E4C">
        <w:rPr>
          <w:rFonts w:cs="Calibri"/>
          <w:sz w:val="22"/>
          <w:szCs w:val="22"/>
        </w:rPr>
        <w:t>, where appropriate.</w:t>
      </w:r>
    </w:p>
    <w:p w14:paraId="31BA79D3" w14:textId="4438823F" w:rsidR="00EF6E4C" w:rsidRPr="00EF6E4C" w:rsidRDefault="00EF6E4C" w:rsidP="00EF6E4C">
      <w:pPr>
        <w:spacing w:before="120" w:after="120"/>
        <w:rPr>
          <w:rFonts w:cs="Calibri"/>
          <w:sz w:val="22"/>
          <w:szCs w:val="22"/>
        </w:rPr>
      </w:pPr>
      <w:r w:rsidRPr="00EF6E4C">
        <w:rPr>
          <w:rFonts w:cs="Calibri"/>
          <w:sz w:val="22"/>
          <w:szCs w:val="22"/>
        </w:rPr>
        <w:t xml:space="preserve">Submission of the ESAt report completes the Assessment process for DES </w:t>
      </w:r>
      <w:r w:rsidR="000A5C74">
        <w:rPr>
          <w:rFonts w:cs="Calibri"/>
          <w:sz w:val="22"/>
          <w:szCs w:val="22"/>
        </w:rPr>
        <w:t>participant</w:t>
      </w:r>
      <w:r w:rsidRPr="00EF6E4C">
        <w:rPr>
          <w:rFonts w:cs="Calibri"/>
          <w:sz w:val="22"/>
          <w:szCs w:val="22"/>
        </w:rPr>
        <w:t xml:space="preserve">s and enables </w:t>
      </w:r>
      <w:r w:rsidR="0007762B">
        <w:rPr>
          <w:rFonts w:cs="Calibri"/>
          <w:sz w:val="22"/>
          <w:szCs w:val="22"/>
        </w:rPr>
        <w:t>p</w:t>
      </w:r>
      <w:r w:rsidRPr="00EF6E4C">
        <w:rPr>
          <w:rFonts w:cs="Calibri"/>
          <w:sz w:val="22"/>
          <w:szCs w:val="22"/>
        </w:rPr>
        <w:t xml:space="preserve">rogram eligibility and the </w:t>
      </w:r>
      <w:r w:rsidR="0007762B">
        <w:rPr>
          <w:rFonts w:cs="Calibri"/>
          <w:sz w:val="22"/>
          <w:szCs w:val="22"/>
        </w:rPr>
        <w:t>f</w:t>
      </w:r>
      <w:r w:rsidRPr="00EF6E4C">
        <w:rPr>
          <w:rFonts w:cs="Calibri"/>
          <w:sz w:val="22"/>
          <w:szCs w:val="22"/>
        </w:rPr>
        <w:t xml:space="preserve">unding </w:t>
      </w:r>
      <w:r w:rsidR="0007762B">
        <w:rPr>
          <w:rFonts w:cs="Calibri"/>
          <w:sz w:val="22"/>
          <w:szCs w:val="22"/>
        </w:rPr>
        <w:t>l</w:t>
      </w:r>
      <w:r w:rsidRPr="00EF6E4C">
        <w:rPr>
          <w:rFonts w:cs="Calibri"/>
          <w:sz w:val="22"/>
          <w:szCs w:val="22"/>
        </w:rPr>
        <w:t xml:space="preserve">evel (if applicable) to be determined. The receiving DES </w:t>
      </w:r>
      <w:r w:rsidR="00C84A77">
        <w:rPr>
          <w:rFonts w:cs="Calibri"/>
          <w:sz w:val="22"/>
          <w:szCs w:val="22"/>
        </w:rPr>
        <w:t>provider</w:t>
      </w:r>
      <w:r w:rsidRPr="00EF6E4C">
        <w:rPr>
          <w:rFonts w:cs="Calibri"/>
          <w:sz w:val="22"/>
          <w:szCs w:val="22"/>
        </w:rPr>
        <w:t xml:space="preserve"> is notified via the </w:t>
      </w:r>
      <w:r w:rsidR="0007762B">
        <w:rPr>
          <w:rFonts w:cs="Calibri"/>
          <w:sz w:val="22"/>
          <w:szCs w:val="22"/>
        </w:rPr>
        <w:t>n</w:t>
      </w:r>
      <w:r w:rsidRPr="00EF6E4C">
        <w:rPr>
          <w:rFonts w:cs="Calibri"/>
          <w:sz w:val="22"/>
          <w:szCs w:val="22"/>
        </w:rPr>
        <w:t xml:space="preserve">oticeboard in the Department’s IT Systems when the ESAt report has been submitted and of the </w:t>
      </w:r>
      <w:r w:rsidR="000A5C74">
        <w:rPr>
          <w:rFonts w:cs="Calibri"/>
          <w:sz w:val="22"/>
          <w:szCs w:val="22"/>
        </w:rPr>
        <w:t>participant</w:t>
      </w:r>
      <w:r w:rsidRPr="00EF6E4C">
        <w:rPr>
          <w:rFonts w:cs="Calibri"/>
          <w:sz w:val="22"/>
          <w:szCs w:val="22"/>
        </w:rPr>
        <w:t xml:space="preserve">’s </w:t>
      </w:r>
      <w:r w:rsidR="0007762B">
        <w:rPr>
          <w:rFonts w:cs="Calibri"/>
          <w:sz w:val="22"/>
          <w:szCs w:val="22"/>
        </w:rPr>
        <w:t>p</w:t>
      </w:r>
      <w:r w:rsidRPr="00EF6E4C">
        <w:rPr>
          <w:rFonts w:cs="Calibri"/>
          <w:sz w:val="22"/>
          <w:szCs w:val="22"/>
        </w:rPr>
        <w:t>rogram eligibility.</w:t>
      </w:r>
    </w:p>
    <w:p w14:paraId="59E07116" w14:textId="77777777" w:rsidR="00EF6E4C" w:rsidRPr="00EF6E4C" w:rsidRDefault="00EF6E4C" w:rsidP="00EF6E4C">
      <w:pPr>
        <w:spacing w:before="120" w:after="120"/>
        <w:rPr>
          <w:rFonts w:cs="Calibri"/>
          <w:sz w:val="22"/>
          <w:szCs w:val="22"/>
        </w:rPr>
      </w:pPr>
      <w:r w:rsidRPr="00EF6E4C">
        <w:rPr>
          <w:rFonts w:cs="Calibri"/>
          <w:b/>
          <w:sz w:val="22"/>
          <w:szCs w:val="22"/>
        </w:rPr>
        <w:t>Note:</w:t>
      </w:r>
      <w:r w:rsidRPr="00EF6E4C">
        <w:rPr>
          <w:rFonts w:cs="Calibri"/>
          <w:sz w:val="22"/>
          <w:szCs w:val="22"/>
        </w:rPr>
        <w:t xml:space="preserve"> When the ESAt report is submitted, the </w:t>
      </w:r>
      <w:r w:rsidR="000A5C74">
        <w:rPr>
          <w:rFonts w:cs="Calibri"/>
          <w:sz w:val="22"/>
          <w:szCs w:val="22"/>
        </w:rPr>
        <w:t>participant</w:t>
      </w:r>
      <w:r w:rsidRPr="00EF6E4C">
        <w:rPr>
          <w:rFonts w:cs="Calibri"/>
          <w:sz w:val="22"/>
          <w:szCs w:val="22"/>
        </w:rPr>
        <w:t xml:space="preserve">’s JSCI may be automatically updated with relevant information from the ESAt report including the </w:t>
      </w:r>
      <w:r w:rsidR="000A5C74">
        <w:rPr>
          <w:rFonts w:cs="Calibri"/>
          <w:sz w:val="22"/>
          <w:szCs w:val="22"/>
        </w:rPr>
        <w:t>participant</w:t>
      </w:r>
      <w:r w:rsidRPr="00EF6E4C">
        <w:rPr>
          <w:rFonts w:cs="Calibri"/>
          <w:sz w:val="22"/>
          <w:szCs w:val="22"/>
        </w:rPr>
        <w:t>’s assessed work capacity in hour bandwidths, any permanent medical conditions and the impact of any personal factors that were identified at the ESAt.</w:t>
      </w:r>
    </w:p>
    <w:p w14:paraId="125F463E" w14:textId="77777777" w:rsidR="00EF6E4C" w:rsidRPr="00EF6E4C" w:rsidRDefault="00EF6E4C" w:rsidP="00EF6E4C">
      <w:pPr>
        <w:keepNext/>
        <w:autoSpaceDE w:val="0"/>
        <w:autoSpaceDN w:val="0"/>
        <w:adjustRightInd w:val="0"/>
        <w:spacing w:before="240" w:after="120"/>
        <w:outlineLvl w:val="2"/>
        <w:rPr>
          <w:rFonts w:cs="Arial"/>
          <w:szCs w:val="22"/>
          <w:u w:val="single"/>
        </w:rPr>
      </w:pPr>
      <w:bookmarkStart w:id="60" w:name="_Toc101954837"/>
      <w:bookmarkStart w:id="61" w:name="_Toc101956909"/>
      <w:bookmarkStart w:id="62" w:name="_Toc126830121"/>
      <w:r w:rsidRPr="00EF6E4C">
        <w:rPr>
          <w:rFonts w:cs="Arial"/>
          <w:szCs w:val="22"/>
          <w:u w:val="single"/>
        </w:rPr>
        <w:t>Existing ESAt/JCA remains Valid</w:t>
      </w:r>
      <w:bookmarkEnd w:id="60"/>
      <w:bookmarkEnd w:id="61"/>
      <w:bookmarkEnd w:id="62"/>
    </w:p>
    <w:p w14:paraId="6C16658E" w14:textId="77777777" w:rsidR="00EF6E4C" w:rsidRPr="00EF6E4C" w:rsidRDefault="00EF6E4C" w:rsidP="00EF6E4C">
      <w:pPr>
        <w:spacing w:before="120" w:after="120"/>
        <w:rPr>
          <w:rFonts w:cs="Calibri"/>
          <w:sz w:val="22"/>
          <w:szCs w:val="22"/>
        </w:rPr>
      </w:pPr>
      <w:r w:rsidRPr="00EF6E4C">
        <w:rPr>
          <w:rFonts w:cs="Calibri"/>
          <w:sz w:val="22"/>
          <w:szCs w:val="22"/>
        </w:rPr>
        <w:t xml:space="preserve">If an ESAt was not required for the </w:t>
      </w:r>
      <w:r w:rsidR="000A5C74">
        <w:rPr>
          <w:rFonts w:cs="Calibri"/>
          <w:sz w:val="22"/>
          <w:szCs w:val="22"/>
        </w:rPr>
        <w:t>participant</w:t>
      </w:r>
      <w:r w:rsidRPr="00EF6E4C">
        <w:rPr>
          <w:rFonts w:cs="Calibri"/>
          <w:sz w:val="22"/>
          <w:szCs w:val="22"/>
        </w:rPr>
        <w:t xml:space="preserve"> because the existing ESAt/JCA is Valid, the DES </w:t>
      </w:r>
      <w:r w:rsidR="00C84A77">
        <w:rPr>
          <w:rFonts w:cs="Calibri"/>
          <w:sz w:val="22"/>
          <w:szCs w:val="22"/>
        </w:rPr>
        <w:t>provider</w:t>
      </w:r>
      <w:r w:rsidRPr="00EF6E4C">
        <w:rPr>
          <w:rFonts w:cs="Calibri"/>
          <w:sz w:val="22"/>
          <w:szCs w:val="22"/>
        </w:rPr>
        <w:t xml:space="preserve"> can continue servicing the </w:t>
      </w:r>
      <w:r w:rsidR="000A5C74">
        <w:rPr>
          <w:rFonts w:cs="Calibri"/>
          <w:sz w:val="22"/>
          <w:szCs w:val="22"/>
        </w:rPr>
        <w:t>participant</w:t>
      </w:r>
      <w:r w:rsidRPr="00EF6E4C">
        <w:rPr>
          <w:rFonts w:cs="Calibri"/>
          <w:sz w:val="22"/>
          <w:szCs w:val="22"/>
        </w:rPr>
        <w:t>.</w:t>
      </w:r>
    </w:p>
    <w:p w14:paraId="3242D8CC" w14:textId="77777777" w:rsidR="00EF6E4C" w:rsidRPr="00EF6E4C" w:rsidRDefault="00EF6E4C" w:rsidP="00EF6E4C">
      <w:pPr>
        <w:keepNext/>
        <w:autoSpaceDE w:val="0"/>
        <w:autoSpaceDN w:val="0"/>
        <w:adjustRightInd w:val="0"/>
        <w:spacing w:before="240" w:after="120"/>
        <w:outlineLvl w:val="2"/>
        <w:rPr>
          <w:rFonts w:cs="Arial"/>
          <w:szCs w:val="22"/>
          <w:u w:val="single"/>
        </w:rPr>
      </w:pPr>
      <w:bookmarkStart w:id="63" w:name="_Toc101954838"/>
      <w:bookmarkStart w:id="64" w:name="_Toc101956910"/>
      <w:bookmarkStart w:id="65" w:name="_Toc126830122"/>
      <w:r w:rsidRPr="00EF6E4C">
        <w:rPr>
          <w:rFonts w:cs="Arial"/>
          <w:szCs w:val="22"/>
          <w:u w:val="single"/>
        </w:rPr>
        <w:t>Unchanged servicing requirements</w:t>
      </w:r>
      <w:bookmarkEnd w:id="63"/>
      <w:bookmarkEnd w:id="64"/>
      <w:bookmarkEnd w:id="65"/>
    </w:p>
    <w:p w14:paraId="4983C647" w14:textId="3EEA2000" w:rsidR="00EF6E4C" w:rsidRPr="00EF6E4C" w:rsidRDefault="00EF6E4C" w:rsidP="00EF6E4C">
      <w:pPr>
        <w:spacing w:before="120" w:after="120"/>
        <w:rPr>
          <w:rFonts w:cs="Calibri"/>
          <w:sz w:val="22"/>
          <w:szCs w:val="22"/>
        </w:rPr>
      </w:pPr>
      <w:r w:rsidRPr="00EF6E4C">
        <w:rPr>
          <w:rFonts w:cs="Calibri"/>
          <w:sz w:val="22"/>
          <w:szCs w:val="22"/>
        </w:rPr>
        <w:t xml:space="preserve">If the ESAt report identifies that the </w:t>
      </w:r>
      <w:r w:rsidR="000A5C74">
        <w:rPr>
          <w:rFonts w:cs="Calibri"/>
          <w:sz w:val="22"/>
          <w:szCs w:val="22"/>
        </w:rPr>
        <w:t>participant</w:t>
      </w:r>
      <w:r w:rsidRPr="00EF6E4C">
        <w:rPr>
          <w:rFonts w:cs="Calibri"/>
          <w:sz w:val="22"/>
          <w:szCs w:val="22"/>
        </w:rPr>
        <w:t xml:space="preserve">’s </w:t>
      </w:r>
      <w:r w:rsidR="0007762B">
        <w:rPr>
          <w:rFonts w:cs="Calibri"/>
          <w:sz w:val="22"/>
          <w:szCs w:val="22"/>
        </w:rPr>
        <w:t>p</w:t>
      </w:r>
      <w:r w:rsidRPr="00EF6E4C">
        <w:rPr>
          <w:rFonts w:cs="Calibri"/>
          <w:sz w:val="22"/>
          <w:szCs w:val="22"/>
        </w:rPr>
        <w:t xml:space="preserve">rogram </w:t>
      </w:r>
      <w:r w:rsidR="0007762B">
        <w:rPr>
          <w:rFonts w:cs="Calibri"/>
          <w:sz w:val="22"/>
          <w:szCs w:val="22"/>
        </w:rPr>
        <w:t>s</w:t>
      </w:r>
      <w:r w:rsidRPr="00EF6E4C">
        <w:rPr>
          <w:rFonts w:cs="Calibri"/>
          <w:sz w:val="22"/>
          <w:szCs w:val="22"/>
        </w:rPr>
        <w:t xml:space="preserve">ervices eligibility has not changed, the DES </w:t>
      </w:r>
      <w:r w:rsidR="00C84A77">
        <w:rPr>
          <w:rFonts w:cs="Calibri"/>
          <w:sz w:val="22"/>
          <w:szCs w:val="22"/>
        </w:rPr>
        <w:t>provider</w:t>
      </w:r>
      <w:r w:rsidRPr="00EF6E4C">
        <w:rPr>
          <w:rFonts w:cs="Calibri"/>
          <w:sz w:val="22"/>
          <w:szCs w:val="22"/>
        </w:rPr>
        <w:t xml:space="preserve"> must continue servicing the </w:t>
      </w:r>
      <w:r w:rsidR="000A5C74">
        <w:rPr>
          <w:rFonts w:cs="Calibri"/>
          <w:sz w:val="22"/>
          <w:szCs w:val="22"/>
        </w:rPr>
        <w:t>participant</w:t>
      </w:r>
      <w:r w:rsidRPr="00EF6E4C">
        <w:rPr>
          <w:rFonts w:cs="Calibri"/>
          <w:sz w:val="22"/>
          <w:szCs w:val="22"/>
        </w:rPr>
        <w:t xml:space="preserve"> in their current </w:t>
      </w:r>
      <w:r w:rsidR="0007762B">
        <w:rPr>
          <w:rFonts w:cs="Calibri"/>
          <w:sz w:val="22"/>
          <w:szCs w:val="22"/>
        </w:rPr>
        <w:t>p</w:t>
      </w:r>
      <w:r w:rsidRPr="00EF6E4C">
        <w:rPr>
          <w:rFonts w:cs="Calibri"/>
          <w:sz w:val="22"/>
          <w:szCs w:val="22"/>
        </w:rPr>
        <w:t>rogram.</w:t>
      </w:r>
    </w:p>
    <w:p w14:paraId="5F5A6629" w14:textId="77777777" w:rsidR="00EF6E4C" w:rsidRPr="00EF6E4C" w:rsidRDefault="00EF6E4C" w:rsidP="00EF6E4C">
      <w:pPr>
        <w:keepNext/>
        <w:autoSpaceDE w:val="0"/>
        <w:autoSpaceDN w:val="0"/>
        <w:adjustRightInd w:val="0"/>
        <w:spacing w:before="240" w:after="120"/>
        <w:outlineLvl w:val="2"/>
        <w:rPr>
          <w:rFonts w:cs="Arial"/>
          <w:szCs w:val="22"/>
          <w:u w:val="single"/>
        </w:rPr>
      </w:pPr>
      <w:bookmarkStart w:id="66" w:name="_Toc101954839"/>
      <w:bookmarkStart w:id="67" w:name="_Toc101956911"/>
      <w:bookmarkStart w:id="68" w:name="_Toc126830123"/>
      <w:r w:rsidRPr="00EF6E4C">
        <w:rPr>
          <w:rFonts w:cs="Arial"/>
          <w:szCs w:val="22"/>
          <w:u w:val="single"/>
        </w:rPr>
        <w:t xml:space="preserve">New </w:t>
      </w:r>
      <w:r w:rsidR="000A5C74">
        <w:rPr>
          <w:rFonts w:cs="Arial"/>
          <w:szCs w:val="22"/>
          <w:u w:val="single"/>
        </w:rPr>
        <w:t>participant</w:t>
      </w:r>
      <w:r w:rsidRPr="00EF6E4C">
        <w:rPr>
          <w:rFonts w:cs="Arial"/>
          <w:szCs w:val="22"/>
          <w:u w:val="single"/>
        </w:rPr>
        <w:t xml:space="preserve"> eligible for DES</w:t>
      </w:r>
      <w:bookmarkEnd w:id="66"/>
      <w:bookmarkEnd w:id="67"/>
      <w:bookmarkEnd w:id="68"/>
    </w:p>
    <w:p w14:paraId="2A0E20F7" w14:textId="70EF03A0" w:rsidR="00EF6E4C" w:rsidRPr="00EF6E4C" w:rsidRDefault="00EF6E4C" w:rsidP="00EF6E4C">
      <w:pPr>
        <w:spacing w:before="120" w:after="120"/>
        <w:rPr>
          <w:rFonts w:cs="Calibri"/>
          <w:sz w:val="22"/>
          <w:szCs w:val="22"/>
        </w:rPr>
      </w:pPr>
      <w:r w:rsidRPr="00EF6E4C">
        <w:rPr>
          <w:rFonts w:cs="Calibri"/>
          <w:sz w:val="22"/>
          <w:szCs w:val="22"/>
        </w:rPr>
        <w:t xml:space="preserve">Where the ESAt report identifies that a new </w:t>
      </w:r>
      <w:r w:rsidR="000A5C74">
        <w:rPr>
          <w:rFonts w:cs="Calibri"/>
          <w:sz w:val="22"/>
          <w:szCs w:val="22"/>
        </w:rPr>
        <w:t>participant</w:t>
      </w:r>
      <w:r w:rsidRPr="00EF6E4C">
        <w:rPr>
          <w:rFonts w:cs="Calibri"/>
          <w:sz w:val="22"/>
          <w:szCs w:val="22"/>
        </w:rPr>
        <w:t xml:space="preserve"> is eligible for </w:t>
      </w:r>
      <w:r w:rsidR="0007762B">
        <w:rPr>
          <w:rFonts w:cs="Calibri"/>
          <w:sz w:val="22"/>
          <w:szCs w:val="22"/>
        </w:rPr>
        <w:t>p</w:t>
      </w:r>
      <w:r w:rsidRPr="00EF6E4C">
        <w:rPr>
          <w:rFonts w:cs="Calibri"/>
          <w:sz w:val="22"/>
          <w:szCs w:val="22"/>
        </w:rPr>
        <w:t xml:space="preserve">rogram </w:t>
      </w:r>
      <w:r w:rsidR="0007762B">
        <w:rPr>
          <w:rFonts w:cs="Calibri"/>
          <w:sz w:val="22"/>
          <w:szCs w:val="22"/>
        </w:rPr>
        <w:t>s</w:t>
      </w:r>
      <w:r w:rsidRPr="00EF6E4C">
        <w:rPr>
          <w:rFonts w:cs="Calibri"/>
          <w:sz w:val="22"/>
          <w:szCs w:val="22"/>
        </w:rPr>
        <w:t xml:space="preserve">ervices the DES </w:t>
      </w:r>
      <w:r w:rsidR="00C84A77">
        <w:rPr>
          <w:rFonts w:cs="Calibri"/>
          <w:sz w:val="22"/>
          <w:szCs w:val="22"/>
        </w:rPr>
        <w:t>provider</w:t>
      </w:r>
      <w:r w:rsidRPr="00EF6E4C">
        <w:rPr>
          <w:rFonts w:cs="Calibri"/>
          <w:sz w:val="22"/>
          <w:szCs w:val="22"/>
        </w:rPr>
        <w:t xml:space="preserve"> delivers, the DES </w:t>
      </w:r>
      <w:r w:rsidR="00C84A77">
        <w:rPr>
          <w:rFonts w:cs="Calibri"/>
          <w:sz w:val="22"/>
          <w:szCs w:val="22"/>
        </w:rPr>
        <w:t>provider</w:t>
      </w:r>
      <w:r w:rsidRPr="00EF6E4C">
        <w:rPr>
          <w:rFonts w:cs="Calibri"/>
          <w:sz w:val="22"/>
          <w:szCs w:val="22"/>
        </w:rPr>
        <w:t xml:space="preserve"> must </w:t>
      </w:r>
      <w:r w:rsidR="00365F82">
        <w:rPr>
          <w:rFonts w:cs="Calibri"/>
          <w:sz w:val="22"/>
          <w:szCs w:val="22"/>
        </w:rPr>
        <w:t>commence</w:t>
      </w:r>
      <w:r w:rsidRPr="00EF6E4C">
        <w:rPr>
          <w:rFonts w:cs="Calibri"/>
          <w:sz w:val="22"/>
          <w:szCs w:val="22"/>
        </w:rPr>
        <w:t xml:space="preserve"> the </w:t>
      </w:r>
      <w:r w:rsidR="000A5C74">
        <w:rPr>
          <w:rFonts w:cs="Calibri"/>
          <w:sz w:val="22"/>
          <w:szCs w:val="22"/>
        </w:rPr>
        <w:t>participant</w:t>
      </w:r>
      <w:r w:rsidRPr="00EF6E4C">
        <w:rPr>
          <w:rFonts w:cs="Calibri"/>
          <w:sz w:val="22"/>
          <w:szCs w:val="22"/>
        </w:rPr>
        <w:t xml:space="preserve"> in the </w:t>
      </w:r>
      <w:r w:rsidR="0007762B">
        <w:rPr>
          <w:rFonts w:cs="Calibri"/>
          <w:sz w:val="22"/>
          <w:szCs w:val="22"/>
        </w:rPr>
        <w:t>p</w:t>
      </w:r>
      <w:r w:rsidRPr="00EF6E4C">
        <w:rPr>
          <w:rFonts w:cs="Calibri"/>
          <w:sz w:val="22"/>
          <w:szCs w:val="22"/>
        </w:rPr>
        <w:t xml:space="preserve">rogram </w:t>
      </w:r>
      <w:r w:rsidR="0007762B">
        <w:rPr>
          <w:rFonts w:cs="Calibri"/>
          <w:sz w:val="22"/>
          <w:szCs w:val="22"/>
        </w:rPr>
        <w:t>s</w:t>
      </w:r>
      <w:r w:rsidRPr="00EF6E4C">
        <w:rPr>
          <w:rFonts w:cs="Calibri"/>
          <w:sz w:val="22"/>
          <w:szCs w:val="22"/>
        </w:rPr>
        <w:t xml:space="preserve">ervices in accordance with the </w:t>
      </w:r>
      <w:r w:rsidRPr="00EF6E4C">
        <w:rPr>
          <w:rFonts w:cs="Calibri"/>
          <w:i/>
          <w:sz w:val="22"/>
          <w:szCs w:val="22"/>
        </w:rPr>
        <w:t>Eligibility, Referral and Commencement Guidelines</w:t>
      </w:r>
      <w:r w:rsidRPr="00EF6E4C">
        <w:rPr>
          <w:rFonts w:cs="Calibri"/>
          <w:sz w:val="22"/>
          <w:szCs w:val="22"/>
        </w:rPr>
        <w:t>.</w:t>
      </w:r>
    </w:p>
    <w:p w14:paraId="7B13770C" w14:textId="77777777" w:rsidR="00EF6E4C" w:rsidRPr="00EF6E4C" w:rsidRDefault="00EF6E4C" w:rsidP="00EF6E4C">
      <w:pPr>
        <w:keepNext/>
        <w:autoSpaceDE w:val="0"/>
        <w:autoSpaceDN w:val="0"/>
        <w:adjustRightInd w:val="0"/>
        <w:spacing w:before="240" w:after="120"/>
        <w:outlineLvl w:val="2"/>
        <w:rPr>
          <w:rFonts w:cs="Arial"/>
          <w:szCs w:val="22"/>
          <w:u w:val="single"/>
        </w:rPr>
      </w:pPr>
      <w:bookmarkStart w:id="69" w:name="_Toc101954840"/>
      <w:bookmarkStart w:id="70" w:name="_Toc101956912"/>
      <w:bookmarkStart w:id="71" w:name="_Toc126830124"/>
      <w:r w:rsidRPr="00EF6E4C">
        <w:rPr>
          <w:rFonts w:cs="Arial"/>
          <w:szCs w:val="22"/>
          <w:u w:val="single"/>
        </w:rPr>
        <w:t>Change in DES Service (DES-DMS/DES-ESS)</w:t>
      </w:r>
      <w:bookmarkEnd w:id="69"/>
      <w:bookmarkEnd w:id="70"/>
      <w:bookmarkEnd w:id="71"/>
    </w:p>
    <w:p w14:paraId="34CB06F7" w14:textId="77777777" w:rsidR="00EF6E4C" w:rsidRPr="00EF6E4C" w:rsidRDefault="00EF6E4C" w:rsidP="00EF6E4C">
      <w:pPr>
        <w:spacing w:before="120" w:after="120"/>
        <w:rPr>
          <w:rFonts w:cs="Calibri"/>
          <w:sz w:val="22"/>
          <w:szCs w:val="22"/>
        </w:rPr>
      </w:pPr>
      <w:r w:rsidRPr="00EF6E4C">
        <w:rPr>
          <w:rFonts w:cs="Calibri"/>
          <w:sz w:val="22"/>
          <w:szCs w:val="22"/>
        </w:rPr>
        <w:t xml:space="preserve">Where the ESAt report identifies that an existing </w:t>
      </w:r>
      <w:r w:rsidR="000A5C74">
        <w:rPr>
          <w:rFonts w:cs="Calibri"/>
          <w:sz w:val="22"/>
          <w:szCs w:val="22"/>
        </w:rPr>
        <w:t>participant</w:t>
      </w:r>
      <w:r w:rsidRPr="00EF6E4C">
        <w:rPr>
          <w:rFonts w:cs="Calibri"/>
          <w:sz w:val="22"/>
          <w:szCs w:val="22"/>
        </w:rPr>
        <w:t xml:space="preserve"> is eligible for the alternate DES service to the one they are currently </w:t>
      </w:r>
      <w:r w:rsidR="00365F82">
        <w:rPr>
          <w:rFonts w:cs="Calibri"/>
          <w:sz w:val="22"/>
          <w:szCs w:val="22"/>
        </w:rPr>
        <w:t>commence</w:t>
      </w:r>
      <w:r w:rsidRPr="00EF6E4C">
        <w:rPr>
          <w:rFonts w:cs="Calibri"/>
          <w:sz w:val="22"/>
          <w:szCs w:val="22"/>
        </w:rPr>
        <w:t xml:space="preserve">d in, the DES </w:t>
      </w:r>
      <w:r w:rsidR="00C84A77">
        <w:rPr>
          <w:rFonts w:cs="Calibri"/>
          <w:sz w:val="22"/>
          <w:szCs w:val="22"/>
        </w:rPr>
        <w:t>provider</w:t>
      </w:r>
      <w:r w:rsidRPr="00EF6E4C">
        <w:rPr>
          <w:rFonts w:cs="Calibri"/>
          <w:sz w:val="22"/>
          <w:szCs w:val="22"/>
        </w:rPr>
        <w:t xml:space="preserve"> must </w:t>
      </w:r>
      <w:r w:rsidR="00365F82">
        <w:rPr>
          <w:rFonts w:cs="Calibri"/>
          <w:sz w:val="22"/>
          <w:szCs w:val="22"/>
        </w:rPr>
        <w:t>commence</w:t>
      </w:r>
      <w:r w:rsidRPr="00EF6E4C">
        <w:rPr>
          <w:rFonts w:cs="Calibri"/>
          <w:sz w:val="22"/>
          <w:szCs w:val="22"/>
        </w:rPr>
        <w:t xml:space="preserve"> the </w:t>
      </w:r>
      <w:r w:rsidR="000A5C74">
        <w:rPr>
          <w:rFonts w:cs="Calibri"/>
          <w:sz w:val="22"/>
          <w:szCs w:val="22"/>
        </w:rPr>
        <w:t>participant</w:t>
      </w:r>
      <w:r w:rsidRPr="00EF6E4C">
        <w:rPr>
          <w:rFonts w:cs="Calibri"/>
          <w:sz w:val="22"/>
          <w:szCs w:val="22"/>
        </w:rPr>
        <w:t xml:space="preserve"> in the recommended service in accordance with </w:t>
      </w:r>
      <w:r w:rsidRPr="00EF6E4C">
        <w:rPr>
          <w:rFonts w:cs="Calibri"/>
          <w:i/>
          <w:sz w:val="22"/>
          <w:szCs w:val="22"/>
        </w:rPr>
        <w:t>Eligibility, Referral and Commencement Guidelines</w:t>
      </w:r>
      <w:r w:rsidRPr="00EF6E4C">
        <w:rPr>
          <w:rFonts w:cs="Calibri"/>
          <w:sz w:val="22"/>
          <w:szCs w:val="22"/>
        </w:rPr>
        <w:t xml:space="preserve">. If the </w:t>
      </w:r>
      <w:r w:rsidR="00C84A77">
        <w:rPr>
          <w:rFonts w:cs="Calibri"/>
          <w:sz w:val="22"/>
          <w:szCs w:val="22"/>
        </w:rPr>
        <w:t>provider</w:t>
      </w:r>
      <w:r w:rsidRPr="00EF6E4C">
        <w:rPr>
          <w:rFonts w:cs="Calibri"/>
          <w:sz w:val="22"/>
          <w:szCs w:val="22"/>
        </w:rPr>
        <w:t xml:space="preserve"> does not deliver the alternate DES service, the assessor will assist the </w:t>
      </w:r>
      <w:r w:rsidR="000A5C74">
        <w:rPr>
          <w:rFonts w:cs="Calibri"/>
          <w:sz w:val="22"/>
          <w:szCs w:val="22"/>
        </w:rPr>
        <w:t>participant</w:t>
      </w:r>
      <w:r w:rsidRPr="00EF6E4C">
        <w:rPr>
          <w:rFonts w:cs="Calibri"/>
          <w:sz w:val="22"/>
          <w:szCs w:val="22"/>
        </w:rPr>
        <w:t xml:space="preserve"> to choose a new </w:t>
      </w:r>
      <w:r w:rsidR="00C84A77">
        <w:rPr>
          <w:rFonts w:cs="Calibri"/>
          <w:sz w:val="22"/>
          <w:szCs w:val="22"/>
        </w:rPr>
        <w:t>provider</w:t>
      </w:r>
      <w:r w:rsidRPr="00EF6E4C">
        <w:rPr>
          <w:rFonts w:cs="Calibri"/>
          <w:sz w:val="22"/>
          <w:szCs w:val="22"/>
        </w:rPr>
        <w:t xml:space="preserve"> of the relevant service.</w:t>
      </w:r>
    </w:p>
    <w:p w14:paraId="6BD6F217" w14:textId="77777777" w:rsidR="00EF6E4C" w:rsidRPr="00EF6E4C" w:rsidRDefault="00EF6E4C" w:rsidP="00EF6E4C">
      <w:pPr>
        <w:keepNext/>
        <w:autoSpaceDE w:val="0"/>
        <w:autoSpaceDN w:val="0"/>
        <w:adjustRightInd w:val="0"/>
        <w:spacing w:before="240" w:after="120"/>
        <w:outlineLvl w:val="2"/>
        <w:rPr>
          <w:rFonts w:cs="Arial"/>
          <w:szCs w:val="22"/>
          <w:u w:val="single"/>
        </w:rPr>
      </w:pPr>
      <w:bookmarkStart w:id="72" w:name="_Toc101954841"/>
      <w:bookmarkStart w:id="73" w:name="_Toc101956913"/>
      <w:bookmarkStart w:id="74" w:name="_Toc126830125"/>
      <w:r w:rsidRPr="00EF6E4C">
        <w:rPr>
          <w:rFonts w:cs="Arial"/>
          <w:szCs w:val="22"/>
          <w:u w:val="single"/>
        </w:rPr>
        <w:lastRenderedPageBreak/>
        <w:t>Report recommends Workforce Australia</w:t>
      </w:r>
      <w:bookmarkEnd w:id="72"/>
      <w:bookmarkEnd w:id="73"/>
      <w:bookmarkEnd w:id="74"/>
    </w:p>
    <w:p w14:paraId="30125DAF" w14:textId="73D6E687" w:rsidR="00EF6E4C" w:rsidRPr="00EF6E4C" w:rsidRDefault="00EF6E4C" w:rsidP="00EF6E4C">
      <w:pPr>
        <w:spacing w:before="120" w:after="120"/>
        <w:rPr>
          <w:rFonts w:cs="Calibri"/>
          <w:sz w:val="22"/>
          <w:szCs w:val="22"/>
        </w:rPr>
      </w:pPr>
      <w:r w:rsidRPr="00EF6E4C">
        <w:rPr>
          <w:rFonts w:cs="Calibri"/>
          <w:sz w:val="22"/>
          <w:szCs w:val="22"/>
        </w:rPr>
        <w:t xml:space="preserve">If the ESAt report recommends Workforce Australia or Workforce Australia – Enhanced Services, the Assessor will generally make the </w:t>
      </w:r>
      <w:r w:rsidR="00365F82">
        <w:rPr>
          <w:rFonts w:cs="Calibri"/>
          <w:sz w:val="22"/>
          <w:szCs w:val="22"/>
        </w:rPr>
        <w:t>refer</w:t>
      </w:r>
      <w:r w:rsidRPr="00EF6E4C">
        <w:rPr>
          <w:rFonts w:cs="Calibri"/>
          <w:sz w:val="22"/>
          <w:szCs w:val="22"/>
        </w:rPr>
        <w:t xml:space="preserve">ral for the </w:t>
      </w:r>
      <w:r w:rsidR="000A5C74">
        <w:rPr>
          <w:rFonts w:cs="Calibri"/>
          <w:sz w:val="22"/>
          <w:szCs w:val="22"/>
        </w:rPr>
        <w:t>participant</w:t>
      </w:r>
      <w:r w:rsidRPr="00EF6E4C">
        <w:rPr>
          <w:rFonts w:cs="Calibri"/>
          <w:sz w:val="22"/>
          <w:szCs w:val="22"/>
        </w:rPr>
        <w:t xml:space="preserve">. </w:t>
      </w:r>
      <w:r w:rsidR="0007762B">
        <w:rPr>
          <w:rFonts w:cs="Calibri"/>
          <w:sz w:val="22"/>
          <w:szCs w:val="22"/>
        </w:rPr>
        <w:t>P</w:t>
      </w:r>
      <w:r w:rsidR="000A5C74">
        <w:rPr>
          <w:rFonts w:cs="Calibri"/>
          <w:sz w:val="22"/>
          <w:szCs w:val="22"/>
        </w:rPr>
        <w:t>articipant</w:t>
      </w:r>
      <w:r w:rsidRPr="00EF6E4C">
        <w:rPr>
          <w:rFonts w:cs="Calibri"/>
          <w:sz w:val="22"/>
          <w:szCs w:val="22"/>
        </w:rPr>
        <w:t xml:space="preserve">s will be automatically </w:t>
      </w:r>
      <w:r w:rsidR="0007762B">
        <w:rPr>
          <w:rFonts w:cs="Calibri"/>
          <w:sz w:val="22"/>
          <w:szCs w:val="22"/>
        </w:rPr>
        <w:t>e</w:t>
      </w:r>
      <w:r w:rsidRPr="00EF6E4C">
        <w:rPr>
          <w:rFonts w:cs="Calibri"/>
          <w:sz w:val="22"/>
          <w:szCs w:val="22"/>
        </w:rPr>
        <w:t xml:space="preserve">xited from DES when they </w:t>
      </w:r>
      <w:r w:rsidR="00365F82">
        <w:rPr>
          <w:rFonts w:cs="Calibri"/>
          <w:sz w:val="22"/>
          <w:szCs w:val="22"/>
        </w:rPr>
        <w:t>commence</w:t>
      </w:r>
      <w:r w:rsidRPr="00EF6E4C">
        <w:rPr>
          <w:rFonts w:cs="Calibri"/>
          <w:sz w:val="22"/>
          <w:szCs w:val="22"/>
        </w:rPr>
        <w:t xml:space="preserve"> in Workforce Australia.</w:t>
      </w:r>
    </w:p>
    <w:p w14:paraId="4BA0C9D5" w14:textId="77777777" w:rsidR="00EF6E4C" w:rsidRPr="00EF6E4C" w:rsidRDefault="00EF6E4C" w:rsidP="00EF6E4C">
      <w:pPr>
        <w:keepNext/>
        <w:autoSpaceDE w:val="0"/>
        <w:autoSpaceDN w:val="0"/>
        <w:adjustRightInd w:val="0"/>
        <w:spacing w:before="240" w:after="120"/>
        <w:outlineLvl w:val="2"/>
        <w:rPr>
          <w:rFonts w:cs="Arial"/>
          <w:szCs w:val="22"/>
          <w:u w:val="single"/>
        </w:rPr>
      </w:pPr>
      <w:bookmarkStart w:id="75" w:name="_Toc101954842"/>
      <w:bookmarkStart w:id="76" w:name="_Toc101956914"/>
      <w:bookmarkStart w:id="77" w:name="_Toc126830126"/>
      <w:r w:rsidRPr="00EF6E4C">
        <w:rPr>
          <w:rFonts w:cs="Arial"/>
          <w:szCs w:val="22"/>
          <w:u w:val="single"/>
        </w:rPr>
        <w:t>Participant unable to benefit in any Program</w:t>
      </w:r>
      <w:bookmarkEnd w:id="75"/>
      <w:bookmarkEnd w:id="76"/>
      <w:bookmarkEnd w:id="77"/>
    </w:p>
    <w:p w14:paraId="726BC040" w14:textId="78475CB4" w:rsidR="00EF6E4C" w:rsidRPr="00EF6E4C" w:rsidRDefault="00EF6E4C" w:rsidP="00EF6E4C">
      <w:pPr>
        <w:spacing w:before="120" w:after="120"/>
        <w:rPr>
          <w:rFonts w:cs="Calibri"/>
          <w:sz w:val="22"/>
          <w:szCs w:val="22"/>
        </w:rPr>
      </w:pPr>
      <w:r w:rsidRPr="00EF6E4C">
        <w:rPr>
          <w:rFonts w:cs="Calibri"/>
          <w:sz w:val="22"/>
          <w:szCs w:val="22"/>
        </w:rPr>
        <w:t xml:space="preserve">Where the ESAt recommended </w:t>
      </w:r>
      <w:r w:rsidR="00365F82">
        <w:rPr>
          <w:rFonts w:cs="Calibri"/>
          <w:sz w:val="22"/>
          <w:szCs w:val="22"/>
        </w:rPr>
        <w:t>refer</w:t>
      </w:r>
      <w:r w:rsidRPr="00EF6E4C">
        <w:rPr>
          <w:rFonts w:cs="Calibri"/>
          <w:sz w:val="22"/>
          <w:szCs w:val="22"/>
        </w:rPr>
        <w:t xml:space="preserve">ral is </w:t>
      </w:r>
      <w:r w:rsidR="0007762B" w:rsidRPr="00EF6E4C">
        <w:rPr>
          <w:rFonts w:cs="Calibri"/>
          <w:sz w:val="22"/>
          <w:szCs w:val="22"/>
        </w:rPr>
        <w:t>that,</w:t>
      </w:r>
      <w:r w:rsidRPr="00EF6E4C">
        <w:rPr>
          <w:rFonts w:cs="Calibri"/>
          <w:sz w:val="22"/>
          <w:szCs w:val="22"/>
        </w:rPr>
        <w:t xml:space="preserve"> the </w:t>
      </w:r>
      <w:r w:rsidR="000A5C74">
        <w:rPr>
          <w:rFonts w:cs="Calibri"/>
          <w:sz w:val="22"/>
          <w:szCs w:val="22"/>
        </w:rPr>
        <w:t>participant</w:t>
      </w:r>
      <w:r w:rsidRPr="00EF6E4C">
        <w:rPr>
          <w:rFonts w:cs="Calibri"/>
          <w:sz w:val="22"/>
          <w:szCs w:val="22"/>
        </w:rPr>
        <w:t xml:space="preserve"> would not benefit from participation in any </w:t>
      </w:r>
      <w:r w:rsidR="0007762B">
        <w:rPr>
          <w:rFonts w:cs="Calibri"/>
          <w:sz w:val="22"/>
          <w:szCs w:val="22"/>
        </w:rPr>
        <w:t>p</w:t>
      </w:r>
      <w:r w:rsidRPr="00EF6E4C">
        <w:rPr>
          <w:rFonts w:cs="Calibri"/>
          <w:sz w:val="22"/>
          <w:szCs w:val="22"/>
        </w:rPr>
        <w:t xml:space="preserve">rogram the DES </w:t>
      </w:r>
      <w:r w:rsidR="00C84A77">
        <w:rPr>
          <w:rFonts w:cs="Calibri"/>
          <w:sz w:val="22"/>
          <w:szCs w:val="22"/>
        </w:rPr>
        <w:t>provider</w:t>
      </w:r>
      <w:r w:rsidRPr="00EF6E4C">
        <w:rPr>
          <w:rFonts w:cs="Calibri"/>
          <w:sz w:val="22"/>
          <w:szCs w:val="22"/>
        </w:rPr>
        <w:t xml:space="preserve"> must manually </w:t>
      </w:r>
      <w:r w:rsidR="0007762B">
        <w:rPr>
          <w:rFonts w:cs="Calibri"/>
          <w:sz w:val="22"/>
          <w:szCs w:val="22"/>
        </w:rPr>
        <w:t>e</w:t>
      </w:r>
      <w:r w:rsidRPr="00EF6E4C">
        <w:rPr>
          <w:rFonts w:cs="Calibri"/>
          <w:sz w:val="22"/>
          <w:szCs w:val="22"/>
        </w:rPr>
        <w:t xml:space="preserve">xit the </w:t>
      </w:r>
      <w:r w:rsidR="000A5C74">
        <w:rPr>
          <w:rFonts w:cs="Calibri"/>
          <w:sz w:val="22"/>
          <w:szCs w:val="22"/>
        </w:rPr>
        <w:t>participant</w:t>
      </w:r>
      <w:r w:rsidRPr="00EF6E4C">
        <w:rPr>
          <w:rFonts w:cs="Calibri"/>
          <w:sz w:val="22"/>
          <w:szCs w:val="22"/>
        </w:rPr>
        <w:t xml:space="preserve"> and complete a </w:t>
      </w:r>
      <w:r w:rsidR="0007762B">
        <w:rPr>
          <w:rFonts w:cs="Calibri"/>
          <w:sz w:val="22"/>
          <w:szCs w:val="22"/>
        </w:rPr>
        <w:t>p</w:t>
      </w:r>
      <w:r w:rsidRPr="00EF6E4C">
        <w:rPr>
          <w:rFonts w:cs="Calibri"/>
          <w:sz w:val="22"/>
          <w:szCs w:val="22"/>
        </w:rPr>
        <w:t xml:space="preserve">rogram </w:t>
      </w:r>
      <w:r w:rsidR="0007762B">
        <w:rPr>
          <w:rFonts w:cs="Calibri"/>
          <w:sz w:val="22"/>
          <w:szCs w:val="22"/>
        </w:rPr>
        <w:t>s</w:t>
      </w:r>
      <w:r w:rsidRPr="00EF6E4C">
        <w:rPr>
          <w:rFonts w:cs="Calibri"/>
          <w:sz w:val="22"/>
          <w:szCs w:val="22"/>
        </w:rPr>
        <w:t>ummary in accordance with the</w:t>
      </w:r>
      <w:r w:rsidRPr="00EF6E4C">
        <w:rPr>
          <w:rFonts w:cs="Calibri"/>
          <w:i/>
          <w:sz w:val="22"/>
          <w:szCs w:val="22"/>
        </w:rPr>
        <w:t xml:space="preserve"> Program Review, Program Summary and Exits Guidelines</w:t>
      </w:r>
      <w:r w:rsidRPr="00EF6E4C">
        <w:rPr>
          <w:rFonts w:cs="Calibri"/>
          <w:sz w:val="22"/>
          <w:szCs w:val="22"/>
        </w:rPr>
        <w:t>.</w:t>
      </w:r>
    </w:p>
    <w:p w14:paraId="2ABB4938" w14:textId="77777777" w:rsidR="00EF6E4C" w:rsidRPr="00EF6E4C" w:rsidRDefault="00EF6E4C" w:rsidP="00EF6E4C">
      <w:pPr>
        <w:keepNext/>
        <w:autoSpaceDE w:val="0"/>
        <w:autoSpaceDN w:val="0"/>
        <w:adjustRightInd w:val="0"/>
        <w:spacing w:before="240" w:after="120"/>
        <w:outlineLvl w:val="2"/>
        <w:rPr>
          <w:rFonts w:cs="Arial"/>
          <w:szCs w:val="22"/>
          <w:u w:val="single"/>
        </w:rPr>
      </w:pPr>
      <w:bookmarkStart w:id="78" w:name="_Toc101954843"/>
      <w:bookmarkStart w:id="79" w:name="_Toc101956915"/>
      <w:bookmarkStart w:id="80" w:name="_Toc126830127"/>
      <w:r w:rsidRPr="00EF6E4C">
        <w:rPr>
          <w:rFonts w:cs="Arial"/>
          <w:u w:val="single"/>
        </w:rPr>
        <w:t xml:space="preserve">Participant unable to be immediately </w:t>
      </w:r>
      <w:r w:rsidR="00365F82">
        <w:rPr>
          <w:rFonts w:cs="Arial"/>
          <w:u w:val="single"/>
        </w:rPr>
        <w:t>commence</w:t>
      </w:r>
      <w:r w:rsidRPr="00EF6E4C">
        <w:rPr>
          <w:rFonts w:cs="Arial"/>
          <w:u w:val="single"/>
        </w:rPr>
        <w:t>d</w:t>
      </w:r>
      <w:bookmarkEnd w:id="78"/>
      <w:bookmarkEnd w:id="79"/>
      <w:bookmarkEnd w:id="80"/>
    </w:p>
    <w:p w14:paraId="6DF4A775" w14:textId="4BDF31B9" w:rsidR="00EF6E4C" w:rsidRPr="00EF6E4C" w:rsidRDefault="00EF6E4C" w:rsidP="00EF6E4C">
      <w:pPr>
        <w:spacing w:before="120" w:after="120"/>
        <w:rPr>
          <w:rFonts w:cs="Calibri"/>
          <w:sz w:val="22"/>
          <w:szCs w:val="22"/>
        </w:rPr>
      </w:pPr>
      <w:r w:rsidRPr="00EF6E4C">
        <w:rPr>
          <w:rFonts w:cs="Calibri"/>
          <w:sz w:val="22"/>
          <w:szCs w:val="22"/>
        </w:rPr>
        <w:t xml:space="preserve">If the </w:t>
      </w:r>
      <w:r w:rsidR="000A5C74">
        <w:rPr>
          <w:rFonts w:cs="Calibri"/>
          <w:sz w:val="22"/>
          <w:szCs w:val="22"/>
        </w:rPr>
        <w:t>participant</w:t>
      </w:r>
      <w:r w:rsidRPr="00EF6E4C">
        <w:rPr>
          <w:rFonts w:cs="Calibri"/>
          <w:sz w:val="22"/>
          <w:szCs w:val="22"/>
        </w:rPr>
        <w:t xml:space="preserve"> is referred to another service but is unable to be immediately </w:t>
      </w:r>
      <w:r w:rsidR="00365F82">
        <w:rPr>
          <w:rFonts w:cs="Calibri"/>
          <w:sz w:val="22"/>
          <w:szCs w:val="22"/>
        </w:rPr>
        <w:t>commence</w:t>
      </w:r>
      <w:r w:rsidRPr="00EF6E4C">
        <w:rPr>
          <w:rFonts w:cs="Calibri"/>
          <w:sz w:val="22"/>
          <w:szCs w:val="22"/>
        </w:rPr>
        <w:t xml:space="preserve">d in that </w:t>
      </w:r>
      <w:r w:rsidR="0007762B" w:rsidRPr="00EF6E4C">
        <w:rPr>
          <w:rFonts w:cs="Calibri"/>
          <w:sz w:val="22"/>
          <w:szCs w:val="22"/>
        </w:rPr>
        <w:t>service,</w:t>
      </w:r>
      <w:r w:rsidRPr="00EF6E4C">
        <w:rPr>
          <w:rFonts w:cs="Calibri"/>
          <w:sz w:val="22"/>
          <w:szCs w:val="22"/>
        </w:rPr>
        <w:t xml:space="preserve"> they are not eligible to continue receiving DES </w:t>
      </w:r>
      <w:r w:rsidR="0007762B">
        <w:rPr>
          <w:rFonts w:cs="Calibri"/>
          <w:sz w:val="22"/>
          <w:szCs w:val="22"/>
        </w:rPr>
        <w:t>p</w:t>
      </w:r>
      <w:r w:rsidRPr="00EF6E4C">
        <w:rPr>
          <w:rFonts w:cs="Calibri"/>
          <w:sz w:val="22"/>
          <w:szCs w:val="22"/>
        </w:rPr>
        <w:t xml:space="preserve">rogram </w:t>
      </w:r>
      <w:r w:rsidR="0007762B">
        <w:rPr>
          <w:rFonts w:cs="Calibri"/>
          <w:sz w:val="22"/>
          <w:szCs w:val="22"/>
        </w:rPr>
        <w:t>s</w:t>
      </w:r>
      <w:r w:rsidRPr="00EF6E4C">
        <w:rPr>
          <w:rFonts w:cs="Calibri"/>
          <w:sz w:val="22"/>
          <w:szCs w:val="22"/>
        </w:rPr>
        <w:t xml:space="preserve">ervices. The DES </w:t>
      </w:r>
      <w:r w:rsidR="00C84A77">
        <w:rPr>
          <w:rFonts w:cs="Calibri"/>
          <w:sz w:val="22"/>
          <w:szCs w:val="22"/>
        </w:rPr>
        <w:t>provider</w:t>
      </w:r>
      <w:r w:rsidRPr="00EF6E4C">
        <w:rPr>
          <w:rFonts w:cs="Calibri"/>
          <w:sz w:val="22"/>
          <w:szCs w:val="22"/>
        </w:rPr>
        <w:t xml:space="preserve"> </w:t>
      </w:r>
      <w:r w:rsidRPr="00EF6E4C">
        <w:rPr>
          <w:rFonts w:cs="Calibri"/>
          <w:i/>
          <w:sz w:val="22"/>
          <w:szCs w:val="22"/>
        </w:rPr>
        <w:t>must</w:t>
      </w:r>
      <w:r w:rsidRPr="00EF6E4C">
        <w:rPr>
          <w:rFonts w:cs="Calibri"/>
          <w:sz w:val="22"/>
          <w:szCs w:val="22"/>
        </w:rPr>
        <w:t xml:space="preserve"> complete a </w:t>
      </w:r>
      <w:r w:rsidR="00C84A77">
        <w:rPr>
          <w:rFonts w:cs="Calibri"/>
          <w:sz w:val="22"/>
          <w:szCs w:val="22"/>
        </w:rPr>
        <w:t>provider</w:t>
      </w:r>
      <w:r w:rsidRPr="00EF6E4C">
        <w:rPr>
          <w:rFonts w:cs="Calibri"/>
          <w:sz w:val="22"/>
          <w:szCs w:val="22"/>
        </w:rPr>
        <w:t xml:space="preserve"> </w:t>
      </w:r>
      <w:r w:rsidR="0007762B">
        <w:rPr>
          <w:rFonts w:cs="Calibri"/>
          <w:sz w:val="22"/>
          <w:szCs w:val="22"/>
        </w:rPr>
        <w:t>e</w:t>
      </w:r>
      <w:r w:rsidRPr="00EF6E4C">
        <w:rPr>
          <w:rFonts w:cs="Calibri"/>
          <w:sz w:val="22"/>
          <w:szCs w:val="22"/>
        </w:rPr>
        <w:t xml:space="preserve">xit in accordance with the </w:t>
      </w:r>
      <w:r w:rsidRPr="00EF6E4C">
        <w:rPr>
          <w:rFonts w:cs="Calibri"/>
          <w:i/>
          <w:sz w:val="22"/>
          <w:szCs w:val="22"/>
        </w:rPr>
        <w:t>Program Review, Program Summary and Exits Guidelines</w:t>
      </w:r>
      <w:r w:rsidRPr="00EF6E4C">
        <w:rPr>
          <w:rFonts w:cs="Calibri"/>
          <w:sz w:val="22"/>
          <w:szCs w:val="22"/>
        </w:rPr>
        <w:t>.</w:t>
      </w:r>
    </w:p>
    <w:p w14:paraId="5DC92398" w14:textId="77777777" w:rsidR="00EF6E4C" w:rsidRPr="00EF6E4C" w:rsidRDefault="00EF6E4C" w:rsidP="00EF6E4C">
      <w:pPr>
        <w:spacing w:before="120"/>
        <w:rPr>
          <w:rFonts w:asciiTheme="minorHAnsi" w:eastAsiaTheme="minorHAnsi" w:hAnsiTheme="minorHAnsi" w:cstheme="minorBidi"/>
          <w:sz w:val="22"/>
          <w:szCs w:val="22"/>
          <w:lang w:eastAsia="en-US"/>
        </w:rPr>
      </w:pPr>
    </w:p>
    <w:p w14:paraId="0867743C" w14:textId="77777777" w:rsidR="00EF6E4C" w:rsidRPr="00EF6E4C" w:rsidRDefault="00EF6E4C" w:rsidP="00EF6E4C">
      <w:pPr>
        <w:keepNext/>
        <w:keepLines/>
        <w:outlineLvl w:val="1"/>
        <w:rPr>
          <w:rFonts w:cs="Arial"/>
          <w:b/>
          <w:bCs/>
          <w:iCs/>
          <w:szCs w:val="28"/>
        </w:rPr>
      </w:pPr>
      <w:bookmarkStart w:id="81" w:name="_Toc101954844"/>
      <w:bookmarkStart w:id="82" w:name="_Toc101956916"/>
      <w:bookmarkStart w:id="83" w:name="_Toc126830128"/>
      <w:r w:rsidRPr="00EF6E4C">
        <w:rPr>
          <w:rFonts w:cs="Arial"/>
          <w:b/>
          <w:bCs/>
          <w:iCs/>
          <w:szCs w:val="28"/>
        </w:rPr>
        <w:t xml:space="preserve">Participation in DES may be affected by the </w:t>
      </w:r>
      <w:r w:rsidR="000A5C74">
        <w:rPr>
          <w:rFonts w:cs="Arial"/>
          <w:b/>
          <w:bCs/>
          <w:iCs/>
          <w:szCs w:val="28"/>
        </w:rPr>
        <w:t>participant</w:t>
      </w:r>
      <w:r w:rsidRPr="00EF6E4C">
        <w:rPr>
          <w:rFonts w:cs="Arial"/>
          <w:b/>
          <w:bCs/>
          <w:iCs/>
          <w:szCs w:val="28"/>
        </w:rPr>
        <w:t>’s Work Capacity</w:t>
      </w:r>
      <w:bookmarkEnd w:id="81"/>
      <w:bookmarkEnd w:id="82"/>
      <w:bookmarkEnd w:id="83"/>
    </w:p>
    <w:p w14:paraId="03E2D880" w14:textId="3105CB05" w:rsidR="00EF6E4C" w:rsidRPr="00EF6E4C" w:rsidRDefault="00EF6E4C" w:rsidP="00EF6E4C">
      <w:pPr>
        <w:keepNext/>
        <w:keepLines/>
        <w:spacing w:before="120" w:after="120"/>
        <w:rPr>
          <w:rFonts w:cs="Calibri"/>
          <w:sz w:val="22"/>
          <w:szCs w:val="22"/>
        </w:rPr>
      </w:pPr>
      <w:r w:rsidRPr="00EF6E4C">
        <w:rPr>
          <w:rFonts w:cs="Calibri"/>
          <w:sz w:val="22"/>
          <w:szCs w:val="22"/>
        </w:rPr>
        <w:t xml:space="preserve">The determination of a </w:t>
      </w:r>
      <w:r w:rsidR="000A5C74">
        <w:rPr>
          <w:rFonts w:cs="Calibri"/>
          <w:sz w:val="22"/>
          <w:szCs w:val="22"/>
        </w:rPr>
        <w:t>participant</w:t>
      </w:r>
      <w:r w:rsidRPr="00EF6E4C">
        <w:rPr>
          <w:rFonts w:cs="Calibri"/>
          <w:sz w:val="22"/>
          <w:szCs w:val="22"/>
        </w:rPr>
        <w:t xml:space="preserve">s work capacity is a fundamental element of the ESAt. Work capacity is expressed as bandwidths of hours per week including: </w:t>
      </w:r>
    </w:p>
    <w:p w14:paraId="30984A8B" w14:textId="77777777" w:rsidR="00EF6E4C" w:rsidRPr="00EF6E4C" w:rsidRDefault="00EF6E4C" w:rsidP="00EF6E4C">
      <w:pPr>
        <w:numPr>
          <w:ilvl w:val="0"/>
          <w:numId w:val="87"/>
        </w:numPr>
        <w:spacing w:before="60"/>
        <w:ind w:left="714" w:hanging="357"/>
        <w:rPr>
          <w:rFonts w:asciiTheme="minorHAnsi" w:eastAsiaTheme="minorHAnsi" w:hAnsiTheme="minorHAnsi" w:cstheme="minorBidi"/>
          <w:sz w:val="22"/>
          <w:szCs w:val="22"/>
          <w:lang w:eastAsia="en-US"/>
        </w:rPr>
      </w:pPr>
      <w:r w:rsidRPr="00EF6E4C">
        <w:rPr>
          <w:rFonts w:asciiTheme="minorHAnsi" w:eastAsiaTheme="minorHAnsi" w:hAnsiTheme="minorHAnsi" w:cs="Calibri"/>
          <w:sz w:val="22"/>
          <w:szCs w:val="22"/>
          <w:lang w:eastAsia="en-US"/>
        </w:rPr>
        <w:t xml:space="preserve">0–7 </w:t>
      </w:r>
      <w:r w:rsidRPr="00EF6E4C">
        <w:rPr>
          <w:rFonts w:asciiTheme="minorHAnsi" w:eastAsiaTheme="minorHAnsi" w:hAnsiTheme="minorHAnsi" w:cstheme="minorBidi"/>
          <w:sz w:val="22"/>
          <w:szCs w:val="22"/>
          <w:lang w:eastAsia="en-US"/>
        </w:rPr>
        <w:t xml:space="preserve">hours per week </w:t>
      </w:r>
    </w:p>
    <w:p w14:paraId="5D707822" w14:textId="77777777" w:rsidR="00EF6E4C" w:rsidRPr="00EF6E4C" w:rsidRDefault="00EF6E4C" w:rsidP="00EF6E4C">
      <w:pPr>
        <w:numPr>
          <w:ilvl w:val="0"/>
          <w:numId w:val="87"/>
        </w:numPr>
        <w:spacing w:before="60"/>
        <w:ind w:left="714" w:hanging="357"/>
        <w:rPr>
          <w:rFonts w:asciiTheme="minorHAnsi" w:eastAsiaTheme="minorHAnsi" w:hAnsiTheme="minorHAnsi" w:cstheme="minorBidi"/>
          <w:sz w:val="22"/>
          <w:szCs w:val="22"/>
          <w:lang w:eastAsia="en-US"/>
        </w:rPr>
      </w:pPr>
      <w:r w:rsidRPr="00EF6E4C">
        <w:rPr>
          <w:rFonts w:asciiTheme="minorHAnsi" w:eastAsiaTheme="minorHAnsi" w:hAnsiTheme="minorHAnsi" w:cstheme="minorBidi"/>
          <w:sz w:val="22"/>
          <w:szCs w:val="22"/>
          <w:lang w:eastAsia="en-US"/>
        </w:rPr>
        <w:t xml:space="preserve">8–14 hours per week </w:t>
      </w:r>
    </w:p>
    <w:p w14:paraId="3EBD8EB0" w14:textId="77777777" w:rsidR="00EF6E4C" w:rsidRPr="00EF6E4C" w:rsidRDefault="00EF6E4C" w:rsidP="00EF6E4C">
      <w:pPr>
        <w:numPr>
          <w:ilvl w:val="0"/>
          <w:numId w:val="87"/>
        </w:numPr>
        <w:spacing w:before="60"/>
        <w:ind w:left="714" w:hanging="357"/>
        <w:rPr>
          <w:rFonts w:asciiTheme="minorHAnsi" w:eastAsiaTheme="minorHAnsi" w:hAnsiTheme="minorHAnsi" w:cstheme="minorBidi"/>
          <w:sz w:val="22"/>
          <w:szCs w:val="22"/>
          <w:lang w:eastAsia="en-US"/>
        </w:rPr>
      </w:pPr>
      <w:r w:rsidRPr="00EF6E4C">
        <w:rPr>
          <w:rFonts w:asciiTheme="minorHAnsi" w:eastAsiaTheme="minorHAnsi" w:hAnsiTheme="minorHAnsi" w:cstheme="minorBidi"/>
          <w:sz w:val="22"/>
          <w:szCs w:val="22"/>
          <w:lang w:eastAsia="en-US"/>
        </w:rPr>
        <w:t xml:space="preserve">15–22 hours per week </w:t>
      </w:r>
    </w:p>
    <w:p w14:paraId="0917C3B7" w14:textId="77777777" w:rsidR="00EF6E4C" w:rsidRPr="00EF6E4C" w:rsidRDefault="00EF6E4C" w:rsidP="00EF6E4C">
      <w:pPr>
        <w:numPr>
          <w:ilvl w:val="0"/>
          <w:numId w:val="87"/>
        </w:numPr>
        <w:spacing w:before="60"/>
        <w:ind w:left="714" w:hanging="357"/>
        <w:rPr>
          <w:rFonts w:asciiTheme="minorHAnsi" w:eastAsiaTheme="minorHAnsi" w:hAnsiTheme="minorHAnsi" w:cstheme="minorBidi"/>
          <w:sz w:val="22"/>
          <w:szCs w:val="22"/>
          <w:lang w:eastAsia="en-US"/>
        </w:rPr>
      </w:pPr>
      <w:r w:rsidRPr="00EF6E4C">
        <w:rPr>
          <w:rFonts w:asciiTheme="minorHAnsi" w:eastAsiaTheme="minorHAnsi" w:hAnsiTheme="minorHAnsi" w:cstheme="minorBidi"/>
          <w:sz w:val="22"/>
          <w:szCs w:val="22"/>
          <w:lang w:eastAsia="en-US"/>
        </w:rPr>
        <w:t xml:space="preserve">23–29 hours per week, and </w:t>
      </w:r>
    </w:p>
    <w:p w14:paraId="6FBC0BC9" w14:textId="77777777" w:rsidR="00EF6E4C" w:rsidRPr="00EF6E4C" w:rsidRDefault="00EF6E4C" w:rsidP="00EF6E4C">
      <w:pPr>
        <w:numPr>
          <w:ilvl w:val="0"/>
          <w:numId w:val="87"/>
        </w:numPr>
        <w:spacing w:before="60"/>
        <w:ind w:left="714" w:hanging="357"/>
        <w:rPr>
          <w:rFonts w:asciiTheme="minorHAnsi" w:eastAsiaTheme="minorHAnsi" w:hAnsiTheme="minorHAnsi" w:cs="Calibri"/>
          <w:sz w:val="22"/>
          <w:szCs w:val="22"/>
          <w:lang w:eastAsia="en-US"/>
        </w:rPr>
      </w:pPr>
      <w:r w:rsidRPr="00EF6E4C">
        <w:rPr>
          <w:rFonts w:asciiTheme="minorHAnsi" w:eastAsiaTheme="minorHAnsi" w:hAnsiTheme="minorHAnsi" w:cstheme="minorBidi"/>
          <w:sz w:val="22"/>
          <w:szCs w:val="22"/>
          <w:lang w:eastAsia="en-US"/>
        </w:rPr>
        <w:t>30+ hours</w:t>
      </w:r>
      <w:r w:rsidRPr="00EF6E4C">
        <w:rPr>
          <w:rFonts w:asciiTheme="minorHAnsi" w:eastAsiaTheme="minorHAnsi" w:hAnsiTheme="minorHAnsi" w:cs="Calibri"/>
          <w:sz w:val="22"/>
          <w:szCs w:val="22"/>
          <w:lang w:eastAsia="en-US"/>
        </w:rPr>
        <w:t xml:space="preserve"> per week. </w:t>
      </w:r>
    </w:p>
    <w:p w14:paraId="1C1D02BA" w14:textId="464A525D" w:rsidR="00EF6E4C" w:rsidRPr="00EF6E4C" w:rsidRDefault="0007762B" w:rsidP="00EF6E4C">
      <w:pPr>
        <w:keepNext/>
        <w:autoSpaceDE w:val="0"/>
        <w:autoSpaceDN w:val="0"/>
        <w:adjustRightInd w:val="0"/>
        <w:spacing w:before="240" w:after="120"/>
        <w:outlineLvl w:val="2"/>
        <w:rPr>
          <w:rFonts w:cs="Arial"/>
          <w:szCs w:val="22"/>
          <w:u w:val="single"/>
        </w:rPr>
      </w:pPr>
      <w:bookmarkStart w:id="84" w:name="_Toc101954845"/>
      <w:bookmarkStart w:id="85" w:name="_Toc101956917"/>
      <w:bookmarkStart w:id="86" w:name="_Toc126830129"/>
      <w:r>
        <w:rPr>
          <w:rFonts w:cs="Arial"/>
          <w:szCs w:val="22"/>
          <w:u w:val="single"/>
        </w:rPr>
        <w:t>P</w:t>
      </w:r>
      <w:r w:rsidR="000A5C74">
        <w:rPr>
          <w:rFonts w:cs="Arial"/>
          <w:szCs w:val="22"/>
          <w:u w:val="single"/>
        </w:rPr>
        <w:t>articipant</w:t>
      </w:r>
      <w:r w:rsidR="00EF6E4C" w:rsidRPr="00EF6E4C">
        <w:rPr>
          <w:rFonts w:cs="Arial"/>
          <w:szCs w:val="22"/>
          <w:u w:val="single"/>
        </w:rPr>
        <w:t xml:space="preserve"> has Future Work Capacity of 0–7 hours per week</w:t>
      </w:r>
      <w:bookmarkEnd w:id="84"/>
      <w:bookmarkEnd w:id="85"/>
      <w:bookmarkEnd w:id="86"/>
    </w:p>
    <w:p w14:paraId="1FFE51D8" w14:textId="77777777" w:rsidR="00EF6E4C" w:rsidRPr="00EF6E4C" w:rsidRDefault="00EF6E4C" w:rsidP="00EF6E4C">
      <w:pPr>
        <w:spacing w:before="120" w:after="120"/>
        <w:rPr>
          <w:rFonts w:cs="Calibri"/>
          <w:sz w:val="22"/>
          <w:szCs w:val="22"/>
        </w:rPr>
      </w:pPr>
      <w:r w:rsidRPr="00EF6E4C">
        <w:rPr>
          <w:rFonts w:cs="Calibri"/>
          <w:sz w:val="22"/>
          <w:szCs w:val="22"/>
        </w:rPr>
        <w:t xml:space="preserve">If the ESAt report identifies a future work capacity of 0–7 hours per week, the DES </w:t>
      </w:r>
      <w:r w:rsidR="00C84A77">
        <w:rPr>
          <w:rFonts w:cs="Calibri"/>
          <w:sz w:val="22"/>
          <w:szCs w:val="22"/>
        </w:rPr>
        <w:t>provider</w:t>
      </w:r>
      <w:r w:rsidRPr="00EF6E4C">
        <w:rPr>
          <w:rFonts w:cs="Calibri"/>
          <w:sz w:val="22"/>
          <w:szCs w:val="22"/>
        </w:rPr>
        <w:t xml:space="preserve"> must Exit the </w:t>
      </w:r>
      <w:r w:rsidR="000A5C74">
        <w:rPr>
          <w:rFonts w:cs="Calibri"/>
          <w:sz w:val="22"/>
          <w:szCs w:val="22"/>
        </w:rPr>
        <w:t>participant</w:t>
      </w:r>
      <w:r w:rsidRPr="00EF6E4C">
        <w:rPr>
          <w:rFonts w:cs="Calibri"/>
          <w:sz w:val="22"/>
          <w:szCs w:val="22"/>
        </w:rPr>
        <w:t xml:space="preserve"> in accordance with the </w:t>
      </w:r>
      <w:r w:rsidRPr="00EF6E4C">
        <w:rPr>
          <w:rFonts w:cs="Calibri"/>
          <w:i/>
          <w:sz w:val="22"/>
          <w:szCs w:val="22"/>
        </w:rPr>
        <w:t>Program Review, Program Summary and Exits Guidelines</w:t>
      </w:r>
      <w:r w:rsidRPr="00EF6E4C">
        <w:rPr>
          <w:rFonts w:cs="Calibri"/>
          <w:sz w:val="22"/>
          <w:szCs w:val="22"/>
        </w:rPr>
        <w:t xml:space="preserve"> unless they are in employment—End of process.</w:t>
      </w:r>
    </w:p>
    <w:p w14:paraId="7A968EC0" w14:textId="77777777" w:rsidR="00EF6E4C" w:rsidRPr="00EF6E4C" w:rsidRDefault="00EF6E4C" w:rsidP="00EF6E4C">
      <w:pPr>
        <w:keepNext/>
        <w:autoSpaceDE w:val="0"/>
        <w:autoSpaceDN w:val="0"/>
        <w:adjustRightInd w:val="0"/>
        <w:spacing w:before="240" w:after="120"/>
        <w:outlineLvl w:val="2"/>
        <w:rPr>
          <w:rFonts w:cs="Arial"/>
          <w:szCs w:val="22"/>
          <w:u w:val="single"/>
        </w:rPr>
      </w:pPr>
      <w:bookmarkStart w:id="87" w:name="_Toc101954846"/>
      <w:bookmarkStart w:id="88" w:name="_Toc101956918"/>
      <w:bookmarkStart w:id="89" w:name="_Toc126830130"/>
      <w:r w:rsidRPr="00EF6E4C">
        <w:rPr>
          <w:rFonts w:cs="Arial"/>
          <w:szCs w:val="22"/>
          <w:u w:val="single"/>
        </w:rPr>
        <w:t>Participant has Temporary Reduced Work Capacity of 0–14 hours per week</w:t>
      </w:r>
      <w:bookmarkEnd w:id="87"/>
      <w:bookmarkEnd w:id="88"/>
      <w:bookmarkEnd w:id="89"/>
    </w:p>
    <w:p w14:paraId="7CEF604B" w14:textId="6B8EC7A9" w:rsidR="00EF6E4C" w:rsidRPr="00EF6E4C" w:rsidRDefault="00EF6E4C" w:rsidP="00EF6E4C">
      <w:pPr>
        <w:spacing w:before="120" w:after="120"/>
        <w:rPr>
          <w:rFonts w:cs="Calibri"/>
          <w:sz w:val="22"/>
          <w:szCs w:val="22"/>
        </w:rPr>
      </w:pPr>
      <w:r w:rsidRPr="00EF6E4C">
        <w:rPr>
          <w:rFonts w:cs="Calibri"/>
          <w:sz w:val="22"/>
          <w:szCs w:val="22"/>
        </w:rPr>
        <w:t xml:space="preserve">If the ESAt report identifies a Temporary Reduced Work Capacity or a Partial Capacity to Work of 0–14 hours per week for a </w:t>
      </w:r>
      <w:r w:rsidR="000A5C74">
        <w:rPr>
          <w:rFonts w:cs="Calibri"/>
          <w:sz w:val="22"/>
          <w:szCs w:val="22"/>
        </w:rPr>
        <w:t>participant</w:t>
      </w:r>
      <w:r w:rsidRPr="00EF6E4C">
        <w:rPr>
          <w:rFonts w:cs="Calibri"/>
          <w:sz w:val="22"/>
          <w:szCs w:val="22"/>
        </w:rPr>
        <w:t xml:space="preserve"> who has Mutual Obligation </w:t>
      </w:r>
      <w:r w:rsidR="0007762B">
        <w:rPr>
          <w:rFonts w:cs="Calibri"/>
          <w:sz w:val="22"/>
          <w:szCs w:val="22"/>
        </w:rPr>
        <w:t>r</w:t>
      </w:r>
      <w:r w:rsidRPr="00EF6E4C">
        <w:rPr>
          <w:rFonts w:cs="Calibri"/>
          <w:sz w:val="22"/>
          <w:szCs w:val="22"/>
        </w:rPr>
        <w:t xml:space="preserve">equirements, ESS will automatically ‘Suspend’ the </w:t>
      </w:r>
      <w:r w:rsidR="000A5C74">
        <w:rPr>
          <w:rFonts w:cs="Calibri"/>
          <w:sz w:val="22"/>
          <w:szCs w:val="22"/>
        </w:rPr>
        <w:t>participant</w:t>
      </w:r>
      <w:r w:rsidRPr="00EF6E4C">
        <w:rPr>
          <w:rFonts w:cs="Calibri"/>
          <w:sz w:val="22"/>
          <w:szCs w:val="22"/>
        </w:rPr>
        <w:t xml:space="preserve"> from their </w:t>
      </w:r>
      <w:r w:rsidR="0007762B">
        <w:rPr>
          <w:rFonts w:cs="Calibri"/>
          <w:sz w:val="22"/>
          <w:szCs w:val="22"/>
        </w:rPr>
        <w:t>p</w:t>
      </w:r>
      <w:r w:rsidRPr="00EF6E4C">
        <w:rPr>
          <w:rFonts w:cs="Calibri"/>
          <w:sz w:val="22"/>
          <w:szCs w:val="22"/>
        </w:rPr>
        <w:t xml:space="preserve">eriod of </w:t>
      </w:r>
      <w:r w:rsidR="0007762B">
        <w:rPr>
          <w:rFonts w:cs="Calibri"/>
          <w:sz w:val="22"/>
          <w:szCs w:val="22"/>
        </w:rPr>
        <w:t>s</w:t>
      </w:r>
      <w:r w:rsidRPr="00EF6E4C">
        <w:rPr>
          <w:rFonts w:cs="Calibri"/>
          <w:sz w:val="22"/>
          <w:szCs w:val="22"/>
        </w:rPr>
        <w:t xml:space="preserve">ervice. </w:t>
      </w:r>
      <w:r w:rsidR="000A5C74">
        <w:rPr>
          <w:rFonts w:cs="Calibri"/>
          <w:sz w:val="22"/>
          <w:szCs w:val="22"/>
        </w:rPr>
        <w:t>Participant</w:t>
      </w:r>
      <w:r w:rsidRPr="00EF6E4C">
        <w:rPr>
          <w:rFonts w:cs="Calibri"/>
          <w:sz w:val="22"/>
          <w:szCs w:val="22"/>
        </w:rPr>
        <w:t xml:space="preserve">s with Mutual Obligation </w:t>
      </w:r>
      <w:r w:rsidR="0007762B">
        <w:rPr>
          <w:rFonts w:cs="Calibri"/>
          <w:sz w:val="22"/>
          <w:szCs w:val="22"/>
        </w:rPr>
        <w:t>r</w:t>
      </w:r>
      <w:r w:rsidRPr="00EF6E4C">
        <w:rPr>
          <w:rFonts w:cs="Calibri"/>
          <w:sz w:val="22"/>
          <w:szCs w:val="22"/>
        </w:rPr>
        <w:t xml:space="preserve">equirements who are </w:t>
      </w:r>
      <w:r w:rsidR="004E05EF" w:rsidRPr="00EF6E4C">
        <w:rPr>
          <w:rFonts w:cs="Calibri"/>
          <w:sz w:val="22"/>
          <w:szCs w:val="22"/>
        </w:rPr>
        <w:t>suspended</w:t>
      </w:r>
      <w:r w:rsidRPr="00EF6E4C">
        <w:rPr>
          <w:rFonts w:cs="Calibri"/>
          <w:sz w:val="22"/>
          <w:szCs w:val="22"/>
        </w:rPr>
        <w:t xml:space="preserve"> with a Temporary Reduced Work Capacity of 8-14 hours per week may elect to </w:t>
      </w:r>
      <w:r w:rsidR="0007762B">
        <w:rPr>
          <w:rFonts w:cs="Calibri"/>
          <w:sz w:val="22"/>
          <w:szCs w:val="22"/>
        </w:rPr>
        <w:t>v</w:t>
      </w:r>
      <w:r w:rsidRPr="00EF6E4C">
        <w:rPr>
          <w:rFonts w:cs="Calibri"/>
          <w:sz w:val="22"/>
          <w:szCs w:val="22"/>
        </w:rPr>
        <w:t xml:space="preserve">olunteer to participate in additional activities during the period of their Suspension, in which case they would become a </w:t>
      </w:r>
      <w:r w:rsidR="0007762B">
        <w:rPr>
          <w:rFonts w:cs="Calibri"/>
          <w:sz w:val="22"/>
          <w:szCs w:val="22"/>
        </w:rPr>
        <w:t>v</w:t>
      </w:r>
      <w:r w:rsidRPr="00EF6E4C">
        <w:rPr>
          <w:rFonts w:cs="Calibri"/>
          <w:sz w:val="22"/>
          <w:szCs w:val="22"/>
        </w:rPr>
        <w:t xml:space="preserve">olunteer (Mutual Obligation </w:t>
      </w:r>
      <w:r w:rsidR="0007762B">
        <w:rPr>
          <w:rFonts w:cs="Calibri"/>
          <w:sz w:val="22"/>
          <w:szCs w:val="22"/>
        </w:rPr>
        <w:t>r</w:t>
      </w:r>
      <w:r w:rsidRPr="00EF6E4C">
        <w:rPr>
          <w:rFonts w:cs="Calibri"/>
          <w:sz w:val="22"/>
          <w:szCs w:val="22"/>
        </w:rPr>
        <w:t xml:space="preserve">equirements) </w:t>
      </w:r>
      <w:r w:rsidR="000A5C74">
        <w:rPr>
          <w:rFonts w:cs="Calibri"/>
          <w:sz w:val="22"/>
          <w:szCs w:val="22"/>
        </w:rPr>
        <w:t>participant</w:t>
      </w:r>
      <w:r w:rsidRPr="00EF6E4C">
        <w:rPr>
          <w:rFonts w:cs="Calibri"/>
          <w:sz w:val="22"/>
          <w:szCs w:val="22"/>
        </w:rPr>
        <w:t xml:space="preserve">. DES </w:t>
      </w:r>
      <w:r w:rsidR="00C84A77">
        <w:rPr>
          <w:rFonts w:cs="Calibri"/>
          <w:sz w:val="22"/>
          <w:szCs w:val="22"/>
        </w:rPr>
        <w:t>provider</w:t>
      </w:r>
      <w:r w:rsidRPr="00EF6E4C">
        <w:rPr>
          <w:rFonts w:cs="Calibri"/>
          <w:sz w:val="22"/>
          <w:szCs w:val="22"/>
        </w:rPr>
        <w:t xml:space="preserve">s should contact </w:t>
      </w:r>
      <w:r w:rsidR="000A5C74">
        <w:rPr>
          <w:rFonts w:cs="Calibri"/>
          <w:sz w:val="22"/>
          <w:szCs w:val="22"/>
        </w:rPr>
        <w:t>participant</w:t>
      </w:r>
      <w:r w:rsidRPr="00EF6E4C">
        <w:rPr>
          <w:rFonts w:cs="Calibri"/>
          <w:sz w:val="22"/>
          <w:szCs w:val="22"/>
        </w:rPr>
        <w:t xml:space="preserve">s who are </w:t>
      </w:r>
      <w:r w:rsidR="004E05EF" w:rsidRPr="00EF6E4C">
        <w:rPr>
          <w:rFonts w:cs="Calibri"/>
          <w:sz w:val="22"/>
          <w:szCs w:val="22"/>
        </w:rPr>
        <w:t>suspended</w:t>
      </w:r>
      <w:r w:rsidRPr="00EF6E4C">
        <w:rPr>
          <w:rFonts w:cs="Calibri"/>
          <w:sz w:val="22"/>
          <w:szCs w:val="22"/>
        </w:rPr>
        <w:t xml:space="preserve"> to discuss with them the option of volunteering.</w:t>
      </w:r>
    </w:p>
    <w:p w14:paraId="064E29E4" w14:textId="77777777" w:rsidR="00EF6E4C" w:rsidRPr="00EF6E4C" w:rsidRDefault="00EF6E4C" w:rsidP="00EF6E4C">
      <w:pPr>
        <w:keepNext/>
        <w:autoSpaceDE w:val="0"/>
        <w:autoSpaceDN w:val="0"/>
        <w:adjustRightInd w:val="0"/>
        <w:spacing w:before="240" w:after="120"/>
        <w:outlineLvl w:val="2"/>
        <w:rPr>
          <w:rFonts w:cs="Arial"/>
          <w:szCs w:val="22"/>
          <w:u w:val="single"/>
        </w:rPr>
      </w:pPr>
      <w:bookmarkStart w:id="90" w:name="_Toc101954847"/>
      <w:bookmarkStart w:id="91" w:name="_Toc101956919"/>
      <w:bookmarkStart w:id="92" w:name="_Toc126830131"/>
      <w:r w:rsidRPr="00EF6E4C">
        <w:rPr>
          <w:rFonts w:cs="Arial"/>
          <w:szCs w:val="22"/>
          <w:u w:val="single"/>
        </w:rPr>
        <w:t>Participant has Baseline or Future Work Capacity of 30+ hours per week</w:t>
      </w:r>
      <w:bookmarkEnd w:id="90"/>
      <w:bookmarkEnd w:id="91"/>
      <w:bookmarkEnd w:id="92"/>
    </w:p>
    <w:p w14:paraId="7FA9C10D" w14:textId="77777777" w:rsidR="00EF6E4C" w:rsidRPr="00EF6E4C" w:rsidRDefault="00EF6E4C" w:rsidP="00EF6E4C">
      <w:pPr>
        <w:spacing w:before="120" w:after="120"/>
        <w:rPr>
          <w:rFonts w:cs="Calibri"/>
          <w:sz w:val="22"/>
          <w:szCs w:val="22"/>
        </w:rPr>
      </w:pPr>
      <w:r w:rsidRPr="00EF6E4C">
        <w:rPr>
          <w:rFonts w:cs="Calibri"/>
          <w:sz w:val="22"/>
          <w:szCs w:val="22"/>
        </w:rPr>
        <w:t>If the ESAt report identifies a baseline or future work capacity of 30+ hours per week, the person is not able to commence a new DES Period of Service.</w:t>
      </w:r>
    </w:p>
    <w:p w14:paraId="2E601CE4" w14:textId="77777777" w:rsidR="00EF6E4C" w:rsidRPr="00EF6E4C" w:rsidRDefault="00EF6E4C" w:rsidP="00EF6E4C">
      <w:pPr>
        <w:numPr>
          <w:ilvl w:val="0"/>
          <w:numId w:val="87"/>
        </w:numPr>
        <w:spacing w:before="60"/>
        <w:ind w:left="714" w:hanging="357"/>
        <w:rPr>
          <w:rFonts w:asciiTheme="minorHAnsi" w:eastAsiaTheme="minorHAnsi" w:hAnsiTheme="minorHAnsi" w:cstheme="minorBidi"/>
          <w:sz w:val="22"/>
          <w:szCs w:val="22"/>
          <w:lang w:eastAsia="en-US"/>
        </w:rPr>
      </w:pPr>
      <w:r w:rsidRPr="00EF6E4C">
        <w:rPr>
          <w:rFonts w:asciiTheme="minorHAnsi" w:eastAsiaTheme="minorHAnsi" w:hAnsiTheme="minorHAnsi" w:cs="Calibri"/>
          <w:sz w:val="22"/>
          <w:szCs w:val="22"/>
          <w:lang w:eastAsia="en-US"/>
        </w:rPr>
        <w:t xml:space="preserve">If the ESAt was conducted to determine initial eligibility, the person is ineligible to </w:t>
      </w:r>
      <w:r w:rsidRPr="00EF6E4C">
        <w:rPr>
          <w:rFonts w:asciiTheme="minorHAnsi" w:eastAsiaTheme="minorHAnsi" w:hAnsiTheme="minorHAnsi" w:cstheme="minorBidi"/>
          <w:sz w:val="22"/>
          <w:szCs w:val="22"/>
          <w:lang w:eastAsia="en-US"/>
        </w:rPr>
        <w:t>commence DES and the ESAt will instead recommend referral to another service.</w:t>
      </w:r>
    </w:p>
    <w:p w14:paraId="38411266" w14:textId="4D457696" w:rsidR="00EF6E4C" w:rsidRPr="00EF6E4C" w:rsidRDefault="00EF6E4C" w:rsidP="00EF6E4C">
      <w:pPr>
        <w:numPr>
          <w:ilvl w:val="0"/>
          <w:numId w:val="87"/>
        </w:numPr>
        <w:spacing w:before="60"/>
        <w:ind w:left="714" w:hanging="357"/>
        <w:rPr>
          <w:rFonts w:asciiTheme="minorHAnsi" w:eastAsiaTheme="minorHAnsi" w:hAnsiTheme="minorHAnsi" w:cs="Calibri"/>
          <w:sz w:val="22"/>
          <w:szCs w:val="22"/>
          <w:lang w:eastAsia="en-US"/>
        </w:rPr>
      </w:pPr>
      <w:r w:rsidRPr="00EF6E4C">
        <w:rPr>
          <w:rFonts w:asciiTheme="minorHAnsi" w:eastAsiaTheme="minorHAnsi" w:hAnsiTheme="minorHAnsi" w:cstheme="minorBidi"/>
          <w:sz w:val="22"/>
          <w:szCs w:val="22"/>
          <w:lang w:eastAsia="en-US"/>
        </w:rPr>
        <w:t>If the ESAt was</w:t>
      </w:r>
      <w:r w:rsidRPr="00EF6E4C">
        <w:rPr>
          <w:rFonts w:asciiTheme="minorHAnsi" w:eastAsiaTheme="minorHAnsi" w:hAnsiTheme="minorHAnsi" w:cs="Calibri"/>
          <w:sz w:val="22"/>
          <w:szCs w:val="22"/>
          <w:lang w:eastAsia="en-US"/>
        </w:rPr>
        <w:t xml:space="preserve"> a CoCR or </w:t>
      </w:r>
      <w:r w:rsidR="0007762B">
        <w:rPr>
          <w:rFonts w:asciiTheme="minorHAnsi" w:eastAsiaTheme="minorHAnsi" w:hAnsiTheme="minorHAnsi" w:cs="Calibri"/>
          <w:sz w:val="22"/>
          <w:szCs w:val="22"/>
          <w:lang w:eastAsia="en-US"/>
        </w:rPr>
        <w:t>p</w:t>
      </w:r>
      <w:r w:rsidRPr="00EF6E4C">
        <w:rPr>
          <w:rFonts w:asciiTheme="minorHAnsi" w:eastAsiaTheme="minorHAnsi" w:hAnsiTheme="minorHAnsi" w:cs="Calibri"/>
          <w:sz w:val="22"/>
          <w:szCs w:val="22"/>
          <w:lang w:eastAsia="en-US"/>
        </w:rPr>
        <w:t xml:space="preserve">rogram </w:t>
      </w:r>
      <w:r w:rsidR="0007762B">
        <w:rPr>
          <w:rFonts w:asciiTheme="minorHAnsi" w:eastAsiaTheme="minorHAnsi" w:hAnsiTheme="minorHAnsi" w:cs="Calibri"/>
          <w:sz w:val="22"/>
          <w:szCs w:val="22"/>
          <w:lang w:eastAsia="en-US"/>
        </w:rPr>
        <w:t>r</w:t>
      </w:r>
      <w:r w:rsidRPr="00EF6E4C">
        <w:rPr>
          <w:rFonts w:asciiTheme="minorHAnsi" w:eastAsiaTheme="minorHAnsi" w:hAnsiTheme="minorHAnsi" w:cs="Calibri"/>
          <w:sz w:val="22"/>
          <w:szCs w:val="22"/>
          <w:lang w:eastAsia="en-US"/>
        </w:rPr>
        <w:t xml:space="preserve">eview conducted for a DES </w:t>
      </w:r>
      <w:r w:rsidR="000A5C74">
        <w:rPr>
          <w:rFonts w:asciiTheme="minorHAnsi" w:eastAsiaTheme="minorHAnsi" w:hAnsiTheme="minorHAnsi" w:cs="Calibri"/>
          <w:sz w:val="22"/>
          <w:szCs w:val="22"/>
          <w:lang w:eastAsia="en-US"/>
        </w:rPr>
        <w:t>participant</w:t>
      </w:r>
      <w:r w:rsidRPr="00EF6E4C">
        <w:rPr>
          <w:rFonts w:asciiTheme="minorHAnsi" w:eastAsiaTheme="minorHAnsi" w:hAnsiTheme="minorHAnsi" w:cs="Calibri"/>
          <w:sz w:val="22"/>
          <w:szCs w:val="22"/>
          <w:lang w:eastAsia="en-US"/>
        </w:rPr>
        <w:t xml:space="preserve">, the person may remain in DES until the end of their current </w:t>
      </w:r>
      <w:r w:rsidR="0007762B">
        <w:rPr>
          <w:rFonts w:asciiTheme="minorHAnsi" w:eastAsiaTheme="minorHAnsi" w:hAnsiTheme="minorHAnsi" w:cs="Calibri"/>
          <w:sz w:val="22"/>
          <w:szCs w:val="22"/>
          <w:lang w:eastAsia="en-US"/>
        </w:rPr>
        <w:t>p</w:t>
      </w:r>
      <w:r w:rsidRPr="00EF6E4C">
        <w:rPr>
          <w:rFonts w:asciiTheme="minorHAnsi" w:eastAsiaTheme="minorHAnsi" w:hAnsiTheme="minorHAnsi" w:cs="Calibri"/>
          <w:sz w:val="22"/>
          <w:szCs w:val="22"/>
          <w:lang w:eastAsia="en-US"/>
        </w:rPr>
        <w:t xml:space="preserve">eriod of </w:t>
      </w:r>
      <w:r w:rsidR="0007762B">
        <w:rPr>
          <w:rFonts w:asciiTheme="minorHAnsi" w:eastAsiaTheme="minorHAnsi" w:hAnsiTheme="minorHAnsi" w:cs="Calibri"/>
          <w:sz w:val="22"/>
          <w:szCs w:val="22"/>
          <w:lang w:eastAsia="en-US"/>
        </w:rPr>
        <w:t>s</w:t>
      </w:r>
      <w:r w:rsidRPr="00EF6E4C">
        <w:rPr>
          <w:rFonts w:asciiTheme="minorHAnsi" w:eastAsiaTheme="minorHAnsi" w:hAnsiTheme="minorHAnsi" w:cs="Calibri"/>
          <w:sz w:val="22"/>
          <w:szCs w:val="22"/>
          <w:lang w:eastAsia="en-US"/>
        </w:rPr>
        <w:t>ervice.</w:t>
      </w:r>
    </w:p>
    <w:p w14:paraId="336B960B" w14:textId="77777777" w:rsidR="00EF6E4C" w:rsidRPr="00EF6E4C" w:rsidRDefault="00EF6E4C" w:rsidP="00EF6E4C">
      <w:pPr>
        <w:spacing w:before="120"/>
        <w:rPr>
          <w:rFonts w:asciiTheme="minorHAnsi" w:eastAsiaTheme="minorHAnsi" w:hAnsiTheme="minorHAnsi" w:cstheme="minorBidi"/>
          <w:sz w:val="22"/>
          <w:szCs w:val="22"/>
          <w:lang w:eastAsia="en-US"/>
        </w:rPr>
      </w:pPr>
    </w:p>
    <w:p w14:paraId="4167E64F" w14:textId="77777777" w:rsidR="00EF6E4C" w:rsidRPr="00EF6E4C" w:rsidRDefault="00EF6E4C" w:rsidP="00EF6E4C">
      <w:pPr>
        <w:keepNext/>
        <w:outlineLvl w:val="1"/>
        <w:rPr>
          <w:rFonts w:cs="Arial"/>
          <w:b/>
          <w:bCs/>
          <w:iCs/>
          <w:szCs w:val="28"/>
        </w:rPr>
      </w:pPr>
      <w:bookmarkStart w:id="93" w:name="_Toc101954848"/>
      <w:bookmarkStart w:id="94" w:name="_Toc101956920"/>
      <w:bookmarkStart w:id="95" w:name="_Toc126830132"/>
      <w:r w:rsidRPr="00EF6E4C">
        <w:rPr>
          <w:rFonts w:cs="Arial"/>
          <w:b/>
          <w:bCs/>
          <w:iCs/>
          <w:szCs w:val="28"/>
        </w:rPr>
        <w:t>Request for review of an ESAt recommended referral (‘Disputed Assessment’)</w:t>
      </w:r>
      <w:bookmarkEnd w:id="93"/>
      <w:bookmarkEnd w:id="94"/>
      <w:bookmarkEnd w:id="95"/>
    </w:p>
    <w:p w14:paraId="49FB3506" w14:textId="77777777" w:rsidR="00EF6E4C" w:rsidRPr="00EF6E4C" w:rsidRDefault="00EF6E4C" w:rsidP="00EF6E4C">
      <w:pPr>
        <w:keepNext/>
        <w:autoSpaceDE w:val="0"/>
        <w:autoSpaceDN w:val="0"/>
        <w:adjustRightInd w:val="0"/>
        <w:spacing w:before="240" w:after="120"/>
        <w:outlineLvl w:val="2"/>
        <w:rPr>
          <w:rFonts w:cs="Arial"/>
          <w:szCs w:val="22"/>
          <w:u w:val="single"/>
        </w:rPr>
      </w:pPr>
      <w:bookmarkStart w:id="96" w:name="_Toc101954849"/>
      <w:bookmarkStart w:id="97" w:name="_Toc101956921"/>
      <w:bookmarkStart w:id="98" w:name="_Toc126830133"/>
      <w:r w:rsidRPr="00EF6E4C">
        <w:rPr>
          <w:rFonts w:cs="Arial"/>
          <w:szCs w:val="22"/>
          <w:u w:val="single"/>
        </w:rPr>
        <w:t>Requests from DES Providers</w:t>
      </w:r>
      <w:bookmarkEnd w:id="96"/>
      <w:bookmarkEnd w:id="97"/>
      <w:bookmarkEnd w:id="98"/>
    </w:p>
    <w:p w14:paraId="452DF63B" w14:textId="77777777" w:rsidR="00EF6E4C" w:rsidRPr="00EF6E4C" w:rsidRDefault="00EF6E4C" w:rsidP="00EF6E4C">
      <w:pPr>
        <w:spacing w:before="120" w:after="120"/>
        <w:rPr>
          <w:rFonts w:cs="Calibri"/>
          <w:sz w:val="22"/>
          <w:szCs w:val="22"/>
        </w:rPr>
      </w:pPr>
      <w:r w:rsidRPr="00EF6E4C">
        <w:rPr>
          <w:rFonts w:cs="Calibri"/>
          <w:sz w:val="22"/>
          <w:szCs w:val="22"/>
        </w:rPr>
        <w:t xml:space="preserve">Providers are expected to accept all referrals of eligible </w:t>
      </w:r>
      <w:r w:rsidR="000A5C74">
        <w:rPr>
          <w:rFonts w:cs="Calibri"/>
          <w:sz w:val="22"/>
          <w:szCs w:val="22"/>
        </w:rPr>
        <w:t>participant</w:t>
      </w:r>
      <w:r w:rsidRPr="00EF6E4C">
        <w:rPr>
          <w:rFonts w:cs="Calibri"/>
          <w:sz w:val="22"/>
          <w:szCs w:val="22"/>
        </w:rPr>
        <w:t xml:space="preserve">s. However, in some instances it may be necessary to ask for a review of an ESAt recommended referral for a </w:t>
      </w:r>
      <w:r w:rsidR="000A5C74">
        <w:rPr>
          <w:rFonts w:cs="Calibri"/>
          <w:sz w:val="22"/>
          <w:szCs w:val="22"/>
        </w:rPr>
        <w:t>participant</w:t>
      </w:r>
      <w:r w:rsidRPr="00EF6E4C">
        <w:rPr>
          <w:rFonts w:cs="Calibri"/>
          <w:sz w:val="22"/>
          <w:szCs w:val="22"/>
        </w:rPr>
        <w:t>. This process should be completed within 28 days of the ESAt report being submitted on the Department’s IT Systems. After that time the report will be finalised in the Department’s IT Systems and no further changes to the report will be possible.</w:t>
      </w:r>
    </w:p>
    <w:p w14:paraId="0F4C011D" w14:textId="77777777" w:rsidR="00EF6E4C" w:rsidRPr="00EF6E4C" w:rsidRDefault="00EF6E4C" w:rsidP="00EF6E4C">
      <w:pPr>
        <w:spacing w:before="120" w:after="120"/>
        <w:rPr>
          <w:rFonts w:cs="Calibri"/>
          <w:sz w:val="22"/>
          <w:szCs w:val="22"/>
        </w:rPr>
      </w:pPr>
      <w:r w:rsidRPr="00EF6E4C">
        <w:rPr>
          <w:rFonts w:cs="Calibri"/>
          <w:sz w:val="22"/>
          <w:szCs w:val="22"/>
        </w:rPr>
        <w:t xml:space="preserve">Where the </w:t>
      </w:r>
      <w:r w:rsidR="00C84A77">
        <w:rPr>
          <w:rFonts w:cs="Calibri"/>
          <w:sz w:val="22"/>
          <w:szCs w:val="22"/>
        </w:rPr>
        <w:t>provider</w:t>
      </w:r>
      <w:r w:rsidRPr="00EF6E4C">
        <w:rPr>
          <w:rFonts w:cs="Calibri"/>
          <w:sz w:val="22"/>
          <w:szCs w:val="22"/>
        </w:rPr>
        <w:t xml:space="preserve"> considers that the recommended referral is not the appropriate service type to assist the </w:t>
      </w:r>
      <w:r w:rsidR="000A5C74">
        <w:rPr>
          <w:rFonts w:cs="Calibri"/>
          <w:sz w:val="22"/>
          <w:szCs w:val="22"/>
        </w:rPr>
        <w:t>participant</w:t>
      </w:r>
      <w:r w:rsidRPr="00EF6E4C">
        <w:rPr>
          <w:rFonts w:cs="Calibri"/>
          <w:sz w:val="22"/>
          <w:szCs w:val="22"/>
        </w:rPr>
        <w:t xml:space="preserve"> because new information has come to their attention that may influence the outcome of the ESAt, or because an error has been made, the </w:t>
      </w:r>
      <w:r w:rsidR="00C84A77">
        <w:rPr>
          <w:rFonts w:cs="Calibri"/>
          <w:sz w:val="22"/>
          <w:szCs w:val="22"/>
        </w:rPr>
        <w:t>provider</w:t>
      </w:r>
      <w:r w:rsidRPr="00EF6E4C">
        <w:rPr>
          <w:rFonts w:cs="Calibri"/>
          <w:sz w:val="22"/>
          <w:szCs w:val="22"/>
        </w:rPr>
        <w:t xml:space="preserve"> should request a review from the relevant Assessor. Providers are required to give detailed reasons with supporting evidence substantiating their position.</w:t>
      </w:r>
    </w:p>
    <w:p w14:paraId="71D37A8B" w14:textId="77777777" w:rsidR="00EF6E4C" w:rsidRPr="00EF6E4C" w:rsidRDefault="00EF6E4C" w:rsidP="00EF6E4C">
      <w:pPr>
        <w:spacing w:before="120" w:after="120"/>
        <w:rPr>
          <w:rFonts w:cs="Calibri"/>
          <w:sz w:val="22"/>
          <w:szCs w:val="22"/>
        </w:rPr>
      </w:pPr>
      <w:r w:rsidRPr="00EF6E4C">
        <w:rPr>
          <w:rFonts w:cs="Calibri"/>
          <w:sz w:val="22"/>
          <w:szCs w:val="22"/>
        </w:rPr>
        <w:t xml:space="preserve">Where a </w:t>
      </w:r>
      <w:r w:rsidR="00C84A77">
        <w:rPr>
          <w:rFonts w:cs="Calibri"/>
          <w:sz w:val="22"/>
          <w:szCs w:val="22"/>
        </w:rPr>
        <w:t>provider</w:t>
      </w:r>
      <w:r w:rsidRPr="00EF6E4C">
        <w:rPr>
          <w:rFonts w:cs="Calibri"/>
          <w:sz w:val="22"/>
          <w:szCs w:val="22"/>
        </w:rPr>
        <w:t xml:space="preserve"> requests a review of the recommended referral for an existing </w:t>
      </w:r>
      <w:r w:rsidR="000A5C74">
        <w:rPr>
          <w:rFonts w:cs="Calibri"/>
          <w:sz w:val="22"/>
          <w:szCs w:val="22"/>
        </w:rPr>
        <w:t>participant</w:t>
      </w:r>
      <w:r w:rsidRPr="00EF6E4C">
        <w:rPr>
          <w:rFonts w:cs="Calibri"/>
          <w:sz w:val="22"/>
          <w:szCs w:val="22"/>
        </w:rPr>
        <w:t xml:space="preserve">, the </w:t>
      </w:r>
      <w:r w:rsidR="00C84A77">
        <w:rPr>
          <w:rFonts w:cs="Calibri"/>
          <w:sz w:val="22"/>
          <w:szCs w:val="22"/>
        </w:rPr>
        <w:t>provider</w:t>
      </w:r>
      <w:r w:rsidRPr="00EF6E4C">
        <w:rPr>
          <w:rFonts w:cs="Calibri"/>
          <w:sz w:val="22"/>
          <w:szCs w:val="22"/>
        </w:rPr>
        <w:t xml:space="preserve"> must continue to provide services to the </w:t>
      </w:r>
      <w:r w:rsidR="000A5C74">
        <w:rPr>
          <w:rFonts w:cs="Calibri"/>
          <w:sz w:val="22"/>
          <w:szCs w:val="22"/>
        </w:rPr>
        <w:t>participant</w:t>
      </w:r>
      <w:r w:rsidRPr="00EF6E4C">
        <w:rPr>
          <w:rFonts w:cs="Calibri"/>
          <w:sz w:val="22"/>
          <w:szCs w:val="22"/>
        </w:rPr>
        <w:t xml:space="preserve"> until the outcome of the ESAt review is known and a referral to another service is made, if required.</w:t>
      </w:r>
    </w:p>
    <w:p w14:paraId="59110B80" w14:textId="354771EA" w:rsidR="00EF6E4C" w:rsidRPr="00EF6E4C" w:rsidRDefault="00EF6E4C" w:rsidP="00EF6E4C">
      <w:pPr>
        <w:spacing w:before="120" w:after="120"/>
        <w:rPr>
          <w:rFonts w:cs="Calibri"/>
          <w:sz w:val="22"/>
          <w:szCs w:val="22"/>
        </w:rPr>
      </w:pPr>
      <w:r w:rsidRPr="00EF6E4C">
        <w:rPr>
          <w:rFonts w:cs="Calibri"/>
          <w:sz w:val="22"/>
          <w:szCs w:val="22"/>
        </w:rPr>
        <w:t xml:space="preserve">If, after providing the reasons and supporting evidence, the Assessor agrees that the recommended referral is not appropriate, the Assessor will update the ESAt report to reflect the new service recommendation, contact the </w:t>
      </w:r>
      <w:r w:rsidR="000A5C74">
        <w:rPr>
          <w:rFonts w:cs="Calibri"/>
          <w:sz w:val="22"/>
          <w:szCs w:val="22"/>
        </w:rPr>
        <w:t>participant</w:t>
      </w:r>
      <w:r w:rsidRPr="00EF6E4C">
        <w:rPr>
          <w:rFonts w:cs="Calibri"/>
          <w:sz w:val="22"/>
          <w:szCs w:val="22"/>
        </w:rPr>
        <w:t xml:space="preserve"> to select a new </w:t>
      </w:r>
      <w:r w:rsidR="00294472">
        <w:rPr>
          <w:rFonts w:cs="Calibri"/>
          <w:sz w:val="22"/>
          <w:szCs w:val="22"/>
        </w:rPr>
        <w:t>e</w:t>
      </w:r>
      <w:r w:rsidRPr="00EF6E4C">
        <w:rPr>
          <w:rFonts w:cs="Calibri"/>
          <w:sz w:val="22"/>
          <w:szCs w:val="22"/>
        </w:rPr>
        <w:t xml:space="preserve">mployment </w:t>
      </w:r>
      <w:r w:rsidR="00294472">
        <w:rPr>
          <w:rFonts w:cs="Calibri"/>
          <w:sz w:val="22"/>
          <w:szCs w:val="22"/>
        </w:rPr>
        <w:t>s</w:t>
      </w:r>
      <w:r w:rsidRPr="00EF6E4C">
        <w:rPr>
          <w:rFonts w:cs="Calibri"/>
          <w:sz w:val="22"/>
          <w:szCs w:val="22"/>
        </w:rPr>
        <w:t xml:space="preserve">ervice </w:t>
      </w:r>
      <w:r w:rsidR="00C84A77">
        <w:rPr>
          <w:rFonts w:cs="Calibri"/>
          <w:sz w:val="22"/>
          <w:szCs w:val="22"/>
        </w:rPr>
        <w:t>provider</w:t>
      </w:r>
      <w:r w:rsidRPr="00EF6E4C">
        <w:rPr>
          <w:rFonts w:cs="Calibri"/>
          <w:sz w:val="22"/>
          <w:szCs w:val="22"/>
        </w:rPr>
        <w:t xml:space="preserve"> and refer the </w:t>
      </w:r>
      <w:r w:rsidR="000A5C74">
        <w:rPr>
          <w:rFonts w:cs="Calibri"/>
          <w:sz w:val="22"/>
          <w:szCs w:val="22"/>
        </w:rPr>
        <w:t>participant</w:t>
      </w:r>
      <w:r w:rsidRPr="00EF6E4C">
        <w:rPr>
          <w:rFonts w:cs="Calibri"/>
          <w:sz w:val="22"/>
          <w:szCs w:val="22"/>
        </w:rPr>
        <w:t xml:space="preserve"> to the new service, where appropriate.</w:t>
      </w:r>
    </w:p>
    <w:p w14:paraId="7DF301A4" w14:textId="77777777" w:rsidR="00EF6E4C" w:rsidRPr="00EF6E4C" w:rsidRDefault="00EF6E4C" w:rsidP="00EF6E4C">
      <w:pPr>
        <w:spacing w:before="120" w:after="120"/>
        <w:rPr>
          <w:rFonts w:cs="Calibri"/>
          <w:sz w:val="22"/>
          <w:szCs w:val="22"/>
        </w:rPr>
      </w:pPr>
      <w:r w:rsidRPr="00EF6E4C">
        <w:rPr>
          <w:rFonts w:cs="Calibri"/>
          <w:sz w:val="22"/>
          <w:szCs w:val="22"/>
        </w:rPr>
        <w:t xml:space="preserve">Where the Assessor does not agree to change their recommended referral, the Assessor’s decision is final and the DES </w:t>
      </w:r>
      <w:r w:rsidR="00C84A77">
        <w:rPr>
          <w:rFonts w:cs="Calibri"/>
          <w:sz w:val="22"/>
          <w:szCs w:val="22"/>
        </w:rPr>
        <w:t>provider</w:t>
      </w:r>
      <w:r w:rsidRPr="00EF6E4C">
        <w:rPr>
          <w:rFonts w:cs="Calibri"/>
          <w:sz w:val="22"/>
          <w:szCs w:val="22"/>
        </w:rPr>
        <w:t xml:space="preserve"> must accept the recommended referral.</w:t>
      </w:r>
    </w:p>
    <w:p w14:paraId="6E92F01B" w14:textId="77777777" w:rsidR="00EF6E4C" w:rsidRPr="00EF6E4C" w:rsidRDefault="000A5C74" w:rsidP="00EF6E4C">
      <w:pPr>
        <w:keepNext/>
        <w:autoSpaceDE w:val="0"/>
        <w:autoSpaceDN w:val="0"/>
        <w:adjustRightInd w:val="0"/>
        <w:spacing w:before="240" w:after="120"/>
        <w:outlineLvl w:val="2"/>
        <w:rPr>
          <w:rFonts w:cs="Arial"/>
          <w:szCs w:val="22"/>
          <w:u w:val="single"/>
        </w:rPr>
      </w:pPr>
      <w:bookmarkStart w:id="99" w:name="_Toc101954850"/>
      <w:bookmarkStart w:id="100" w:name="_Toc101956922"/>
      <w:bookmarkStart w:id="101" w:name="_Toc126830134"/>
      <w:r>
        <w:rPr>
          <w:rFonts w:cs="Arial"/>
          <w:szCs w:val="22"/>
          <w:u w:val="single"/>
        </w:rPr>
        <w:t>Requests from p</w:t>
      </w:r>
      <w:r w:rsidR="00EF6E4C" w:rsidRPr="00EF6E4C">
        <w:rPr>
          <w:rFonts w:cs="Arial"/>
          <w:szCs w:val="22"/>
          <w:u w:val="single"/>
        </w:rPr>
        <w:t>articipants</w:t>
      </w:r>
      <w:bookmarkEnd w:id="99"/>
      <w:bookmarkEnd w:id="100"/>
      <w:bookmarkEnd w:id="101"/>
    </w:p>
    <w:p w14:paraId="16121BA5" w14:textId="33888DF9" w:rsidR="00EF6E4C" w:rsidRPr="00EF6E4C" w:rsidRDefault="00EF6E4C" w:rsidP="00EF6E4C">
      <w:pPr>
        <w:spacing w:before="120" w:after="120"/>
        <w:rPr>
          <w:rFonts w:cs="Calibri"/>
          <w:sz w:val="22"/>
          <w:szCs w:val="22"/>
        </w:rPr>
      </w:pPr>
      <w:r w:rsidRPr="00EF6E4C">
        <w:rPr>
          <w:rFonts w:cs="Calibri"/>
          <w:sz w:val="22"/>
          <w:szCs w:val="22"/>
        </w:rPr>
        <w:t xml:space="preserve">Services Australia customers can request a review of their Income Support Payment or Mutual Obligation </w:t>
      </w:r>
      <w:r w:rsidR="00294472">
        <w:rPr>
          <w:rFonts w:cs="Calibri"/>
          <w:sz w:val="22"/>
          <w:szCs w:val="22"/>
        </w:rPr>
        <w:t>r</w:t>
      </w:r>
      <w:r w:rsidRPr="00EF6E4C">
        <w:rPr>
          <w:rFonts w:cs="Calibri"/>
          <w:sz w:val="22"/>
          <w:szCs w:val="22"/>
        </w:rPr>
        <w:t>equirements determination through Services Australia. If the Services Australia customer is not satisfied with the outcome of the Services Australia review, further appeals are available through the Social Security Appeals Tribunal (SSAT) and the Administrative Appeals Tribunal (AAT).</w:t>
      </w:r>
    </w:p>
    <w:p w14:paraId="4FBB48B4" w14:textId="77777777" w:rsidR="00EF6E4C" w:rsidRPr="00EF6E4C" w:rsidRDefault="00EF6E4C" w:rsidP="00EF6E4C">
      <w:pPr>
        <w:keepNext/>
        <w:autoSpaceDE w:val="0"/>
        <w:autoSpaceDN w:val="0"/>
        <w:adjustRightInd w:val="0"/>
        <w:spacing w:before="240" w:after="120"/>
        <w:outlineLvl w:val="2"/>
        <w:rPr>
          <w:rFonts w:cs="Arial"/>
          <w:szCs w:val="22"/>
          <w:u w:val="single"/>
        </w:rPr>
      </w:pPr>
      <w:bookmarkStart w:id="102" w:name="_Toc101954851"/>
      <w:bookmarkStart w:id="103" w:name="_Toc101956923"/>
      <w:bookmarkStart w:id="104" w:name="_Toc126830135"/>
      <w:r w:rsidRPr="00EF6E4C">
        <w:rPr>
          <w:rFonts w:cs="Arial"/>
          <w:szCs w:val="22"/>
          <w:u w:val="single"/>
        </w:rPr>
        <w:t>Participant has a Partial Capacity to Work or a Temporary Reduced Work Capacity</w:t>
      </w:r>
      <w:bookmarkEnd w:id="102"/>
      <w:bookmarkEnd w:id="103"/>
      <w:bookmarkEnd w:id="104"/>
    </w:p>
    <w:p w14:paraId="5EE11155" w14:textId="0CBC4363" w:rsidR="00EF6E4C" w:rsidRPr="00EF6E4C" w:rsidRDefault="00EF6E4C" w:rsidP="00EF6E4C">
      <w:pPr>
        <w:spacing w:before="120" w:after="120"/>
        <w:rPr>
          <w:rFonts w:cs="Calibri"/>
          <w:sz w:val="22"/>
          <w:szCs w:val="22"/>
        </w:rPr>
      </w:pPr>
      <w:r w:rsidRPr="00EF6E4C">
        <w:rPr>
          <w:rFonts w:cs="Calibri"/>
          <w:sz w:val="22"/>
          <w:szCs w:val="22"/>
        </w:rPr>
        <w:t xml:space="preserve">If a </w:t>
      </w:r>
      <w:r w:rsidR="000A5C74">
        <w:rPr>
          <w:rFonts w:cs="Calibri"/>
          <w:sz w:val="22"/>
          <w:szCs w:val="22"/>
        </w:rPr>
        <w:t>participant</w:t>
      </w:r>
      <w:r w:rsidRPr="00EF6E4C">
        <w:rPr>
          <w:rFonts w:cs="Calibri"/>
          <w:sz w:val="22"/>
          <w:szCs w:val="22"/>
        </w:rPr>
        <w:t xml:space="preserve"> has a current and future work capacity (work capacity in two years’ time from Assessment) of less than 30 hours per </w:t>
      </w:r>
      <w:r w:rsidR="004E05EF" w:rsidRPr="00EF6E4C">
        <w:rPr>
          <w:rFonts w:cs="Calibri"/>
          <w:sz w:val="22"/>
          <w:szCs w:val="22"/>
        </w:rPr>
        <w:t>week,</w:t>
      </w:r>
      <w:r w:rsidRPr="00EF6E4C">
        <w:rPr>
          <w:rFonts w:cs="Calibri"/>
          <w:sz w:val="22"/>
          <w:szCs w:val="22"/>
        </w:rPr>
        <w:t xml:space="preserve"> they have a Partial Capacity to Work (PCW) and for a </w:t>
      </w:r>
      <w:r w:rsidR="000A5C74">
        <w:rPr>
          <w:rFonts w:cs="Calibri"/>
          <w:sz w:val="22"/>
          <w:szCs w:val="22"/>
        </w:rPr>
        <w:t>participant</w:t>
      </w:r>
      <w:r w:rsidRPr="00EF6E4C">
        <w:rPr>
          <w:rFonts w:cs="Calibri"/>
          <w:sz w:val="22"/>
          <w:szCs w:val="22"/>
        </w:rPr>
        <w:t xml:space="preserve"> with Mutual Obligation </w:t>
      </w:r>
      <w:r w:rsidR="00294472">
        <w:rPr>
          <w:rFonts w:cs="Calibri"/>
          <w:sz w:val="22"/>
          <w:szCs w:val="22"/>
        </w:rPr>
        <w:t>r</w:t>
      </w:r>
      <w:r w:rsidRPr="00EF6E4C">
        <w:rPr>
          <w:rFonts w:cs="Calibri"/>
          <w:sz w:val="22"/>
          <w:szCs w:val="22"/>
        </w:rPr>
        <w:t>equirements, their compulsory requirements are reduced in accordance with their work capacity.</w:t>
      </w:r>
    </w:p>
    <w:p w14:paraId="7B62D1F3" w14:textId="77777777" w:rsidR="00EF6E4C" w:rsidRPr="00EF6E4C" w:rsidRDefault="00EF6E4C" w:rsidP="00EF6E4C">
      <w:pPr>
        <w:spacing w:before="120" w:after="120"/>
        <w:rPr>
          <w:rFonts w:cs="Calibri"/>
          <w:sz w:val="22"/>
          <w:szCs w:val="22"/>
        </w:rPr>
      </w:pPr>
      <w:r w:rsidRPr="00EF6E4C">
        <w:rPr>
          <w:rFonts w:cs="Calibri"/>
          <w:sz w:val="22"/>
          <w:szCs w:val="22"/>
        </w:rPr>
        <w:t xml:space="preserve">Some </w:t>
      </w:r>
      <w:r w:rsidR="000A5C74">
        <w:rPr>
          <w:rFonts w:cs="Calibri"/>
          <w:sz w:val="22"/>
          <w:szCs w:val="22"/>
        </w:rPr>
        <w:t>participant</w:t>
      </w:r>
      <w:r w:rsidRPr="00EF6E4C">
        <w:rPr>
          <w:rFonts w:cs="Calibri"/>
          <w:sz w:val="22"/>
          <w:szCs w:val="22"/>
        </w:rPr>
        <w:t xml:space="preserve">s’ work capacity may be temporarily reduced due to a short-term condition. These </w:t>
      </w:r>
      <w:r w:rsidR="000A5C74">
        <w:rPr>
          <w:rFonts w:cs="Calibri"/>
          <w:sz w:val="22"/>
          <w:szCs w:val="22"/>
        </w:rPr>
        <w:t>participant</w:t>
      </w:r>
      <w:r w:rsidRPr="00EF6E4C">
        <w:rPr>
          <w:rFonts w:cs="Calibri"/>
          <w:sz w:val="22"/>
          <w:szCs w:val="22"/>
        </w:rPr>
        <w:t xml:space="preserve">s have a Temporary Reduced Work Capacity (TRWC), which will end at a future date, and their work capacity will be restored to its normal </w:t>
      </w:r>
      <w:r w:rsidR="00875A36" w:rsidRPr="00EF6E4C">
        <w:rPr>
          <w:rFonts w:cs="Calibri"/>
          <w:sz w:val="22"/>
          <w:szCs w:val="22"/>
        </w:rPr>
        <w:t>bandwidth, which</w:t>
      </w:r>
      <w:r w:rsidRPr="00EF6E4C">
        <w:rPr>
          <w:rFonts w:cs="Calibri"/>
          <w:sz w:val="22"/>
          <w:szCs w:val="22"/>
        </w:rPr>
        <w:t xml:space="preserve"> may be more or less than 30 hours per week.</w:t>
      </w:r>
    </w:p>
    <w:p w14:paraId="191D62F2" w14:textId="5AEC0E53" w:rsidR="00EF6E4C" w:rsidRPr="00EF6E4C" w:rsidRDefault="00EF6E4C" w:rsidP="00EF6E4C">
      <w:pPr>
        <w:spacing w:before="120" w:after="120"/>
        <w:rPr>
          <w:rFonts w:cs="Calibri"/>
          <w:sz w:val="22"/>
          <w:szCs w:val="22"/>
        </w:rPr>
      </w:pPr>
      <w:r w:rsidRPr="00EF6E4C">
        <w:rPr>
          <w:rFonts w:cs="Calibri"/>
          <w:sz w:val="22"/>
          <w:szCs w:val="22"/>
        </w:rPr>
        <w:t xml:space="preserve">Note: From 1 July 2021, all new income support recipients referred to DES have a </w:t>
      </w:r>
      <w:r w:rsidR="004E05EF" w:rsidRPr="00EF6E4C">
        <w:rPr>
          <w:rFonts w:cs="Calibri"/>
          <w:sz w:val="22"/>
          <w:szCs w:val="22"/>
        </w:rPr>
        <w:t>PCW,</w:t>
      </w:r>
      <w:r w:rsidRPr="00EF6E4C">
        <w:rPr>
          <w:rFonts w:cs="Calibri"/>
          <w:sz w:val="22"/>
          <w:szCs w:val="22"/>
        </w:rPr>
        <w:t xml:space="preserve"> as job seekers are ineligible to commence a DES program if their current and/or future work capacity is 30+ hours per week.</w:t>
      </w:r>
    </w:p>
    <w:p w14:paraId="1769A792" w14:textId="77777777" w:rsidR="00EF6E4C" w:rsidRPr="00EF6E4C" w:rsidRDefault="00EF6E4C" w:rsidP="00EF6E4C">
      <w:pPr>
        <w:spacing w:before="120"/>
        <w:rPr>
          <w:rFonts w:asciiTheme="minorHAnsi" w:eastAsiaTheme="minorHAnsi" w:hAnsiTheme="minorHAnsi" w:cstheme="minorBidi"/>
          <w:sz w:val="22"/>
          <w:szCs w:val="22"/>
          <w:lang w:eastAsia="en-US"/>
        </w:rPr>
      </w:pPr>
    </w:p>
    <w:p w14:paraId="4B4E54B8" w14:textId="77777777" w:rsidR="00EF6E4C" w:rsidRPr="00EF6E4C" w:rsidRDefault="00EF6E4C" w:rsidP="00EF6E4C">
      <w:pPr>
        <w:keepNext/>
        <w:outlineLvl w:val="1"/>
        <w:rPr>
          <w:rFonts w:cs="Arial"/>
          <w:b/>
          <w:bCs/>
          <w:iCs/>
          <w:szCs w:val="28"/>
        </w:rPr>
      </w:pPr>
      <w:bookmarkStart w:id="105" w:name="_Toc101956924"/>
      <w:bookmarkStart w:id="106" w:name="_Toc126830136"/>
      <w:bookmarkStart w:id="107" w:name="_Toc101954852"/>
      <w:r w:rsidRPr="00EF6E4C">
        <w:rPr>
          <w:rFonts w:cs="Arial"/>
          <w:b/>
          <w:bCs/>
          <w:iCs/>
          <w:szCs w:val="28"/>
        </w:rPr>
        <w:t>DES Participant with a deferred referral from Services Australia</w:t>
      </w:r>
      <w:bookmarkEnd w:id="105"/>
      <w:bookmarkEnd w:id="106"/>
    </w:p>
    <w:p w14:paraId="1714F807" w14:textId="77777777" w:rsidR="00EF6E4C" w:rsidRPr="00EF6E4C" w:rsidRDefault="00EF6E4C" w:rsidP="00EF6E4C">
      <w:pPr>
        <w:spacing w:before="120" w:after="120"/>
        <w:rPr>
          <w:sz w:val="22"/>
          <w:szCs w:val="22"/>
        </w:rPr>
      </w:pPr>
      <w:r w:rsidRPr="00EF6E4C">
        <w:rPr>
          <w:sz w:val="22"/>
          <w:szCs w:val="22"/>
        </w:rPr>
        <w:t xml:space="preserve">Where a </w:t>
      </w:r>
      <w:r w:rsidR="000A5C74">
        <w:rPr>
          <w:sz w:val="22"/>
          <w:szCs w:val="22"/>
        </w:rPr>
        <w:t>participant</w:t>
      </w:r>
      <w:r w:rsidRPr="00EF6E4C">
        <w:rPr>
          <w:sz w:val="22"/>
          <w:szCs w:val="22"/>
        </w:rPr>
        <w:t xml:space="preserve"> has a deferred referral from Services Australia, for example due to a temporary incapacity, and the recommended referral is no longer appropriate, the DES </w:t>
      </w:r>
      <w:r w:rsidR="00C84A77">
        <w:rPr>
          <w:sz w:val="22"/>
          <w:szCs w:val="22"/>
        </w:rPr>
        <w:t>provider</w:t>
      </w:r>
      <w:r w:rsidRPr="00EF6E4C">
        <w:rPr>
          <w:sz w:val="22"/>
          <w:szCs w:val="22"/>
        </w:rPr>
        <w:t xml:space="preserve"> should request a CoCR.</w:t>
      </w:r>
    </w:p>
    <w:p w14:paraId="1A7BEE93" w14:textId="77777777" w:rsidR="00EF6E4C" w:rsidRPr="00EF6E4C" w:rsidRDefault="00EF6E4C" w:rsidP="00EF6E4C">
      <w:pPr>
        <w:spacing w:before="120" w:after="120"/>
        <w:rPr>
          <w:sz w:val="22"/>
          <w:szCs w:val="22"/>
        </w:rPr>
      </w:pPr>
      <w:r w:rsidRPr="00EF6E4C">
        <w:rPr>
          <w:sz w:val="22"/>
          <w:szCs w:val="22"/>
        </w:rPr>
        <w:lastRenderedPageBreak/>
        <w:t>The referral for an ESAt must only be made after taking into account the factors identified above.</w:t>
      </w:r>
    </w:p>
    <w:p w14:paraId="1F7C4290" w14:textId="77777777" w:rsidR="00EF6E4C" w:rsidRPr="00EF6E4C" w:rsidRDefault="00EF6E4C" w:rsidP="00EF6E4C">
      <w:pPr>
        <w:spacing w:before="120"/>
        <w:rPr>
          <w:rFonts w:asciiTheme="minorHAnsi" w:eastAsiaTheme="minorHAnsi" w:hAnsiTheme="minorHAnsi" w:cstheme="minorBidi"/>
          <w:sz w:val="22"/>
          <w:szCs w:val="22"/>
          <w:lang w:eastAsia="en-US"/>
        </w:rPr>
      </w:pPr>
    </w:p>
    <w:p w14:paraId="7D125AE3" w14:textId="77777777" w:rsidR="00EF6E4C" w:rsidRPr="00EF6E4C" w:rsidRDefault="00EF6E4C" w:rsidP="00EF6E4C">
      <w:pPr>
        <w:keepNext/>
        <w:outlineLvl w:val="1"/>
        <w:rPr>
          <w:rFonts w:cs="Arial"/>
          <w:b/>
          <w:bCs/>
          <w:iCs/>
          <w:szCs w:val="28"/>
        </w:rPr>
      </w:pPr>
      <w:bookmarkStart w:id="108" w:name="_Toc101956925"/>
      <w:bookmarkStart w:id="109" w:name="_Toc126830137"/>
      <w:r w:rsidRPr="00EF6E4C">
        <w:rPr>
          <w:rFonts w:cs="Arial"/>
          <w:b/>
          <w:bCs/>
          <w:iCs/>
          <w:szCs w:val="28"/>
        </w:rPr>
        <w:t>Providing copies of the ESAt/JCA Report</w:t>
      </w:r>
      <w:bookmarkEnd w:id="107"/>
      <w:bookmarkEnd w:id="108"/>
      <w:bookmarkEnd w:id="109"/>
    </w:p>
    <w:p w14:paraId="4435A8BB" w14:textId="77777777" w:rsidR="00EF6E4C" w:rsidRPr="00EF6E4C" w:rsidRDefault="00EF6E4C" w:rsidP="00EF6E4C">
      <w:pPr>
        <w:tabs>
          <w:tab w:val="right" w:pos="1701"/>
        </w:tabs>
        <w:spacing w:before="120" w:after="120"/>
        <w:rPr>
          <w:rFonts w:cs="Calibri"/>
          <w:sz w:val="22"/>
          <w:szCs w:val="22"/>
        </w:rPr>
      </w:pPr>
      <w:r w:rsidRPr="00EF6E4C">
        <w:rPr>
          <w:rFonts w:cs="Calibri"/>
          <w:sz w:val="22"/>
          <w:szCs w:val="22"/>
        </w:rPr>
        <w:t xml:space="preserve">ESAt/JCA reports can be released to </w:t>
      </w:r>
      <w:r w:rsidR="000A5C74">
        <w:rPr>
          <w:rFonts w:cs="Calibri"/>
          <w:sz w:val="22"/>
          <w:szCs w:val="22"/>
        </w:rPr>
        <w:t>participant</w:t>
      </w:r>
      <w:r w:rsidRPr="00EF6E4C">
        <w:rPr>
          <w:rFonts w:cs="Calibri"/>
          <w:sz w:val="22"/>
          <w:szCs w:val="22"/>
        </w:rPr>
        <w:t xml:space="preserve">s except where they have been identified as containing </w:t>
      </w:r>
      <w:r w:rsidRPr="00EF6E4C">
        <w:rPr>
          <w:rFonts w:asciiTheme="minorHAnsi" w:hAnsiTheme="minorHAnsi" w:cstheme="minorHAnsi"/>
          <w:sz w:val="22"/>
          <w:szCs w:val="22"/>
        </w:rPr>
        <w:t>information</w:t>
      </w:r>
      <w:r w:rsidRPr="00EF6E4C">
        <w:rPr>
          <w:rFonts w:cs="Calibri"/>
          <w:sz w:val="22"/>
          <w:szCs w:val="22"/>
        </w:rPr>
        <w:t xml:space="preserve"> that may be prejudicial to their health. Typically, the report will include one of the following statements:</w:t>
      </w:r>
    </w:p>
    <w:p w14:paraId="5996E7EC" w14:textId="77777777" w:rsidR="00EF6E4C" w:rsidRPr="00EF6E4C" w:rsidRDefault="00EF6E4C" w:rsidP="00EF6E4C">
      <w:pPr>
        <w:numPr>
          <w:ilvl w:val="0"/>
          <w:numId w:val="87"/>
        </w:numPr>
        <w:spacing w:before="60"/>
        <w:ind w:left="714" w:hanging="357"/>
        <w:rPr>
          <w:rFonts w:asciiTheme="minorHAnsi" w:eastAsiaTheme="minorHAnsi" w:hAnsiTheme="minorHAnsi" w:cstheme="minorBidi"/>
          <w:sz w:val="22"/>
          <w:szCs w:val="22"/>
          <w:lang w:eastAsia="en-US"/>
        </w:rPr>
      </w:pPr>
      <w:r w:rsidRPr="00EF6E4C">
        <w:rPr>
          <w:rFonts w:asciiTheme="minorHAnsi" w:eastAsiaTheme="minorHAnsi" w:hAnsiTheme="minorHAnsi" w:cs="Calibri"/>
          <w:sz w:val="22"/>
          <w:szCs w:val="22"/>
          <w:lang w:eastAsia="en-US"/>
        </w:rPr>
        <w:t xml:space="preserve">This </w:t>
      </w:r>
      <w:r w:rsidRPr="00EF6E4C">
        <w:rPr>
          <w:rFonts w:asciiTheme="minorHAnsi" w:eastAsiaTheme="minorHAnsi" w:hAnsiTheme="minorHAnsi" w:cstheme="minorBidi"/>
          <w:sz w:val="22"/>
          <w:szCs w:val="22"/>
          <w:lang w:eastAsia="en-US"/>
        </w:rPr>
        <w:t>report does not contain any information, which if released to the client might be prejudicial to his/her health.</w:t>
      </w:r>
    </w:p>
    <w:p w14:paraId="0D4C2859" w14:textId="77777777" w:rsidR="00EF6E4C" w:rsidRPr="00EF6E4C" w:rsidRDefault="00EF6E4C" w:rsidP="00EF6E4C">
      <w:pPr>
        <w:numPr>
          <w:ilvl w:val="0"/>
          <w:numId w:val="87"/>
        </w:numPr>
        <w:spacing w:before="60"/>
        <w:ind w:left="714" w:hanging="357"/>
        <w:rPr>
          <w:rFonts w:asciiTheme="minorHAnsi" w:eastAsiaTheme="minorHAnsi" w:hAnsiTheme="minorHAnsi" w:cs="Calibri"/>
          <w:sz w:val="22"/>
          <w:szCs w:val="22"/>
          <w:lang w:eastAsia="en-US"/>
        </w:rPr>
      </w:pPr>
      <w:r w:rsidRPr="00EF6E4C">
        <w:rPr>
          <w:rFonts w:asciiTheme="minorHAnsi" w:eastAsiaTheme="minorHAnsi" w:hAnsiTheme="minorHAnsi" w:cstheme="minorBidi"/>
          <w:sz w:val="22"/>
          <w:szCs w:val="22"/>
          <w:lang w:eastAsia="en-US"/>
        </w:rPr>
        <w:t>This report</w:t>
      </w:r>
      <w:r w:rsidRPr="00EF6E4C">
        <w:rPr>
          <w:rFonts w:asciiTheme="minorHAnsi" w:eastAsiaTheme="minorHAnsi" w:hAnsiTheme="minorHAnsi" w:cs="Calibri"/>
          <w:sz w:val="22"/>
          <w:szCs w:val="22"/>
          <w:lang w:eastAsia="en-US"/>
        </w:rPr>
        <w:t xml:space="preserve"> does contain information, which if released to the client, might be prejudicial to his/her health.</w:t>
      </w:r>
    </w:p>
    <w:p w14:paraId="3DB4891E" w14:textId="77777777" w:rsidR="00EF6E4C" w:rsidRPr="00EF6E4C" w:rsidRDefault="00EF6E4C" w:rsidP="00EF6E4C">
      <w:pPr>
        <w:tabs>
          <w:tab w:val="right" w:pos="1701"/>
        </w:tabs>
        <w:spacing w:before="120" w:after="120"/>
        <w:rPr>
          <w:rFonts w:cs="Calibri"/>
          <w:sz w:val="22"/>
          <w:szCs w:val="22"/>
        </w:rPr>
      </w:pPr>
      <w:r w:rsidRPr="00EF6E4C">
        <w:rPr>
          <w:rFonts w:cs="Calibri"/>
          <w:sz w:val="22"/>
          <w:szCs w:val="22"/>
        </w:rPr>
        <w:t xml:space="preserve">Where the ESAt/JCA report identifies that it contains information that may be prejudicial to the </w:t>
      </w:r>
      <w:r w:rsidR="000A5C74">
        <w:rPr>
          <w:rFonts w:cs="Calibri"/>
          <w:sz w:val="22"/>
          <w:szCs w:val="22"/>
        </w:rPr>
        <w:t>participant</w:t>
      </w:r>
      <w:r w:rsidRPr="00EF6E4C">
        <w:rPr>
          <w:rFonts w:cs="Calibri"/>
          <w:sz w:val="22"/>
          <w:szCs w:val="22"/>
        </w:rPr>
        <w:t xml:space="preserve">’s health, the information request should generally be directed to the Department’s </w:t>
      </w:r>
      <w:r w:rsidRPr="00EF6E4C">
        <w:rPr>
          <w:rFonts w:asciiTheme="minorHAnsi" w:hAnsiTheme="minorHAnsi" w:cstheme="minorHAnsi"/>
          <w:sz w:val="22"/>
          <w:szCs w:val="22"/>
        </w:rPr>
        <w:t>Freedom</w:t>
      </w:r>
      <w:r w:rsidRPr="00EF6E4C">
        <w:rPr>
          <w:rFonts w:cs="Calibri"/>
          <w:sz w:val="22"/>
          <w:szCs w:val="22"/>
        </w:rPr>
        <w:t xml:space="preserve"> of Information (FOI) team for consideration under the FOI Act. This is because the FOI Act sets up a specific arrangement under which the </w:t>
      </w:r>
      <w:r w:rsidR="000A5C74">
        <w:rPr>
          <w:rFonts w:cs="Calibri"/>
          <w:sz w:val="22"/>
          <w:szCs w:val="22"/>
        </w:rPr>
        <w:t>participant</w:t>
      </w:r>
      <w:r w:rsidRPr="00EF6E4C">
        <w:rPr>
          <w:rFonts w:cs="Calibri"/>
          <w:sz w:val="22"/>
          <w:szCs w:val="22"/>
        </w:rPr>
        <w:t xml:space="preserve"> may obtain access to the record.</w:t>
      </w:r>
    </w:p>
    <w:p w14:paraId="51FD12DF" w14:textId="0ADD0D58" w:rsidR="00EF6E4C" w:rsidRPr="00EF6E4C" w:rsidRDefault="00EF6E4C" w:rsidP="00EF6E4C">
      <w:pPr>
        <w:tabs>
          <w:tab w:val="right" w:pos="1701"/>
        </w:tabs>
        <w:spacing w:before="120" w:after="120"/>
        <w:rPr>
          <w:rFonts w:cs="Calibri"/>
          <w:sz w:val="22"/>
          <w:szCs w:val="22"/>
        </w:rPr>
      </w:pPr>
      <w:r w:rsidRPr="00EF6E4C">
        <w:rPr>
          <w:rFonts w:cs="Calibri"/>
          <w:sz w:val="22"/>
          <w:szCs w:val="22"/>
        </w:rPr>
        <w:t xml:space="preserve">Please </w:t>
      </w:r>
      <w:r w:rsidRPr="00EF6E4C">
        <w:rPr>
          <w:rFonts w:asciiTheme="minorHAnsi" w:hAnsiTheme="minorHAnsi" w:cstheme="minorHAnsi"/>
          <w:sz w:val="22"/>
          <w:szCs w:val="22"/>
        </w:rPr>
        <w:t>refer</w:t>
      </w:r>
      <w:r w:rsidRPr="00EF6E4C">
        <w:rPr>
          <w:rFonts w:cs="Calibri"/>
          <w:sz w:val="22"/>
          <w:szCs w:val="22"/>
        </w:rPr>
        <w:t xml:space="preserve"> to the </w:t>
      </w:r>
      <w:hyperlink r:id="rId13" w:history="1">
        <w:r w:rsidRPr="001D11B7">
          <w:rPr>
            <w:rStyle w:val="Hyperlink"/>
            <w:rFonts w:cs="Calibri"/>
            <w:i/>
            <w:sz w:val="22"/>
            <w:szCs w:val="22"/>
          </w:rPr>
          <w:t>Guide</w:t>
        </w:r>
        <w:r w:rsidRPr="001D11B7">
          <w:rPr>
            <w:rStyle w:val="Hyperlink"/>
            <w:rFonts w:cs="Calibri"/>
            <w:i/>
            <w:sz w:val="22"/>
            <w:szCs w:val="22"/>
            <w:lang w:eastAsia="en-US"/>
          </w:rPr>
          <w:t xml:space="preserve"> to Providing Access to Records</w:t>
        </w:r>
      </w:hyperlink>
      <w:r w:rsidRPr="001D11B7">
        <w:rPr>
          <w:rFonts w:cs="Calibri"/>
          <w:i/>
          <w:sz w:val="22"/>
          <w:szCs w:val="22"/>
          <w:u w:val="single"/>
        </w:rPr>
        <w:t xml:space="preserve"> </w:t>
      </w:r>
      <w:r w:rsidRPr="00EF6E4C">
        <w:rPr>
          <w:rFonts w:cs="Calibri"/>
          <w:sz w:val="22"/>
          <w:szCs w:val="22"/>
        </w:rPr>
        <w:t xml:space="preserve">on the </w:t>
      </w:r>
      <w:r w:rsidR="00C84A77">
        <w:rPr>
          <w:rFonts w:cs="Calibri"/>
          <w:sz w:val="22"/>
          <w:szCs w:val="22"/>
        </w:rPr>
        <w:t>provider</w:t>
      </w:r>
      <w:r w:rsidRPr="00EF6E4C">
        <w:rPr>
          <w:rFonts w:cs="Calibri"/>
          <w:sz w:val="22"/>
          <w:szCs w:val="22"/>
        </w:rPr>
        <w:t xml:space="preserve"> Portal for more information.</w:t>
      </w:r>
    </w:p>
    <w:p w14:paraId="74C9E015" w14:textId="1B434729" w:rsidR="00EF6E4C" w:rsidRPr="00EF6E4C" w:rsidRDefault="00EF6E4C" w:rsidP="00EF6E4C">
      <w:pPr>
        <w:tabs>
          <w:tab w:val="right" w:pos="1701"/>
        </w:tabs>
        <w:spacing w:before="120" w:after="120"/>
        <w:rPr>
          <w:rFonts w:cs="Calibri"/>
          <w:sz w:val="22"/>
          <w:szCs w:val="22"/>
        </w:rPr>
      </w:pPr>
      <w:r w:rsidRPr="00EF6E4C">
        <w:rPr>
          <w:rFonts w:cs="Calibri"/>
          <w:b/>
          <w:sz w:val="22"/>
          <w:szCs w:val="22"/>
        </w:rPr>
        <w:t>Note:</w:t>
      </w:r>
      <w:r w:rsidRPr="00EF6E4C">
        <w:rPr>
          <w:rFonts w:cs="Calibri"/>
          <w:sz w:val="22"/>
          <w:szCs w:val="22"/>
        </w:rPr>
        <w:t xml:space="preserve"> JCA reports obtained from </w:t>
      </w:r>
      <w:r w:rsidR="00294472">
        <w:rPr>
          <w:rFonts w:cs="Calibri"/>
          <w:sz w:val="22"/>
          <w:szCs w:val="22"/>
        </w:rPr>
        <w:t>e</w:t>
      </w:r>
      <w:r w:rsidRPr="00EF6E4C">
        <w:rPr>
          <w:rFonts w:cs="Calibri"/>
          <w:sz w:val="22"/>
          <w:szCs w:val="22"/>
        </w:rPr>
        <w:t xml:space="preserve">mployment </w:t>
      </w:r>
      <w:r w:rsidR="00294472">
        <w:rPr>
          <w:rFonts w:cs="Calibri"/>
          <w:sz w:val="22"/>
          <w:szCs w:val="22"/>
        </w:rPr>
        <w:t>s</w:t>
      </w:r>
      <w:r w:rsidRPr="00EF6E4C">
        <w:rPr>
          <w:rFonts w:cs="Calibri"/>
          <w:sz w:val="22"/>
          <w:szCs w:val="22"/>
        </w:rPr>
        <w:t xml:space="preserve">ervice </w:t>
      </w:r>
      <w:r w:rsidR="00C84A77">
        <w:rPr>
          <w:rFonts w:cs="Calibri"/>
          <w:sz w:val="22"/>
          <w:szCs w:val="22"/>
        </w:rPr>
        <w:t>provider</w:t>
      </w:r>
      <w:r w:rsidRPr="00EF6E4C">
        <w:rPr>
          <w:rFonts w:cs="Calibri"/>
          <w:sz w:val="22"/>
          <w:szCs w:val="22"/>
        </w:rPr>
        <w:t xml:space="preserve">s will only contain information relevant to the </w:t>
      </w:r>
      <w:r w:rsidR="000A5C74">
        <w:rPr>
          <w:rFonts w:asciiTheme="minorHAnsi" w:hAnsiTheme="minorHAnsi" w:cstheme="minorHAnsi"/>
          <w:sz w:val="22"/>
          <w:szCs w:val="22"/>
        </w:rPr>
        <w:t>participant</w:t>
      </w:r>
      <w:r w:rsidRPr="00EF6E4C">
        <w:rPr>
          <w:rFonts w:asciiTheme="minorHAnsi" w:hAnsiTheme="minorHAnsi" w:cstheme="minorHAnsi"/>
          <w:sz w:val="22"/>
          <w:szCs w:val="22"/>
        </w:rPr>
        <w:t>’s</w:t>
      </w:r>
      <w:r w:rsidRPr="00EF6E4C">
        <w:rPr>
          <w:rFonts w:cs="Calibri"/>
          <w:sz w:val="22"/>
          <w:szCs w:val="22"/>
        </w:rPr>
        <w:t xml:space="preserve"> participation in employment services. These reports will not contain information used for DSP claims or reviews including the assessment against the Impairment Tables. If the </w:t>
      </w:r>
      <w:r w:rsidR="000A5C74">
        <w:rPr>
          <w:rFonts w:cs="Calibri"/>
          <w:sz w:val="22"/>
          <w:szCs w:val="22"/>
        </w:rPr>
        <w:t>participant</w:t>
      </w:r>
      <w:r w:rsidRPr="00EF6E4C">
        <w:rPr>
          <w:rFonts w:cs="Calibri"/>
          <w:sz w:val="22"/>
          <w:szCs w:val="22"/>
        </w:rPr>
        <w:t xml:space="preserve"> requests the full JCA report, they should be directed to Services Australia.</w:t>
      </w:r>
    </w:p>
    <w:p w14:paraId="7FA6751E" w14:textId="77777777" w:rsidR="00EF6E4C" w:rsidRPr="00EF6E4C" w:rsidRDefault="00EF6E4C" w:rsidP="00EF6E4C">
      <w:pPr>
        <w:spacing w:before="120"/>
        <w:rPr>
          <w:rFonts w:asciiTheme="minorHAnsi" w:eastAsiaTheme="minorHAnsi" w:hAnsiTheme="minorHAnsi" w:cstheme="minorBidi"/>
          <w:sz w:val="22"/>
          <w:szCs w:val="22"/>
          <w:lang w:eastAsia="en-US"/>
        </w:rPr>
      </w:pPr>
    </w:p>
    <w:p w14:paraId="2FE80AE4" w14:textId="77777777" w:rsidR="00EF6E4C" w:rsidRPr="00EF6E4C" w:rsidRDefault="000A5C74" w:rsidP="00EF6E4C">
      <w:pPr>
        <w:keepNext/>
        <w:outlineLvl w:val="1"/>
        <w:rPr>
          <w:rFonts w:cs="Arial"/>
          <w:b/>
          <w:bCs/>
          <w:iCs/>
          <w:szCs w:val="28"/>
        </w:rPr>
      </w:pPr>
      <w:bookmarkStart w:id="110" w:name="_Toc101954853"/>
      <w:bookmarkStart w:id="111" w:name="_Toc101956926"/>
      <w:bookmarkStart w:id="112" w:name="_Toc126830138"/>
      <w:r>
        <w:rPr>
          <w:rFonts w:cs="Arial"/>
          <w:b/>
          <w:bCs/>
          <w:iCs/>
          <w:szCs w:val="28"/>
        </w:rPr>
        <w:t>Special Participant G</w:t>
      </w:r>
      <w:r w:rsidR="00EF6E4C" w:rsidRPr="00EF6E4C">
        <w:rPr>
          <w:rFonts w:cs="Arial"/>
          <w:b/>
          <w:bCs/>
          <w:iCs/>
          <w:szCs w:val="28"/>
        </w:rPr>
        <w:t>roups</w:t>
      </w:r>
      <w:bookmarkEnd w:id="110"/>
      <w:bookmarkEnd w:id="111"/>
      <w:bookmarkEnd w:id="112"/>
    </w:p>
    <w:p w14:paraId="73F6A491" w14:textId="77777777" w:rsidR="00EF6E4C" w:rsidRPr="00EF6E4C" w:rsidRDefault="00EF6E4C" w:rsidP="00EF6E4C">
      <w:pPr>
        <w:keepNext/>
        <w:autoSpaceDE w:val="0"/>
        <w:autoSpaceDN w:val="0"/>
        <w:adjustRightInd w:val="0"/>
        <w:spacing w:before="240" w:after="120"/>
        <w:outlineLvl w:val="2"/>
        <w:rPr>
          <w:rFonts w:cs="Arial"/>
          <w:szCs w:val="22"/>
          <w:u w:val="single"/>
        </w:rPr>
      </w:pPr>
      <w:bookmarkStart w:id="113" w:name="_Toc101954854"/>
      <w:bookmarkStart w:id="114" w:name="_Toc101956927"/>
      <w:bookmarkStart w:id="115" w:name="_Toc126830139"/>
      <w:r w:rsidRPr="00EF6E4C">
        <w:rPr>
          <w:rFonts w:cs="Arial"/>
          <w:szCs w:val="22"/>
          <w:u w:val="single"/>
        </w:rPr>
        <w:t>DSP Recipients</w:t>
      </w:r>
      <w:bookmarkEnd w:id="113"/>
      <w:bookmarkEnd w:id="114"/>
      <w:bookmarkEnd w:id="115"/>
    </w:p>
    <w:p w14:paraId="5814436A" w14:textId="6B29E6CD" w:rsidR="00EF6E4C" w:rsidRPr="00077A82" w:rsidRDefault="00EF6E4C" w:rsidP="00077A82">
      <w:pPr>
        <w:rPr>
          <w:sz w:val="22"/>
        </w:rPr>
      </w:pPr>
      <w:r w:rsidRPr="00077A82">
        <w:rPr>
          <w:sz w:val="22"/>
        </w:rPr>
        <w:t xml:space="preserve">DSP recipients who do not have compulsory requirements may volunteer for employment services and can be subsequently referred to an ESAt. These </w:t>
      </w:r>
      <w:r w:rsidR="000A5C74">
        <w:rPr>
          <w:sz w:val="22"/>
        </w:rPr>
        <w:t>participant</w:t>
      </w:r>
      <w:r w:rsidRPr="00077A82">
        <w:rPr>
          <w:sz w:val="22"/>
        </w:rPr>
        <w:t xml:space="preserve">s have the option at any point to withdraw from the process. If the DSP </w:t>
      </w:r>
      <w:r w:rsidR="00294472">
        <w:rPr>
          <w:sz w:val="22"/>
        </w:rPr>
        <w:t>v</w:t>
      </w:r>
      <w:r w:rsidRPr="00077A82">
        <w:rPr>
          <w:sz w:val="22"/>
        </w:rPr>
        <w:t xml:space="preserve">olunteer decides not to undergo an ESAt, they should inform their referring DES </w:t>
      </w:r>
      <w:r w:rsidR="00C84A77">
        <w:rPr>
          <w:sz w:val="22"/>
        </w:rPr>
        <w:t>provider</w:t>
      </w:r>
      <w:r w:rsidRPr="00077A82">
        <w:rPr>
          <w:sz w:val="22"/>
        </w:rPr>
        <w:t xml:space="preserve"> that they no longer wish to volunteer for employment assistance.</w:t>
      </w:r>
    </w:p>
    <w:p w14:paraId="1C6B1359" w14:textId="77777777" w:rsidR="00EF6E4C" w:rsidRPr="00077A82" w:rsidRDefault="00EF6E4C" w:rsidP="00077A82">
      <w:pPr>
        <w:pStyle w:val="Heading3"/>
        <w:rPr>
          <w:szCs w:val="24"/>
          <w:u w:val="single"/>
        </w:rPr>
      </w:pPr>
      <w:bookmarkStart w:id="116" w:name="_Toc126830140"/>
      <w:r w:rsidRPr="00077A82">
        <w:rPr>
          <w:b w:val="0"/>
          <w:u w:val="single"/>
        </w:rPr>
        <w:t>People who are deaf and hard of hearing</w:t>
      </w:r>
      <w:bookmarkEnd w:id="116"/>
    </w:p>
    <w:p w14:paraId="52D20F01" w14:textId="59F0A5C1" w:rsidR="00EF6E4C" w:rsidRPr="00077A82" w:rsidRDefault="00EF6E4C" w:rsidP="00EF6E4C">
      <w:pPr>
        <w:rPr>
          <w:sz w:val="22"/>
          <w:lang w:eastAsia="zh-TW"/>
        </w:rPr>
      </w:pPr>
      <w:r w:rsidRPr="00077A82">
        <w:rPr>
          <w:sz w:val="22"/>
          <w:lang w:eastAsia="zh-TW"/>
        </w:rPr>
        <w:t xml:space="preserve">Services Australia make available specific services for people that are deaf, hard of hearing or have a speech disability and require an ESAT.  These options include utilising various forms of </w:t>
      </w:r>
      <w:r w:rsidR="00294472">
        <w:rPr>
          <w:sz w:val="22"/>
          <w:lang w:eastAsia="zh-TW"/>
        </w:rPr>
        <w:t>a</w:t>
      </w:r>
      <w:r w:rsidRPr="00077A82">
        <w:rPr>
          <w:sz w:val="22"/>
          <w:lang w:eastAsia="zh-TW"/>
        </w:rPr>
        <w:t xml:space="preserve">ssistive technology including: </w:t>
      </w:r>
    </w:p>
    <w:p w14:paraId="5F9672C0" w14:textId="77777777" w:rsidR="00EF6E4C" w:rsidRPr="00077A82" w:rsidRDefault="00EF6E4C" w:rsidP="00EF6E4C">
      <w:pPr>
        <w:rPr>
          <w:sz w:val="22"/>
          <w:lang w:eastAsia="zh-TW"/>
        </w:rPr>
      </w:pPr>
    </w:p>
    <w:p w14:paraId="29BD2457" w14:textId="77777777" w:rsidR="00EF6E4C" w:rsidRPr="00077A82" w:rsidRDefault="00EF6E4C" w:rsidP="00077A82">
      <w:pPr>
        <w:pStyle w:val="ListParagraph"/>
        <w:numPr>
          <w:ilvl w:val="1"/>
          <w:numId w:val="77"/>
        </w:numPr>
        <w:ind w:left="360"/>
        <w:rPr>
          <w:sz w:val="22"/>
          <w:lang w:eastAsia="zh-TW"/>
        </w:rPr>
      </w:pPr>
      <w:r w:rsidRPr="00077A82">
        <w:rPr>
          <w:sz w:val="22"/>
          <w:lang w:eastAsia="zh-TW"/>
        </w:rPr>
        <w:t xml:space="preserve">Hearing Augmentation Devices - also known as Hearing Loop, and Audio Loop technology. Some form of these devices are available in all Services Australia service centres for customers that have compatible hearing aids to assist with face-to-face communication. Some sites have a permanent hearing loop system and other have portable sound shuttles. </w:t>
      </w:r>
    </w:p>
    <w:p w14:paraId="5827E95B" w14:textId="77777777" w:rsidR="00EF6E4C" w:rsidRPr="00077A82" w:rsidRDefault="00EF6E4C" w:rsidP="00077A82">
      <w:pPr>
        <w:pStyle w:val="ListParagraph"/>
        <w:numPr>
          <w:ilvl w:val="1"/>
          <w:numId w:val="77"/>
        </w:numPr>
        <w:ind w:left="360"/>
        <w:rPr>
          <w:sz w:val="22"/>
          <w:lang w:eastAsia="zh-TW"/>
        </w:rPr>
      </w:pPr>
      <w:r w:rsidRPr="00077A82">
        <w:rPr>
          <w:sz w:val="22"/>
          <w:lang w:eastAsia="zh-TW"/>
        </w:rPr>
        <w:t>Teletypewriter communication (TTY) - these messages are sent via telephone lines. The person who is deaf or hard of hearing types their message via a keyboard and these</w:t>
      </w:r>
      <w:r>
        <w:rPr>
          <w:sz w:val="22"/>
          <w:lang w:eastAsia="zh-TW"/>
        </w:rPr>
        <w:t xml:space="preserve"> </w:t>
      </w:r>
      <w:r w:rsidRPr="00077A82">
        <w:rPr>
          <w:sz w:val="22"/>
          <w:lang w:eastAsia="zh-TW"/>
        </w:rPr>
        <w:t xml:space="preserve">messages are then decoded by a TTY at the other end of the phone line and displayed as a written message. </w:t>
      </w:r>
    </w:p>
    <w:p w14:paraId="0E303A67" w14:textId="77777777" w:rsidR="00EF6E4C" w:rsidRPr="00077A82" w:rsidRDefault="00EF6E4C" w:rsidP="00077A82">
      <w:pPr>
        <w:pStyle w:val="ListParagraph"/>
        <w:numPr>
          <w:ilvl w:val="1"/>
          <w:numId w:val="77"/>
        </w:numPr>
        <w:ind w:left="360"/>
        <w:rPr>
          <w:sz w:val="22"/>
          <w:lang w:eastAsia="zh-TW"/>
        </w:rPr>
      </w:pPr>
      <w:r w:rsidRPr="00077A82">
        <w:rPr>
          <w:sz w:val="22"/>
          <w:lang w:eastAsia="zh-TW"/>
        </w:rPr>
        <w:t>Internet - customers who can access the internet may prefer to conduct their business online.</w:t>
      </w:r>
    </w:p>
    <w:p w14:paraId="6B3D3BEF" w14:textId="77777777" w:rsidR="00EF6E4C" w:rsidRPr="00077A82" w:rsidRDefault="00EF6E4C" w:rsidP="00077A82">
      <w:pPr>
        <w:pStyle w:val="ListParagraph"/>
        <w:numPr>
          <w:ilvl w:val="1"/>
          <w:numId w:val="77"/>
        </w:numPr>
        <w:ind w:left="360"/>
        <w:rPr>
          <w:sz w:val="22"/>
          <w:lang w:eastAsia="zh-TW"/>
        </w:rPr>
      </w:pPr>
      <w:r w:rsidRPr="00077A82">
        <w:rPr>
          <w:sz w:val="22"/>
          <w:lang w:eastAsia="zh-TW"/>
        </w:rPr>
        <w:t>Interpreter Services – booking an AUSLAN interpreter.</w:t>
      </w:r>
    </w:p>
    <w:p w14:paraId="27313AB5" w14:textId="77777777" w:rsidR="00EF6E4C" w:rsidRDefault="00EF6E4C" w:rsidP="00077A82"/>
    <w:p w14:paraId="4AD0CAD7" w14:textId="77777777" w:rsidR="006C42BF" w:rsidRDefault="006C42BF" w:rsidP="00077A82">
      <w:pPr>
        <w:rPr>
          <w:sz w:val="28"/>
          <w:szCs w:val="28"/>
        </w:rPr>
      </w:pPr>
      <w:bookmarkStart w:id="117" w:name="_Job_Services_Australia"/>
      <w:bookmarkEnd w:id="117"/>
    </w:p>
    <w:sectPr w:rsidR="006C42BF" w:rsidSect="00474696">
      <w:headerReference w:type="even" r:id="rId14"/>
      <w:headerReference w:type="default" r:id="rId15"/>
      <w:footerReference w:type="even" r:id="rId16"/>
      <w:footerReference w:type="default" r:id="rId17"/>
      <w:headerReference w:type="first" r:id="rId18"/>
      <w:footerReference w:type="first" r:id="rId19"/>
      <w:pgSz w:w="11906" w:h="16838"/>
      <w:pgMar w:top="948" w:right="1418" w:bottom="1079" w:left="1797"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76D79" w14:textId="77777777" w:rsidR="00C87E18" w:rsidRDefault="00C87E18">
      <w:r>
        <w:separator/>
      </w:r>
    </w:p>
  </w:endnote>
  <w:endnote w:type="continuationSeparator" w:id="0">
    <w:p w14:paraId="50EF7DF4" w14:textId="77777777" w:rsidR="00C87E18" w:rsidRDefault="00C87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B1890" w14:textId="77777777" w:rsidR="007B1351" w:rsidRDefault="007B13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92AA9" w14:textId="1A47F582" w:rsidR="0075647A" w:rsidRPr="000B61DC" w:rsidRDefault="0075647A" w:rsidP="00E372CF">
    <w:pPr>
      <w:pStyle w:val="Footer"/>
      <w:rPr>
        <w:sz w:val="16"/>
        <w:szCs w:val="16"/>
      </w:rPr>
    </w:pPr>
    <w:r w:rsidRPr="000B61DC">
      <w:rPr>
        <w:sz w:val="16"/>
        <w:szCs w:val="16"/>
      </w:rPr>
      <w:t xml:space="preserve">Referral for an Employment Services Assessment Guidelines </w:t>
    </w:r>
    <w:r>
      <w:rPr>
        <w:sz w:val="16"/>
        <w:szCs w:val="16"/>
      </w:rPr>
      <w:t>V1.5</w:t>
    </w:r>
  </w:p>
  <w:p w14:paraId="528664D1" w14:textId="1377919E" w:rsidR="0075647A" w:rsidRPr="000B61DC" w:rsidRDefault="0075647A" w:rsidP="00B035E2">
    <w:pPr>
      <w:pStyle w:val="Footer"/>
      <w:tabs>
        <w:tab w:val="left" w:pos="2964"/>
        <w:tab w:val="left" w:pos="3235"/>
      </w:tabs>
      <w:rPr>
        <w:sz w:val="16"/>
        <w:szCs w:val="16"/>
      </w:rPr>
    </w:pPr>
    <w:r>
      <w:rPr>
        <w:sz w:val="16"/>
        <w:szCs w:val="16"/>
      </w:rPr>
      <w:t>TRIM</w:t>
    </w:r>
    <w:r w:rsidRPr="000B61DC">
      <w:rPr>
        <w:sz w:val="16"/>
        <w:szCs w:val="16"/>
      </w:rPr>
      <w:t xml:space="preserve"> ID:</w:t>
    </w:r>
    <w:r>
      <w:rPr>
        <w:sz w:val="16"/>
        <w:szCs w:val="16"/>
      </w:rPr>
      <w:t xml:space="preserve"> D23/</w:t>
    </w:r>
    <w:r w:rsidR="007B1351">
      <w:rPr>
        <w:sz w:val="16"/>
        <w:szCs w:val="16"/>
      </w:rPr>
      <w:t>295229</w:t>
    </w:r>
  </w:p>
  <w:p w14:paraId="08D69473" w14:textId="44AA22C2" w:rsidR="0075647A" w:rsidRDefault="0075647A" w:rsidP="00F27656">
    <w:pPr>
      <w:pStyle w:val="Footer"/>
      <w:tabs>
        <w:tab w:val="left" w:pos="7088"/>
      </w:tabs>
      <w:rPr>
        <w:sz w:val="16"/>
        <w:szCs w:val="16"/>
      </w:rPr>
    </w:pPr>
    <w:r>
      <w:rPr>
        <w:sz w:val="16"/>
        <w:szCs w:val="16"/>
      </w:rPr>
      <w:t xml:space="preserve">Arc Record Number: </w:t>
    </w:r>
    <w:r w:rsidR="00217897" w:rsidRPr="00217897">
      <w:rPr>
        <w:sz w:val="16"/>
        <w:szCs w:val="16"/>
      </w:rPr>
      <w:t>D23/128358</w:t>
    </w:r>
  </w:p>
  <w:p w14:paraId="2B09B02F" w14:textId="26BB34B4" w:rsidR="0075647A" w:rsidRPr="000B61DC" w:rsidRDefault="0075647A" w:rsidP="00CF203F">
    <w:pPr>
      <w:pStyle w:val="Footer"/>
      <w:tabs>
        <w:tab w:val="left" w:pos="7088"/>
      </w:tabs>
      <w:jc w:val="right"/>
      <w:rPr>
        <w:rStyle w:val="PageNumber"/>
        <w:sz w:val="16"/>
        <w:szCs w:val="16"/>
      </w:rPr>
    </w:pPr>
    <w:r w:rsidRPr="000B61DC">
      <w:rPr>
        <w:sz w:val="16"/>
        <w:szCs w:val="16"/>
      </w:rPr>
      <w:t xml:space="preserve">Effective Date: </w:t>
    </w:r>
    <w:r>
      <w:rPr>
        <w:sz w:val="16"/>
        <w:szCs w:val="16"/>
      </w:rPr>
      <w:t xml:space="preserve">1 April </w:t>
    </w:r>
    <w:r w:rsidRPr="000B61DC">
      <w:rPr>
        <w:sz w:val="16"/>
        <w:szCs w:val="16"/>
      </w:rPr>
      <w:t>20</w:t>
    </w:r>
    <w:r>
      <w:rPr>
        <w:sz w:val="16"/>
        <w:szCs w:val="16"/>
      </w:rPr>
      <w:t>23</w:t>
    </w:r>
  </w:p>
  <w:p w14:paraId="2DB8BB97" w14:textId="721CFDA1" w:rsidR="0075647A" w:rsidRPr="000B61DC" w:rsidRDefault="0075647A" w:rsidP="003D4719">
    <w:pPr>
      <w:pStyle w:val="Footer"/>
      <w:jc w:val="center"/>
      <w:rPr>
        <w:sz w:val="16"/>
        <w:szCs w:val="16"/>
      </w:rPr>
    </w:pPr>
    <w:r w:rsidRPr="000B61DC">
      <w:rPr>
        <w:rStyle w:val="PageNumber"/>
        <w:sz w:val="16"/>
        <w:szCs w:val="16"/>
      </w:rPr>
      <w:fldChar w:fldCharType="begin"/>
    </w:r>
    <w:r w:rsidRPr="000B61DC">
      <w:rPr>
        <w:rStyle w:val="PageNumber"/>
        <w:sz w:val="16"/>
        <w:szCs w:val="16"/>
      </w:rPr>
      <w:instrText xml:space="preserve"> PAGE </w:instrText>
    </w:r>
    <w:r w:rsidRPr="000B61DC">
      <w:rPr>
        <w:rStyle w:val="PageNumber"/>
        <w:sz w:val="16"/>
        <w:szCs w:val="16"/>
      </w:rPr>
      <w:fldChar w:fldCharType="separate"/>
    </w:r>
    <w:r w:rsidR="00162786">
      <w:rPr>
        <w:rStyle w:val="PageNumber"/>
        <w:noProof/>
        <w:sz w:val="16"/>
        <w:szCs w:val="16"/>
      </w:rPr>
      <w:t>1</w:t>
    </w:r>
    <w:r w:rsidRPr="000B61DC">
      <w:rPr>
        <w:rStyle w:val="PageNumbe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F14FC" w14:textId="77777777" w:rsidR="007B1351" w:rsidRDefault="007B1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9561E" w14:textId="77777777" w:rsidR="00C87E18" w:rsidRDefault="00C87E18">
      <w:r>
        <w:separator/>
      </w:r>
    </w:p>
  </w:footnote>
  <w:footnote w:type="continuationSeparator" w:id="0">
    <w:p w14:paraId="6338E48C" w14:textId="77777777" w:rsidR="00C87E18" w:rsidRDefault="00C87E18">
      <w:r>
        <w:continuationSeparator/>
      </w:r>
    </w:p>
  </w:footnote>
  <w:footnote w:id="1">
    <w:p w14:paraId="77DC9342" w14:textId="441E2974" w:rsidR="0075647A" w:rsidRPr="0090784C" w:rsidRDefault="0075647A">
      <w:pPr>
        <w:pStyle w:val="FootnoteText"/>
        <w:rPr>
          <w:sz w:val="18"/>
          <w:szCs w:val="18"/>
        </w:rPr>
      </w:pPr>
      <w:r w:rsidRPr="0090784C">
        <w:rPr>
          <w:rStyle w:val="FootnoteReference"/>
          <w:sz w:val="18"/>
          <w:szCs w:val="18"/>
        </w:rPr>
        <w:footnoteRef/>
      </w:r>
      <w:r w:rsidRPr="0090784C">
        <w:rPr>
          <w:sz w:val="18"/>
          <w:szCs w:val="18"/>
        </w:rPr>
        <w:t xml:space="preserve"> References to specific services and payments will remain as ‘Centrelink’ instead of </w:t>
      </w:r>
      <w:r>
        <w:rPr>
          <w:sz w:val="18"/>
          <w:szCs w:val="18"/>
        </w:rPr>
        <w:t>Services Australia</w:t>
      </w:r>
      <w:r w:rsidRPr="0090784C">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7606A" w14:textId="77777777" w:rsidR="007B1351" w:rsidRDefault="007B13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7F837" w14:textId="77777777" w:rsidR="007B1351" w:rsidRDefault="007B13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4E198" w14:textId="77777777" w:rsidR="007B1351" w:rsidRDefault="007B1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EBEAD22"/>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multilevel"/>
    <w:tmpl w:val="81FAFC20"/>
    <w:lvl w:ilvl="0">
      <w:start w:val="1"/>
      <w:numFmt w:val="decimal"/>
      <w:pStyle w:val="ListNumber"/>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FFFFFF89"/>
    <w:multiLevelType w:val="singleLevel"/>
    <w:tmpl w:val="90E04A0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2A78F2"/>
    <w:multiLevelType w:val="hybridMultilevel"/>
    <w:tmpl w:val="7EC825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05E4082"/>
    <w:multiLevelType w:val="hybridMultilevel"/>
    <w:tmpl w:val="D8108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1181CFF"/>
    <w:multiLevelType w:val="hybridMultilevel"/>
    <w:tmpl w:val="258E358A"/>
    <w:lvl w:ilvl="0" w:tplc="AF000DB8">
      <w:start w:val="1"/>
      <w:numFmt w:val="bullet"/>
      <w:lvlText w:val=""/>
      <w:lvlJc w:val="left"/>
      <w:pPr>
        <w:ind w:left="1440" w:hanging="360"/>
      </w:pPr>
      <w:rPr>
        <w:rFonts w:ascii="Wingdings" w:hAnsi="Wingdings" w:hint="default"/>
        <w:color w:val="auto"/>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01FC3C98"/>
    <w:multiLevelType w:val="hybridMultilevel"/>
    <w:tmpl w:val="BD2CEE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2EE1FF5"/>
    <w:multiLevelType w:val="hybridMultilevel"/>
    <w:tmpl w:val="3A74D12A"/>
    <w:lvl w:ilvl="0" w:tplc="CAAA71F6">
      <w:start w:val="1"/>
      <w:numFmt w:val="decimal"/>
      <w:lvlText w:val="%1."/>
      <w:lvlJc w:val="left"/>
      <w:pPr>
        <w:ind w:left="360" w:hanging="360"/>
      </w:pPr>
      <w:rPr>
        <w:b/>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39F1D6F"/>
    <w:multiLevelType w:val="hybridMultilevel"/>
    <w:tmpl w:val="B776C454"/>
    <w:lvl w:ilvl="0" w:tplc="0C09000B">
      <w:start w:val="1"/>
      <w:numFmt w:val="bullet"/>
      <w:lvlText w:val=""/>
      <w:lvlJc w:val="left"/>
      <w:pPr>
        <w:ind w:left="1440" w:hanging="360"/>
      </w:pPr>
      <w:rPr>
        <w:rFonts w:ascii="Wingdings" w:hAnsi="Wingdings" w:hint="default"/>
        <w:color w:val="auto"/>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056A6D83"/>
    <w:multiLevelType w:val="hybridMultilevel"/>
    <w:tmpl w:val="2FBED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76C5F37"/>
    <w:multiLevelType w:val="hybridMultilevel"/>
    <w:tmpl w:val="03B48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4C68BB"/>
    <w:multiLevelType w:val="hybridMultilevel"/>
    <w:tmpl w:val="10F63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C04C11"/>
    <w:multiLevelType w:val="hybridMultilevel"/>
    <w:tmpl w:val="B798D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4D6562"/>
    <w:multiLevelType w:val="hybridMultilevel"/>
    <w:tmpl w:val="459CD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F265828"/>
    <w:multiLevelType w:val="hybridMultilevel"/>
    <w:tmpl w:val="713CA5C0"/>
    <w:lvl w:ilvl="0" w:tplc="0C090001">
      <w:start w:val="1"/>
      <w:numFmt w:val="bullet"/>
      <w:lvlText w:val=""/>
      <w:lvlJc w:val="left"/>
      <w:pPr>
        <w:tabs>
          <w:tab w:val="num" w:pos="2520"/>
        </w:tabs>
        <w:ind w:left="2520" w:hanging="360"/>
      </w:pPr>
      <w:rPr>
        <w:rFonts w:ascii="Symbol" w:hAnsi="Symbol" w:hint="default"/>
      </w:rPr>
    </w:lvl>
    <w:lvl w:ilvl="1" w:tplc="0C090003" w:tentative="1">
      <w:start w:val="1"/>
      <w:numFmt w:val="bullet"/>
      <w:lvlText w:val="o"/>
      <w:lvlJc w:val="left"/>
      <w:pPr>
        <w:tabs>
          <w:tab w:val="num" w:pos="3240"/>
        </w:tabs>
        <w:ind w:left="3240" w:hanging="360"/>
      </w:pPr>
      <w:rPr>
        <w:rFonts w:ascii="Courier New" w:hAnsi="Courier New" w:cs="Courier New"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5" w15:restartNumberingAfterBreak="0">
    <w:nsid w:val="10C04BA6"/>
    <w:multiLevelType w:val="multilevel"/>
    <w:tmpl w:val="0EF2A3AE"/>
    <w:lvl w:ilvl="0">
      <w:start w:val="1"/>
      <w:numFmt w:val="lowerLetter"/>
      <w:pStyle w:val="List2"/>
      <w:lvlText w:val="1%1."/>
      <w:lvlJc w:val="left"/>
      <w:pPr>
        <w:ind w:left="357" w:hanging="357"/>
      </w:pPr>
      <w:rPr>
        <w:rFonts w:hint="default"/>
      </w:rPr>
    </w:lvl>
    <w:lvl w:ilvl="1">
      <w:start w:val="1"/>
      <w:numFmt w:val="lowerLetter"/>
      <w:lvlText w:val="2%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6" w15:restartNumberingAfterBreak="0">
    <w:nsid w:val="10FF45B8"/>
    <w:multiLevelType w:val="hybridMultilevel"/>
    <w:tmpl w:val="A84ACDE0"/>
    <w:lvl w:ilvl="0" w:tplc="0C09000B">
      <w:start w:val="1"/>
      <w:numFmt w:val="bullet"/>
      <w:lvlText w:val=""/>
      <w:lvlJc w:val="left"/>
      <w:pPr>
        <w:ind w:left="1440" w:hanging="360"/>
      </w:pPr>
      <w:rPr>
        <w:rFonts w:ascii="Wingdings" w:hAnsi="Wingdings" w:hint="default"/>
        <w:color w:val="auto"/>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129F1879"/>
    <w:multiLevelType w:val="hybridMultilevel"/>
    <w:tmpl w:val="07ACC1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45958DD"/>
    <w:multiLevelType w:val="hybridMultilevel"/>
    <w:tmpl w:val="E1DA00FC"/>
    <w:lvl w:ilvl="0" w:tplc="0C09000B">
      <w:start w:val="1"/>
      <w:numFmt w:val="bullet"/>
      <w:lvlText w:val=""/>
      <w:lvlJc w:val="left"/>
      <w:pPr>
        <w:ind w:left="1440" w:hanging="360"/>
      </w:pPr>
      <w:rPr>
        <w:rFonts w:ascii="Wingdings" w:hAnsi="Wingdings" w:hint="default"/>
        <w:color w:val="auto"/>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188C6FC9"/>
    <w:multiLevelType w:val="hybridMultilevel"/>
    <w:tmpl w:val="91C6C5E6"/>
    <w:lvl w:ilvl="0" w:tplc="0C09000B">
      <w:start w:val="1"/>
      <w:numFmt w:val="bullet"/>
      <w:lvlText w:val=""/>
      <w:lvlJc w:val="left"/>
      <w:pPr>
        <w:ind w:left="1440" w:hanging="360"/>
      </w:pPr>
      <w:rPr>
        <w:rFonts w:ascii="Wingdings" w:hAnsi="Wingdings" w:hint="default"/>
        <w:color w:val="auto"/>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18D30A2B"/>
    <w:multiLevelType w:val="hybridMultilevel"/>
    <w:tmpl w:val="78BAF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B7628DC"/>
    <w:multiLevelType w:val="hybridMultilevel"/>
    <w:tmpl w:val="8DDA4834"/>
    <w:lvl w:ilvl="0" w:tplc="0C09000B">
      <w:start w:val="1"/>
      <w:numFmt w:val="bullet"/>
      <w:lvlText w:val=""/>
      <w:lvlJc w:val="left"/>
      <w:pPr>
        <w:ind w:left="1440" w:hanging="360"/>
      </w:pPr>
      <w:rPr>
        <w:rFonts w:ascii="Wingdings" w:hAnsi="Wingdings" w:hint="default"/>
        <w:color w:val="auto"/>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1B7803EB"/>
    <w:multiLevelType w:val="multilevel"/>
    <w:tmpl w:val="C0505340"/>
    <w:styleLink w:val="Reference"/>
    <w:lvl w:ilvl="0">
      <w:start w:val="1"/>
      <w:numFmt w:val="bullet"/>
      <w:lvlText w:val=""/>
      <w:lvlJc w:val="left"/>
      <w:pPr>
        <w:tabs>
          <w:tab w:val="num" w:pos="734"/>
        </w:tabs>
        <w:ind w:left="734" w:hanging="360"/>
      </w:pPr>
      <w:rPr>
        <w:rFonts w:ascii="Symbol" w:hAnsi="Symbol"/>
        <w:i/>
        <w:iCs/>
        <w:sz w:val="22"/>
      </w:rPr>
    </w:lvl>
    <w:lvl w:ilvl="1">
      <w:start w:val="1"/>
      <w:numFmt w:val="bullet"/>
      <w:lvlText w:val="o"/>
      <w:lvlJc w:val="left"/>
      <w:pPr>
        <w:tabs>
          <w:tab w:val="num" w:pos="1454"/>
        </w:tabs>
        <w:ind w:left="1454" w:hanging="360"/>
      </w:pPr>
      <w:rPr>
        <w:rFonts w:ascii="Courier New" w:hAnsi="Courier New" w:cs="Courier New" w:hint="default"/>
      </w:rPr>
    </w:lvl>
    <w:lvl w:ilvl="2">
      <w:start w:val="1"/>
      <w:numFmt w:val="bullet"/>
      <w:lvlText w:val=""/>
      <w:lvlJc w:val="left"/>
      <w:pPr>
        <w:tabs>
          <w:tab w:val="num" w:pos="2174"/>
        </w:tabs>
        <w:ind w:left="2174" w:hanging="360"/>
      </w:pPr>
      <w:rPr>
        <w:rFonts w:ascii="Wingdings" w:hAnsi="Wingdings" w:hint="default"/>
      </w:rPr>
    </w:lvl>
    <w:lvl w:ilvl="3">
      <w:start w:val="1"/>
      <w:numFmt w:val="bullet"/>
      <w:lvlText w:val=""/>
      <w:lvlJc w:val="left"/>
      <w:pPr>
        <w:tabs>
          <w:tab w:val="num" w:pos="2894"/>
        </w:tabs>
        <w:ind w:left="2894" w:hanging="360"/>
      </w:pPr>
      <w:rPr>
        <w:rFonts w:ascii="Symbol" w:hAnsi="Symbol" w:hint="default"/>
      </w:rPr>
    </w:lvl>
    <w:lvl w:ilvl="4">
      <w:start w:val="1"/>
      <w:numFmt w:val="bullet"/>
      <w:lvlText w:val="o"/>
      <w:lvlJc w:val="left"/>
      <w:pPr>
        <w:tabs>
          <w:tab w:val="num" w:pos="3614"/>
        </w:tabs>
        <w:ind w:left="3614" w:hanging="360"/>
      </w:pPr>
      <w:rPr>
        <w:rFonts w:ascii="Courier New" w:hAnsi="Courier New" w:cs="Courier New" w:hint="default"/>
      </w:rPr>
    </w:lvl>
    <w:lvl w:ilvl="5">
      <w:start w:val="1"/>
      <w:numFmt w:val="bullet"/>
      <w:lvlText w:val=""/>
      <w:lvlJc w:val="left"/>
      <w:pPr>
        <w:tabs>
          <w:tab w:val="num" w:pos="4334"/>
        </w:tabs>
        <w:ind w:left="4334" w:hanging="360"/>
      </w:pPr>
      <w:rPr>
        <w:rFonts w:ascii="Wingdings" w:hAnsi="Wingdings" w:hint="default"/>
      </w:rPr>
    </w:lvl>
    <w:lvl w:ilvl="6">
      <w:start w:val="1"/>
      <w:numFmt w:val="bullet"/>
      <w:lvlText w:val=""/>
      <w:lvlJc w:val="left"/>
      <w:pPr>
        <w:tabs>
          <w:tab w:val="num" w:pos="5054"/>
        </w:tabs>
        <w:ind w:left="5054" w:hanging="360"/>
      </w:pPr>
      <w:rPr>
        <w:rFonts w:ascii="Symbol" w:hAnsi="Symbol" w:hint="default"/>
      </w:rPr>
    </w:lvl>
    <w:lvl w:ilvl="7">
      <w:start w:val="1"/>
      <w:numFmt w:val="bullet"/>
      <w:lvlText w:val="o"/>
      <w:lvlJc w:val="left"/>
      <w:pPr>
        <w:tabs>
          <w:tab w:val="num" w:pos="5774"/>
        </w:tabs>
        <w:ind w:left="5774" w:hanging="360"/>
      </w:pPr>
      <w:rPr>
        <w:rFonts w:ascii="Courier New" w:hAnsi="Courier New" w:cs="Courier New" w:hint="default"/>
      </w:rPr>
    </w:lvl>
    <w:lvl w:ilvl="8">
      <w:start w:val="1"/>
      <w:numFmt w:val="bullet"/>
      <w:lvlText w:val=""/>
      <w:lvlJc w:val="left"/>
      <w:pPr>
        <w:tabs>
          <w:tab w:val="num" w:pos="6494"/>
        </w:tabs>
        <w:ind w:left="6494" w:hanging="360"/>
      </w:pPr>
      <w:rPr>
        <w:rFonts w:ascii="Wingdings" w:hAnsi="Wingdings" w:hint="default"/>
      </w:rPr>
    </w:lvl>
  </w:abstractNum>
  <w:abstractNum w:abstractNumId="23" w15:restartNumberingAfterBreak="0">
    <w:nsid w:val="1C4B2A93"/>
    <w:multiLevelType w:val="hybridMultilevel"/>
    <w:tmpl w:val="77F461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C547D5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1F7038F0"/>
    <w:multiLevelType w:val="hybridMultilevel"/>
    <w:tmpl w:val="0AFEF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0297B58"/>
    <w:multiLevelType w:val="hybridMultilevel"/>
    <w:tmpl w:val="659EC868"/>
    <w:lvl w:ilvl="0" w:tplc="0C09000B">
      <w:start w:val="1"/>
      <w:numFmt w:val="bullet"/>
      <w:lvlText w:val=""/>
      <w:lvlJc w:val="left"/>
      <w:pPr>
        <w:ind w:left="1440" w:hanging="360"/>
      </w:pPr>
      <w:rPr>
        <w:rFonts w:ascii="Wingdings" w:hAnsi="Wingdings" w:hint="default"/>
        <w:color w:val="auto"/>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249106D2"/>
    <w:multiLevelType w:val="hybridMultilevel"/>
    <w:tmpl w:val="A1CED13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5CE1B18"/>
    <w:multiLevelType w:val="hybridMultilevel"/>
    <w:tmpl w:val="463A94E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26EE3B11"/>
    <w:multiLevelType w:val="hybridMultilevel"/>
    <w:tmpl w:val="5A62D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73129DC"/>
    <w:multiLevelType w:val="hybridMultilevel"/>
    <w:tmpl w:val="0E5AF660"/>
    <w:lvl w:ilvl="0" w:tplc="0C09000B">
      <w:start w:val="1"/>
      <w:numFmt w:val="bullet"/>
      <w:lvlText w:val=""/>
      <w:lvlJc w:val="left"/>
      <w:pPr>
        <w:ind w:left="1440" w:hanging="360"/>
      </w:pPr>
      <w:rPr>
        <w:rFonts w:ascii="Wingdings" w:hAnsi="Wingdings" w:hint="default"/>
        <w:color w:val="auto"/>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276E4FBF"/>
    <w:multiLevelType w:val="multilevel"/>
    <w:tmpl w:val="FE5CA98E"/>
    <w:styleLink w:val="Bullets-Arrows"/>
    <w:lvl w:ilvl="0">
      <w:start w:val="1"/>
      <w:numFmt w:val="bullet"/>
      <w:lvlText w:val=""/>
      <w:lvlJc w:val="left"/>
      <w:pPr>
        <w:tabs>
          <w:tab w:val="num" w:pos="453"/>
        </w:tabs>
        <w:ind w:left="453" w:hanging="453"/>
      </w:pPr>
      <w:rPr>
        <w:rFonts w:ascii="Wingdings" w:hAnsi="Wingdings"/>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79C482C"/>
    <w:multiLevelType w:val="hybridMultilevel"/>
    <w:tmpl w:val="F67CA330"/>
    <w:lvl w:ilvl="0" w:tplc="0C09000B">
      <w:start w:val="1"/>
      <w:numFmt w:val="bullet"/>
      <w:lvlText w:val=""/>
      <w:lvlJc w:val="left"/>
      <w:pPr>
        <w:ind w:left="1440" w:hanging="360"/>
      </w:pPr>
      <w:rPr>
        <w:rFonts w:ascii="Wingdings" w:hAnsi="Wingdings" w:hint="default"/>
        <w:color w:val="auto"/>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294E57CE"/>
    <w:multiLevelType w:val="hybridMultilevel"/>
    <w:tmpl w:val="9BBAB2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A5775A5"/>
    <w:multiLevelType w:val="hybridMultilevel"/>
    <w:tmpl w:val="F872B022"/>
    <w:lvl w:ilvl="0" w:tplc="7FEAC5CE">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32A81DA2"/>
    <w:multiLevelType w:val="hybridMultilevel"/>
    <w:tmpl w:val="0EE0E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4096D11"/>
    <w:multiLevelType w:val="multilevel"/>
    <w:tmpl w:val="D818CD76"/>
    <w:lvl w:ilvl="0">
      <w:start w:val="1"/>
      <w:numFmt w:val="bullet"/>
      <w:lvlText w:val="o"/>
      <w:lvlJc w:val="left"/>
      <w:pPr>
        <w:ind w:left="927" w:hanging="360"/>
      </w:pPr>
      <w:rPr>
        <w:rFonts w:ascii="Courier New" w:hAnsi="Courier New" w:cs="Courier New" w:hint="default"/>
        <w:sz w:val="22"/>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7" w15:restartNumberingAfterBreak="0">
    <w:nsid w:val="37404ED0"/>
    <w:multiLevelType w:val="hybridMultilevel"/>
    <w:tmpl w:val="76C26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9246298"/>
    <w:multiLevelType w:val="hybridMultilevel"/>
    <w:tmpl w:val="61427594"/>
    <w:lvl w:ilvl="0" w:tplc="0C090003">
      <w:start w:val="1"/>
      <w:numFmt w:val="bullet"/>
      <w:lvlText w:val="o"/>
      <w:lvlJc w:val="left"/>
      <w:pPr>
        <w:ind w:left="1440" w:hanging="360"/>
      </w:pPr>
      <w:rPr>
        <w:rFonts w:ascii="Courier New" w:hAnsi="Courier New" w:cs="Courier New" w:hint="default"/>
        <w:color w:val="auto"/>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3B5B5826"/>
    <w:multiLevelType w:val="hybridMultilevel"/>
    <w:tmpl w:val="C24C52E2"/>
    <w:lvl w:ilvl="0" w:tplc="0C09000B">
      <w:start w:val="1"/>
      <w:numFmt w:val="bullet"/>
      <w:lvlText w:val=""/>
      <w:lvlJc w:val="left"/>
      <w:pPr>
        <w:ind w:left="1440" w:hanging="360"/>
      </w:pPr>
      <w:rPr>
        <w:rFonts w:ascii="Wingdings" w:hAnsi="Wingdings" w:hint="default"/>
        <w:color w:val="auto"/>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40D90CFB"/>
    <w:multiLevelType w:val="hybridMultilevel"/>
    <w:tmpl w:val="F7D2B960"/>
    <w:lvl w:ilvl="0" w:tplc="7FEAC5C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42E4765B"/>
    <w:multiLevelType w:val="multilevel"/>
    <w:tmpl w:val="C0505340"/>
    <w:numStyleLink w:val="Reference"/>
  </w:abstractNum>
  <w:abstractNum w:abstractNumId="42" w15:restartNumberingAfterBreak="0">
    <w:nsid w:val="44CB7034"/>
    <w:multiLevelType w:val="hybridMultilevel"/>
    <w:tmpl w:val="7F3A6E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61B460C"/>
    <w:multiLevelType w:val="hybridMultilevel"/>
    <w:tmpl w:val="7FE277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6BA11E4"/>
    <w:multiLevelType w:val="hybridMultilevel"/>
    <w:tmpl w:val="3C70F2DC"/>
    <w:lvl w:ilvl="0" w:tplc="0C09000B">
      <w:start w:val="1"/>
      <w:numFmt w:val="bullet"/>
      <w:lvlText w:val=""/>
      <w:lvlJc w:val="left"/>
      <w:pPr>
        <w:ind w:left="1080" w:hanging="360"/>
      </w:pPr>
      <w:rPr>
        <w:rFonts w:ascii="Wingdings" w:hAnsi="Wingdings"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47025EC3"/>
    <w:multiLevelType w:val="hybridMultilevel"/>
    <w:tmpl w:val="3B407CF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7321569"/>
    <w:multiLevelType w:val="hybridMultilevel"/>
    <w:tmpl w:val="FD3EF0EC"/>
    <w:lvl w:ilvl="0" w:tplc="0C09000B">
      <w:start w:val="1"/>
      <w:numFmt w:val="bullet"/>
      <w:lvlText w:val=""/>
      <w:lvlJc w:val="left"/>
      <w:pPr>
        <w:ind w:left="1440" w:hanging="360"/>
      </w:pPr>
      <w:rPr>
        <w:rFonts w:ascii="Wingdings" w:hAnsi="Wingdings" w:hint="default"/>
        <w:color w:val="auto"/>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7" w15:restartNumberingAfterBreak="0">
    <w:nsid w:val="481C2589"/>
    <w:multiLevelType w:val="multilevel"/>
    <w:tmpl w:val="4BC2C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8412F24"/>
    <w:multiLevelType w:val="hybridMultilevel"/>
    <w:tmpl w:val="7DF6C8FE"/>
    <w:lvl w:ilvl="0" w:tplc="7FEAC5C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49E75547"/>
    <w:multiLevelType w:val="hybridMultilevel"/>
    <w:tmpl w:val="A45626E8"/>
    <w:lvl w:ilvl="0" w:tplc="0C09000B">
      <w:start w:val="1"/>
      <w:numFmt w:val="bullet"/>
      <w:lvlText w:val=""/>
      <w:lvlJc w:val="left"/>
      <w:pPr>
        <w:ind w:left="1440" w:hanging="360"/>
      </w:pPr>
      <w:rPr>
        <w:rFonts w:ascii="Wingdings" w:hAnsi="Wingdings" w:hint="default"/>
        <w:color w:val="auto"/>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0" w15:restartNumberingAfterBreak="0">
    <w:nsid w:val="4BEC55F4"/>
    <w:multiLevelType w:val="hybridMultilevel"/>
    <w:tmpl w:val="F3EA151E"/>
    <w:lvl w:ilvl="0" w:tplc="0C090001">
      <w:start w:val="1"/>
      <w:numFmt w:val="bullet"/>
      <w:lvlText w:val=""/>
      <w:lvlJc w:val="left"/>
      <w:pPr>
        <w:ind w:left="720" w:hanging="360"/>
      </w:pPr>
      <w:rPr>
        <w:rFonts w:ascii="Symbol" w:hAnsi="Symbol" w:hint="default"/>
      </w:rPr>
    </w:lvl>
    <w:lvl w:ilvl="1" w:tplc="99D04FDA">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BF40562"/>
    <w:multiLevelType w:val="hybridMultilevel"/>
    <w:tmpl w:val="57A8261C"/>
    <w:lvl w:ilvl="0" w:tplc="84B457B2">
      <w:start w:val="1"/>
      <w:numFmt w:val="upperRoman"/>
      <w:pStyle w:val="ListNumber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DE20DC8"/>
    <w:multiLevelType w:val="multilevel"/>
    <w:tmpl w:val="C0505340"/>
    <w:numStyleLink w:val="Reference"/>
  </w:abstractNum>
  <w:abstractNum w:abstractNumId="53" w15:restartNumberingAfterBreak="0">
    <w:nsid w:val="4ED21C87"/>
    <w:multiLevelType w:val="hybridMultilevel"/>
    <w:tmpl w:val="5B206DE4"/>
    <w:lvl w:ilvl="0" w:tplc="0C090003">
      <w:start w:val="1"/>
      <w:numFmt w:val="bullet"/>
      <w:lvlText w:val="o"/>
      <w:lvlJc w:val="left"/>
      <w:pPr>
        <w:ind w:left="1440" w:hanging="360"/>
      </w:pPr>
      <w:rPr>
        <w:rFonts w:ascii="Courier New" w:hAnsi="Courier New" w:cs="Courier New" w:hint="default"/>
        <w:color w:val="auto"/>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4" w15:restartNumberingAfterBreak="0">
    <w:nsid w:val="4FAA7699"/>
    <w:multiLevelType w:val="hybridMultilevel"/>
    <w:tmpl w:val="546644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1AB4469"/>
    <w:multiLevelType w:val="hybridMultilevel"/>
    <w:tmpl w:val="1F58B836"/>
    <w:lvl w:ilvl="0" w:tplc="27C4E75E">
      <w:start w:val="1"/>
      <w:numFmt w:val="bullet"/>
      <w:pStyle w:val="ListParagraph"/>
      <w:lvlText w:val=""/>
      <w:lvlJc w:val="left"/>
      <w:pPr>
        <w:ind w:left="1440" w:hanging="360"/>
      </w:pPr>
      <w:rPr>
        <w:rFonts w:ascii="Symbol" w:hAnsi="Symbol" w:hint="default"/>
        <w:color w:val="auto"/>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6" w15:restartNumberingAfterBreak="0">
    <w:nsid w:val="521949DF"/>
    <w:multiLevelType w:val="hybridMultilevel"/>
    <w:tmpl w:val="7434873E"/>
    <w:lvl w:ilvl="0" w:tplc="0C09000B">
      <w:start w:val="1"/>
      <w:numFmt w:val="bullet"/>
      <w:lvlText w:val=""/>
      <w:lvlJc w:val="left"/>
      <w:pPr>
        <w:ind w:left="1440" w:hanging="360"/>
      </w:pPr>
      <w:rPr>
        <w:rFonts w:ascii="Wingdings" w:hAnsi="Wingdings" w:hint="default"/>
        <w:color w:val="auto"/>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7" w15:restartNumberingAfterBreak="0">
    <w:nsid w:val="52DC0ABC"/>
    <w:multiLevelType w:val="hybridMultilevel"/>
    <w:tmpl w:val="DAE64DCE"/>
    <w:lvl w:ilvl="0" w:tplc="29341B1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51D03E3"/>
    <w:multiLevelType w:val="hybridMultilevel"/>
    <w:tmpl w:val="9A0C694A"/>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58B06AC"/>
    <w:multiLevelType w:val="hybridMultilevel"/>
    <w:tmpl w:val="3724F0B6"/>
    <w:lvl w:ilvl="0" w:tplc="0C09000B">
      <w:start w:val="1"/>
      <w:numFmt w:val="bullet"/>
      <w:lvlText w:val=""/>
      <w:lvlJc w:val="left"/>
      <w:pPr>
        <w:ind w:left="1440" w:hanging="360"/>
      </w:pPr>
      <w:rPr>
        <w:rFonts w:ascii="Wingdings" w:hAnsi="Wingdings" w:hint="default"/>
        <w:color w:val="auto"/>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0" w15:restartNumberingAfterBreak="0">
    <w:nsid w:val="56BE7972"/>
    <w:multiLevelType w:val="hybridMultilevel"/>
    <w:tmpl w:val="C2D616E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59E32228"/>
    <w:multiLevelType w:val="hybridMultilevel"/>
    <w:tmpl w:val="AC829B60"/>
    <w:lvl w:ilvl="0" w:tplc="4AB8DC8A">
      <w:start w:val="1"/>
      <w:numFmt w:val="decimal"/>
      <w:pStyle w:val="ListNumber4"/>
      <w:lvlText w:val="%1."/>
      <w:lvlJc w:val="left"/>
      <w:pPr>
        <w:tabs>
          <w:tab w:val="num" w:pos="-720"/>
        </w:tabs>
        <w:ind w:left="-720" w:hanging="360"/>
      </w:pPr>
    </w:lvl>
    <w:lvl w:ilvl="1" w:tplc="0C090019" w:tentative="1">
      <w:start w:val="1"/>
      <w:numFmt w:val="lowerLetter"/>
      <w:lvlText w:val="%2."/>
      <w:lvlJc w:val="left"/>
      <w:pPr>
        <w:tabs>
          <w:tab w:val="num" w:pos="0"/>
        </w:tabs>
        <w:ind w:left="0" w:hanging="360"/>
      </w:pPr>
    </w:lvl>
    <w:lvl w:ilvl="2" w:tplc="0C09001B" w:tentative="1">
      <w:start w:val="1"/>
      <w:numFmt w:val="lowerRoman"/>
      <w:lvlText w:val="%3."/>
      <w:lvlJc w:val="right"/>
      <w:pPr>
        <w:tabs>
          <w:tab w:val="num" w:pos="720"/>
        </w:tabs>
        <w:ind w:left="720" w:hanging="180"/>
      </w:pPr>
    </w:lvl>
    <w:lvl w:ilvl="3" w:tplc="0C09000F" w:tentative="1">
      <w:start w:val="1"/>
      <w:numFmt w:val="decimal"/>
      <w:lvlText w:val="%4."/>
      <w:lvlJc w:val="left"/>
      <w:pPr>
        <w:tabs>
          <w:tab w:val="num" w:pos="1440"/>
        </w:tabs>
        <w:ind w:left="1440" w:hanging="360"/>
      </w:pPr>
    </w:lvl>
    <w:lvl w:ilvl="4" w:tplc="0C090019" w:tentative="1">
      <w:start w:val="1"/>
      <w:numFmt w:val="lowerLetter"/>
      <w:lvlText w:val="%5."/>
      <w:lvlJc w:val="left"/>
      <w:pPr>
        <w:tabs>
          <w:tab w:val="num" w:pos="2160"/>
        </w:tabs>
        <w:ind w:left="2160" w:hanging="360"/>
      </w:pPr>
    </w:lvl>
    <w:lvl w:ilvl="5" w:tplc="0C09001B" w:tentative="1">
      <w:start w:val="1"/>
      <w:numFmt w:val="lowerRoman"/>
      <w:lvlText w:val="%6."/>
      <w:lvlJc w:val="right"/>
      <w:pPr>
        <w:tabs>
          <w:tab w:val="num" w:pos="2880"/>
        </w:tabs>
        <w:ind w:left="2880" w:hanging="180"/>
      </w:pPr>
    </w:lvl>
    <w:lvl w:ilvl="6" w:tplc="0C09000F" w:tentative="1">
      <w:start w:val="1"/>
      <w:numFmt w:val="decimal"/>
      <w:lvlText w:val="%7."/>
      <w:lvlJc w:val="left"/>
      <w:pPr>
        <w:tabs>
          <w:tab w:val="num" w:pos="3600"/>
        </w:tabs>
        <w:ind w:left="3600" w:hanging="360"/>
      </w:pPr>
    </w:lvl>
    <w:lvl w:ilvl="7" w:tplc="0C090019" w:tentative="1">
      <w:start w:val="1"/>
      <w:numFmt w:val="lowerLetter"/>
      <w:lvlText w:val="%8."/>
      <w:lvlJc w:val="left"/>
      <w:pPr>
        <w:tabs>
          <w:tab w:val="num" w:pos="4320"/>
        </w:tabs>
        <w:ind w:left="4320" w:hanging="360"/>
      </w:pPr>
    </w:lvl>
    <w:lvl w:ilvl="8" w:tplc="0C09001B" w:tentative="1">
      <w:start w:val="1"/>
      <w:numFmt w:val="lowerRoman"/>
      <w:lvlText w:val="%9."/>
      <w:lvlJc w:val="right"/>
      <w:pPr>
        <w:tabs>
          <w:tab w:val="num" w:pos="5040"/>
        </w:tabs>
        <w:ind w:left="5040" w:hanging="180"/>
      </w:pPr>
    </w:lvl>
  </w:abstractNum>
  <w:abstractNum w:abstractNumId="62" w15:restartNumberingAfterBreak="0">
    <w:nsid w:val="5AAB24EF"/>
    <w:multiLevelType w:val="hybridMultilevel"/>
    <w:tmpl w:val="5B6EF816"/>
    <w:lvl w:ilvl="0" w:tplc="0C09000B">
      <w:start w:val="1"/>
      <w:numFmt w:val="bullet"/>
      <w:lvlText w:val=""/>
      <w:lvlJc w:val="left"/>
      <w:pPr>
        <w:ind w:left="1440" w:hanging="360"/>
      </w:pPr>
      <w:rPr>
        <w:rFonts w:ascii="Wingdings" w:hAnsi="Wingdings" w:hint="default"/>
        <w:color w:val="auto"/>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3" w15:restartNumberingAfterBreak="0">
    <w:nsid w:val="5AEE21E5"/>
    <w:multiLevelType w:val="hybridMultilevel"/>
    <w:tmpl w:val="0324E9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B230555"/>
    <w:multiLevelType w:val="hybridMultilevel"/>
    <w:tmpl w:val="92A08344"/>
    <w:lvl w:ilvl="0" w:tplc="0C09000B">
      <w:start w:val="1"/>
      <w:numFmt w:val="bullet"/>
      <w:lvlText w:val=""/>
      <w:lvlJc w:val="left"/>
      <w:pPr>
        <w:ind w:left="1440" w:hanging="360"/>
      </w:pPr>
      <w:rPr>
        <w:rFonts w:ascii="Wingdings" w:hAnsi="Wingdings" w:hint="default"/>
        <w:color w:val="auto"/>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5" w15:restartNumberingAfterBreak="0">
    <w:nsid w:val="5BA63BC9"/>
    <w:multiLevelType w:val="multilevel"/>
    <w:tmpl w:val="C0505340"/>
    <w:numStyleLink w:val="Reference"/>
  </w:abstractNum>
  <w:abstractNum w:abstractNumId="66" w15:restartNumberingAfterBreak="0">
    <w:nsid w:val="5DA54961"/>
    <w:multiLevelType w:val="hybridMultilevel"/>
    <w:tmpl w:val="C2D87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F840E87"/>
    <w:multiLevelType w:val="hybridMultilevel"/>
    <w:tmpl w:val="FFE214F8"/>
    <w:lvl w:ilvl="0" w:tplc="F6BE7F18">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8" w15:restartNumberingAfterBreak="0">
    <w:nsid w:val="60D22905"/>
    <w:multiLevelType w:val="hybridMultilevel"/>
    <w:tmpl w:val="AE0CA2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1BF1CA0"/>
    <w:multiLevelType w:val="hybridMultilevel"/>
    <w:tmpl w:val="A4FAB2B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0" w15:restartNumberingAfterBreak="0">
    <w:nsid w:val="623561C9"/>
    <w:multiLevelType w:val="hybridMultilevel"/>
    <w:tmpl w:val="5F58292C"/>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1" w15:restartNumberingAfterBreak="0">
    <w:nsid w:val="629A69F4"/>
    <w:multiLevelType w:val="hybridMultilevel"/>
    <w:tmpl w:val="F14E00C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62D71E34"/>
    <w:multiLevelType w:val="hybridMultilevel"/>
    <w:tmpl w:val="44DC15A2"/>
    <w:lvl w:ilvl="0" w:tplc="48288340">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63075560"/>
    <w:multiLevelType w:val="hybridMultilevel"/>
    <w:tmpl w:val="15B628F6"/>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3226430"/>
    <w:multiLevelType w:val="hybridMultilevel"/>
    <w:tmpl w:val="B2365AD2"/>
    <w:lvl w:ilvl="0" w:tplc="0C09000B">
      <w:start w:val="1"/>
      <w:numFmt w:val="bullet"/>
      <w:lvlText w:val=""/>
      <w:lvlJc w:val="left"/>
      <w:pPr>
        <w:ind w:left="1440" w:hanging="360"/>
      </w:pPr>
      <w:rPr>
        <w:rFonts w:ascii="Wingdings" w:hAnsi="Wingdings" w:hint="default"/>
        <w:color w:val="auto"/>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5" w15:restartNumberingAfterBreak="0">
    <w:nsid w:val="643C2AA9"/>
    <w:multiLevelType w:val="hybridMultilevel"/>
    <w:tmpl w:val="9A869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45274AE"/>
    <w:multiLevelType w:val="hybridMultilevel"/>
    <w:tmpl w:val="6E32E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6522B95"/>
    <w:multiLevelType w:val="hybridMultilevel"/>
    <w:tmpl w:val="F1E6A1BC"/>
    <w:lvl w:ilvl="0" w:tplc="0C090001">
      <w:start w:val="1"/>
      <w:numFmt w:val="bullet"/>
      <w:lvlText w:val=""/>
      <w:lvlJc w:val="left"/>
      <w:pPr>
        <w:ind w:left="720" w:hanging="360"/>
      </w:pPr>
      <w:rPr>
        <w:rFonts w:ascii="Symbol" w:hAnsi="Symbol" w:hint="default"/>
      </w:rPr>
    </w:lvl>
    <w:lvl w:ilvl="1" w:tplc="4210C4D0">
      <w:start w:val="4"/>
      <w:numFmt w:val="bullet"/>
      <w:lvlText w:val="•"/>
      <w:lvlJc w:val="left"/>
      <w:pPr>
        <w:ind w:left="1800" w:hanging="720"/>
      </w:pPr>
      <w:rPr>
        <w:rFonts w:ascii="Calibri" w:eastAsia="Times New Roman"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9930CE5"/>
    <w:multiLevelType w:val="hybridMultilevel"/>
    <w:tmpl w:val="A42223BE"/>
    <w:lvl w:ilvl="0" w:tplc="8FB23854">
      <w:start w:val="1"/>
      <w:numFmt w:val="bullet"/>
      <w:pStyle w:val="ListBullet2"/>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A877B2F"/>
    <w:multiLevelType w:val="hybridMultilevel"/>
    <w:tmpl w:val="2DCA241A"/>
    <w:lvl w:ilvl="0" w:tplc="0C09000B">
      <w:start w:val="1"/>
      <w:numFmt w:val="bullet"/>
      <w:lvlText w:val=""/>
      <w:lvlJc w:val="left"/>
      <w:pPr>
        <w:ind w:left="1080" w:hanging="360"/>
      </w:pPr>
      <w:rPr>
        <w:rFonts w:ascii="Wingdings" w:hAnsi="Wingdings"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0" w15:restartNumberingAfterBreak="0">
    <w:nsid w:val="6C9D7FD2"/>
    <w:multiLevelType w:val="hybridMultilevel"/>
    <w:tmpl w:val="BFA6E6C8"/>
    <w:lvl w:ilvl="0" w:tplc="7FEAC5C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20"/>
        </w:tabs>
        <w:ind w:left="1020" w:hanging="360"/>
      </w:pPr>
      <w:rPr>
        <w:rFonts w:ascii="Courier New" w:hAnsi="Courier New" w:cs="Courier New" w:hint="default"/>
      </w:rPr>
    </w:lvl>
    <w:lvl w:ilvl="2" w:tplc="0C090005" w:tentative="1">
      <w:start w:val="1"/>
      <w:numFmt w:val="bullet"/>
      <w:lvlText w:val=""/>
      <w:lvlJc w:val="left"/>
      <w:pPr>
        <w:tabs>
          <w:tab w:val="num" w:pos="1740"/>
        </w:tabs>
        <w:ind w:left="1740" w:hanging="360"/>
      </w:pPr>
      <w:rPr>
        <w:rFonts w:ascii="Wingdings" w:hAnsi="Wingdings" w:hint="default"/>
      </w:rPr>
    </w:lvl>
    <w:lvl w:ilvl="3" w:tplc="0C090001" w:tentative="1">
      <w:start w:val="1"/>
      <w:numFmt w:val="bullet"/>
      <w:lvlText w:val=""/>
      <w:lvlJc w:val="left"/>
      <w:pPr>
        <w:tabs>
          <w:tab w:val="num" w:pos="2460"/>
        </w:tabs>
        <w:ind w:left="2460" w:hanging="360"/>
      </w:pPr>
      <w:rPr>
        <w:rFonts w:ascii="Symbol" w:hAnsi="Symbol" w:hint="default"/>
      </w:rPr>
    </w:lvl>
    <w:lvl w:ilvl="4" w:tplc="0C090003" w:tentative="1">
      <w:start w:val="1"/>
      <w:numFmt w:val="bullet"/>
      <w:lvlText w:val="o"/>
      <w:lvlJc w:val="left"/>
      <w:pPr>
        <w:tabs>
          <w:tab w:val="num" w:pos="3180"/>
        </w:tabs>
        <w:ind w:left="3180" w:hanging="360"/>
      </w:pPr>
      <w:rPr>
        <w:rFonts w:ascii="Courier New" w:hAnsi="Courier New" w:cs="Courier New" w:hint="default"/>
      </w:rPr>
    </w:lvl>
    <w:lvl w:ilvl="5" w:tplc="0C090005" w:tentative="1">
      <w:start w:val="1"/>
      <w:numFmt w:val="bullet"/>
      <w:lvlText w:val=""/>
      <w:lvlJc w:val="left"/>
      <w:pPr>
        <w:tabs>
          <w:tab w:val="num" w:pos="3900"/>
        </w:tabs>
        <w:ind w:left="3900" w:hanging="360"/>
      </w:pPr>
      <w:rPr>
        <w:rFonts w:ascii="Wingdings" w:hAnsi="Wingdings" w:hint="default"/>
      </w:rPr>
    </w:lvl>
    <w:lvl w:ilvl="6" w:tplc="0C090001" w:tentative="1">
      <w:start w:val="1"/>
      <w:numFmt w:val="bullet"/>
      <w:lvlText w:val=""/>
      <w:lvlJc w:val="left"/>
      <w:pPr>
        <w:tabs>
          <w:tab w:val="num" w:pos="4620"/>
        </w:tabs>
        <w:ind w:left="4620" w:hanging="360"/>
      </w:pPr>
      <w:rPr>
        <w:rFonts w:ascii="Symbol" w:hAnsi="Symbol" w:hint="default"/>
      </w:rPr>
    </w:lvl>
    <w:lvl w:ilvl="7" w:tplc="0C090003" w:tentative="1">
      <w:start w:val="1"/>
      <w:numFmt w:val="bullet"/>
      <w:lvlText w:val="o"/>
      <w:lvlJc w:val="left"/>
      <w:pPr>
        <w:tabs>
          <w:tab w:val="num" w:pos="5340"/>
        </w:tabs>
        <w:ind w:left="5340" w:hanging="360"/>
      </w:pPr>
      <w:rPr>
        <w:rFonts w:ascii="Courier New" w:hAnsi="Courier New" w:cs="Courier New" w:hint="default"/>
      </w:rPr>
    </w:lvl>
    <w:lvl w:ilvl="8" w:tplc="0C090005" w:tentative="1">
      <w:start w:val="1"/>
      <w:numFmt w:val="bullet"/>
      <w:lvlText w:val=""/>
      <w:lvlJc w:val="left"/>
      <w:pPr>
        <w:tabs>
          <w:tab w:val="num" w:pos="6060"/>
        </w:tabs>
        <w:ind w:left="6060" w:hanging="360"/>
      </w:pPr>
      <w:rPr>
        <w:rFonts w:ascii="Wingdings" w:hAnsi="Wingdings" w:hint="default"/>
      </w:rPr>
    </w:lvl>
  </w:abstractNum>
  <w:abstractNum w:abstractNumId="81" w15:restartNumberingAfterBreak="0">
    <w:nsid w:val="6CE5504E"/>
    <w:multiLevelType w:val="hybridMultilevel"/>
    <w:tmpl w:val="0FEAD11C"/>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0722322"/>
    <w:multiLevelType w:val="hybridMultilevel"/>
    <w:tmpl w:val="EE9C7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0B76D09"/>
    <w:multiLevelType w:val="hybridMultilevel"/>
    <w:tmpl w:val="A05C5A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71202CE5"/>
    <w:multiLevelType w:val="hybridMultilevel"/>
    <w:tmpl w:val="F8BCE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1627D60"/>
    <w:multiLevelType w:val="hybridMultilevel"/>
    <w:tmpl w:val="2F620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2370922"/>
    <w:multiLevelType w:val="hybridMultilevel"/>
    <w:tmpl w:val="353E0D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4FE041A"/>
    <w:multiLevelType w:val="hybridMultilevel"/>
    <w:tmpl w:val="0158C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5714DE5"/>
    <w:multiLevelType w:val="hybridMultilevel"/>
    <w:tmpl w:val="26A62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75946F36"/>
    <w:multiLevelType w:val="hybridMultilevel"/>
    <w:tmpl w:val="6FBA910C"/>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768924C2"/>
    <w:multiLevelType w:val="hybridMultilevel"/>
    <w:tmpl w:val="A34895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6E21D28"/>
    <w:multiLevelType w:val="hybridMultilevel"/>
    <w:tmpl w:val="82B00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77E61219"/>
    <w:multiLevelType w:val="hybridMultilevel"/>
    <w:tmpl w:val="1B0AC9B6"/>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79D24344"/>
    <w:multiLevelType w:val="multilevel"/>
    <w:tmpl w:val="C0505340"/>
    <w:numStyleLink w:val="Reference"/>
  </w:abstractNum>
  <w:abstractNum w:abstractNumId="94" w15:restartNumberingAfterBreak="0">
    <w:nsid w:val="7A154FC6"/>
    <w:multiLevelType w:val="hybridMultilevel"/>
    <w:tmpl w:val="38186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7BC44EE8"/>
    <w:multiLevelType w:val="multilevel"/>
    <w:tmpl w:val="FE5CA98E"/>
    <w:styleLink w:val="BulletArrow"/>
    <w:lvl w:ilvl="0">
      <w:start w:val="1"/>
      <w:numFmt w:val="bullet"/>
      <w:lvlText w:val=""/>
      <w:lvlJc w:val="left"/>
      <w:pPr>
        <w:tabs>
          <w:tab w:val="num" w:pos="453"/>
        </w:tabs>
        <w:ind w:left="453" w:hanging="453"/>
      </w:pPr>
      <w:rPr>
        <w:rFonts w:ascii="Wingdings" w:hAnsi="Wingdings"/>
        <w:b/>
        <w:bCs/>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61"/>
  </w:num>
  <w:num w:numId="3">
    <w:abstractNumId w:val="15"/>
  </w:num>
  <w:num w:numId="4">
    <w:abstractNumId w:val="1"/>
  </w:num>
  <w:num w:numId="5">
    <w:abstractNumId w:val="0"/>
  </w:num>
  <w:num w:numId="6">
    <w:abstractNumId w:val="55"/>
  </w:num>
  <w:num w:numId="7">
    <w:abstractNumId w:val="51"/>
  </w:num>
  <w:num w:numId="8">
    <w:abstractNumId w:val="22"/>
  </w:num>
  <w:num w:numId="9">
    <w:abstractNumId w:val="93"/>
  </w:num>
  <w:num w:numId="10">
    <w:abstractNumId w:val="65"/>
  </w:num>
  <w:num w:numId="11">
    <w:abstractNumId w:val="52"/>
  </w:num>
  <w:num w:numId="12">
    <w:abstractNumId w:val="41"/>
  </w:num>
  <w:num w:numId="13">
    <w:abstractNumId w:val="95"/>
  </w:num>
  <w:num w:numId="14">
    <w:abstractNumId w:val="31"/>
  </w:num>
  <w:num w:numId="15">
    <w:abstractNumId w:val="78"/>
  </w:num>
  <w:num w:numId="16">
    <w:abstractNumId w:val="87"/>
  </w:num>
  <w:num w:numId="17">
    <w:abstractNumId w:val="43"/>
  </w:num>
  <w:num w:numId="18">
    <w:abstractNumId w:val="71"/>
  </w:num>
  <w:num w:numId="19">
    <w:abstractNumId w:val="28"/>
  </w:num>
  <w:num w:numId="20">
    <w:abstractNumId w:val="27"/>
  </w:num>
  <w:num w:numId="21">
    <w:abstractNumId w:val="21"/>
  </w:num>
  <w:num w:numId="22">
    <w:abstractNumId w:val="8"/>
  </w:num>
  <w:num w:numId="23">
    <w:abstractNumId w:val="48"/>
  </w:num>
  <w:num w:numId="24">
    <w:abstractNumId w:val="38"/>
  </w:num>
  <w:num w:numId="25">
    <w:abstractNumId w:val="74"/>
  </w:num>
  <w:num w:numId="26">
    <w:abstractNumId w:val="34"/>
  </w:num>
  <w:num w:numId="27">
    <w:abstractNumId w:val="18"/>
  </w:num>
  <w:num w:numId="28">
    <w:abstractNumId w:val="64"/>
  </w:num>
  <w:num w:numId="29">
    <w:abstractNumId w:val="26"/>
  </w:num>
  <w:num w:numId="30">
    <w:abstractNumId w:val="62"/>
  </w:num>
  <w:num w:numId="31">
    <w:abstractNumId w:val="14"/>
  </w:num>
  <w:num w:numId="32">
    <w:abstractNumId w:val="6"/>
  </w:num>
  <w:num w:numId="33">
    <w:abstractNumId w:val="5"/>
  </w:num>
  <w:num w:numId="34">
    <w:abstractNumId w:val="60"/>
  </w:num>
  <w:num w:numId="35">
    <w:abstractNumId w:val="72"/>
  </w:num>
  <w:num w:numId="36">
    <w:abstractNumId w:val="16"/>
  </w:num>
  <w:num w:numId="37">
    <w:abstractNumId w:val="40"/>
  </w:num>
  <w:num w:numId="38">
    <w:abstractNumId w:val="3"/>
  </w:num>
  <w:num w:numId="39">
    <w:abstractNumId w:val="59"/>
  </w:num>
  <w:num w:numId="40">
    <w:abstractNumId w:val="46"/>
  </w:num>
  <w:num w:numId="41">
    <w:abstractNumId w:val="80"/>
  </w:num>
  <w:num w:numId="42">
    <w:abstractNumId w:val="49"/>
  </w:num>
  <w:num w:numId="43">
    <w:abstractNumId w:val="56"/>
  </w:num>
  <w:num w:numId="44">
    <w:abstractNumId w:val="53"/>
  </w:num>
  <w:num w:numId="45">
    <w:abstractNumId w:val="19"/>
  </w:num>
  <w:num w:numId="46">
    <w:abstractNumId w:val="30"/>
  </w:num>
  <w:num w:numId="47">
    <w:abstractNumId w:val="44"/>
  </w:num>
  <w:num w:numId="48">
    <w:abstractNumId w:val="39"/>
  </w:num>
  <w:num w:numId="49">
    <w:abstractNumId w:val="79"/>
  </w:num>
  <w:num w:numId="50">
    <w:abstractNumId w:val="32"/>
  </w:num>
  <w:num w:numId="51">
    <w:abstractNumId w:val="63"/>
  </w:num>
  <w:num w:numId="52">
    <w:abstractNumId w:val="69"/>
  </w:num>
  <w:num w:numId="53">
    <w:abstractNumId w:val="67"/>
  </w:num>
  <w:num w:numId="54">
    <w:abstractNumId w:val="29"/>
  </w:num>
  <w:num w:numId="55">
    <w:abstractNumId w:val="57"/>
  </w:num>
  <w:num w:numId="56">
    <w:abstractNumId w:val="36"/>
  </w:num>
  <w:num w:numId="57">
    <w:abstractNumId w:val="55"/>
  </w:num>
  <w:num w:numId="58">
    <w:abstractNumId w:val="55"/>
  </w:num>
  <w:num w:numId="59">
    <w:abstractNumId w:val="55"/>
  </w:num>
  <w:num w:numId="60">
    <w:abstractNumId w:val="55"/>
  </w:num>
  <w:num w:numId="61">
    <w:abstractNumId w:val="55"/>
  </w:num>
  <w:num w:numId="62">
    <w:abstractNumId w:val="55"/>
  </w:num>
  <w:num w:numId="63">
    <w:abstractNumId w:val="55"/>
  </w:num>
  <w:num w:numId="64">
    <w:abstractNumId w:val="55"/>
  </w:num>
  <w:num w:numId="65">
    <w:abstractNumId w:val="55"/>
  </w:num>
  <w:num w:numId="66">
    <w:abstractNumId w:val="2"/>
  </w:num>
  <w:num w:numId="67">
    <w:abstractNumId w:val="76"/>
  </w:num>
  <w:num w:numId="68">
    <w:abstractNumId w:val="4"/>
  </w:num>
  <w:num w:numId="69">
    <w:abstractNumId w:val="10"/>
  </w:num>
  <w:num w:numId="70">
    <w:abstractNumId w:val="84"/>
  </w:num>
  <w:num w:numId="71">
    <w:abstractNumId w:val="37"/>
  </w:num>
  <w:num w:numId="72">
    <w:abstractNumId w:val="45"/>
  </w:num>
  <w:num w:numId="73">
    <w:abstractNumId w:val="88"/>
  </w:num>
  <w:num w:numId="74">
    <w:abstractNumId w:val="42"/>
  </w:num>
  <w:num w:numId="75">
    <w:abstractNumId w:val="75"/>
  </w:num>
  <w:num w:numId="76">
    <w:abstractNumId w:val="12"/>
  </w:num>
  <w:num w:numId="77">
    <w:abstractNumId w:val="50"/>
  </w:num>
  <w:num w:numId="78">
    <w:abstractNumId w:val="77"/>
  </w:num>
  <w:num w:numId="79">
    <w:abstractNumId w:val="11"/>
  </w:num>
  <w:num w:numId="80">
    <w:abstractNumId w:val="85"/>
  </w:num>
  <w:num w:numId="81">
    <w:abstractNumId w:val="35"/>
  </w:num>
  <w:num w:numId="82">
    <w:abstractNumId w:val="82"/>
  </w:num>
  <w:num w:numId="83">
    <w:abstractNumId w:val="83"/>
  </w:num>
  <w:num w:numId="84">
    <w:abstractNumId w:val="33"/>
  </w:num>
  <w:num w:numId="85">
    <w:abstractNumId w:val="20"/>
  </w:num>
  <w:num w:numId="86">
    <w:abstractNumId w:val="66"/>
  </w:num>
  <w:num w:numId="87">
    <w:abstractNumId w:val="91"/>
  </w:num>
  <w:num w:numId="88">
    <w:abstractNumId w:val="17"/>
  </w:num>
  <w:num w:numId="89">
    <w:abstractNumId w:val="25"/>
  </w:num>
  <w:num w:numId="90">
    <w:abstractNumId w:val="23"/>
  </w:num>
  <w:num w:numId="91">
    <w:abstractNumId w:val="55"/>
  </w:num>
  <w:num w:numId="92">
    <w:abstractNumId w:val="55"/>
  </w:num>
  <w:num w:numId="93">
    <w:abstractNumId w:val="55"/>
  </w:num>
  <w:num w:numId="94">
    <w:abstractNumId w:val="55"/>
  </w:num>
  <w:num w:numId="95">
    <w:abstractNumId w:val="55"/>
  </w:num>
  <w:num w:numId="96">
    <w:abstractNumId w:val="55"/>
  </w:num>
  <w:num w:numId="97">
    <w:abstractNumId w:val="55"/>
  </w:num>
  <w:num w:numId="98">
    <w:abstractNumId w:val="68"/>
  </w:num>
  <w:num w:numId="99">
    <w:abstractNumId w:val="55"/>
  </w:num>
  <w:num w:numId="100">
    <w:abstractNumId w:val="70"/>
  </w:num>
  <w:num w:numId="101">
    <w:abstractNumId w:val="55"/>
  </w:num>
  <w:num w:numId="102">
    <w:abstractNumId w:val="55"/>
  </w:num>
  <w:num w:numId="103">
    <w:abstractNumId w:val="55"/>
  </w:num>
  <w:num w:numId="104">
    <w:abstractNumId w:val="55"/>
  </w:num>
  <w:num w:numId="105">
    <w:abstractNumId w:val="55"/>
  </w:num>
  <w:num w:numId="106">
    <w:abstractNumId w:val="55"/>
  </w:num>
  <w:num w:numId="107">
    <w:abstractNumId w:val="55"/>
  </w:num>
  <w:num w:numId="108">
    <w:abstractNumId w:val="55"/>
  </w:num>
  <w:num w:numId="109">
    <w:abstractNumId w:val="55"/>
  </w:num>
  <w:num w:numId="110">
    <w:abstractNumId w:val="55"/>
  </w:num>
  <w:num w:numId="111">
    <w:abstractNumId w:val="7"/>
  </w:num>
  <w:num w:numId="112">
    <w:abstractNumId w:val="55"/>
  </w:num>
  <w:num w:numId="113">
    <w:abstractNumId w:val="55"/>
  </w:num>
  <w:num w:numId="114">
    <w:abstractNumId w:val="55"/>
  </w:num>
  <w:num w:numId="115">
    <w:abstractNumId w:val="55"/>
  </w:num>
  <w:num w:numId="116">
    <w:abstractNumId w:val="55"/>
  </w:num>
  <w:num w:numId="117">
    <w:abstractNumId w:val="55"/>
  </w:num>
  <w:num w:numId="118">
    <w:abstractNumId w:val="90"/>
  </w:num>
  <w:num w:numId="119">
    <w:abstractNumId w:val="86"/>
  </w:num>
  <w:num w:numId="120">
    <w:abstractNumId w:val="58"/>
  </w:num>
  <w:num w:numId="121">
    <w:abstractNumId w:val="81"/>
  </w:num>
  <w:num w:numId="122">
    <w:abstractNumId w:val="89"/>
  </w:num>
  <w:num w:numId="123">
    <w:abstractNumId w:val="92"/>
  </w:num>
  <w:num w:numId="124">
    <w:abstractNumId w:val="73"/>
  </w:num>
  <w:num w:numId="125">
    <w:abstractNumId w:val="13"/>
  </w:num>
  <w:num w:numId="126">
    <w:abstractNumId w:val="55"/>
  </w:num>
  <w:num w:numId="127">
    <w:abstractNumId w:val="55"/>
  </w:num>
  <w:num w:numId="128">
    <w:abstractNumId w:val="55"/>
  </w:num>
  <w:num w:numId="129">
    <w:abstractNumId w:val="55"/>
  </w:num>
  <w:num w:numId="130">
    <w:abstractNumId w:val="55"/>
  </w:num>
  <w:num w:numId="131">
    <w:abstractNumId w:val="54"/>
  </w:num>
  <w:num w:numId="132">
    <w:abstractNumId w:val="94"/>
  </w:num>
  <w:num w:numId="133">
    <w:abstractNumId w:val="9"/>
  </w:num>
  <w:num w:numId="134">
    <w:abstractNumId w:val="47"/>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hideSpellingErrors/>
  <w:hideGrammaticalErrors/>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stylePaneFormatFilter w:val="3E08" w:allStyles="0" w:customStyles="0" w:latentStyles="0" w:stylesInUse="1" w:headingStyles="0" w:numberingStyles="0" w:tableStyles="0" w:directFormattingOnRuns="0"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49">
      <v:stroke endarrow="block"/>
      <v:shadow color="#ccc"/>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60F"/>
    <w:rsid w:val="0000065B"/>
    <w:rsid w:val="00010DA7"/>
    <w:rsid w:val="00011ACF"/>
    <w:rsid w:val="00011DD7"/>
    <w:rsid w:val="00012680"/>
    <w:rsid w:val="000144E0"/>
    <w:rsid w:val="000201E3"/>
    <w:rsid w:val="000242DA"/>
    <w:rsid w:val="00026315"/>
    <w:rsid w:val="0002683B"/>
    <w:rsid w:val="00030E23"/>
    <w:rsid w:val="00031668"/>
    <w:rsid w:val="00031BBC"/>
    <w:rsid w:val="00031CD8"/>
    <w:rsid w:val="000371B2"/>
    <w:rsid w:val="00042527"/>
    <w:rsid w:val="00044340"/>
    <w:rsid w:val="00045926"/>
    <w:rsid w:val="0005233D"/>
    <w:rsid w:val="00053144"/>
    <w:rsid w:val="000534A3"/>
    <w:rsid w:val="000550BF"/>
    <w:rsid w:val="00055F3F"/>
    <w:rsid w:val="00061AA1"/>
    <w:rsid w:val="00067466"/>
    <w:rsid w:val="0007140E"/>
    <w:rsid w:val="00071BA7"/>
    <w:rsid w:val="000751E0"/>
    <w:rsid w:val="00075B59"/>
    <w:rsid w:val="000773B8"/>
    <w:rsid w:val="0007762B"/>
    <w:rsid w:val="00077A82"/>
    <w:rsid w:val="000800E2"/>
    <w:rsid w:val="00082082"/>
    <w:rsid w:val="00082FF7"/>
    <w:rsid w:val="0008418F"/>
    <w:rsid w:val="000847B0"/>
    <w:rsid w:val="000978F2"/>
    <w:rsid w:val="000A1C29"/>
    <w:rsid w:val="000A3909"/>
    <w:rsid w:val="000A4AC3"/>
    <w:rsid w:val="000A5C74"/>
    <w:rsid w:val="000A5D53"/>
    <w:rsid w:val="000B0D65"/>
    <w:rsid w:val="000B4893"/>
    <w:rsid w:val="000B4E1D"/>
    <w:rsid w:val="000B61DC"/>
    <w:rsid w:val="000C1268"/>
    <w:rsid w:val="000C2D4F"/>
    <w:rsid w:val="000C31CC"/>
    <w:rsid w:val="000C35B7"/>
    <w:rsid w:val="000C36F8"/>
    <w:rsid w:val="000C381A"/>
    <w:rsid w:val="000C3DCD"/>
    <w:rsid w:val="000D0D52"/>
    <w:rsid w:val="000D0F17"/>
    <w:rsid w:val="000D5785"/>
    <w:rsid w:val="000E1244"/>
    <w:rsid w:val="000F27E7"/>
    <w:rsid w:val="000F3C69"/>
    <w:rsid w:val="000F5D5B"/>
    <w:rsid w:val="000F7E2C"/>
    <w:rsid w:val="00100F1C"/>
    <w:rsid w:val="00101366"/>
    <w:rsid w:val="00104312"/>
    <w:rsid w:val="001044E4"/>
    <w:rsid w:val="001061C9"/>
    <w:rsid w:val="00110C88"/>
    <w:rsid w:val="00110D35"/>
    <w:rsid w:val="00112399"/>
    <w:rsid w:val="001148C8"/>
    <w:rsid w:val="001161C6"/>
    <w:rsid w:val="001177A9"/>
    <w:rsid w:val="0012094B"/>
    <w:rsid w:val="001242FA"/>
    <w:rsid w:val="00125724"/>
    <w:rsid w:val="001333EE"/>
    <w:rsid w:val="00133D60"/>
    <w:rsid w:val="001345EF"/>
    <w:rsid w:val="001352D0"/>
    <w:rsid w:val="00135640"/>
    <w:rsid w:val="00135D90"/>
    <w:rsid w:val="001419EA"/>
    <w:rsid w:val="00143BC5"/>
    <w:rsid w:val="00147575"/>
    <w:rsid w:val="001479AA"/>
    <w:rsid w:val="00150FC8"/>
    <w:rsid w:val="00151005"/>
    <w:rsid w:val="001519EC"/>
    <w:rsid w:val="00151C3B"/>
    <w:rsid w:val="00152E8E"/>
    <w:rsid w:val="00152F4F"/>
    <w:rsid w:val="00154507"/>
    <w:rsid w:val="0015788A"/>
    <w:rsid w:val="001604D4"/>
    <w:rsid w:val="00160A63"/>
    <w:rsid w:val="00161628"/>
    <w:rsid w:val="00162255"/>
    <w:rsid w:val="00162786"/>
    <w:rsid w:val="00165068"/>
    <w:rsid w:val="0016599A"/>
    <w:rsid w:val="001661BC"/>
    <w:rsid w:val="001734AF"/>
    <w:rsid w:val="00173604"/>
    <w:rsid w:val="00176440"/>
    <w:rsid w:val="001777B2"/>
    <w:rsid w:val="0018125C"/>
    <w:rsid w:val="001824A1"/>
    <w:rsid w:val="00183376"/>
    <w:rsid w:val="00183549"/>
    <w:rsid w:val="00186E7A"/>
    <w:rsid w:val="001876D7"/>
    <w:rsid w:val="0019061C"/>
    <w:rsid w:val="0019206A"/>
    <w:rsid w:val="00194C9C"/>
    <w:rsid w:val="001A0086"/>
    <w:rsid w:val="001A055A"/>
    <w:rsid w:val="001A120D"/>
    <w:rsid w:val="001A1380"/>
    <w:rsid w:val="001A14E5"/>
    <w:rsid w:val="001A1753"/>
    <w:rsid w:val="001A3816"/>
    <w:rsid w:val="001A3D86"/>
    <w:rsid w:val="001A3F6D"/>
    <w:rsid w:val="001A7F11"/>
    <w:rsid w:val="001B11A5"/>
    <w:rsid w:val="001B5B2D"/>
    <w:rsid w:val="001B6113"/>
    <w:rsid w:val="001B724E"/>
    <w:rsid w:val="001B743D"/>
    <w:rsid w:val="001C13E8"/>
    <w:rsid w:val="001C1C52"/>
    <w:rsid w:val="001C6EB1"/>
    <w:rsid w:val="001D11B7"/>
    <w:rsid w:val="001D16BC"/>
    <w:rsid w:val="001D1F2E"/>
    <w:rsid w:val="001D3269"/>
    <w:rsid w:val="001D5508"/>
    <w:rsid w:val="001D7C32"/>
    <w:rsid w:val="001E210C"/>
    <w:rsid w:val="001E2681"/>
    <w:rsid w:val="001E430A"/>
    <w:rsid w:val="001E4346"/>
    <w:rsid w:val="001E4374"/>
    <w:rsid w:val="001E6168"/>
    <w:rsid w:val="001F01F2"/>
    <w:rsid w:val="001F0D11"/>
    <w:rsid w:val="001F140B"/>
    <w:rsid w:val="001F142A"/>
    <w:rsid w:val="001F1BFE"/>
    <w:rsid w:val="001F1F66"/>
    <w:rsid w:val="001F2A39"/>
    <w:rsid w:val="001F2CBF"/>
    <w:rsid w:val="001F4B36"/>
    <w:rsid w:val="00200B6C"/>
    <w:rsid w:val="0020159B"/>
    <w:rsid w:val="00202758"/>
    <w:rsid w:val="002032B1"/>
    <w:rsid w:val="00203F51"/>
    <w:rsid w:val="0020582E"/>
    <w:rsid w:val="002113E4"/>
    <w:rsid w:val="002115EB"/>
    <w:rsid w:val="002155F5"/>
    <w:rsid w:val="00217897"/>
    <w:rsid w:val="00221272"/>
    <w:rsid w:val="002218FC"/>
    <w:rsid w:val="00222A49"/>
    <w:rsid w:val="00222BC2"/>
    <w:rsid w:val="00225B5E"/>
    <w:rsid w:val="002260E7"/>
    <w:rsid w:val="00227DFD"/>
    <w:rsid w:val="00230BA6"/>
    <w:rsid w:val="002341B6"/>
    <w:rsid w:val="002400ED"/>
    <w:rsid w:val="002438CE"/>
    <w:rsid w:val="002445B7"/>
    <w:rsid w:val="0025218D"/>
    <w:rsid w:val="00252B7C"/>
    <w:rsid w:val="0025333F"/>
    <w:rsid w:val="002536BC"/>
    <w:rsid w:val="00255D1B"/>
    <w:rsid w:val="00256A13"/>
    <w:rsid w:val="002600E1"/>
    <w:rsid w:val="002613A7"/>
    <w:rsid w:val="0026196C"/>
    <w:rsid w:val="00262258"/>
    <w:rsid w:val="00263D1E"/>
    <w:rsid w:val="00263F23"/>
    <w:rsid w:val="00264898"/>
    <w:rsid w:val="0026723D"/>
    <w:rsid w:val="00270569"/>
    <w:rsid w:val="0028106C"/>
    <w:rsid w:val="00281DA4"/>
    <w:rsid w:val="00282517"/>
    <w:rsid w:val="002839A8"/>
    <w:rsid w:val="00284610"/>
    <w:rsid w:val="00293C7A"/>
    <w:rsid w:val="00293D44"/>
    <w:rsid w:val="00294229"/>
    <w:rsid w:val="00294472"/>
    <w:rsid w:val="002A2508"/>
    <w:rsid w:val="002A3903"/>
    <w:rsid w:val="002A428E"/>
    <w:rsid w:val="002A55C4"/>
    <w:rsid w:val="002B0337"/>
    <w:rsid w:val="002B04B3"/>
    <w:rsid w:val="002B45A4"/>
    <w:rsid w:val="002B67E0"/>
    <w:rsid w:val="002C075F"/>
    <w:rsid w:val="002C3B47"/>
    <w:rsid w:val="002C422B"/>
    <w:rsid w:val="002C5033"/>
    <w:rsid w:val="002C56CB"/>
    <w:rsid w:val="002C5F90"/>
    <w:rsid w:val="002C6922"/>
    <w:rsid w:val="002C73A9"/>
    <w:rsid w:val="002C7AA0"/>
    <w:rsid w:val="002D0D44"/>
    <w:rsid w:val="002D35BA"/>
    <w:rsid w:val="002D4020"/>
    <w:rsid w:val="002D60BD"/>
    <w:rsid w:val="002D61B3"/>
    <w:rsid w:val="002E0A2E"/>
    <w:rsid w:val="002E36ED"/>
    <w:rsid w:val="002E5AFF"/>
    <w:rsid w:val="002F1AAE"/>
    <w:rsid w:val="002F1ED0"/>
    <w:rsid w:val="002F2F84"/>
    <w:rsid w:val="002F383E"/>
    <w:rsid w:val="002F45B8"/>
    <w:rsid w:val="002F465C"/>
    <w:rsid w:val="002F53B1"/>
    <w:rsid w:val="002F5928"/>
    <w:rsid w:val="00303964"/>
    <w:rsid w:val="00304BAA"/>
    <w:rsid w:val="00305C5B"/>
    <w:rsid w:val="003070CA"/>
    <w:rsid w:val="00310AC0"/>
    <w:rsid w:val="003127F4"/>
    <w:rsid w:val="00313414"/>
    <w:rsid w:val="003138BA"/>
    <w:rsid w:val="0031648B"/>
    <w:rsid w:val="003169D6"/>
    <w:rsid w:val="00320A28"/>
    <w:rsid w:val="003215F1"/>
    <w:rsid w:val="00322953"/>
    <w:rsid w:val="003235E5"/>
    <w:rsid w:val="00333BC2"/>
    <w:rsid w:val="0033555B"/>
    <w:rsid w:val="003357ED"/>
    <w:rsid w:val="00335F77"/>
    <w:rsid w:val="003373AE"/>
    <w:rsid w:val="003376D9"/>
    <w:rsid w:val="003378F7"/>
    <w:rsid w:val="00341129"/>
    <w:rsid w:val="00350E1A"/>
    <w:rsid w:val="00351E3D"/>
    <w:rsid w:val="003523C7"/>
    <w:rsid w:val="003541BB"/>
    <w:rsid w:val="00362B1E"/>
    <w:rsid w:val="0036312B"/>
    <w:rsid w:val="00365F82"/>
    <w:rsid w:val="00367B4B"/>
    <w:rsid w:val="00371949"/>
    <w:rsid w:val="00372AE5"/>
    <w:rsid w:val="00372F0F"/>
    <w:rsid w:val="003738F9"/>
    <w:rsid w:val="003740C6"/>
    <w:rsid w:val="00374787"/>
    <w:rsid w:val="0037569B"/>
    <w:rsid w:val="003762FC"/>
    <w:rsid w:val="00376DE9"/>
    <w:rsid w:val="003777C8"/>
    <w:rsid w:val="00381561"/>
    <w:rsid w:val="00385615"/>
    <w:rsid w:val="003903ED"/>
    <w:rsid w:val="00391C56"/>
    <w:rsid w:val="003957DA"/>
    <w:rsid w:val="003971FB"/>
    <w:rsid w:val="003978E7"/>
    <w:rsid w:val="003A01CD"/>
    <w:rsid w:val="003A6752"/>
    <w:rsid w:val="003A6C98"/>
    <w:rsid w:val="003A776F"/>
    <w:rsid w:val="003B0224"/>
    <w:rsid w:val="003B2A91"/>
    <w:rsid w:val="003B2F05"/>
    <w:rsid w:val="003B366B"/>
    <w:rsid w:val="003B435C"/>
    <w:rsid w:val="003B454E"/>
    <w:rsid w:val="003B5A5C"/>
    <w:rsid w:val="003B6199"/>
    <w:rsid w:val="003B707F"/>
    <w:rsid w:val="003C16B4"/>
    <w:rsid w:val="003C5CF8"/>
    <w:rsid w:val="003C60B3"/>
    <w:rsid w:val="003D0750"/>
    <w:rsid w:val="003D17A6"/>
    <w:rsid w:val="003D2010"/>
    <w:rsid w:val="003D2116"/>
    <w:rsid w:val="003D3459"/>
    <w:rsid w:val="003D46B1"/>
    <w:rsid w:val="003D4719"/>
    <w:rsid w:val="003D471F"/>
    <w:rsid w:val="003D5247"/>
    <w:rsid w:val="003E45B7"/>
    <w:rsid w:val="003E6077"/>
    <w:rsid w:val="003F0D74"/>
    <w:rsid w:val="003F1A68"/>
    <w:rsid w:val="003F22F8"/>
    <w:rsid w:val="004021D6"/>
    <w:rsid w:val="004048AE"/>
    <w:rsid w:val="0040606D"/>
    <w:rsid w:val="00406793"/>
    <w:rsid w:val="00407FFD"/>
    <w:rsid w:val="00411A73"/>
    <w:rsid w:val="0041346C"/>
    <w:rsid w:val="0042184C"/>
    <w:rsid w:val="004222F4"/>
    <w:rsid w:val="00430BCE"/>
    <w:rsid w:val="004315AF"/>
    <w:rsid w:val="00431604"/>
    <w:rsid w:val="0043164F"/>
    <w:rsid w:val="00432370"/>
    <w:rsid w:val="00432C80"/>
    <w:rsid w:val="0043378F"/>
    <w:rsid w:val="0043404C"/>
    <w:rsid w:val="00436C6B"/>
    <w:rsid w:val="00437186"/>
    <w:rsid w:val="00437AAE"/>
    <w:rsid w:val="004404B1"/>
    <w:rsid w:val="00441E70"/>
    <w:rsid w:val="00443DA7"/>
    <w:rsid w:val="004453A8"/>
    <w:rsid w:val="004465F6"/>
    <w:rsid w:val="004479DF"/>
    <w:rsid w:val="00450928"/>
    <w:rsid w:val="00450F03"/>
    <w:rsid w:val="00451426"/>
    <w:rsid w:val="00451CA9"/>
    <w:rsid w:val="00452581"/>
    <w:rsid w:val="004529CD"/>
    <w:rsid w:val="00454399"/>
    <w:rsid w:val="00454543"/>
    <w:rsid w:val="00454D62"/>
    <w:rsid w:val="00457C00"/>
    <w:rsid w:val="00460FB7"/>
    <w:rsid w:val="00463471"/>
    <w:rsid w:val="00463614"/>
    <w:rsid w:val="0046442C"/>
    <w:rsid w:val="00464E75"/>
    <w:rsid w:val="00465C47"/>
    <w:rsid w:val="00467E47"/>
    <w:rsid w:val="00470EF4"/>
    <w:rsid w:val="00471E06"/>
    <w:rsid w:val="00471E75"/>
    <w:rsid w:val="00471F8A"/>
    <w:rsid w:val="00474696"/>
    <w:rsid w:val="00474AFF"/>
    <w:rsid w:val="00474C50"/>
    <w:rsid w:val="00475F64"/>
    <w:rsid w:val="004802FF"/>
    <w:rsid w:val="0048447B"/>
    <w:rsid w:val="0048532C"/>
    <w:rsid w:val="00487234"/>
    <w:rsid w:val="00487840"/>
    <w:rsid w:val="00492A8C"/>
    <w:rsid w:val="00494701"/>
    <w:rsid w:val="00494A68"/>
    <w:rsid w:val="004A05BB"/>
    <w:rsid w:val="004A2A13"/>
    <w:rsid w:val="004A3F4A"/>
    <w:rsid w:val="004A5EC9"/>
    <w:rsid w:val="004B0DD9"/>
    <w:rsid w:val="004B10C5"/>
    <w:rsid w:val="004B2215"/>
    <w:rsid w:val="004B35FA"/>
    <w:rsid w:val="004B5B05"/>
    <w:rsid w:val="004C14B4"/>
    <w:rsid w:val="004C403C"/>
    <w:rsid w:val="004C4CDC"/>
    <w:rsid w:val="004C521B"/>
    <w:rsid w:val="004C762C"/>
    <w:rsid w:val="004D22AF"/>
    <w:rsid w:val="004D28B1"/>
    <w:rsid w:val="004D60B5"/>
    <w:rsid w:val="004E01C9"/>
    <w:rsid w:val="004E05EF"/>
    <w:rsid w:val="004E0D18"/>
    <w:rsid w:val="004E1AFD"/>
    <w:rsid w:val="004E1D99"/>
    <w:rsid w:val="004E1E7D"/>
    <w:rsid w:val="004E1F94"/>
    <w:rsid w:val="004E508D"/>
    <w:rsid w:val="004E51AD"/>
    <w:rsid w:val="004E58AA"/>
    <w:rsid w:val="004E5E6D"/>
    <w:rsid w:val="004E7746"/>
    <w:rsid w:val="004F23FD"/>
    <w:rsid w:val="004F2D3A"/>
    <w:rsid w:val="004F4EDB"/>
    <w:rsid w:val="004F54D2"/>
    <w:rsid w:val="004F5731"/>
    <w:rsid w:val="00502D75"/>
    <w:rsid w:val="00504EAD"/>
    <w:rsid w:val="00506910"/>
    <w:rsid w:val="005107D4"/>
    <w:rsid w:val="00512888"/>
    <w:rsid w:val="005129A0"/>
    <w:rsid w:val="00513222"/>
    <w:rsid w:val="005160B2"/>
    <w:rsid w:val="005208A9"/>
    <w:rsid w:val="005215A4"/>
    <w:rsid w:val="0052549C"/>
    <w:rsid w:val="00525D6D"/>
    <w:rsid w:val="005279E1"/>
    <w:rsid w:val="005344C3"/>
    <w:rsid w:val="00534861"/>
    <w:rsid w:val="00534DA6"/>
    <w:rsid w:val="00535C17"/>
    <w:rsid w:val="0053689E"/>
    <w:rsid w:val="005369B2"/>
    <w:rsid w:val="005415F4"/>
    <w:rsid w:val="005431FE"/>
    <w:rsid w:val="00550144"/>
    <w:rsid w:val="005501DF"/>
    <w:rsid w:val="00555C93"/>
    <w:rsid w:val="00557B61"/>
    <w:rsid w:val="00560323"/>
    <w:rsid w:val="00560EC1"/>
    <w:rsid w:val="00562FEB"/>
    <w:rsid w:val="005656AD"/>
    <w:rsid w:val="00570173"/>
    <w:rsid w:val="00571FEF"/>
    <w:rsid w:val="005747CB"/>
    <w:rsid w:val="00577D17"/>
    <w:rsid w:val="005876FF"/>
    <w:rsid w:val="00592639"/>
    <w:rsid w:val="005A04A2"/>
    <w:rsid w:val="005A0DAD"/>
    <w:rsid w:val="005A6033"/>
    <w:rsid w:val="005B1E78"/>
    <w:rsid w:val="005B1FAC"/>
    <w:rsid w:val="005B3BD9"/>
    <w:rsid w:val="005B63AA"/>
    <w:rsid w:val="005B67AD"/>
    <w:rsid w:val="005B6E4D"/>
    <w:rsid w:val="005C0642"/>
    <w:rsid w:val="005C157C"/>
    <w:rsid w:val="005C211A"/>
    <w:rsid w:val="005C4FD4"/>
    <w:rsid w:val="005C6181"/>
    <w:rsid w:val="005D25F4"/>
    <w:rsid w:val="005D2ECC"/>
    <w:rsid w:val="005D3A86"/>
    <w:rsid w:val="005D4108"/>
    <w:rsid w:val="005D5515"/>
    <w:rsid w:val="005D61F6"/>
    <w:rsid w:val="005D78A0"/>
    <w:rsid w:val="005D78E6"/>
    <w:rsid w:val="005E15D3"/>
    <w:rsid w:val="005E4215"/>
    <w:rsid w:val="005E522F"/>
    <w:rsid w:val="005E543F"/>
    <w:rsid w:val="005E5BFB"/>
    <w:rsid w:val="005E724F"/>
    <w:rsid w:val="005F3AC7"/>
    <w:rsid w:val="005F5D95"/>
    <w:rsid w:val="005F7E9C"/>
    <w:rsid w:val="006015D0"/>
    <w:rsid w:val="00610326"/>
    <w:rsid w:val="0061167F"/>
    <w:rsid w:val="00613DAF"/>
    <w:rsid w:val="00615528"/>
    <w:rsid w:val="00620716"/>
    <w:rsid w:val="00622BDE"/>
    <w:rsid w:val="00624779"/>
    <w:rsid w:val="00624B15"/>
    <w:rsid w:val="006333B3"/>
    <w:rsid w:val="0064150A"/>
    <w:rsid w:val="0064502F"/>
    <w:rsid w:val="0065024D"/>
    <w:rsid w:val="0065226F"/>
    <w:rsid w:val="006526E8"/>
    <w:rsid w:val="00654A1E"/>
    <w:rsid w:val="00654FDD"/>
    <w:rsid w:val="00656296"/>
    <w:rsid w:val="00656654"/>
    <w:rsid w:val="00660222"/>
    <w:rsid w:val="006611D3"/>
    <w:rsid w:val="006638E8"/>
    <w:rsid w:val="00664A32"/>
    <w:rsid w:val="006663AC"/>
    <w:rsid w:val="00666473"/>
    <w:rsid w:val="006671B0"/>
    <w:rsid w:val="00667EE4"/>
    <w:rsid w:val="006706F9"/>
    <w:rsid w:val="00671C9B"/>
    <w:rsid w:val="0068086C"/>
    <w:rsid w:val="00682ABA"/>
    <w:rsid w:val="0068467E"/>
    <w:rsid w:val="006867AD"/>
    <w:rsid w:val="006870A6"/>
    <w:rsid w:val="00690253"/>
    <w:rsid w:val="0069150A"/>
    <w:rsid w:val="00692827"/>
    <w:rsid w:val="006938FA"/>
    <w:rsid w:val="00695EB6"/>
    <w:rsid w:val="00696105"/>
    <w:rsid w:val="00697082"/>
    <w:rsid w:val="0069770A"/>
    <w:rsid w:val="006A3817"/>
    <w:rsid w:val="006A52BC"/>
    <w:rsid w:val="006A6878"/>
    <w:rsid w:val="006B196C"/>
    <w:rsid w:val="006B1F8B"/>
    <w:rsid w:val="006B1FA5"/>
    <w:rsid w:val="006B2DB4"/>
    <w:rsid w:val="006B5667"/>
    <w:rsid w:val="006B6B07"/>
    <w:rsid w:val="006C1FEE"/>
    <w:rsid w:val="006C42BF"/>
    <w:rsid w:val="006C7215"/>
    <w:rsid w:val="006C722F"/>
    <w:rsid w:val="006C7F59"/>
    <w:rsid w:val="006D2068"/>
    <w:rsid w:val="006D6F04"/>
    <w:rsid w:val="006D7355"/>
    <w:rsid w:val="006D7EB1"/>
    <w:rsid w:val="006E02B3"/>
    <w:rsid w:val="006E04B5"/>
    <w:rsid w:val="006E0B12"/>
    <w:rsid w:val="006E1B72"/>
    <w:rsid w:val="006E239D"/>
    <w:rsid w:val="006F2AFF"/>
    <w:rsid w:val="006F37D2"/>
    <w:rsid w:val="006F45E5"/>
    <w:rsid w:val="006F4C17"/>
    <w:rsid w:val="006F4FA0"/>
    <w:rsid w:val="006F5E6D"/>
    <w:rsid w:val="007011E7"/>
    <w:rsid w:val="007039F0"/>
    <w:rsid w:val="00704305"/>
    <w:rsid w:val="00705955"/>
    <w:rsid w:val="007069A8"/>
    <w:rsid w:val="0071156C"/>
    <w:rsid w:val="0071254B"/>
    <w:rsid w:val="007138CC"/>
    <w:rsid w:val="00713DD6"/>
    <w:rsid w:val="0071483E"/>
    <w:rsid w:val="007209DB"/>
    <w:rsid w:val="007212D2"/>
    <w:rsid w:val="0072133E"/>
    <w:rsid w:val="007214E6"/>
    <w:rsid w:val="00727264"/>
    <w:rsid w:val="007303CC"/>
    <w:rsid w:val="00731181"/>
    <w:rsid w:val="0073133E"/>
    <w:rsid w:val="007342D8"/>
    <w:rsid w:val="00734598"/>
    <w:rsid w:val="00735010"/>
    <w:rsid w:val="007366AB"/>
    <w:rsid w:val="0074246A"/>
    <w:rsid w:val="00742703"/>
    <w:rsid w:val="00742C09"/>
    <w:rsid w:val="00744027"/>
    <w:rsid w:val="007448E9"/>
    <w:rsid w:val="00745A51"/>
    <w:rsid w:val="00745D16"/>
    <w:rsid w:val="00746B5C"/>
    <w:rsid w:val="0075305D"/>
    <w:rsid w:val="007536A6"/>
    <w:rsid w:val="00754368"/>
    <w:rsid w:val="0075647A"/>
    <w:rsid w:val="0075790C"/>
    <w:rsid w:val="00757B59"/>
    <w:rsid w:val="0076069E"/>
    <w:rsid w:val="007628EA"/>
    <w:rsid w:val="007669ED"/>
    <w:rsid w:val="0076709B"/>
    <w:rsid w:val="007707F8"/>
    <w:rsid w:val="007722C8"/>
    <w:rsid w:val="0077584C"/>
    <w:rsid w:val="00777673"/>
    <w:rsid w:val="00777FD0"/>
    <w:rsid w:val="00781439"/>
    <w:rsid w:val="00782346"/>
    <w:rsid w:val="00782D43"/>
    <w:rsid w:val="00787787"/>
    <w:rsid w:val="00787F68"/>
    <w:rsid w:val="0079163B"/>
    <w:rsid w:val="00794CB6"/>
    <w:rsid w:val="0079755E"/>
    <w:rsid w:val="0079793A"/>
    <w:rsid w:val="007A0B38"/>
    <w:rsid w:val="007A1189"/>
    <w:rsid w:val="007B1351"/>
    <w:rsid w:val="007B1A8B"/>
    <w:rsid w:val="007C3E8B"/>
    <w:rsid w:val="007C4212"/>
    <w:rsid w:val="007C46D9"/>
    <w:rsid w:val="007C5846"/>
    <w:rsid w:val="007C6244"/>
    <w:rsid w:val="007C6CEB"/>
    <w:rsid w:val="007C72C7"/>
    <w:rsid w:val="007D0262"/>
    <w:rsid w:val="007D0AD5"/>
    <w:rsid w:val="007D1770"/>
    <w:rsid w:val="007D4C34"/>
    <w:rsid w:val="007E1267"/>
    <w:rsid w:val="007E24F7"/>
    <w:rsid w:val="007E4740"/>
    <w:rsid w:val="007E4E63"/>
    <w:rsid w:val="007E6045"/>
    <w:rsid w:val="007E6A7B"/>
    <w:rsid w:val="007E729E"/>
    <w:rsid w:val="007F10D4"/>
    <w:rsid w:val="007F2E46"/>
    <w:rsid w:val="007F6E76"/>
    <w:rsid w:val="007F72F0"/>
    <w:rsid w:val="008008C3"/>
    <w:rsid w:val="00801493"/>
    <w:rsid w:val="008014E3"/>
    <w:rsid w:val="00802E35"/>
    <w:rsid w:val="00803B3C"/>
    <w:rsid w:val="0080415F"/>
    <w:rsid w:val="00807B56"/>
    <w:rsid w:val="00810B81"/>
    <w:rsid w:val="00814ADD"/>
    <w:rsid w:val="0082089F"/>
    <w:rsid w:val="00820B9E"/>
    <w:rsid w:val="00822401"/>
    <w:rsid w:val="008237F5"/>
    <w:rsid w:val="00826E6D"/>
    <w:rsid w:val="00832856"/>
    <w:rsid w:val="00832923"/>
    <w:rsid w:val="0083481D"/>
    <w:rsid w:val="0083706B"/>
    <w:rsid w:val="0084509D"/>
    <w:rsid w:val="00845A59"/>
    <w:rsid w:val="00847D95"/>
    <w:rsid w:val="00850809"/>
    <w:rsid w:val="00852E05"/>
    <w:rsid w:val="008534F6"/>
    <w:rsid w:val="008535F8"/>
    <w:rsid w:val="00853E92"/>
    <w:rsid w:val="00855620"/>
    <w:rsid w:val="00860271"/>
    <w:rsid w:val="00862873"/>
    <w:rsid w:val="00862BB3"/>
    <w:rsid w:val="00866ECE"/>
    <w:rsid w:val="00870101"/>
    <w:rsid w:val="0087020F"/>
    <w:rsid w:val="00871D21"/>
    <w:rsid w:val="00872CC8"/>
    <w:rsid w:val="00875A36"/>
    <w:rsid w:val="00876F3B"/>
    <w:rsid w:val="008774B0"/>
    <w:rsid w:val="00880D0C"/>
    <w:rsid w:val="0088143B"/>
    <w:rsid w:val="0088714E"/>
    <w:rsid w:val="00890CB8"/>
    <w:rsid w:val="0089172D"/>
    <w:rsid w:val="00892AB5"/>
    <w:rsid w:val="00892ADC"/>
    <w:rsid w:val="00892FA3"/>
    <w:rsid w:val="00894C1F"/>
    <w:rsid w:val="00894E63"/>
    <w:rsid w:val="008A013C"/>
    <w:rsid w:val="008A0B15"/>
    <w:rsid w:val="008A0E81"/>
    <w:rsid w:val="008A227F"/>
    <w:rsid w:val="008A3F10"/>
    <w:rsid w:val="008A4B1B"/>
    <w:rsid w:val="008A75E9"/>
    <w:rsid w:val="008B0EBE"/>
    <w:rsid w:val="008B16E6"/>
    <w:rsid w:val="008B2C45"/>
    <w:rsid w:val="008B33DE"/>
    <w:rsid w:val="008B6447"/>
    <w:rsid w:val="008C5028"/>
    <w:rsid w:val="008C693F"/>
    <w:rsid w:val="008C740A"/>
    <w:rsid w:val="008C7B5C"/>
    <w:rsid w:val="008D373C"/>
    <w:rsid w:val="008D52E9"/>
    <w:rsid w:val="008D57CD"/>
    <w:rsid w:val="008D7AA1"/>
    <w:rsid w:val="008E03FD"/>
    <w:rsid w:val="008E0FC1"/>
    <w:rsid w:val="008E170C"/>
    <w:rsid w:val="008E1C15"/>
    <w:rsid w:val="008E7190"/>
    <w:rsid w:val="008F2B41"/>
    <w:rsid w:val="008F3AD7"/>
    <w:rsid w:val="008F4DAC"/>
    <w:rsid w:val="008F54B3"/>
    <w:rsid w:val="008F5D20"/>
    <w:rsid w:val="008F630D"/>
    <w:rsid w:val="008F65B1"/>
    <w:rsid w:val="008F764A"/>
    <w:rsid w:val="00900844"/>
    <w:rsid w:val="00901695"/>
    <w:rsid w:val="00901BBD"/>
    <w:rsid w:val="009027CA"/>
    <w:rsid w:val="00903003"/>
    <w:rsid w:val="009039D2"/>
    <w:rsid w:val="0090461D"/>
    <w:rsid w:val="00904C36"/>
    <w:rsid w:val="009050E5"/>
    <w:rsid w:val="009068DE"/>
    <w:rsid w:val="0090784C"/>
    <w:rsid w:val="00910380"/>
    <w:rsid w:val="00910F1D"/>
    <w:rsid w:val="00914E5E"/>
    <w:rsid w:val="00917173"/>
    <w:rsid w:val="00920A9B"/>
    <w:rsid w:val="00921FF3"/>
    <w:rsid w:val="00923304"/>
    <w:rsid w:val="00924E20"/>
    <w:rsid w:val="00924F9A"/>
    <w:rsid w:val="00927655"/>
    <w:rsid w:val="00927EC7"/>
    <w:rsid w:val="009302E5"/>
    <w:rsid w:val="00930607"/>
    <w:rsid w:val="00932D63"/>
    <w:rsid w:val="00934351"/>
    <w:rsid w:val="00935741"/>
    <w:rsid w:val="00940058"/>
    <w:rsid w:val="0094022F"/>
    <w:rsid w:val="009442B1"/>
    <w:rsid w:val="00945B99"/>
    <w:rsid w:val="00945E5A"/>
    <w:rsid w:val="0094651B"/>
    <w:rsid w:val="009466B2"/>
    <w:rsid w:val="009471B7"/>
    <w:rsid w:val="00947ACD"/>
    <w:rsid w:val="00950B2F"/>
    <w:rsid w:val="00952ABF"/>
    <w:rsid w:val="00954D55"/>
    <w:rsid w:val="00955673"/>
    <w:rsid w:val="00956FE7"/>
    <w:rsid w:val="009600B3"/>
    <w:rsid w:val="009631F7"/>
    <w:rsid w:val="00964273"/>
    <w:rsid w:val="00964D47"/>
    <w:rsid w:val="00965F9B"/>
    <w:rsid w:val="00966F70"/>
    <w:rsid w:val="009671D9"/>
    <w:rsid w:val="009710C1"/>
    <w:rsid w:val="0097161C"/>
    <w:rsid w:val="00971748"/>
    <w:rsid w:val="009731CD"/>
    <w:rsid w:val="00973EBE"/>
    <w:rsid w:val="0097456F"/>
    <w:rsid w:val="00975BB9"/>
    <w:rsid w:val="00977221"/>
    <w:rsid w:val="0098090E"/>
    <w:rsid w:val="00980AAF"/>
    <w:rsid w:val="00980D8A"/>
    <w:rsid w:val="0098176E"/>
    <w:rsid w:val="0098202E"/>
    <w:rsid w:val="0098384C"/>
    <w:rsid w:val="00984E3F"/>
    <w:rsid w:val="009904AF"/>
    <w:rsid w:val="009916C5"/>
    <w:rsid w:val="00991706"/>
    <w:rsid w:val="00991B0A"/>
    <w:rsid w:val="00992028"/>
    <w:rsid w:val="00995012"/>
    <w:rsid w:val="00996D13"/>
    <w:rsid w:val="009A14BA"/>
    <w:rsid w:val="009A5F4F"/>
    <w:rsid w:val="009A64A1"/>
    <w:rsid w:val="009B4090"/>
    <w:rsid w:val="009B5B8D"/>
    <w:rsid w:val="009B67F1"/>
    <w:rsid w:val="009B729D"/>
    <w:rsid w:val="009C5261"/>
    <w:rsid w:val="009C5F11"/>
    <w:rsid w:val="009C70E6"/>
    <w:rsid w:val="009C771E"/>
    <w:rsid w:val="009D0F6B"/>
    <w:rsid w:val="009D4CAF"/>
    <w:rsid w:val="009D4F5B"/>
    <w:rsid w:val="009D66D8"/>
    <w:rsid w:val="009D6982"/>
    <w:rsid w:val="009D6D01"/>
    <w:rsid w:val="009E29FA"/>
    <w:rsid w:val="009E78EB"/>
    <w:rsid w:val="00A01EB5"/>
    <w:rsid w:val="00A02EA0"/>
    <w:rsid w:val="00A073B9"/>
    <w:rsid w:val="00A07673"/>
    <w:rsid w:val="00A115F5"/>
    <w:rsid w:val="00A12A20"/>
    <w:rsid w:val="00A155EE"/>
    <w:rsid w:val="00A16A99"/>
    <w:rsid w:val="00A21A3C"/>
    <w:rsid w:val="00A22F2E"/>
    <w:rsid w:val="00A24B13"/>
    <w:rsid w:val="00A2588A"/>
    <w:rsid w:val="00A2691E"/>
    <w:rsid w:val="00A27760"/>
    <w:rsid w:val="00A306E8"/>
    <w:rsid w:val="00A41B7C"/>
    <w:rsid w:val="00A422FE"/>
    <w:rsid w:val="00A44CCC"/>
    <w:rsid w:val="00A45561"/>
    <w:rsid w:val="00A45EB7"/>
    <w:rsid w:val="00A4635A"/>
    <w:rsid w:val="00A47D71"/>
    <w:rsid w:val="00A51CE7"/>
    <w:rsid w:val="00A52AE6"/>
    <w:rsid w:val="00A5510C"/>
    <w:rsid w:val="00A5678E"/>
    <w:rsid w:val="00A56D3D"/>
    <w:rsid w:val="00A61D2C"/>
    <w:rsid w:val="00A6348F"/>
    <w:rsid w:val="00A644C6"/>
    <w:rsid w:val="00A655CF"/>
    <w:rsid w:val="00A71030"/>
    <w:rsid w:val="00A73112"/>
    <w:rsid w:val="00A73A49"/>
    <w:rsid w:val="00A808A5"/>
    <w:rsid w:val="00A858C1"/>
    <w:rsid w:val="00A86225"/>
    <w:rsid w:val="00A9262A"/>
    <w:rsid w:val="00A92A08"/>
    <w:rsid w:val="00A931B2"/>
    <w:rsid w:val="00A93920"/>
    <w:rsid w:val="00A93FEA"/>
    <w:rsid w:val="00A94E2A"/>
    <w:rsid w:val="00A95CD5"/>
    <w:rsid w:val="00A95D9A"/>
    <w:rsid w:val="00A96C2A"/>
    <w:rsid w:val="00A975E0"/>
    <w:rsid w:val="00A97DCE"/>
    <w:rsid w:val="00AA0853"/>
    <w:rsid w:val="00AA65B1"/>
    <w:rsid w:val="00AB0560"/>
    <w:rsid w:val="00AB06D4"/>
    <w:rsid w:val="00AB15A9"/>
    <w:rsid w:val="00AB1BFC"/>
    <w:rsid w:val="00AB3079"/>
    <w:rsid w:val="00AB5697"/>
    <w:rsid w:val="00AC0921"/>
    <w:rsid w:val="00AC1080"/>
    <w:rsid w:val="00AC20C9"/>
    <w:rsid w:val="00AC32C3"/>
    <w:rsid w:val="00AC4C4C"/>
    <w:rsid w:val="00AC70B3"/>
    <w:rsid w:val="00AC7F36"/>
    <w:rsid w:val="00AD13B3"/>
    <w:rsid w:val="00AD46CE"/>
    <w:rsid w:val="00AD67BA"/>
    <w:rsid w:val="00AE2D97"/>
    <w:rsid w:val="00AE32B4"/>
    <w:rsid w:val="00AE34C7"/>
    <w:rsid w:val="00AE4885"/>
    <w:rsid w:val="00AF1482"/>
    <w:rsid w:val="00AF1CC8"/>
    <w:rsid w:val="00AF34CC"/>
    <w:rsid w:val="00AF4E57"/>
    <w:rsid w:val="00AF5DCB"/>
    <w:rsid w:val="00AF76EE"/>
    <w:rsid w:val="00B014AE"/>
    <w:rsid w:val="00B03257"/>
    <w:rsid w:val="00B03495"/>
    <w:rsid w:val="00B035E2"/>
    <w:rsid w:val="00B06156"/>
    <w:rsid w:val="00B0667C"/>
    <w:rsid w:val="00B10E7D"/>
    <w:rsid w:val="00B124D0"/>
    <w:rsid w:val="00B1251A"/>
    <w:rsid w:val="00B13C54"/>
    <w:rsid w:val="00B16C54"/>
    <w:rsid w:val="00B20C1D"/>
    <w:rsid w:val="00B2167A"/>
    <w:rsid w:val="00B25DCE"/>
    <w:rsid w:val="00B260B8"/>
    <w:rsid w:val="00B26230"/>
    <w:rsid w:val="00B30114"/>
    <w:rsid w:val="00B30CA1"/>
    <w:rsid w:val="00B30FDC"/>
    <w:rsid w:val="00B34652"/>
    <w:rsid w:val="00B348FE"/>
    <w:rsid w:val="00B410B0"/>
    <w:rsid w:val="00B417C0"/>
    <w:rsid w:val="00B422CD"/>
    <w:rsid w:val="00B42C93"/>
    <w:rsid w:val="00B45B0E"/>
    <w:rsid w:val="00B46D09"/>
    <w:rsid w:val="00B53E92"/>
    <w:rsid w:val="00B558C8"/>
    <w:rsid w:val="00B60675"/>
    <w:rsid w:val="00B625DE"/>
    <w:rsid w:val="00B62780"/>
    <w:rsid w:val="00B67B86"/>
    <w:rsid w:val="00B71DF8"/>
    <w:rsid w:val="00B72721"/>
    <w:rsid w:val="00B76ABF"/>
    <w:rsid w:val="00B773CD"/>
    <w:rsid w:val="00B80BE8"/>
    <w:rsid w:val="00B815A3"/>
    <w:rsid w:val="00B82B12"/>
    <w:rsid w:val="00B85B9A"/>
    <w:rsid w:val="00B876AF"/>
    <w:rsid w:val="00B87D9A"/>
    <w:rsid w:val="00B91493"/>
    <w:rsid w:val="00B935D7"/>
    <w:rsid w:val="00B93B51"/>
    <w:rsid w:val="00B9414D"/>
    <w:rsid w:val="00B96F10"/>
    <w:rsid w:val="00B97C75"/>
    <w:rsid w:val="00BA06B4"/>
    <w:rsid w:val="00BA0FB0"/>
    <w:rsid w:val="00BA17CF"/>
    <w:rsid w:val="00BA1DB4"/>
    <w:rsid w:val="00BA37D1"/>
    <w:rsid w:val="00BA420A"/>
    <w:rsid w:val="00BA4F0A"/>
    <w:rsid w:val="00BB0B24"/>
    <w:rsid w:val="00BB2549"/>
    <w:rsid w:val="00BB3EF5"/>
    <w:rsid w:val="00BB468A"/>
    <w:rsid w:val="00BB4EB5"/>
    <w:rsid w:val="00BB602F"/>
    <w:rsid w:val="00BB6EA5"/>
    <w:rsid w:val="00BB70BD"/>
    <w:rsid w:val="00BC2758"/>
    <w:rsid w:val="00BC2C91"/>
    <w:rsid w:val="00BC39E3"/>
    <w:rsid w:val="00BC3B82"/>
    <w:rsid w:val="00BC4076"/>
    <w:rsid w:val="00BC4DC0"/>
    <w:rsid w:val="00BD0C34"/>
    <w:rsid w:val="00BD2CFC"/>
    <w:rsid w:val="00BD4483"/>
    <w:rsid w:val="00BD5F69"/>
    <w:rsid w:val="00BE2481"/>
    <w:rsid w:val="00BE3A38"/>
    <w:rsid w:val="00BF1DA1"/>
    <w:rsid w:val="00BF448A"/>
    <w:rsid w:val="00C00209"/>
    <w:rsid w:val="00C01ADA"/>
    <w:rsid w:val="00C02C7D"/>
    <w:rsid w:val="00C03AAE"/>
    <w:rsid w:val="00C03EDC"/>
    <w:rsid w:val="00C04FCD"/>
    <w:rsid w:val="00C05307"/>
    <w:rsid w:val="00C069BF"/>
    <w:rsid w:val="00C07ADC"/>
    <w:rsid w:val="00C114C2"/>
    <w:rsid w:val="00C11DED"/>
    <w:rsid w:val="00C1559A"/>
    <w:rsid w:val="00C16E01"/>
    <w:rsid w:val="00C16FEC"/>
    <w:rsid w:val="00C16FF0"/>
    <w:rsid w:val="00C20E16"/>
    <w:rsid w:val="00C22A67"/>
    <w:rsid w:val="00C22B2B"/>
    <w:rsid w:val="00C22E26"/>
    <w:rsid w:val="00C239BC"/>
    <w:rsid w:val="00C2422A"/>
    <w:rsid w:val="00C24D8E"/>
    <w:rsid w:val="00C26833"/>
    <w:rsid w:val="00C26CE7"/>
    <w:rsid w:val="00C30561"/>
    <w:rsid w:val="00C3084B"/>
    <w:rsid w:val="00C30FAF"/>
    <w:rsid w:val="00C32483"/>
    <w:rsid w:val="00C340AA"/>
    <w:rsid w:val="00C36E7A"/>
    <w:rsid w:val="00C42759"/>
    <w:rsid w:val="00C55974"/>
    <w:rsid w:val="00C565E4"/>
    <w:rsid w:val="00C60362"/>
    <w:rsid w:val="00C62C5C"/>
    <w:rsid w:val="00C64776"/>
    <w:rsid w:val="00C66C3D"/>
    <w:rsid w:val="00C70AB8"/>
    <w:rsid w:val="00C71EE7"/>
    <w:rsid w:val="00C72ED8"/>
    <w:rsid w:val="00C77327"/>
    <w:rsid w:val="00C81E1D"/>
    <w:rsid w:val="00C826FC"/>
    <w:rsid w:val="00C847B0"/>
    <w:rsid w:val="00C84A77"/>
    <w:rsid w:val="00C84BBF"/>
    <w:rsid w:val="00C8576A"/>
    <w:rsid w:val="00C858B2"/>
    <w:rsid w:val="00C87E18"/>
    <w:rsid w:val="00C87EF0"/>
    <w:rsid w:val="00C907F4"/>
    <w:rsid w:val="00C90E6E"/>
    <w:rsid w:val="00C9260F"/>
    <w:rsid w:val="00C9412D"/>
    <w:rsid w:val="00C946A5"/>
    <w:rsid w:val="00CA0723"/>
    <w:rsid w:val="00CA12B9"/>
    <w:rsid w:val="00CA325F"/>
    <w:rsid w:val="00CA5ED2"/>
    <w:rsid w:val="00CA70F1"/>
    <w:rsid w:val="00CA7225"/>
    <w:rsid w:val="00CB19E4"/>
    <w:rsid w:val="00CB4F00"/>
    <w:rsid w:val="00CC428B"/>
    <w:rsid w:val="00CC6AC7"/>
    <w:rsid w:val="00CC75F6"/>
    <w:rsid w:val="00CD1710"/>
    <w:rsid w:val="00CD2408"/>
    <w:rsid w:val="00CD573A"/>
    <w:rsid w:val="00CD69BD"/>
    <w:rsid w:val="00CD7C99"/>
    <w:rsid w:val="00CE0965"/>
    <w:rsid w:val="00CE16C4"/>
    <w:rsid w:val="00CE20E1"/>
    <w:rsid w:val="00CE2BB6"/>
    <w:rsid w:val="00CE348D"/>
    <w:rsid w:val="00CE424A"/>
    <w:rsid w:val="00CE4757"/>
    <w:rsid w:val="00CE4A51"/>
    <w:rsid w:val="00CF203F"/>
    <w:rsid w:val="00CF2B26"/>
    <w:rsid w:val="00CF4952"/>
    <w:rsid w:val="00CF65A4"/>
    <w:rsid w:val="00CF6B60"/>
    <w:rsid w:val="00D02C4E"/>
    <w:rsid w:val="00D05287"/>
    <w:rsid w:val="00D06376"/>
    <w:rsid w:val="00D1180C"/>
    <w:rsid w:val="00D11BC7"/>
    <w:rsid w:val="00D11FFE"/>
    <w:rsid w:val="00D12219"/>
    <w:rsid w:val="00D131A8"/>
    <w:rsid w:val="00D141BB"/>
    <w:rsid w:val="00D209EA"/>
    <w:rsid w:val="00D21724"/>
    <w:rsid w:val="00D2333D"/>
    <w:rsid w:val="00D30977"/>
    <w:rsid w:val="00D30BFE"/>
    <w:rsid w:val="00D31306"/>
    <w:rsid w:val="00D31A4E"/>
    <w:rsid w:val="00D36818"/>
    <w:rsid w:val="00D419C9"/>
    <w:rsid w:val="00D477D3"/>
    <w:rsid w:val="00D50CDE"/>
    <w:rsid w:val="00D5719E"/>
    <w:rsid w:val="00D60E9B"/>
    <w:rsid w:val="00D61EC7"/>
    <w:rsid w:val="00D63ADD"/>
    <w:rsid w:val="00D64E84"/>
    <w:rsid w:val="00D652EC"/>
    <w:rsid w:val="00D7158F"/>
    <w:rsid w:val="00D76AB4"/>
    <w:rsid w:val="00D77DD6"/>
    <w:rsid w:val="00D77F2A"/>
    <w:rsid w:val="00D8384F"/>
    <w:rsid w:val="00D848B5"/>
    <w:rsid w:val="00D8614A"/>
    <w:rsid w:val="00D92A4E"/>
    <w:rsid w:val="00D931FB"/>
    <w:rsid w:val="00D94186"/>
    <w:rsid w:val="00D949E8"/>
    <w:rsid w:val="00D969FA"/>
    <w:rsid w:val="00D97F45"/>
    <w:rsid w:val="00DA2601"/>
    <w:rsid w:val="00DA55CB"/>
    <w:rsid w:val="00DA693A"/>
    <w:rsid w:val="00DA7445"/>
    <w:rsid w:val="00DB3D10"/>
    <w:rsid w:val="00DB67C0"/>
    <w:rsid w:val="00DC3128"/>
    <w:rsid w:val="00DC3501"/>
    <w:rsid w:val="00DC4AEE"/>
    <w:rsid w:val="00DC5F6A"/>
    <w:rsid w:val="00DC6B42"/>
    <w:rsid w:val="00DC724B"/>
    <w:rsid w:val="00DC7E76"/>
    <w:rsid w:val="00DD0310"/>
    <w:rsid w:val="00DE0CDE"/>
    <w:rsid w:val="00DE2CA1"/>
    <w:rsid w:val="00DE373F"/>
    <w:rsid w:val="00DE45ED"/>
    <w:rsid w:val="00DE6F91"/>
    <w:rsid w:val="00DF0530"/>
    <w:rsid w:val="00DF1B63"/>
    <w:rsid w:val="00DF23AF"/>
    <w:rsid w:val="00DF45EB"/>
    <w:rsid w:val="00DF5307"/>
    <w:rsid w:val="00DF5EC3"/>
    <w:rsid w:val="00E014EF"/>
    <w:rsid w:val="00E018AF"/>
    <w:rsid w:val="00E02F7E"/>
    <w:rsid w:val="00E0316D"/>
    <w:rsid w:val="00E0511C"/>
    <w:rsid w:val="00E06145"/>
    <w:rsid w:val="00E0789E"/>
    <w:rsid w:val="00E1072D"/>
    <w:rsid w:val="00E11D4B"/>
    <w:rsid w:val="00E15E91"/>
    <w:rsid w:val="00E20300"/>
    <w:rsid w:val="00E20DC3"/>
    <w:rsid w:val="00E2205E"/>
    <w:rsid w:val="00E226D2"/>
    <w:rsid w:val="00E22C0E"/>
    <w:rsid w:val="00E22E5A"/>
    <w:rsid w:val="00E23194"/>
    <w:rsid w:val="00E25BCC"/>
    <w:rsid w:val="00E26477"/>
    <w:rsid w:val="00E26BC5"/>
    <w:rsid w:val="00E27E62"/>
    <w:rsid w:val="00E306C5"/>
    <w:rsid w:val="00E30C84"/>
    <w:rsid w:val="00E36360"/>
    <w:rsid w:val="00E36918"/>
    <w:rsid w:val="00E372CF"/>
    <w:rsid w:val="00E37819"/>
    <w:rsid w:val="00E40B81"/>
    <w:rsid w:val="00E44C5C"/>
    <w:rsid w:val="00E4561A"/>
    <w:rsid w:val="00E45B45"/>
    <w:rsid w:val="00E47912"/>
    <w:rsid w:val="00E47EA8"/>
    <w:rsid w:val="00E506A3"/>
    <w:rsid w:val="00E5449F"/>
    <w:rsid w:val="00E5747E"/>
    <w:rsid w:val="00E605DB"/>
    <w:rsid w:val="00E608E8"/>
    <w:rsid w:val="00E60980"/>
    <w:rsid w:val="00E626CA"/>
    <w:rsid w:val="00E63E64"/>
    <w:rsid w:val="00E63E9F"/>
    <w:rsid w:val="00E641C0"/>
    <w:rsid w:val="00E66F90"/>
    <w:rsid w:val="00E70563"/>
    <w:rsid w:val="00E72330"/>
    <w:rsid w:val="00E74A08"/>
    <w:rsid w:val="00E75DD5"/>
    <w:rsid w:val="00E87563"/>
    <w:rsid w:val="00E924B6"/>
    <w:rsid w:val="00E92890"/>
    <w:rsid w:val="00E93FE7"/>
    <w:rsid w:val="00E94145"/>
    <w:rsid w:val="00E94FD6"/>
    <w:rsid w:val="00E96299"/>
    <w:rsid w:val="00EA0BC9"/>
    <w:rsid w:val="00EA23FE"/>
    <w:rsid w:val="00EA26FB"/>
    <w:rsid w:val="00EA3953"/>
    <w:rsid w:val="00EA3DDC"/>
    <w:rsid w:val="00EA44A7"/>
    <w:rsid w:val="00EA5367"/>
    <w:rsid w:val="00EA5C27"/>
    <w:rsid w:val="00EA75C5"/>
    <w:rsid w:val="00EB5B10"/>
    <w:rsid w:val="00EC3E14"/>
    <w:rsid w:val="00EC41A8"/>
    <w:rsid w:val="00EC5B12"/>
    <w:rsid w:val="00EC6108"/>
    <w:rsid w:val="00EC696C"/>
    <w:rsid w:val="00EC7570"/>
    <w:rsid w:val="00ED11EF"/>
    <w:rsid w:val="00ED1D00"/>
    <w:rsid w:val="00ED5882"/>
    <w:rsid w:val="00ED61A7"/>
    <w:rsid w:val="00ED7181"/>
    <w:rsid w:val="00ED7474"/>
    <w:rsid w:val="00ED7E42"/>
    <w:rsid w:val="00EE3BD1"/>
    <w:rsid w:val="00EE5A86"/>
    <w:rsid w:val="00EF3DC1"/>
    <w:rsid w:val="00EF5EC2"/>
    <w:rsid w:val="00EF67AB"/>
    <w:rsid w:val="00EF6E4C"/>
    <w:rsid w:val="00EF72C4"/>
    <w:rsid w:val="00EF7BE0"/>
    <w:rsid w:val="00F03133"/>
    <w:rsid w:val="00F049D4"/>
    <w:rsid w:val="00F107B5"/>
    <w:rsid w:val="00F12DD1"/>
    <w:rsid w:val="00F13784"/>
    <w:rsid w:val="00F14160"/>
    <w:rsid w:val="00F1474A"/>
    <w:rsid w:val="00F1519F"/>
    <w:rsid w:val="00F17635"/>
    <w:rsid w:val="00F20514"/>
    <w:rsid w:val="00F21CBD"/>
    <w:rsid w:val="00F235CD"/>
    <w:rsid w:val="00F236EC"/>
    <w:rsid w:val="00F24B28"/>
    <w:rsid w:val="00F24BA7"/>
    <w:rsid w:val="00F2553A"/>
    <w:rsid w:val="00F271D9"/>
    <w:rsid w:val="00F2747F"/>
    <w:rsid w:val="00F27656"/>
    <w:rsid w:val="00F31912"/>
    <w:rsid w:val="00F343A1"/>
    <w:rsid w:val="00F34460"/>
    <w:rsid w:val="00F34909"/>
    <w:rsid w:val="00F375C3"/>
    <w:rsid w:val="00F37C8B"/>
    <w:rsid w:val="00F41229"/>
    <w:rsid w:val="00F416CB"/>
    <w:rsid w:val="00F41B0B"/>
    <w:rsid w:val="00F42356"/>
    <w:rsid w:val="00F44559"/>
    <w:rsid w:val="00F45B82"/>
    <w:rsid w:val="00F5251E"/>
    <w:rsid w:val="00F52820"/>
    <w:rsid w:val="00F53337"/>
    <w:rsid w:val="00F537A7"/>
    <w:rsid w:val="00F5485A"/>
    <w:rsid w:val="00F600D6"/>
    <w:rsid w:val="00F60401"/>
    <w:rsid w:val="00F604F6"/>
    <w:rsid w:val="00F63C18"/>
    <w:rsid w:val="00F703C7"/>
    <w:rsid w:val="00F70A35"/>
    <w:rsid w:val="00F71D6E"/>
    <w:rsid w:val="00F730F4"/>
    <w:rsid w:val="00F731E1"/>
    <w:rsid w:val="00F75E13"/>
    <w:rsid w:val="00F7738F"/>
    <w:rsid w:val="00F8226A"/>
    <w:rsid w:val="00F8299F"/>
    <w:rsid w:val="00F8372C"/>
    <w:rsid w:val="00F86502"/>
    <w:rsid w:val="00F8683D"/>
    <w:rsid w:val="00F86BFA"/>
    <w:rsid w:val="00F876A2"/>
    <w:rsid w:val="00F91690"/>
    <w:rsid w:val="00F91D71"/>
    <w:rsid w:val="00F92A36"/>
    <w:rsid w:val="00F92E88"/>
    <w:rsid w:val="00F94835"/>
    <w:rsid w:val="00FA0D4D"/>
    <w:rsid w:val="00FA16AE"/>
    <w:rsid w:val="00FA2CB3"/>
    <w:rsid w:val="00FA3B29"/>
    <w:rsid w:val="00FA4320"/>
    <w:rsid w:val="00FA4668"/>
    <w:rsid w:val="00FB0D22"/>
    <w:rsid w:val="00FB15F2"/>
    <w:rsid w:val="00FB313C"/>
    <w:rsid w:val="00FC198B"/>
    <w:rsid w:val="00FC3607"/>
    <w:rsid w:val="00FC37C8"/>
    <w:rsid w:val="00FC41BC"/>
    <w:rsid w:val="00FC4BF4"/>
    <w:rsid w:val="00FD49F4"/>
    <w:rsid w:val="00FE2880"/>
    <w:rsid w:val="00FE45FF"/>
    <w:rsid w:val="00FE4F06"/>
    <w:rsid w:val="00FE6172"/>
    <w:rsid w:val="00FE710E"/>
    <w:rsid w:val="00FF1532"/>
    <w:rsid w:val="00FF19D8"/>
    <w:rsid w:val="00FF3A10"/>
    <w:rsid w:val="00FF475E"/>
    <w:rsid w:val="00FF59F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shadow color="#ccc"/>
      <o:colormru v:ext="edit" colors="#ddd"/>
    </o:shapedefaults>
    <o:shapelayout v:ext="edit">
      <o:idmap v:ext="edit" data="1"/>
    </o:shapelayout>
  </w:shapeDefaults>
  <w:decimalSymbol w:val="."/>
  <w:listSeparator w:val=","/>
  <w14:docId w14:val="53A39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E4C"/>
    <w:rPr>
      <w:rFonts w:ascii="Calibri" w:hAnsi="Calibri"/>
      <w:sz w:val="24"/>
      <w:szCs w:val="24"/>
    </w:rPr>
  </w:style>
  <w:style w:type="paragraph" w:styleId="Heading1">
    <w:name w:val="heading 1"/>
    <w:basedOn w:val="Normal"/>
    <w:next w:val="Normal"/>
    <w:qFormat/>
    <w:rsid w:val="00E1072D"/>
    <w:pPr>
      <w:keepNext/>
      <w:outlineLvl w:val="0"/>
    </w:pPr>
    <w:rPr>
      <w:rFonts w:cs="Arial"/>
      <w:b/>
      <w:bCs/>
      <w:color w:val="4070AA"/>
      <w:kern w:val="32"/>
      <w:sz w:val="36"/>
      <w:szCs w:val="32"/>
    </w:rPr>
  </w:style>
  <w:style w:type="paragraph" w:styleId="Heading2">
    <w:name w:val="heading 2"/>
    <w:basedOn w:val="Normal"/>
    <w:next w:val="Normal"/>
    <w:qFormat/>
    <w:rsid w:val="006F4C17"/>
    <w:pPr>
      <w:keepNext/>
      <w:outlineLvl w:val="1"/>
    </w:pPr>
    <w:rPr>
      <w:rFonts w:cs="Arial"/>
      <w:b/>
      <w:bCs/>
      <w:iCs/>
      <w:color w:val="4070AA"/>
      <w:szCs w:val="28"/>
    </w:rPr>
  </w:style>
  <w:style w:type="paragraph" w:styleId="Heading3">
    <w:name w:val="heading 3"/>
    <w:basedOn w:val="Normal"/>
    <w:next w:val="Normal"/>
    <w:link w:val="Heading3Char"/>
    <w:unhideWhenUsed/>
    <w:qFormat/>
    <w:rsid w:val="00E96299"/>
    <w:pPr>
      <w:autoSpaceDE w:val="0"/>
      <w:autoSpaceDN w:val="0"/>
      <w:adjustRightInd w:val="0"/>
      <w:spacing w:before="240"/>
      <w:outlineLvl w:val="2"/>
    </w:pPr>
    <w:rPr>
      <w:rFonts w:cs="Arial"/>
      <w:b/>
      <w:szCs w:val="22"/>
    </w:rPr>
  </w:style>
  <w:style w:type="paragraph" w:styleId="Heading4">
    <w:name w:val="heading 4"/>
    <w:basedOn w:val="Normal"/>
    <w:next w:val="Normal"/>
    <w:link w:val="Heading4Char"/>
    <w:unhideWhenUsed/>
    <w:qFormat/>
    <w:rsid w:val="004F54D2"/>
    <w:pPr>
      <w:spacing w:before="120" w:after="120"/>
      <w:outlineLvl w:val="3"/>
    </w:pPr>
    <w:rPr>
      <w:rFonts w:asciiTheme="minorHAnsi" w:hAnsiTheme="minorHAnsi" w:cs="Calibri"/>
      <w:color w:val="000000" w:themeColor="text1"/>
      <w:sz w:val="22"/>
      <w:szCs w:val="22"/>
    </w:rPr>
  </w:style>
  <w:style w:type="paragraph" w:styleId="Heading5">
    <w:name w:val="heading 5"/>
    <w:basedOn w:val="Normal"/>
    <w:next w:val="Normal"/>
    <w:link w:val="Heading5Char"/>
    <w:unhideWhenUsed/>
    <w:qFormat/>
    <w:rsid w:val="004F54D2"/>
    <w:pPr>
      <w:spacing w:before="120" w:after="120"/>
      <w:outlineLvl w:val="4"/>
    </w:pPr>
    <w:rPr>
      <w:rFonts w:eastAsiaTheme="majorEastAsia" w:cs="Calibr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F2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7F2E46"/>
    <w:rPr>
      <w:sz w:val="16"/>
      <w:szCs w:val="16"/>
    </w:rPr>
  </w:style>
  <w:style w:type="paragraph" w:styleId="CommentText">
    <w:name w:val="annotation text"/>
    <w:basedOn w:val="Normal"/>
    <w:semiHidden/>
    <w:rsid w:val="007F2E46"/>
    <w:rPr>
      <w:rFonts w:ascii="Times New Roman" w:hAnsi="Times New Roman"/>
      <w:sz w:val="20"/>
      <w:szCs w:val="20"/>
    </w:rPr>
  </w:style>
  <w:style w:type="paragraph" w:styleId="BalloonText">
    <w:name w:val="Balloon Text"/>
    <w:basedOn w:val="Normal"/>
    <w:semiHidden/>
    <w:rsid w:val="007F2E46"/>
    <w:rPr>
      <w:rFonts w:ascii="Tahoma" w:hAnsi="Tahoma" w:cs="Tahoma"/>
      <w:sz w:val="16"/>
      <w:szCs w:val="16"/>
    </w:rPr>
  </w:style>
  <w:style w:type="paragraph" w:styleId="Header">
    <w:name w:val="header"/>
    <w:basedOn w:val="Normal"/>
    <w:rsid w:val="007F2E46"/>
    <w:pPr>
      <w:tabs>
        <w:tab w:val="center" w:pos="4153"/>
        <w:tab w:val="right" w:pos="8306"/>
      </w:tabs>
    </w:pPr>
  </w:style>
  <w:style w:type="paragraph" w:styleId="Footer">
    <w:name w:val="footer"/>
    <w:basedOn w:val="Normal"/>
    <w:rsid w:val="00222BC2"/>
    <w:pPr>
      <w:tabs>
        <w:tab w:val="right" w:pos="8647"/>
      </w:tabs>
    </w:pPr>
    <w:rPr>
      <w:color w:val="808080"/>
      <w:sz w:val="20"/>
      <w:szCs w:val="20"/>
    </w:rPr>
  </w:style>
  <w:style w:type="paragraph" w:styleId="CommentSubject">
    <w:name w:val="annotation subject"/>
    <w:basedOn w:val="CommentText"/>
    <w:next w:val="CommentText"/>
    <w:semiHidden/>
    <w:rsid w:val="007F2E46"/>
    <w:rPr>
      <w:rFonts w:ascii="Arial" w:hAnsi="Arial"/>
      <w:b/>
      <w:bCs/>
    </w:rPr>
  </w:style>
  <w:style w:type="paragraph" w:styleId="FootnoteText">
    <w:name w:val="footnote text"/>
    <w:basedOn w:val="Normal"/>
    <w:semiHidden/>
    <w:rsid w:val="007F2E46"/>
    <w:rPr>
      <w:sz w:val="20"/>
      <w:szCs w:val="20"/>
    </w:rPr>
  </w:style>
  <w:style w:type="character" w:styleId="FootnoteReference">
    <w:name w:val="footnote reference"/>
    <w:basedOn w:val="DefaultParagraphFont"/>
    <w:semiHidden/>
    <w:rsid w:val="007F2E46"/>
    <w:rPr>
      <w:vertAlign w:val="superscript"/>
    </w:rPr>
  </w:style>
  <w:style w:type="character" w:styleId="PageNumber">
    <w:name w:val="page number"/>
    <w:basedOn w:val="DefaultParagraphFont"/>
    <w:rsid w:val="007F2E46"/>
    <w:rPr>
      <w:rFonts w:ascii="Calibri" w:hAnsi="Calibri"/>
      <w:sz w:val="20"/>
    </w:rPr>
  </w:style>
  <w:style w:type="paragraph" w:styleId="TOC2">
    <w:name w:val="toc 2"/>
    <w:basedOn w:val="Normal"/>
    <w:next w:val="Normal"/>
    <w:autoRedefine/>
    <w:uiPriority w:val="39"/>
    <w:qFormat/>
    <w:rsid w:val="003215F1"/>
    <w:pPr>
      <w:ind w:left="220"/>
    </w:pPr>
    <w:rPr>
      <w:rFonts w:asciiTheme="minorHAnsi" w:hAnsiTheme="minorHAnsi"/>
      <w:i/>
      <w:iCs/>
      <w:sz w:val="20"/>
      <w:szCs w:val="20"/>
    </w:rPr>
  </w:style>
  <w:style w:type="character" w:styleId="Hyperlink">
    <w:name w:val="Hyperlink"/>
    <w:basedOn w:val="DefaultParagraphFont"/>
    <w:uiPriority w:val="99"/>
    <w:rsid w:val="007F2E46"/>
    <w:rPr>
      <w:color w:val="0000FF"/>
      <w:u w:val="single"/>
    </w:rPr>
  </w:style>
  <w:style w:type="paragraph" w:customStyle="1" w:styleId="TableText9pt">
    <w:name w:val="Table Text (9 pt)"/>
    <w:basedOn w:val="Normal"/>
    <w:rsid w:val="007F2E46"/>
    <w:pPr>
      <w:spacing w:before="60" w:after="60" w:line="221" w:lineRule="atLeast"/>
    </w:pPr>
    <w:rPr>
      <w:rFonts w:ascii="Times New Roman" w:hAnsi="Times New Roman"/>
      <w:sz w:val="18"/>
      <w:szCs w:val="20"/>
      <w:lang w:val="en-US" w:eastAsia="en-US"/>
    </w:rPr>
  </w:style>
  <w:style w:type="paragraph" w:customStyle="1" w:styleId="TableHeadings">
    <w:name w:val="Table Headings"/>
    <w:basedOn w:val="Normal"/>
    <w:rsid w:val="00FA4668"/>
    <w:pPr>
      <w:jc w:val="center"/>
    </w:pPr>
    <w:rPr>
      <w:rFonts w:cs="Arial"/>
      <w:bCs/>
      <w:color w:val="FFFFFF"/>
    </w:rPr>
  </w:style>
  <w:style w:type="paragraph" w:styleId="ListParagraph">
    <w:name w:val="List Paragraph"/>
    <w:basedOn w:val="Normal"/>
    <w:uiPriority w:val="34"/>
    <w:qFormat/>
    <w:rsid w:val="00E96299"/>
    <w:pPr>
      <w:numPr>
        <w:numId w:val="6"/>
      </w:numPr>
    </w:pPr>
  </w:style>
  <w:style w:type="numbering" w:styleId="1ai">
    <w:name w:val="Outline List 1"/>
    <w:basedOn w:val="NoList"/>
    <w:semiHidden/>
    <w:rsid w:val="007F2E46"/>
    <w:pPr>
      <w:numPr>
        <w:numId w:val="1"/>
      </w:numPr>
    </w:pPr>
  </w:style>
  <w:style w:type="paragraph" w:styleId="Caption">
    <w:name w:val="caption"/>
    <w:basedOn w:val="Normal"/>
    <w:next w:val="Normal"/>
    <w:qFormat/>
    <w:rsid w:val="007F2E46"/>
    <w:rPr>
      <w:b/>
      <w:bCs/>
      <w:sz w:val="20"/>
      <w:szCs w:val="20"/>
    </w:rPr>
  </w:style>
  <w:style w:type="paragraph" w:styleId="DocumentMap">
    <w:name w:val="Document Map"/>
    <w:basedOn w:val="Normal"/>
    <w:semiHidden/>
    <w:rsid w:val="007F2E46"/>
    <w:pPr>
      <w:shd w:val="clear" w:color="auto" w:fill="000080"/>
    </w:pPr>
    <w:rPr>
      <w:rFonts w:ascii="Tahoma" w:hAnsi="Tahoma" w:cs="Tahoma"/>
      <w:sz w:val="20"/>
      <w:szCs w:val="20"/>
    </w:rPr>
  </w:style>
  <w:style w:type="character" w:styleId="FollowedHyperlink">
    <w:name w:val="FollowedHyperlink"/>
    <w:basedOn w:val="DefaultParagraphFont"/>
    <w:rsid w:val="004C14B4"/>
    <w:rPr>
      <w:color w:val="800080"/>
      <w:u w:val="single"/>
    </w:rPr>
  </w:style>
  <w:style w:type="paragraph" w:customStyle="1" w:styleId="NormalCalibri">
    <w:name w:val="Normal + Calibri"/>
    <w:basedOn w:val="Normal"/>
    <w:uiPriority w:val="99"/>
    <w:rsid w:val="00BE2481"/>
    <w:rPr>
      <w:rFonts w:cs="Arial"/>
      <w:b/>
      <w:sz w:val="28"/>
      <w:szCs w:val="28"/>
      <w:lang w:eastAsia="en-US"/>
    </w:rPr>
  </w:style>
  <w:style w:type="paragraph" w:customStyle="1" w:styleId="Default">
    <w:name w:val="Default"/>
    <w:link w:val="DefaultChar"/>
    <w:rsid w:val="00BE2481"/>
    <w:pPr>
      <w:autoSpaceDE w:val="0"/>
      <w:autoSpaceDN w:val="0"/>
      <w:adjustRightInd w:val="0"/>
    </w:pPr>
    <w:rPr>
      <w:rFonts w:ascii="Calibri" w:hAnsi="Calibri" w:cs="Calibri"/>
      <w:color w:val="000000"/>
      <w:sz w:val="24"/>
      <w:szCs w:val="24"/>
    </w:rPr>
  </w:style>
  <w:style w:type="character" w:customStyle="1" w:styleId="DefaultChar">
    <w:name w:val="Default Char"/>
    <w:basedOn w:val="DefaultParagraphFont"/>
    <w:link w:val="Default"/>
    <w:rsid w:val="00BE2481"/>
    <w:rPr>
      <w:rFonts w:ascii="Calibri" w:hAnsi="Calibri" w:cs="Calibri"/>
      <w:color w:val="000000"/>
      <w:sz w:val="24"/>
      <w:szCs w:val="24"/>
      <w:lang w:val="en-AU" w:eastAsia="en-AU" w:bidi="ar-SA"/>
    </w:rPr>
  </w:style>
  <w:style w:type="paragraph" w:styleId="Revision">
    <w:name w:val="Revision"/>
    <w:hidden/>
    <w:uiPriority w:val="99"/>
    <w:semiHidden/>
    <w:rsid w:val="00150FC8"/>
    <w:rPr>
      <w:rFonts w:ascii="Calibri" w:hAnsi="Calibri"/>
      <w:sz w:val="22"/>
      <w:szCs w:val="24"/>
    </w:rPr>
  </w:style>
  <w:style w:type="paragraph" w:customStyle="1" w:styleId="DefaultText1">
    <w:name w:val="Default Text:1"/>
    <w:basedOn w:val="Normal"/>
    <w:rsid w:val="00362B1E"/>
    <w:pPr>
      <w:keepLines/>
      <w:autoSpaceDE w:val="0"/>
      <w:autoSpaceDN w:val="0"/>
      <w:adjustRightInd w:val="0"/>
      <w:spacing w:after="56"/>
      <w:ind w:left="708"/>
    </w:pPr>
    <w:rPr>
      <w:rFonts w:ascii="Times New Roman" w:hAnsi="Times New Roman"/>
      <w:lang w:val="en-US" w:eastAsia="en-US"/>
    </w:rPr>
  </w:style>
  <w:style w:type="paragraph" w:customStyle="1" w:styleId="TableHeading">
    <w:name w:val="Table Heading"/>
    <w:basedOn w:val="Normal"/>
    <w:next w:val="Normal"/>
    <w:qFormat/>
    <w:rsid w:val="001333EE"/>
    <w:pPr>
      <w:jc w:val="center"/>
    </w:pPr>
    <w:rPr>
      <w:rFonts w:cs="Arial"/>
      <w:b/>
      <w:color w:val="FFFFFF"/>
    </w:rPr>
  </w:style>
  <w:style w:type="paragraph" w:styleId="List2">
    <w:name w:val="List 2"/>
    <w:basedOn w:val="List"/>
    <w:rsid w:val="00AA0853"/>
    <w:pPr>
      <w:numPr>
        <w:numId w:val="3"/>
      </w:numPr>
    </w:pPr>
  </w:style>
  <w:style w:type="paragraph" w:styleId="List">
    <w:name w:val="List"/>
    <w:basedOn w:val="Normal"/>
    <w:rsid w:val="00AA0853"/>
    <w:pPr>
      <w:ind w:left="283" w:hanging="283"/>
      <w:contextualSpacing/>
    </w:pPr>
  </w:style>
  <w:style w:type="paragraph" w:styleId="TOCHeading">
    <w:name w:val="TOC Heading"/>
    <w:basedOn w:val="Normal"/>
    <w:next w:val="Normal"/>
    <w:uiPriority w:val="39"/>
    <w:unhideWhenUsed/>
    <w:qFormat/>
    <w:rsid w:val="001333EE"/>
    <w:rPr>
      <w:b/>
      <w:color w:val="009892"/>
      <w:sz w:val="36"/>
    </w:rPr>
  </w:style>
  <w:style w:type="character" w:styleId="Strong">
    <w:name w:val="Strong"/>
    <w:basedOn w:val="DefaultParagraphFont"/>
    <w:qFormat/>
    <w:rsid w:val="009C5F11"/>
    <w:rPr>
      <w:rFonts w:ascii="Calibri" w:hAnsi="Calibri"/>
      <w:b/>
      <w:bCs/>
      <w:color w:val="4070AA"/>
      <w:sz w:val="24"/>
    </w:rPr>
  </w:style>
  <w:style w:type="character" w:styleId="Emphasis">
    <w:name w:val="Emphasis"/>
    <w:basedOn w:val="DefaultParagraphFont"/>
    <w:qFormat/>
    <w:rsid w:val="006F4C17"/>
    <w:rPr>
      <w:rFonts w:ascii="Calibri" w:hAnsi="Calibri"/>
      <w:b/>
      <w:i w:val="0"/>
      <w:iCs/>
      <w:color w:val="4070AA"/>
      <w:sz w:val="36"/>
    </w:rPr>
  </w:style>
  <w:style w:type="character" w:customStyle="1" w:styleId="Heading3Char">
    <w:name w:val="Heading 3 Char"/>
    <w:basedOn w:val="DefaultParagraphFont"/>
    <w:link w:val="Heading3"/>
    <w:rsid w:val="00E96299"/>
    <w:rPr>
      <w:rFonts w:ascii="Calibri" w:hAnsi="Calibri" w:cs="Arial"/>
      <w:b/>
      <w:sz w:val="24"/>
      <w:szCs w:val="22"/>
    </w:rPr>
  </w:style>
  <w:style w:type="numbering" w:customStyle="1" w:styleId="Reference">
    <w:name w:val="Reference"/>
    <w:basedOn w:val="NoList"/>
    <w:rsid w:val="00FC198B"/>
    <w:pPr>
      <w:numPr>
        <w:numId w:val="8"/>
      </w:numPr>
    </w:pPr>
  </w:style>
  <w:style w:type="paragraph" w:styleId="TOC1">
    <w:name w:val="toc 1"/>
    <w:basedOn w:val="TOC2"/>
    <w:next w:val="Normal"/>
    <w:autoRedefine/>
    <w:uiPriority w:val="39"/>
    <w:qFormat/>
    <w:rsid w:val="00BA17CF"/>
    <w:pPr>
      <w:ind w:left="221"/>
    </w:pPr>
    <w:rPr>
      <w:b/>
      <w:bCs/>
      <w:i w:val="0"/>
      <w:iCs w:val="0"/>
      <w:smallCaps/>
    </w:rPr>
  </w:style>
  <w:style w:type="paragraph" w:styleId="TOC3">
    <w:name w:val="toc 3"/>
    <w:basedOn w:val="Normal"/>
    <w:next w:val="Normal"/>
    <w:autoRedefine/>
    <w:uiPriority w:val="39"/>
    <w:qFormat/>
    <w:rsid w:val="00BA17CF"/>
    <w:pPr>
      <w:tabs>
        <w:tab w:val="right" w:pos="8681"/>
      </w:tabs>
      <w:ind w:hanging="284"/>
    </w:pPr>
    <w:rPr>
      <w:rFonts w:asciiTheme="minorHAnsi" w:hAnsiTheme="minorHAnsi"/>
      <w:sz w:val="20"/>
      <w:szCs w:val="20"/>
    </w:rPr>
  </w:style>
  <w:style w:type="numbering" w:customStyle="1" w:styleId="BulletArrow">
    <w:name w:val="Bullet Arrow"/>
    <w:basedOn w:val="NoList"/>
    <w:rsid w:val="00F8226A"/>
    <w:pPr>
      <w:numPr>
        <w:numId w:val="13"/>
      </w:numPr>
    </w:pPr>
  </w:style>
  <w:style w:type="numbering" w:customStyle="1" w:styleId="Bullets-Arrows">
    <w:name w:val="Bullets - Arrows"/>
    <w:basedOn w:val="NoList"/>
    <w:rsid w:val="00F8226A"/>
    <w:pPr>
      <w:numPr>
        <w:numId w:val="14"/>
      </w:numPr>
    </w:pPr>
  </w:style>
  <w:style w:type="paragraph" w:styleId="ListNumber">
    <w:name w:val="List Number"/>
    <w:basedOn w:val="Normal"/>
    <w:rsid w:val="00F86502"/>
    <w:pPr>
      <w:numPr>
        <w:numId w:val="4"/>
      </w:numPr>
      <w:tabs>
        <w:tab w:val="clear" w:pos="360"/>
        <w:tab w:val="num" w:pos="709"/>
      </w:tabs>
      <w:ind w:left="709"/>
      <w:contextualSpacing/>
    </w:pPr>
  </w:style>
  <w:style w:type="paragraph" w:styleId="ListNumber2">
    <w:name w:val="List Number 2"/>
    <w:basedOn w:val="Normal"/>
    <w:rsid w:val="00C30FAF"/>
    <w:pPr>
      <w:numPr>
        <w:numId w:val="5"/>
      </w:numPr>
      <w:contextualSpacing/>
    </w:pPr>
  </w:style>
  <w:style w:type="paragraph" w:styleId="ListBullet2">
    <w:name w:val="List Bullet 2"/>
    <w:basedOn w:val="Normal"/>
    <w:rsid w:val="00C30FAF"/>
    <w:pPr>
      <w:keepLines/>
      <w:numPr>
        <w:numId w:val="15"/>
      </w:numPr>
    </w:pPr>
    <w:rPr>
      <w:rFonts w:cs="Arial"/>
      <w:szCs w:val="22"/>
    </w:rPr>
  </w:style>
  <w:style w:type="paragraph" w:styleId="ListNumber3">
    <w:name w:val="List Number 3"/>
    <w:basedOn w:val="ListParagraph"/>
    <w:rsid w:val="00C30FAF"/>
    <w:pPr>
      <w:numPr>
        <w:numId w:val="7"/>
      </w:numPr>
    </w:pPr>
  </w:style>
  <w:style w:type="paragraph" w:styleId="ListNumber4">
    <w:name w:val="List Number 4"/>
    <w:basedOn w:val="Normal"/>
    <w:rsid w:val="00C30FAF"/>
    <w:pPr>
      <w:numPr>
        <w:numId w:val="2"/>
      </w:numPr>
      <w:tabs>
        <w:tab w:val="clear" w:pos="-720"/>
        <w:tab w:val="num" w:pos="900"/>
      </w:tabs>
      <w:autoSpaceDE w:val="0"/>
      <w:autoSpaceDN w:val="0"/>
      <w:adjustRightInd w:val="0"/>
      <w:ind w:left="900" w:hanging="540"/>
    </w:pPr>
  </w:style>
  <w:style w:type="paragraph" w:styleId="Title">
    <w:name w:val="Title"/>
    <w:basedOn w:val="Normal"/>
    <w:next w:val="Normal"/>
    <w:link w:val="TitleChar"/>
    <w:qFormat/>
    <w:rsid w:val="00E1072D"/>
    <w:pPr>
      <w:jc w:val="center"/>
    </w:pPr>
    <w:rPr>
      <w:b/>
      <w:color w:val="4070AA"/>
      <w:sz w:val="52"/>
      <w:szCs w:val="52"/>
    </w:rPr>
  </w:style>
  <w:style w:type="character" w:customStyle="1" w:styleId="TitleChar">
    <w:name w:val="Title Char"/>
    <w:basedOn w:val="DefaultParagraphFont"/>
    <w:link w:val="Title"/>
    <w:rsid w:val="00E1072D"/>
    <w:rPr>
      <w:rFonts w:ascii="Calibri" w:hAnsi="Calibri"/>
      <w:b/>
      <w:color w:val="4070AA"/>
      <w:sz w:val="52"/>
      <w:szCs w:val="52"/>
    </w:rPr>
  </w:style>
  <w:style w:type="paragraph" w:styleId="Subtitle">
    <w:name w:val="Subtitle"/>
    <w:basedOn w:val="Normal"/>
    <w:next w:val="Normal"/>
    <w:link w:val="SubtitleChar"/>
    <w:qFormat/>
    <w:rsid w:val="003373AE"/>
    <w:pPr>
      <w:jc w:val="center"/>
    </w:pPr>
    <w:rPr>
      <w:b/>
      <w:color w:val="482F92"/>
      <w:sz w:val="32"/>
      <w:szCs w:val="32"/>
    </w:rPr>
  </w:style>
  <w:style w:type="character" w:customStyle="1" w:styleId="SubtitleChar">
    <w:name w:val="Subtitle Char"/>
    <w:basedOn w:val="DefaultParagraphFont"/>
    <w:link w:val="Subtitle"/>
    <w:rsid w:val="003373AE"/>
    <w:rPr>
      <w:rFonts w:ascii="Calibri" w:hAnsi="Calibri"/>
      <w:b/>
      <w:color w:val="482F92"/>
      <w:sz w:val="32"/>
      <w:szCs w:val="32"/>
    </w:rPr>
  </w:style>
  <w:style w:type="paragraph" w:styleId="ListBullet">
    <w:name w:val="List Bullet"/>
    <w:basedOn w:val="ListParagraph"/>
    <w:rsid w:val="00F2553A"/>
  </w:style>
  <w:style w:type="paragraph" w:customStyle="1" w:styleId="DHSHeading1">
    <w:name w:val="DHS Heading 1"/>
    <w:basedOn w:val="Normal"/>
    <w:rsid w:val="00F37C8B"/>
    <w:pPr>
      <w:spacing w:after="240"/>
    </w:pPr>
    <w:rPr>
      <w:rFonts w:ascii="Arial" w:hAnsi="Arial" w:cs="Arial"/>
      <w:sz w:val="40"/>
      <w:szCs w:val="40"/>
    </w:rPr>
  </w:style>
  <w:style w:type="paragraph" w:styleId="TOC4">
    <w:name w:val="toc 4"/>
    <w:basedOn w:val="Normal"/>
    <w:next w:val="Normal"/>
    <w:autoRedefine/>
    <w:rsid w:val="006F5E6D"/>
    <w:pPr>
      <w:ind w:left="660"/>
    </w:pPr>
    <w:rPr>
      <w:rFonts w:asciiTheme="minorHAnsi" w:hAnsiTheme="minorHAnsi"/>
      <w:sz w:val="20"/>
      <w:szCs w:val="20"/>
    </w:rPr>
  </w:style>
  <w:style w:type="paragraph" w:styleId="TOC5">
    <w:name w:val="toc 5"/>
    <w:basedOn w:val="Normal"/>
    <w:next w:val="Normal"/>
    <w:autoRedefine/>
    <w:rsid w:val="006F5E6D"/>
    <w:pPr>
      <w:ind w:left="880"/>
    </w:pPr>
    <w:rPr>
      <w:rFonts w:asciiTheme="minorHAnsi" w:hAnsiTheme="minorHAnsi"/>
      <w:sz w:val="20"/>
      <w:szCs w:val="20"/>
    </w:rPr>
  </w:style>
  <w:style w:type="paragraph" w:styleId="TOC6">
    <w:name w:val="toc 6"/>
    <w:basedOn w:val="Normal"/>
    <w:next w:val="Normal"/>
    <w:autoRedefine/>
    <w:rsid w:val="006F5E6D"/>
    <w:pPr>
      <w:ind w:left="1100"/>
    </w:pPr>
    <w:rPr>
      <w:rFonts w:asciiTheme="minorHAnsi" w:hAnsiTheme="minorHAnsi"/>
      <w:sz w:val="20"/>
      <w:szCs w:val="20"/>
    </w:rPr>
  </w:style>
  <w:style w:type="paragraph" w:styleId="TOC7">
    <w:name w:val="toc 7"/>
    <w:basedOn w:val="Normal"/>
    <w:next w:val="Normal"/>
    <w:autoRedefine/>
    <w:rsid w:val="006F5E6D"/>
    <w:pPr>
      <w:ind w:left="1320"/>
    </w:pPr>
    <w:rPr>
      <w:rFonts w:asciiTheme="minorHAnsi" w:hAnsiTheme="minorHAnsi"/>
      <w:sz w:val="20"/>
      <w:szCs w:val="20"/>
    </w:rPr>
  </w:style>
  <w:style w:type="paragraph" w:styleId="TOC8">
    <w:name w:val="toc 8"/>
    <w:basedOn w:val="Normal"/>
    <w:next w:val="Normal"/>
    <w:autoRedefine/>
    <w:rsid w:val="006F5E6D"/>
    <w:pPr>
      <w:ind w:left="1540"/>
    </w:pPr>
    <w:rPr>
      <w:rFonts w:asciiTheme="minorHAnsi" w:hAnsiTheme="minorHAnsi"/>
      <w:sz w:val="20"/>
      <w:szCs w:val="20"/>
    </w:rPr>
  </w:style>
  <w:style w:type="paragraph" w:styleId="TOC9">
    <w:name w:val="toc 9"/>
    <w:basedOn w:val="Normal"/>
    <w:next w:val="Normal"/>
    <w:autoRedefine/>
    <w:rsid w:val="006F5E6D"/>
    <w:pPr>
      <w:ind w:left="1760"/>
    </w:pPr>
    <w:rPr>
      <w:rFonts w:asciiTheme="minorHAnsi" w:hAnsiTheme="minorHAnsi"/>
      <w:sz w:val="20"/>
      <w:szCs w:val="20"/>
    </w:rPr>
  </w:style>
  <w:style w:type="character" w:styleId="BookTitle">
    <w:name w:val="Book Title"/>
    <w:uiPriority w:val="33"/>
    <w:qFormat/>
    <w:rsid w:val="00DA55CB"/>
    <w:rPr>
      <w:i/>
      <w:iCs/>
      <w:smallCaps/>
      <w:spacing w:val="5"/>
    </w:rPr>
  </w:style>
  <w:style w:type="character" w:customStyle="1" w:styleId="Heading4Char">
    <w:name w:val="Heading 4 Char"/>
    <w:basedOn w:val="DefaultParagraphFont"/>
    <w:link w:val="Heading4"/>
    <w:rsid w:val="004F54D2"/>
    <w:rPr>
      <w:rFonts w:asciiTheme="minorHAnsi" w:hAnsiTheme="minorHAnsi" w:cs="Calibri"/>
      <w:color w:val="000000" w:themeColor="text1"/>
      <w:sz w:val="22"/>
      <w:szCs w:val="22"/>
    </w:rPr>
  </w:style>
  <w:style w:type="character" w:customStyle="1" w:styleId="Heading5Char">
    <w:name w:val="Heading 5 Char"/>
    <w:basedOn w:val="DefaultParagraphFont"/>
    <w:link w:val="Heading5"/>
    <w:rsid w:val="004F54D2"/>
    <w:rPr>
      <w:rFonts w:ascii="Calibri" w:eastAsiaTheme="majorEastAsia" w:hAnsi="Calibri" w:cs="Calibri"/>
      <w:b/>
      <w:i/>
      <w:iCs/>
      <w:color w:val="000000" w:themeColor="text1"/>
      <w:sz w:val="24"/>
      <w:szCs w:val="24"/>
    </w:rPr>
  </w:style>
  <w:style w:type="paragraph" w:customStyle="1" w:styleId="guidelinetext">
    <w:name w:val="guideline text"/>
    <w:basedOn w:val="Normal"/>
    <w:link w:val="guidelinetextChar"/>
    <w:qFormat/>
    <w:rsid w:val="000242DA"/>
    <w:pPr>
      <w:spacing w:before="120" w:line="264" w:lineRule="auto"/>
      <w:ind w:left="1440"/>
    </w:pPr>
    <w:rPr>
      <w:rFonts w:asciiTheme="minorHAnsi" w:eastAsiaTheme="minorHAnsi" w:hAnsiTheme="minorHAnsi" w:cstheme="minorBidi"/>
      <w:sz w:val="22"/>
      <w:szCs w:val="22"/>
      <w:lang w:eastAsia="en-US"/>
    </w:rPr>
  </w:style>
  <w:style w:type="character" w:customStyle="1" w:styleId="guidelinetextChar">
    <w:name w:val="guideline text Char"/>
    <w:basedOn w:val="DefaultParagraphFont"/>
    <w:link w:val="guidelinetext"/>
    <w:rsid w:val="000242D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360672">
      <w:bodyDiv w:val="1"/>
      <w:marLeft w:val="0"/>
      <w:marRight w:val="0"/>
      <w:marTop w:val="0"/>
      <w:marBottom w:val="0"/>
      <w:divBdr>
        <w:top w:val="none" w:sz="0" w:space="0" w:color="auto"/>
        <w:left w:val="none" w:sz="0" w:space="0" w:color="auto"/>
        <w:bottom w:val="none" w:sz="0" w:space="0" w:color="auto"/>
        <w:right w:val="none" w:sz="0" w:space="0" w:color="auto"/>
      </w:divBdr>
    </w:div>
    <w:div w:id="1048145066">
      <w:bodyDiv w:val="1"/>
      <w:marLeft w:val="0"/>
      <w:marRight w:val="0"/>
      <w:marTop w:val="0"/>
      <w:marBottom w:val="0"/>
      <w:divBdr>
        <w:top w:val="none" w:sz="0" w:space="0" w:color="auto"/>
        <w:left w:val="none" w:sz="0" w:space="0" w:color="auto"/>
        <w:bottom w:val="none" w:sz="0" w:space="0" w:color="auto"/>
        <w:right w:val="none" w:sz="0" w:space="0" w:color="auto"/>
      </w:divBdr>
    </w:div>
    <w:div w:id="1187207467">
      <w:bodyDiv w:val="1"/>
      <w:marLeft w:val="0"/>
      <w:marRight w:val="0"/>
      <w:marTop w:val="0"/>
      <w:marBottom w:val="0"/>
      <w:divBdr>
        <w:top w:val="none" w:sz="0" w:space="0" w:color="auto"/>
        <w:left w:val="none" w:sz="0" w:space="0" w:color="auto"/>
        <w:bottom w:val="none" w:sz="0" w:space="0" w:color="auto"/>
        <w:right w:val="none" w:sz="0" w:space="0" w:color="auto"/>
      </w:divBdr>
    </w:div>
    <w:div w:id="1191839801">
      <w:bodyDiv w:val="1"/>
      <w:marLeft w:val="0"/>
      <w:marRight w:val="0"/>
      <w:marTop w:val="0"/>
      <w:marBottom w:val="0"/>
      <w:divBdr>
        <w:top w:val="none" w:sz="0" w:space="0" w:color="auto"/>
        <w:left w:val="none" w:sz="0" w:space="0" w:color="auto"/>
        <w:bottom w:val="none" w:sz="0" w:space="0" w:color="auto"/>
        <w:right w:val="none" w:sz="0" w:space="0" w:color="auto"/>
      </w:divBdr>
    </w:div>
    <w:div w:id="1389646127">
      <w:bodyDiv w:val="1"/>
      <w:marLeft w:val="0"/>
      <w:marRight w:val="0"/>
      <w:marTop w:val="0"/>
      <w:marBottom w:val="0"/>
      <w:divBdr>
        <w:top w:val="none" w:sz="0" w:space="0" w:color="auto"/>
        <w:left w:val="none" w:sz="0" w:space="0" w:color="auto"/>
        <w:bottom w:val="none" w:sz="0" w:space="0" w:color="auto"/>
        <w:right w:val="none" w:sz="0" w:space="0" w:color="auto"/>
      </w:divBdr>
    </w:div>
    <w:div w:id="212638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csnaccess.gov.au/ProviderPortal/DES/KeyProviderInformation/Pages/Freedom-of-Information.asp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FOCUS.RESPONSE.TEAM@servicesaustralia.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vicesaustralia.gov.au/healthprofessional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humanservices.gov.au/customer/forms/su684"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csn.gov.au/sites/SecureSitePortal/Documents/Current/Disability%20Employment%20Services%20Deed%202010%20-%202012%20Programs%20A%20and%20B.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35D32-F207-4670-9DFE-EBD91C564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6460</Words>
  <Characters>35986</Characters>
  <Application>Microsoft Office Word</Application>
  <DocSecurity>0</DocSecurity>
  <Lines>719</Lines>
  <Paragraphs>424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42022</CharactersWithSpaces>
  <SharedDoc>false</SharedDoc>
  <HLinks>
    <vt:vector size="144" baseType="variant">
      <vt:variant>
        <vt:i4>3801197</vt:i4>
      </vt:variant>
      <vt:variant>
        <vt:i4>93</vt:i4>
      </vt:variant>
      <vt:variant>
        <vt:i4>0</vt:i4>
      </vt:variant>
      <vt:variant>
        <vt:i4>5</vt:i4>
      </vt:variant>
      <vt:variant>
        <vt:lpwstr>https://ecsn.gov.au/sites/SecureSitePortal/Documents/Current/Referral for a Job Capacity Assessment Guidelines.pdf</vt:lpwstr>
      </vt:variant>
      <vt:variant>
        <vt:lpwstr/>
      </vt:variant>
      <vt:variant>
        <vt:i4>3801197</vt:i4>
      </vt:variant>
      <vt:variant>
        <vt:i4>90</vt:i4>
      </vt:variant>
      <vt:variant>
        <vt:i4>0</vt:i4>
      </vt:variant>
      <vt:variant>
        <vt:i4>5</vt:i4>
      </vt:variant>
      <vt:variant>
        <vt:lpwstr>https://ecsn.gov.au/sites/SecureSitePortal/Documents/Current/Referral for a Job Capacity Assessment Guidelines.pdf</vt:lpwstr>
      </vt:variant>
      <vt:variant>
        <vt:lpwstr/>
      </vt:variant>
      <vt:variant>
        <vt:i4>3801197</vt:i4>
      </vt:variant>
      <vt:variant>
        <vt:i4>87</vt:i4>
      </vt:variant>
      <vt:variant>
        <vt:i4>0</vt:i4>
      </vt:variant>
      <vt:variant>
        <vt:i4>5</vt:i4>
      </vt:variant>
      <vt:variant>
        <vt:lpwstr>https://ecsn.gov.au/sites/SecureSitePortal/Documents/Current/Referral for a Job Capacity Assessment Guidelines.pdf</vt:lpwstr>
      </vt:variant>
      <vt:variant>
        <vt:lpwstr/>
      </vt:variant>
      <vt:variant>
        <vt:i4>7143540</vt:i4>
      </vt:variant>
      <vt:variant>
        <vt:i4>84</vt:i4>
      </vt:variant>
      <vt:variant>
        <vt:i4>0</vt:i4>
      </vt:variant>
      <vt:variant>
        <vt:i4>5</vt:i4>
      </vt:variant>
      <vt:variant>
        <vt:lpwstr>https://ecsn.gov.au/sites/SecureSitePortal/Documents/Current/Stream Services Review Guidelines.pdf</vt:lpwstr>
      </vt:variant>
      <vt:variant>
        <vt:lpwstr/>
      </vt:variant>
      <vt:variant>
        <vt:i4>3801197</vt:i4>
      </vt:variant>
      <vt:variant>
        <vt:i4>81</vt:i4>
      </vt:variant>
      <vt:variant>
        <vt:i4>0</vt:i4>
      </vt:variant>
      <vt:variant>
        <vt:i4>5</vt:i4>
      </vt:variant>
      <vt:variant>
        <vt:lpwstr>https://ecsn.gov.au/sites/SecureSitePortal/Documents/Current/Referral for a Job Capacity Assessment Guidelines.pdf</vt:lpwstr>
      </vt:variant>
      <vt:variant>
        <vt:lpwstr/>
      </vt:variant>
      <vt:variant>
        <vt:i4>7143540</vt:i4>
      </vt:variant>
      <vt:variant>
        <vt:i4>78</vt:i4>
      </vt:variant>
      <vt:variant>
        <vt:i4>0</vt:i4>
      </vt:variant>
      <vt:variant>
        <vt:i4>5</vt:i4>
      </vt:variant>
      <vt:variant>
        <vt:lpwstr>https://ecsn.gov.au/sites/SecureSitePortal/Documents/Current/Stream Services Review Guidelines.pdf</vt:lpwstr>
      </vt:variant>
      <vt:variant>
        <vt:lpwstr/>
      </vt:variant>
      <vt:variant>
        <vt:i4>8323124</vt:i4>
      </vt:variant>
      <vt:variant>
        <vt:i4>75</vt:i4>
      </vt:variant>
      <vt:variant>
        <vt:i4>0</vt:i4>
      </vt:variant>
      <vt:variant>
        <vt:i4>5</vt:i4>
      </vt:variant>
      <vt:variant>
        <vt:lpwstr>https://ecsn.gov.au/sites/SecureSitePortal/Documents/Current/Direct Registration Guidelines.pdf</vt:lpwstr>
      </vt:variant>
      <vt:variant>
        <vt:lpwstr/>
      </vt:variant>
      <vt:variant>
        <vt:i4>3801197</vt:i4>
      </vt:variant>
      <vt:variant>
        <vt:i4>72</vt:i4>
      </vt:variant>
      <vt:variant>
        <vt:i4>0</vt:i4>
      </vt:variant>
      <vt:variant>
        <vt:i4>5</vt:i4>
      </vt:variant>
      <vt:variant>
        <vt:lpwstr>https://ecsn.gov.au/sites/SecureSitePortal/Documents/Current/Referral for a Job Capacity Assessment Guidelines.pdf</vt:lpwstr>
      </vt:variant>
      <vt:variant>
        <vt:lpwstr/>
      </vt:variant>
      <vt:variant>
        <vt:i4>7143540</vt:i4>
      </vt:variant>
      <vt:variant>
        <vt:i4>69</vt:i4>
      </vt:variant>
      <vt:variant>
        <vt:i4>0</vt:i4>
      </vt:variant>
      <vt:variant>
        <vt:i4>5</vt:i4>
      </vt:variant>
      <vt:variant>
        <vt:lpwstr>https://ecsn.gov.au/sites/SecureSitePortal/Documents/Current/Stream Services Review Guidelines.pdf</vt:lpwstr>
      </vt:variant>
      <vt:variant>
        <vt:lpwstr/>
      </vt:variant>
      <vt:variant>
        <vt:i4>8323124</vt:i4>
      </vt:variant>
      <vt:variant>
        <vt:i4>66</vt:i4>
      </vt:variant>
      <vt:variant>
        <vt:i4>0</vt:i4>
      </vt:variant>
      <vt:variant>
        <vt:i4>5</vt:i4>
      </vt:variant>
      <vt:variant>
        <vt:lpwstr>https://ecsn.gov.au/sites/SecureSitePortal/Documents/Current/Direct Registration Guidelines.pdf</vt:lpwstr>
      </vt:variant>
      <vt:variant>
        <vt:lpwstr/>
      </vt:variant>
      <vt:variant>
        <vt:i4>2949221</vt:i4>
      </vt:variant>
      <vt:variant>
        <vt:i4>63</vt:i4>
      </vt:variant>
      <vt:variant>
        <vt:i4>0</vt:i4>
      </vt:variant>
      <vt:variant>
        <vt:i4>5</vt:i4>
      </vt:variant>
      <vt:variant>
        <vt:lpwstr>https://ecsn.gov.au/sites/SecureSitePortal/Documents/Current/Vulnerable Youth and Vulnerable Youth (Student) Direct Registration Guidelines.pdf</vt:lpwstr>
      </vt:variant>
      <vt:variant>
        <vt:lpwstr/>
      </vt:variant>
      <vt:variant>
        <vt:i4>7143540</vt:i4>
      </vt:variant>
      <vt:variant>
        <vt:i4>60</vt:i4>
      </vt:variant>
      <vt:variant>
        <vt:i4>0</vt:i4>
      </vt:variant>
      <vt:variant>
        <vt:i4>5</vt:i4>
      </vt:variant>
      <vt:variant>
        <vt:lpwstr>https://ecsn.gov.au/sites/SecureSitePortal/Documents/Current/Stream Services Review Guidelines.pdf</vt:lpwstr>
      </vt:variant>
      <vt:variant>
        <vt:lpwstr/>
      </vt:variant>
      <vt:variant>
        <vt:i4>3801197</vt:i4>
      </vt:variant>
      <vt:variant>
        <vt:i4>57</vt:i4>
      </vt:variant>
      <vt:variant>
        <vt:i4>0</vt:i4>
      </vt:variant>
      <vt:variant>
        <vt:i4>5</vt:i4>
      </vt:variant>
      <vt:variant>
        <vt:lpwstr>https://ecsn.gov.au/sites/SecureSitePortal/Documents/Current/Referral for a Job Capacity Assessment Guidelines.pdf</vt:lpwstr>
      </vt:variant>
      <vt:variant>
        <vt:lpwstr/>
      </vt:variant>
      <vt:variant>
        <vt:i4>8323124</vt:i4>
      </vt:variant>
      <vt:variant>
        <vt:i4>54</vt:i4>
      </vt:variant>
      <vt:variant>
        <vt:i4>0</vt:i4>
      </vt:variant>
      <vt:variant>
        <vt:i4>5</vt:i4>
      </vt:variant>
      <vt:variant>
        <vt:lpwstr>https://ecsn.gov.au/sites/SecureSitePortal/Documents/Current/Direct Registration Guidelines.pdf</vt:lpwstr>
      </vt:variant>
      <vt:variant>
        <vt:lpwstr/>
      </vt:variant>
      <vt:variant>
        <vt:i4>5242949</vt:i4>
      </vt:variant>
      <vt:variant>
        <vt:i4>51</vt:i4>
      </vt:variant>
      <vt:variant>
        <vt:i4>0</vt:i4>
      </vt:variant>
      <vt:variant>
        <vt:i4>5</vt:i4>
      </vt:variant>
      <vt:variant>
        <vt:lpwstr>https://ecsn.gov.au/sites/SecureSitePortal/Documents/Current/Employment Services Deed 2009-2012 SS.htm</vt:lpwstr>
      </vt:variant>
      <vt:variant>
        <vt:lpwstr>annexe</vt:lpwstr>
      </vt:variant>
      <vt:variant>
        <vt:i4>655362</vt:i4>
      </vt:variant>
      <vt:variant>
        <vt:i4>48</vt:i4>
      </vt:variant>
      <vt:variant>
        <vt:i4>0</vt:i4>
      </vt:variant>
      <vt:variant>
        <vt:i4>5</vt:i4>
      </vt:variant>
      <vt:variant>
        <vt:lpwstr>https://ecsn.gov.au/sites/SecureSitePortal/Documents/Current/Employment Services Deed 2009-2012 SS.htm</vt:lpwstr>
      </vt:variant>
      <vt:variant>
        <vt:lpwstr>042</vt:lpwstr>
      </vt:variant>
      <vt:variant>
        <vt:i4>655362</vt:i4>
      </vt:variant>
      <vt:variant>
        <vt:i4>45</vt:i4>
      </vt:variant>
      <vt:variant>
        <vt:i4>0</vt:i4>
      </vt:variant>
      <vt:variant>
        <vt:i4>5</vt:i4>
      </vt:variant>
      <vt:variant>
        <vt:lpwstr>https://ecsn.gov.au/sites/SecureSitePortal/Documents/Current/Employment Services Deed 2009-2012 SS.htm</vt:lpwstr>
      </vt:variant>
      <vt:variant>
        <vt:lpwstr>041</vt:lpwstr>
      </vt:variant>
      <vt:variant>
        <vt:i4>655362</vt:i4>
      </vt:variant>
      <vt:variant>
        <vt:i4>42</vt:i4>
      </vt:variant>
      <vt:variant>
        <vt:i4>0</vt:i4>
      </vt:variant>
      <vt:variant>
        <vt:i4>5</vt:i4>
      </vt:variant>
      <vt:variant>
        <vt:lpwstr>https://ecsn.gov.au/sites/SecureSitePortal/Documents/Current/Employment Services Deed 2009-2012 SS.htm</vt:lpwstr>
      </vt:variant>
      <vt:variant>
        <vt:lpwstr>040</vt:lpwstr>
      </vt:variant>
      <vt:variant>
        <vt:i4>1179702</vt:i4>
      </vt:variant>
      <vt:variant>
        <vt:i4>35</vt:i4>
      </vt:variant>
      <vt:variant>
        <vt:i4>0</vt:i4>
      </vt:variant>
      <vt:variant>
        <vt:i4>5</vt:i4>
      </vt:variant>
      <vt:variant>
        <vt:lpwstr/>
      </vt:variant>
      <vt:variant>
        <vt:lpwstr>_Toc252868006</vt:lpwstr>
      </vt:variant>
      <vt:variant>
        <vt:i4>1179702</vt:i4>
      </vt:variant>
      <vt:variant>
        <vt:i4>29</vt:i4>
      </vt:variant>
      <vt:variant>
        <vt:i4>0</vt:i4>
      </vt:variant>
      <vt:variant>
        <vt:i4>5</vt:i4>
      </vt:variant>
      <vt:variant>
        <vt:lpwstr/>
      </vt:variant>
      <vt:variant>
        <vt:lpwstr>_Toc252868005</vt:lpwstr>
      </vt:variant>
      <vt:variant>
        <vt:i4>1179702</vt:i4>
      </vt:variant>
      <vt:variant>
        <vt:i4>23</vt:i4>
      </vt:variant>
      <vt:variant>
        <vt:i4>0</vt:i4>
      </vt:variant>
      <vt:variant>
        <vt:i4>5</vt:i4>
      </vt:variant>
      <vt:variant>
        <vt:lpwstr/>
      </vt:variant>
      <vt:variant>
        <vt:lpwstr>_Toc252868004</vt:lpwstr>
      </vt:variant>
      <vt:variant>
        <vt:i4>1179702</vt:i4>
      </vt:variant>
      <vt:variant>
        <vt:i4>17</vt:i4>
      </vt:variant>
      <vt:variant>
        <vt:i4>0</vt:i4>
      </vt:variant>
      <vt:variant>
        <vt:i4>5</vt:i4>
      </vt:variant>
      <vt:variant>
        <vt:lpwstr/>
      </vt:variant>
      <vt:variant>
        <vt:lpwstr>_Toc252868003</vt:lpwstr>
      </vt:variant>
      <vt:variant>
        <vt:i4>1179702</vt:i4>
      </vt:variant>
      <vt:variant>
        <vt:i4>11</vt:i4>
      </vt:variant>
      <vt:variant>
        <vt:i4>0</vt:i4>
      </vt:variant>
      <vt:variant>
        <vt:i4>5</vt:i4>
      </vt:variant>
      <vt:variant>
        <vt:lpwstr/>
      </vt:variant>
      <vt:variant>
        <vt:lpwstr>_Toc252868001</vt:lpwstr>
      </vt:variant>
      <vt:variant>
        <vt:i4>1179702</vt:i4>
      </vt:variant>
      <vt:variant>
        <vt:i4>5</vt:i4>
      </vt:variant>
      <vt:variant>
        <vt:i4>0</vt:i4>
      </vt:variant>
      <vt:variant>
        <vt:i4>5</vt:i4>
      </vt:variant>
      <vt:variant>
        <vt:lpwstr/>
      </vt:variant>
      <vt:variant>
        <vt:lpwstr>_Toc252868000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[SEC=OFFICIAL]</cp:keywords>
  <cp:lastModifiedBy/>
  <cp:revision>1</cp:revision>
  <dcterms:created xsi:type="dcterms:W3CDTF">2023-03-20T00:16:00Z</dcterms:created>
  <dcterms:modified xsi:type="dcterms:W3CDTF">2023-03-20T00:16:00Z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2E08F85E539A4EE09A3B4873A0658010</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2023-03-20T00:16:56Z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EC5ECB224247B61832FC813DD617382D</vt:lpwstr>
  </property>
  <property fmtid="{D5CDD505-2E9C-101B-9397-08002B2CF9AE}" pid="21" name="MSIP_Label_79d889eb-932f-4752-8739-64d25806ef64_SetDate">
    <vt:lpwstr>2022-11-18T04:35:39Z</vt:lpwstr>
  </property>
  <property fmtid="{D5CDD505-2E9C-101B-9397-08002B2CF9AE}" pid="22" name="PM_Hash_Salt">
    <vt:lpwstr>2D4A21FE99C07D3B838A51DE33346AB8</vt:lpwstr>
  </property>
  <property fmtid="{D5CDD505-2E9C-101B-9397-08002B2CF9AE}" pid="23" name="PM_Hash_SHA1">
    <vt:lpwstr>078BED032FF316ACB808BBF169BAB5687B946BE8</vt:lpwstr>
  </property>
  <property fmtid="{D5CDD505-2E9C-101B-9397-08002B2CF9AE}" pid="24" name="PM_OriginatorUserAccountName_SHA256">
    <vt:lpwstr>56084DE7D87471392F5BD2235C8043EAEC8018D05D094D5A8468DE8533D8A2CE</vt:lpwstr>
  </property>
  <property fmtid="{D5CDD505-2E9C-101B-9397-08002B2CF9AE}" pid="25" name="MSIP_Label_79d889eb-932f-4752-8739-64d25806ef64_SiteId">
    <vt:lpwstr>dd0cfd15-4558-4b12-8bad-ea26984fc417</vt:lpwstr>
  </property>
  <property fmtid="{D5CDD505-2E9C-101B-9397-08002B2CF9AE}" pid="26" name="PM_OriginatorDomainName_SHA256">
    <vt:lpwstr>E83A2A66C4061446A7E3732E8D44762184B6B377D962B96C83DC624302585857</vt:lpwstr>
  </property>
  <property fmtid="{D5CDD505-2E9C-101B-9397-08002B2CF9AE}" pid="27" name="PM_MinimumSecurityClassification">
    <vt:lpwstr/>
  </property>
  <property fmtid="{D5CDD505-2E9C-101B-9397-08002B2CF9AE}" pid="28" name="PM_SecurityClassification_Prev">
    <vt:lpwstr>OFFICIAL</vt:lpwstr>
  </property>
  <property fmtid="{D5CDD505-2E9C-101B-9397-08002B2CF9AE}" pid="29" name="PM_Qualifier_Prev">
    <vt:lpwstr/>
  </property>
  <property fmtid="{D5CDD505-2E9C-101B-9397-08002B2CF9AE}" pid="30" name="MSIP_Label_79d889eb-932f-4752-8739-64d25806ef64_Enabled">
    <vt:lpwstr>true</vt:lpwstr>
  </property>
  <property fmtid="{D5CDD505-2E9C-101B-9397-08002B2CF9AE}" pid="31" name="MSIP_Label_79d889eb-932f-4752-8739-64d25806ef64_Name">
    <vt:lpwstr>79d889eb-932f-4752-8739-64d25806ef64</vt:lpwstr>
  </property>
  <property fmtid="{D5CDD505-2E9C-101B-9397-08002B2CF9AE}" pid="32" name="MSIP_Label_79d889eb-932f-4752-8739-64d25806ef64_Method">
    <vt:lpwstr>Privileged</vt:lpwstr>
  </property>
  <property fmtid="{D5CDD505-2E9C-101B-9397-08002B2CF9AE}" pid="33" name="MSIP_Label_79d889eb-932f-4752-8739-64d25806ef64_ActionId">
    <vt:lpwstr>3a4c4f4d-f0f2-4b6d-b538-22dd3b5da982</vt:lpwstr>
  </property>
  <property fmtid="{D5CDD505-2E9C-101B-9397-08002B2CF9AE}" pid="34" name="MSIP_Label_79d889eb-932f-4752-8739-64d25806ef64_ContentBits">
    <vt:lpwstr>0</vt:lpwstr>
  </property>
</Properties>
</file>