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A6" w:rsidRDefault="00EE2578">
      <w:pPr>
        <w:spacing w:after="38"/>
        <w:ind w:left="0"/>
      </w:pPr>
      <w:r>
        <w:rPr>
          <w:b/>
          <w:color w:val="00739B"/>
          <w:sz w:val="44"/>
        </w:rPr>
        <w:t xml:space="preserve">Families and Children program logic example – multiple services </w:t>
      </w:r>
    </w:p>
    <w:p w:rsidR="008012A6" w:rsidRDefault="00EE2578">
      <w:pPr>
        <w:pBdr>
          <w:bottom w:val="single" w:sz="4" w:space="0" w:color="000000"/>
        </w:pBdr>
        <w:shd w:val="clear" w:color="auto" w:fill="E7E6E6"/>
        <w:spacing w:after="130" w:line="243" w:lineRule="auto"/>
      </w:pPr>
      <w:r>
        <w:rPr>
          <w:b/>
        </w:rPr>
        <w:t xml:space="preserve">Objective/s: </w:t>
      </w:r>
      <w:r>
        <w:t xml:space="preserve">Family and Relationship Services aim to strengthen family relationships, prevent breakdown and ensure the health and wellbeing of children through broad-based counselling and education. </w:t>
      </w:r>
    </w:p>
    <w:p w:rsidR="008012A6" w:rsidRDefault="00EE2578">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7022288</wp:posOffset>
                </wp:positionV>
                <wp:extent cx="1829054" cy="7620"/>
                <wp:effectExtent l="0" t="0" r="0" b="0"/>
                <wp:wrapTopAndBottom/>
                <wp:docPr id="3369" name="Group 336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533" name="Shape 353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9" style="width:144.02pt;height:0.599976pt;position:absolute;mso-position-horizontal-relative:page;mso-position-horizontal:absolute;margin-left:36pt;mso-position-vertical-relative:page;margin-top:552.936pt;" coordsize="18290,76">
                <v:shape id="Shape 3534" style="position:absolute;width:18290;height:91;left:0;top:0;" coordsize="1829054,9144" path="m0,0l1829054,0l1829054,9144l0,9144l0,0">
                  <v:stroke weight="0pt" endcap="flat" joinstyle="miter" miterlimit="10" on="false" color="#000000" opacity="0"/>
                  <v:fill on="true" color="#000000"/>
                </v:shape>
                <w10:wrap type="topAndBottom"/>
              </v:group>
            </w:pict>
          </mc:Fallback>
        </mc:AlternateContent>
      </w:r>
      <w:r w:rsidR="00D72699">
        <w:rPr>
          <w:b/>
        </w:rPr>
        <w:t>Needs statement</w:t>
      </w:r>
      <w:bookmarkStart w:id="0" w:name="_GoBack"/>
      <w:bookmarkEnd w:id="0"/>
      <w:r>
        <w:rPr>
          <w:b/>
        </w:rPr>
        <w:t>:</w:t>
      </w:r>
      <w:r>
        <w:t xml:space="preserve"> </w:t>
      </w:r>
      <w:proofErr w:type="gramStart"/>
      <w:r>
        <w:t>In this community, many families are living in difficult and complex social environments (ABS, 2016) including in situations where family and domestic violence is occurring or has occurred (NSW Bureau of Crime Statistics and Research, 2021)</w:t>
      </w:r>
      <w:proofErr w:type="gramEnd"/>
      <w:r>
        <w:t xml:space="preserve"> and there are high levels of interpersonal conflict. Without assistance, families in these situations are at-risk of negative outcomes related to parenting efficacy, relationships and health and wellbeing (AIFS, 2020; ANROWS, 2020; </w:t>
      </w:r>
      <w:proofErr w:type="spellStart"/>
      <w:r>
        <w:t>Kaspiew</w:t>
      </w:r>
      <w:proofErr w:type="spellEnd"/>
      <w:r>
        <w:t xml:space="preserve"> et al., 2017). By providing prevention and early intervention programs to families in this community, we can support children’s development, strengthen parent relationships and enhance family wellbeing (</w:t>
      </w:r>
      <w:proofErr w:type="spellStart"/>
      <w:r>
        <w:t>Rioseco</w:t>
      </w:r>
      <w:proofErr w:type="spellEnd"/>
      <w:r>
        <w:t xml:space="preserve"> et al., 2020).</w:t>
      </w:r>
      <w:r>
        <w:rPr>
          <w:sz w:val="20"/>
        </w:rPr>
        <w:t xml:space="preserve"> </w:t>
      </w:r>
    </w:p>
    <w:tbl>
      <w:tblPr>
        <w:tblStyle w:val="TableGrid"/>
        <w:tblW w:w="15170" w:type="dxa"/>
        <w:tblInd w:w="0" w:type="dxa"/>
        <w:tblCellMar>
          <w:top w:w="76" w:type="dxa"/>
          <w:left w:w="113" w:type="dxa"/>
          <w:right w:w="58" w:type="dxa"/>
        </w:tblCellMar>
        <w:tblLook w:val="04A0" w:firstRow="1" w:lastRow="0" w:firstColumn="1" w:lastColumn="0" w:noHBand="0" w:noVBand="1"/>
      </w:tblPr>
      <w:tblGrid>
        <w:gridCol w:w="2552"/>
        <w:gridCol w:w="2381"/>
        <w:gridCol w:w="2551"/>
        <w:gridCol w:w="2552"/>
        <w:gridCol w:w="2552"/>
        <w:gridCol w:w="2582"/>
      </w:tblGrid>
      <w:tr w:rsidR="008012A6">
        <w:trPr>
          <w:trHeight w:val="713"/>
        </w:trPr>
        <w:tc>
          <w:tcPr>
            <w:tcW w:w="2552" w:type="dxa"/>
            <w:tcBorders>
              <w:top w:val="single" w:sz="4" w:space="0" w:color="000000"/>
              <w:left w:val="nil"/>
              <w:bottom w:val="single" w:sz="4" w:space="0" w:color="000000"/>
              <w:right w:val="single" w:sz="4" w:space="0" w:color="000000"/>
            </w:tcBorders>
            <w:vAlign w:val="bottom"/>
          </w:tcPr>
          <w:p w:rsidR="008012A6" w:rsidRDefault="00EE2578">
            <w:pPr>
              <w:ind w:left="0" w:right="79"/>
              <w:jc w:val="right"/>
            </w:pPr>
            <w:r>
              <w:rPr>
                <w:noProof/>
              </w:rPr>
              <w:drawing>
                <wp:inline distT="0" distB="0" distL="0" distR="0">
                  <wp:extent cx="1361948" cy="387350"/>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7"/>
                          <a:stretch>
                            <a:fillRect/>
                          </a:stretch>
                        </pic:blipFill>
                        <pic:spPr>
                          <a:xfrm>
                            <a:off x="0" y="0"/>
                            <a:ext cx="1361948" cy="387350"/>
                          </a:xfrm>
                          <a:prstGeom prst="rect">
                            <a:avLst/>
                          </a:prstGeom>
                        </pic:spPr>
                      </pic:pic>
                    </a:graphicData>
                  </a:graphic>
                </wp:inline>
              </w:drawing>
            </w:r>
            <w:r>
              <w:rPr>
                <w:b/>
                <w:sz w:val="24"/>
              </w:rPr>
              <w:t xml:space="preserve"> </w:t>
            </w:r>
          </w:p>
        </w:tc>
        <w:tc>
          <w:tcPr>
            <w:tcW w:w="2381" w:type="dxa"/>
            <w:tcBorders>
              <w:top w:val="single" w:sz="4" w:space="0" w:color="000000"/>
              <w:left w:val="single" w:sz="4" w:space="0" w:color="000000"/>
              <w:bottom w:val="single" w:sz="4" w:space="0" w:color="000000"/>
              <w:right w:val="single" w:sz="4" w:space="0" w:color="000000"/>
            </w:tcBorders>
            <w:vAlign w:val="bottom"/>
          </w:tcPr>
          <w:p w:rsidR="008012A6" w:rsidRDefault="00EE2578">
            <w:pPr>
              <w:ind w:left="0"/>
              <w:jc w:val="right"/>
            </w:pPr>
            <w:r>
              <w:rPr>
                <w:noProof/>
              </w:rPr>
              <w:drawing>
                <wp:inline distT="0" distB="0" distL="0" distR="0">
                  <wp:extent cx="1355217" cy="385445"/>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8"/>
                          <a:stretch>
                            <a:fillRect/>
                          </a:stretch>
                        </pic:blipFill>
                        <pic:spPr>
                          <a:xfrm>
                            <a:off x="0" y="0"/>
                            <a:ext cx="1355217" cy="385445"/>
                          </a:xfrm>
                          <a:prstGeom prst="rect">
                            <a:avLst/>
                          </a:prstGeom>
                        </pic:spPr>
                      </pic:pic>
                    </a:graphicData>
                  </a:graphic>
                </wp:inline>
              </w:drawing>
            </w:r>
            <w:r>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8012A6" w:rsidRDefault="00EE2578">
            <w:pPr>
              <w:ind w:left="0" w:right="79"/>
              <w:jc w:val="right"/>
            </w:pPr>
            <w:r>
              <w:rPr>
                <w:noProof/>
              </w:rPr>
              <w:drawing>
                <wp:inline distT="0" distB="0" distL="0" distR="0">
                  <wp:extent cx="1361948" cy="387350"/>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9"/>
                          <a:stretch>
                            <a:fillRect/>
                          </a:stretch>
                        </pic:blipFill>
                        <pic:spPr>
                          <a:xfrm>
                            <a:off x="0" y="0"/>
                            <a:ext cx="1361948" cy="387350"/>
                          </a:xfrm>
                          <a:prstGeom prst="rect">
                            <a:avLst/>
                          </a:prstGeom>
                        </pic:spPr>
                      </pic:pic>
                    </a:graphicData>
                  </a:graphic>
                </wp:inline>
              </w:drawing>
            </w:r>
            <w:r>
              <w:rPr>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rsidR="008012A6" w:rsidRDefault="00EE2578">
            <w:pPr>
              <w:ind w:left="0" w:right="72"/>
              <w:jc w:val="right"/>
            </w:pPr>
            <w:r>
              <w:rPr>
                <w:noProof/>
              </w:rPr>
              <w:drawing>
                <wp:inline distT="0" distB="0" distL="0" distR="0">
                  <wp:extent cx="1368679" cy="389255"/>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0"/>
                          <a:stretch>
                            <a:fillRect/>
                          </a:stretch>
                        </pic:blipFill>
                        <pic:spPr>
                          <a:xfrm>
                            <a:off x="0" y="0"/>
                            <a:ext cx="1368679" cy="389255"/>
                          </a:xfrm>
                          <a:prstGeom prst="rect">
                            <a:avLst/>
                          </a:prstGeom>
                        </pic:spPr>
                      </pic:pic>
                    </a:graphicData>
                  </a:graphic>
                </wp:inline>
              </w:drawing>
            </w:r>
            <w:r>
              <w:rPr>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rsidR="008012A6" w:rsidRDefault="00EE2578">
            <w:pPr>
              <w:ind w:left="0" w:right="151"/>
              <w:jc w:val="right"/>
            </w:pPr>
            <w:r>
              <w:rPr>
                <w:noProof/>
              </w:rPr>
              <w:drawing>
                <wp:inline distT="0" distB="0" distL="0" distR="0">
                  <wp:extent cx="1368679" cy="38925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11"/>
                          <a:stretch>
                            <a:fillRect/>
                          </a:stretch>
                        </pic:blipFill>
                        <pic:spPr>
                          <a:xfrm>
                            <a:off x="0" y="0"/>
                            <a:ext cx="1368679" cy="389255"/>
                          </a:xfrm>
                          <a:prstGeom prst="rect">
                            <a:avLst/>
                          </a:prstGeom>
                        </pic:spPr>
                      </pic:pic>
                    </a:graphicData>
                  </a:graphic>
                </wp:inline>
              </w:drawing>
            </w:r>
            <w:r>
              <w:rPr>
                <w:b/>
                <w:sz w:val="24"/>
              </w:rPr>
              <w:t xml:space="preserve"> </w:t>
            </w:r>
          </w:p>
        </w:tc>
        <w:tc>
          <w:tcPr>
            <w:tcW w:w="2582" w:type="dxa"/>
            <w:tcBorders>
              <w:top w:val="single" w:sz="4" w:space="0" w:color="000000"/>
              <w:left w:val="single" w:sz="4" w:space="0" w:color="000000"/>
              <w:bottom w:val="single" w:sz="4" w:space="0" w:color="000000"/>
              <w:right w:val="nil"/>
            </w:tcBorders>
            <w:vAlign w:val="bottom"/>
          </w:tcPr>
          <w:p w:rsidR="008012A6" w:rsidRDefault="00EE2578">
            <w:pPr>
              <w:ind w:left="0" w:right="101"/>
              <w:jc w:val="right"/>
            </w:pPr>
            <w:r>
              <w:rPr>
                <w:noProof/>
              </w:rPr>
              <w:drawing>
                <wp:inline distT="0" distB="0" distL="0" distR="0">
                  <wp:extent cx="1375410" cy="39116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2"/>
                          <a:stretch>
                            <a:fillRect/>
                          </a:stretch>
                        </pic:blipFill>
                        <pic:spPr>
                          <a:xfrm>
                            <a:off x="0" y="0"/>
                            <a:ext cx="1375410" cy="391160"/>
                          </a:xfrm>
                          <a:prstGeom prst="rect">
                            <a:avLst/>
                          </a:prstGeom>
                        </pic:spPr>
                      </pic:pic>
                    </a:graphicData>
                  </a:graphic>
                </wp:inline>
              </w:drawing>
            </w:r>
            <w:r>
              <w:rPr>
                <w:b/>
                <w:sz w:val="24"/>
              </w:rPr>
              <w:t xml:space="preserve"> </w:t>
            </w:r>
          </w:p>
        </w:tc>
      </w:tr>
      <w:tr w:rsidR="008012A6">
        <w:trPr>
          <w:trHeight w:val="3838"/>
        </w:trPr>
        <w:tc>
          <w:tcPr>
            <w:tcW w:w="2552" w:type="dxa"/>
            <w:tcBorders>
              <w:top w:val="single" w:sz="4" w:space="0" w:color="000000"/>
              <w:left w:val="nil"/>
              <w:bottom w:val="single" w:sz="29" w:space="0" w:color="E7E6E6"/>
              <w:right w:val="single" w:sz="4" w:space="0" w:color="000000"/>
            </w:tcBorders>
          </w:tcPr>
          <w:p w:rsidR="008012A6" w:rsidRDefault="00EE2578">
            <w:pPr>
              <w:spacing w:after="103"/>
              <w:ind w:left="2"/>
            </w:pPr>
            <w:r>
              <w:t xml:space="preserve">Funding </w:t>
            </w:r>
          </w:p>
          <w:p w:rsidR="008012A6" w:rsidRDefault="00EE2578">
            <w:pPr>
              <w:spacing w:after="122"/>
              <w:ind w:left="2"/>
            </w:pPr>
            <w:r>
              <w:t xml:space="preserve">Staff (program managers, counsellors, specialists) </w:t>
            </w:r>
          </w:p>
          <w:p w:rsidR="008012A6" w:rsidRDefault="00EE2578">
            <w:pPr>
              <w:spacing w:after="103"/>
              <w:ind w:left="2"/>
            </w:pPr>
            <w:r>
              <w:t xml:space="preserve">Partner organisations  </w:t>
            </w:r>
          </w:p>
          <w:p w:rsidR="008012A6" w:rsidRDefault="00EE2578">
            <w:pPr>
              <w:spacing w:after="103"/>
              <w:ind w:left="2"/>
            </w:pPr>
            <w:r>
              <w:t xml:space="preserve">Transport </w:t>
            </w:r>
          </w:p>
          <w:p w:rsidR="008012A6" w:rsidRDefault="00EE2578">
            <w:pPr>
              <w:spacing w:after="103"/>
              <w:ind w:left="2"/>
            </w:pPr>
            <w:r>
              <w:t xml:space="preserve">Office infrastructure </w:t>
            </w:r>
          </w:p>
          <w:p w:rsidR="008012A6" w:rsidRDefault="00EE2578">
            <w:pPr>
              <w:ind w:left="2"/>
            </w:pPr>
            <w:r>
              <w:t xml:space="preserve">Staff training and professional development </w:t>
            </w:r>
          </w:p>
        </w:tc>
        <w:tc>
          <w:tcPr>
            <w:tcW w:w="2381" w:type="dxa"/>
            <w:tcBorders>
              <w:top w:val="single" w:sz="4" w:space="0" w:color="000000"/>
              <w:left w:val="single" w:sz="4" w:space="0" w:color="000000"/>
              <w:bottom w:val="single" w:sz="29" w:space="0" w:color="E7E6E6"/>
              <w:right w:val="single" w:sz="4" w:space="0" w:color="000000"/>
            </w:tcBorders>
          </w:tcPr>
          <w:p w:rsidR="008012A6" w:rsidRDefault="00EE2578">
            <w:pPr>
              <w:spacing w:after="103"/>
              <w:ind w:left="2"/>
            </w:pPr>
            <w:r>
              <w:t xml:space="preserve">Intake and assessment  </w:t>
            </w:r>
          </w:p>
          <w:p w:rsidR="008012A6" w:rsidRDefault="00EE2578">
            <w:pPr>
              <w:ind w:left="2"/>
            </w:pPr>
            <w:r>
              <w:t xml:space="preserve">Counselling </w:t>
            </w:r>
          </w:p>
          <w:p w:rsidR="008012A6" w:rsidRDefault="00EE2578">
            <w:pPr>
              <w:spacing w:after="119" w:line="242" w:lineRule="auto"/>
              <w:ind w:left="2" w:right="232"/>
              <w:jc w:val="both"/>
            </w:pPr>
            <w:r>
              <w:t xml:space="preserve">(men’s counselling, relationship counselling and family counselling) </w:t>
            </w:r>
          </w:p>
          <w:p w:rsidR="008012A6" w:rsidRDefault="00EE2578">
            <w:pPr>
              <w:spacing w:after="120"/>
              <w:ind w:left="2"/>
            </w:pPr>
            <w:r>
              <w:t xml:space="preserve">Family dispute resolution and mediation </w:t>
            </w:r>
          </w:p>
          <w:p w:rsidR="008012A6" w:rsidRDefault="00EE2578">
            <w:pPr>
              <w:spacing w:after="103"/>
              <w:ind w:left="2"/>
            </w:pPr>
            <w:r>
              <w:t xml:space="preserve">Relationship education </w:t>
            </w:r>
          </w:p>
          <w:p w:rsidR="008012A6" w:rsidRDefault="00EE2578">
            <w:pPr>
              <w:spacing w:after="120" w:line="241" w:lineRule="auto"/>
              <w:ind w:left="2"/>
            </w:pPr>
            <w:r>
              <w:t xml:space="preserve">Parenting programs (Triple P and parenting support groups) </w:t>
            </w:r>
          </w:p>
          <w:p w:rsidR="008012A6" w:rsidRDefault="00EE2578">
            <w:pPr>
              <w:ind w:left="2"/>
            </w:pPr>
            <w:r>
              <w:t xml:space="preserve">Referrals </w:t>
            </w:r>
          </w:p>
        </w:tc>
        <w:tc>
          <w:tcPr>
            <w:tcW w:w="2551" w:type="dxa"/>
            <w:tcBorders>
              <w:top w:val="single" w:sz="4" w:space="0" w:color="000000"/>
              <w:left w:val="single" w:sz="4" w:space="0" w:color="000000"/>
              <w:bottom w:val="single" w:sz="29" w:space="0" w:color="E7E6E6"/>
              <w:right w:val="single" w:sz="4" w:space="0" w:color="000000"/>
            </w:tcBorders>
          </w:tcPr>
          <w:p w:rsidR="008012A6" w:rsidRDefault="00EE2578">
            <w:pPr>
              <w:spacing w:after="11" w:line="242" w:lineRule="auto"/>
              <w:ind w:left="2"/>
            </w:pPr>
            <w:r>
              <w:t xml:space="preserve">Number of clients attending who are experiencing or </w:t>
            </w:r>
            <w:proofErr w:type="spellStart"/>
            <w:r>
              <w:t>atrisk</w:t>
            </w:r>
            <w:proofErr w:type="spellEnd"/>
            <w:r>
              <w:t xml:space="preserve"> of experiencing: </w:t>
            </w:r>
          </w:p>
          <w:p w:rsidR="008012A6" w:rsidRDefault="00EE2578">
            <w:pPr>
              <w:numPr>
                <w:ilvl w:val="0"/>
                <w:numId w:val="1"/>
              </w:numPr>
              <w:ind w:hanging="283"/>
            </w:pPr>
            <w:r>
              <w:t xml:space="preserve">family violence </w:t>
            </w:r>
          </w:p>
          <w:p w:rsidR="008012A6" w:rsidRDefault="00EE2578">
            <w:pPr>
              <w:numPr>
                <w:ilvl w:val="0"/>
                <w:numId w:val="1"/>
              </w:numPr>
              <w:spacing w:after="9" w:line="245" w:lineRule="auto"/>
              <w:ind w:hanging="283"/>
            </w:pPr>
            <w:r>
              <w:t xml:space="preserve">relationship breakdown </w:t>
            </w:r>
          </w:p>
          <w:p w:rsidR="008012A6" w:rsidRDefault="00EE2578">
            <w:pPr>
              <w:numPr>
                <w:ilvl w:val="0"/>
                <w:numId w:val="1"/>
              </w:numPr>
              <w:spacing w:after="119" w:line="241" w:lineRule="auto"/>
              <w:ind w:hanging="283"/>
            </w:pPr>
            <w:r>
              <w:t xml:space="preserve">family dysfunction Number of activities/ sessions delivered </w:t>
            </w:r>
          </w:p>
          <w:p w:rsidR="008012A6" w:rsidRDefault="00EE2578">
            <w:pPr>
              <w:spacing w:after="120"/>
              <w:ind w:left="2"/>
            </w:pPr>
            <w:r>
              <w:t xml:space="preserve">Number of activities/ sessions attended </w:t>
            </w:r>
          </w:p>
          <w:p w:rsidR="008012A6" w:rsidRDefault="00EE2578">
            <w:pPr>
              <w:ind w:left="2"/>
            </w:pPr>
            <w:r>
              <w:t xml:space="preserve">Number of referrals made </w:t>
            </w:r>
          </w:p>
        </w:tc>
        <w:tc>
          <w:tcPr>
            <w:tcW w:w="2552" w:type="dxa"/>
            <w:tcBorders>
              <w:top w:val="single" w:sz="4" w:space="0" w:color="000000"/>
              <w:left w:val="single" w:sz="4" w:space="0" w:color="000000"/>
              <w:bottom w:val="single" w:sz="29" w:space="0" w:color="E7E6E6"/>
              <w:right w:val="single" w:sz="4" w:space="0" w:color="000000"/>
            </w:tcBorders>
          </w:tcPr>
          <w:p w:rsidR="008012A6" w:rsidRDefault="00EE2578">
            <w:pPr>
              <w:spacing w:after="10" w:line="243" w:lineRule="auto"/>
              <w:ind w:left="2"/>
              <w:jc w:val="both"/>
            </w:pPr>
            <w:r>
              <w:t xml:space="preserve">Increased knowledge and skills in: </w:t>
            </w:r>
          </w:p>
          <w:p w:rsidR="008012A6" w:rsidRDefault="00EE2578">
            <w:pPr>
              <w:numPr>
                <w:ilvl w:val="0"/>
                <w:numId w:val="2"/>
              </w:numPr>
              <w:spacing w:after="9" w:line="245" w:lineRule="auto"/>
              <w:ind w:hanging="283"/>
            </w:pPr>
            <w:r>
              <w:t xml:space="preserve">communicating effectively </w:t>
            </w:r>
          </w:p>
          <w:p w:rsidR="008012A6" w:rsidRDefault="00EE2578">
            <w:pPr>
              <w:numPr>
                <w:ilvl w:val="0"/>
                <w:numId w:val="2"/>
              </w:numPr>
              <w:ind w:hanging="283"/>
            </w:pPr>
            <w:r>
              <w:t xml:space="preserve">self-regulating </w:t>
            </w:r>
          </w:p>
          <w:p w:rsidR="008012A6" w:rsidRDefault="00EE2578">
            <w:pPr>
              <w:numPr>
                <w:ilvl w:val="0"/>
                <w:numId w:val="2"/>
              </w:numPr>
              <w:spacing w:after="9" w:line="245" w:lineRule="auto"/>
              <w:ind w:hanging="283"/>
            </w:pPr>
            <w:r>
              <w:t xml:space="preserve">managing difficult situations </w:t>
            </w:r>
          </w:p>
          <w:p w:rsidR="008012A6" w:rsidRDefault="00EE2578">
            <w:pPr>
              <w:numPr>
                <w:ilvl w:val="0"/>
                <w:numId w:val="2"/>
              </w:numPr>
              <w:ind w:hanging="283"/>
            </w:pPr>
            <w:r>
              <w:t xml:space="preserve">responding to children’s needs in a developmentally appropriate way Improved understanding of how to access support services </w:t>
            </w:r>
          </w:p>
        </w:tc>
        <w:tc>
          <w:tcPr>
            <w:tcW w:w="2552" w:type="dxa"/>
            <w:tcBorders>
              <w:top w:val="single" w:sz="4" w:space="0" w:color="000000"/>
              <w:left w:val="single" w:sz="4" w:space="0" w:color="000000"/>
              <w:bottom w:val="single" w:sz="29" w:space="0" w:color="E7E6E6"/>
              <w:right w:val="single" w:sz="4" w:space="0" w:color="000000"/>
            </w:tcBorders>
          </w:tcPr>
          <w:p w:rsidR="008012A6" w:rsidRDefault="00EE2578">
            <w:pPr>
              <w:spacing w:after="10" w:line="243" w:lineRule="auto"/>
              <w:ind w:left="2"/>
            </w:pPr>
            <w:r>
              <w:t xml:space="preserve">Increased use of positive strategies to: </w:t>
            </w:r>
          </w:p>
          <w:p w:rsidR="008012A6" w:rsidRDefault="00EE2578">
            <w:pPr>
              <w:numPr>
                <w:ilvl w:val="0"/>
                <w:numId w:val="3"/>
              </w:numPr>
              <w:spacing w:after="9" w:line="245" w:lineRule="auto"/>
              <w:ind w:hanging="283"/>
            </w:pPr>
            <w:r>
              <w:t xml:space="preserve">resolve conflict within relationships </w:t>
            </w:r>
          </w:p>
          <w:p w:rsidR="008012A6" w:rsidRDefault="00EE2578">
            <w:pPr>
              <w:numPr>
                <w:ilvl w:val="0"/>
                <w:numId w:val="3"/>
              </w:numPr>
              <w:spacing w:after="8" w:line="245" w:lineRule="auto"/>
              <w:ind w:hanging="283"/>
            </w:pPr>
            <w:r>
              <w:t xml:space="preserve">manage difficult situations </w:t>
            </w:r>
          </w:p>
          <w:p w:rsidR="008012A6" w:rsidRDefault="00EE2578">
            <w:pPr>
              <w:numPr>
                <w:ilvl w:val="0"/>
                <w:numId w:val="3"/>
              </w:numPr>
              <w:spacing w:line="245" w:lineRule="auto"/>
              <w:ind w:hanging="283"/>
            </w:pPr>
            <w:r>
              <w:t xml:space="preserve">respond to children’s needs </w:t>
            </w:r>
          </w:p>
          <w:p w:rsidR="008012A6" w:rsidRDefault="00EE2578">
            <w:pPr>
              <w:spacing w:after="96"/>
              <w:ind w:left="2" w:right="32"/>
            </w:pPr>
            <w:r>
              <w:t xml:space="preserve">Improved communication between couples and family members </w:t>
            </w:r>
          </w:p>
          <w:p w:rsidR="008012A6" w:rsidRDefault="00EE2578">
            <w:pPr>
              <w:spacing w:after="96" w:line="241" w:lineRule="auto"/>
              <w:ind w:left="2"/>
            </w:pPr>
            <w:r>
              <w:t xml:space="preserve">Improved parenting confidence and efficacy </w:t>
            </w:r>
          </w:p>
          <w:p w:rsidR="008012A6" w:rsidRDefault="00EE2578">
            <w:pPr>
              <w:ind w:left="2" w:right="24"/>
            </w:pPr>
            <w:r>
              <w:t xml:space="preserve">Increased uptake of support services </w:t>
            </w:r>
          </w:p>
        </w:tc>
        <w:tc>
          <w:tcPr>
            <w:tcW w:w="2582" w:type="dxa"/>
            <w:tcBorders>
              <w:top w:val="single" w:sz="4" w:space="0" w:color="000000"/>
              <w:left w:val="single" w:sz="4" w:space="0" w:color="000000"/>
              <w:bottom w:val="single" w:sz="29" w:space="0" w:color="E7E6E6"/>
              <w:right w:val="nil"/>
            </w:tcBorders>
          </w:tcPr>
          <w:p w:rsidR="008012A6" w:rsidRDefault="00EE2578">
            <w:pPr>
              <w:spacing w:after="120"/>
              <w:ind w:left="2" w:right="85"/>
            </w:pPr>
            <w:r>
              <w:t xml:space="preserve">Positive parenting practices </w:t>
            </w:r>
          </w:p>
          <w:p w:rsidR="008012A6" w:rsidRDefault="00EE2578">
            <w:pPr>
              <w:spacing w:after="118" w:line="243" w:lineRule="auto"/>
              <w:ind w:left="2" w:right="83"/>
            </w:pPr>
            <w:r>
              <w:t xml:space="preserve">Positive adult mental health </w:t>
            </w:r>
          </w:p>
          <w:p w:rsidR="008012A6" w:rsidRDefault="00EE2578">
            <w:pPr>
              <w:spacing w:after="120"/>
              <w:ind w:left="2"/>
            </w:pPr>
            <w:r>
              <w:t xml:space="preserve">Positive parent-child relationships </w:t>
            </w:r>
          </w:p>
          <w:p w:rsidR="008012A6" w:rsidRDefault="00EE2578">
            <w:pPr>
              <w:spacing w:after="120"/>
              <w:ind w:left="2"/>
            </w:pPr>
            <w:r>
              <w:t xml:space="preserve">Positive child health and development </w:t>
            </w:r>
          </w:p>
          <w:p w:rsidR="008012A6" w:rsidRDefault="00EE2578">
            <w:pPr>
              <w:ind w:left="2" w:right="62"/>
            </w:pPr>
            <w:r>
              <w:t xml:space="preserve">Reduced risk of relationship breakdown </w:t>
            </w:r>
          </w:p>
        </w:tc>
      </w:tr>
      <w:tr w:rsidR="008012A6">
        <w:trPr>
          <w:trHeight w:val="3469"/>
        </w:trPr>
        <w:tc>
          <w:tcPr>
            <w:tcW w:w="15170" w:type="dxa"/>
            <w:gridSpan w:val="6"/>
            <w:tcBorders>
              <w:top w:val="single" w:sz="29" w:space="0" w:color="E7E6E6"/>
              <w:left w:val="nil"/>
              <w:bottom w:val="nil"/>
              <w:right w:val="nil"/>
            </w:tcBorders>
            <w:shd w:val="clear" w:color="auto" w:fill="E7E6E6"/>
          </w:tcPr>
          <w:p w:rsidR="008012A6" w:rsidRDefault="00EE2578">
            <w:pPr>
              <w:spacing w:after="69"/>
              <w:ind w:left="2"/>
            </w:pPr>
            <w:r>
              <w:rPr>
                <w:b/>
              </w:rPr>
              <w:lastRenderedPageBreak/>
              <w:t>Theory of change</w:t>
            </w:r>
            <w:r>
              <w:rPr>
                <w:b/>
                <w:vertAlign w:val="superscript"/>
              </w:rPr>
              <w:footnoteReference w:id="1"/>
            </w:r>
            <w:r>
              <w:rPr>
                <w:b/>
              </w:rPr>
              <w:t xml:space="preserve"> </w:t>
            </w:r>
          </w:p>
          <w:p w:rsidR="008012A6" w:rsidRDefault="00EE2578">
            <w:pPr>
              <w:spacing w:after="60"/>
              <w:ind w:left="2"/>
            </w:pPr>
            <w:r>
              <w:t xml:space="preserve">Our counselling, parenting programs and </w:t>
            </w:r>
            <w:proofErr w:type="gramStart"/>
            <w:r>
              <w:t>family dispute resolution services</w:t>
            </w:r>
            <w:proofErr w:type="gramEnd"/>
            <w:r>
              <w:t xml:space="preserve"> will help at-risk families make positive changes in their lives. Based on research evidence, we would expect attending families to make improvements in communication, mental health, </w:t>
            </w:r>
            <w:proofErr w:type="spellStart"/>
            <w:r>
              <w:t>intrafamilial</w:t>
            </w:r>
            <w:proofErr w:type="spellEnd"/>
            <w:r>
              <w:t xml:space="preserve"> relationships and wellbeing. We will also refer our clients (including those in crisis) to other specialised services where additional support </w:t>
            </w:r>
            <w:proofErr w:type="gramStart"/>
            <w:r>
              <w:t>is needed</w:t>
            </w:r>
            <w:proofErr w:type="gramEnd"/>
            <w:r>
              <w:t xml:space="preserve">. This will help to establish new and needed service pathways.  </w:t>
            </w:r>
          </w:p>
          <w:p w:rsidR="008012A6" w:rsidRDefault="00EE2578">
            <w:pPr>
              <w:spacing w:after="60" w:line="241" w:lineRule="auto"/>
              <w:ind w:left="2"/>
            </w:pPr>
            <w:r>
              <w:t xml:space="preserve">During counselling sessions, individuals and couples </w:t>
            </w:r>
            <w:proofErr w:type="gramStart"/>
            <w:r>
              <w:t>will be supported</w:t>
            </w:r>
            <w:proofErr w:type="gramEnd"/>
            <w:r>
              <w:t xml:space="preserve"> to work through their problems and concerns. Counsellors will use established techniques (e.g. cognitive behavioural therapy) and establish strong alliances with their clients to achieve a range of outcomes including improved conflict management, communication skills and mental health (Evans et al., 2012; Hunter &amp; </w:t>
            </w:r>
            <w:proofErr w:type="spellStart"/>
            <w:r>
              <w:t>Commerford</w:t>
            </w:r>
            <w:proofErr w:type="spellEnd"/>
            <w:r>
              <w:t xml:space="preserve">, 2015).  </w:t>
            </w:r>
          </w:p>
          <w:p w:rsidR="008012A6" w:rsidRDefault="00EE2578">
            <w:pPr>
              <w:spacing w:after="60"/>
              <w:ind w:left="2"/>
            </w:pPr>
            <w:r>
              <w:t xml:space="preserve">Relationship and parenting education interventions will promote the use of positive communication, conflict and behaviour management skills, self-regulation and parent responsiveness. These strategies will help participants to improve their relationships, strengthen their parenting capabilities and positively influence their children’s wellbeing (Amato et al., 2011; Hunter &amp; </w:t>
            </w:r>
            <w:proofErr w:type="spellStart"/>
            <w:r>
              <w:t>Commerford</w:t>
            </w:r>
            <w:proofErr w:type="spellEnd"/>
            <w:r>
              <w:t xml:space="preserve">, 2015; Tully, 2009). </w:t>
            </w:r>
          </w:p>
          <w:p w:rsidR="008012A6" w:rsidRDefault="00EE2578">
            <w:pPr>
              <w:spacing w:after="60"/>
              <w:ind w:left="2"/>
            </w:pPr>
            <w:r>
              <w:t xml:space="preserve">Family dispute resolution will help separated couples resolve disputes and negotiate outcomes. As a result, clients will have improved parenting skills, parent-parent relationships and parent-child relationship (Amato et al., 2011; Armstrong, 2010). </w:t>
            </w:r>
          </w:p>
          <w:p w:rsidR="008012A6" w:rsidRDefault="00EE2578">
            <w:pPr>
              <w:ind w:left="2"/>
            </w:pPr>
            <w:r>
              <w:t xml:space="preserve">In addition, our systematic intake and assessment processes will ensure that our services are responsive to individual need, and our referral system will help clients access other specialised services when required. </w:t>
            </w:r>
          </w:p>
        </w:tc>
      </w:tr>
    </w:tbl>
    <w:p w:rsidR="008012A6" w:rsidRDefault="00EE2578">
      <w:pPr>
        <w:ind w:left="2880"/>
      </w:pPr>
      <w:r>
        <w:rPr>
          <w:rFonts w:ascii="Times New Roman" w:eastAsia="Times New Roman" w:hAnsi="Times New Roman" w:cs="Times New Roman"/>
          <w:sz w:val="24"/>
        </w:rPr>
        <w:t xml:space="preserve"> </w:t>
      </w:r>
    </w:p>
    <w:sectPr w:rsidR="008012A6">
      <w:footnotePr>
        <w:numRestart w:val="eachPage"/>
      </w:footnotePr>
      <w:pgSz w:w="16841" w:h="11899" w:orient="landscape"/>
      <w:pgMar w:top="1440" w:right="1138" w:bottom="10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A8" w:rsidRDefault="00EE2578">
      <w:pPr>
        <w:spacing w:line="240" w:lineRule="auto"/>
      </w:pPr>
      <w:r>
        <w:separator/>
      </w:r>
    </w:p>
  </w:endnote>
  <w:endnote w:type="continuationSeparator" w:id="0">
    <w:p w:rsidR="001806A8" w:rsidRDefault="00EE2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A6" w:rsidRDefault="00EE2578">
      <w:pPr>
        <w:ind w:left="0"/>
      </w:pPr>
      <w:r>
        <w:separator/>
      </w:r>
    </w:p>
  </w:footnote>
  <w:footnote w:type="continuationSeparator" w:id="0">
    <w:p w:rsidR="008012A6" w:rsidRDefault="00EE2578">
      <w:pPr>
        <w:ind w:left="0"/>
      </w:pPr>
      <w:r>
        <w:continuationSeparator/>
      </w:r>
    </w:p>
  </w:footnote>
  <w:footnote w:id="1">
    <w:p w:rsidR="008012A6" w:rsidRDefault="00EE2578">
      <w:pPr>
        <w:pStyle w:val="footnotedescription"/>
      </w:pPr>
      <w:r>
        <w:rPr>
          <w:rStyle w:val="footnotemark"/>
        </w:rPr>
        <w:footnoteRef/>
      </w:r>
      <w:r>
        <w:t xml:space="preserve"> This theory of change assumes that the program activities </w:t>
      </w:r>
      <w:proofErr w:type="gramStart"/>
      <w:r>
        <w:t>are informed</w:t>
      </w:r>
      <w:proofErr w:type="gramEnd"/>
      <w:r>
        <w:t xml:space="preserve"> by evidence about how to support the target group/s and achieve the desired program outcomes.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C49"/>
    <w:multiLevelType w:val="hybridMultilevel"/>
    <w:tmpl w:val="1C0E8660"/>
    <w:lvl w:ilvl="0" w:tplc="8880FD94">
      <w:start w:val="1"/>
      <w:numFmt w:val="bullet"/>
      <w:lvlText w:val="•"/>
      <w:lvlJc w:val="left"/>
      <w:pPr>
        <w:ind w:left="38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D9E4868A">
      <w:start w:val="1"/>
      <w:numFmt w:val="bullet"/>
      <w:lvlText w:val="o"/>
      <w:lvlJc w:val="left"/>
      <w:pPr>
        <w:ind w:left="129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2" w:tplc="D41277AE">
      <w:start w:val="1"/>
      <w:numFmt w:val="bullet"/>
      <w:lvlText w:val="▪"/>
      <w:lvlJc w:val="left"/>
      <w:pPr>
        <w:ind w:left="201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3" w:tplc="AC663854">
      <w:start w:val="1"/>
      <w:numFmt w:val="bullet"/>
      <w:lvlText w:val="•"/>
      <w:lvlJc w:val="left"/>
      <w:pPr>
        <w:ind w:left="273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6A06E206">
      <w:start w:val="1"/>
      <w:numFmt w:val="bullet"/>
      <w:lvlText w:val="o"/>
      <w:lvlJc w:val="left"/>
      <w:pPr>
        <w:ind w:left="345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5" w:tplc="C3EE267E">
      <w:start w:val="1"/>
      <w:numFmt w:val="bullet"/>
      <w:lvlText w:val="▪"/>
      <w:lvlJc w:val="left"/>
      <w:pPr>
        <w:ind w:left="417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6" w:tplc="00784D16">
      <w:start w:val="1"/>
      <w:numFmt w:val="bullet"/>
      <w:lvlText w:val="•"/>
      <w:lvlJc w:val="left"/>
      <w:pPr>
        <w:ind w:left="489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CE38B5BC">
      <w:start w:val="1"/>
      <w:numFmt w:val="bullet"/>
      <w:lvlText w:val="o"/>
      <w:lvlJc w:val="left"/>
      <w:pPr>
        <w:ind w:left="561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8" w:tplc="A19A20E8">
      <w:start w:val="1"/>
      <w:numFmt w:val="bullet"/>
      <w:lvlText w:val="▪"/>
      <w:lvlJc w:val="left"/>
      <w:pPr>
        <w:ind w:left="633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abstractNum>
  <w:abstractNum w:abstractNumId="1" w15:restartNumberingAfterBreak="0">
    <w:nsid w:val="0A5F090B"/>
    <w:multiLevelType w:val="hybridMultilevel"/>
    <w:tmpl w:val="5BE86EDE"/>
    <w:lvl w:ilvl="0" w:tplc="D5604A26">
      <w:start w:val="1"/>
      <w:numFmt w:val="bullet"/>
      <w:lvlText w:val="•"/>
      <w:lvlJc w:val="left"/>
      <w:pPr>
        <w:ind w:left="38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EF763C9C">
      <w:start w:val="1"/>
      <w:numFmt w:val="bullet"/>
      <w:lvlText w:val="o"/>
      <w:lvlJc w:val="left"/>
      <w:pPr>
        <w:ind w:left="129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2" w:tplc="B0FC257C">
      <w:start w:val="1"/>
      <w:numFmt w:val="bullet"/>
      <w:lvlText w:val="▪"/>
      <w:lvlJc w:val="left"/>
      <w:pPr>
        <w:ind w:left="201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3" w:tplc="55484304">
      <w:start w:val="1"/>
      <w:numFmt w:val="bullet"/>
      <w:lvlText w:val="•"/>
      <w:lvlJc w:val="left"/>
      <w:pPr>
        <w:ind w:left="273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57688DF8">
      <w:start w:val="1"/>
      <w:numFmt w:val="bullet"/>
      <w:lvlText w:val="o"/>
      <w:lvlJc w:val="left"/>
      <w:pPr>
        <w:ind w:left="345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5" w:tplc="C60EB5F0">
      <w:start w:val="1"/>
      <w:numFmt w:val="bullet"/>
      <w:lvlText w:val="▪"/>
      <w:lvlJc w:val="left"/>
      <w:pPr>
        <w:ind w:left="417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6" w:tplc="5FEEAC44">
      <w:start w:val="1"/>
      <w:numFmt w:val="bullet"/>
      <w:lvlText w:val="•"/>
      <w:lvlJc w:val="left"/>
      <w:pPr>
        <w:ind w:left="489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6156B876">
      <w:start w:val="1"/>
      <w:numFmt w:val="bullet"/>
      <w:lvlText w:val="o"/>
      <w:lvlJc w:val="left"/>
      <w:pPr>
        <w:ind w:left="561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8" w:tplc="04BC044C">
      <w:start w:val="1"/>
      <w:numFmt w:val="bullet"/>
      <w:lvlText w:val="▪"/>
      <w:lvlJc w:val="left"/>
      <w:pPr>
        <w:ind w:left="633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abstractNum>
  <w:abstractNum w:abstractNumId="2" w15:restartNumberingAfterBreak="0">
    <w:nsid w:val="49D54096"/>
    <w:multiLevelType w:val="hybridMultilevel"/>
    <w:tmpl w:val="1AF8DBEA"/>
    <w:lvl w:ilvl="0" w:tplc="1C52FA26">
      <w:start w:val="1"/>
      <w:numFmt w:val="bullet"/>
      <w:lvlText w:val="•"/>
      <w:lvlJc w:val="left"/>
      <w:pPr>
        <w:ind w:left="38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33546D6A">
      <w:start w:val="1"/>
      <w:numFmt w:val="bullet"/>
      <w:lvlText w:val="o"/>
      <w:lvlJc w:val="left"/>
      <w:pPr>
        <w:ind w:left="129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2" w:tplc="FD6CA828">
      <w:start w:val="1"/>
      <w:numFmt w:val="bullet"/>
      <w:lvlText w:val="▪"/>
      <w:lvlJc w:val="left"/>
      <w:pPr>
        <w:ind w:left="201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3" w:tplc="6F2A1DDE">
      <w:start w:val="1"/>
      <w:numFmt w:val="bullet"/>
      <w:lvlText w:val="•"/>
      <w:lvlJc w:val="left"/>
      <w:pPr>
        <w:ind w:left="273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4E487692">
      <w:start w:val="1"/>
      <w:numFmt w:val="bullet"/>
      <w:lvlText w:val="o"/>
      <w:lvlJc w:val="left"/>
      <w:pPr>
        <w:ind w:left="345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5" w:tplc="5FD2610E">
      <w:start w:val="1"/>
      <w:numFmt w:val="bullet"/>
      <w:lvlText w:val="▪"/>
      <w:lvlJc w:val="left"/>
      <w:pPr>
        <w:ind w:left="417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6" w:tplc="F1CA9A9C">
      <w:start w:val="1"/>
      <w:numFmt w:val="bullet"/>
      <w:lvlText w:val="•"/>
      <w:lvlJc w:val="left"/>
      <w:pPr>
        <w:ind w:left="4891"/>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C2D021F6">
      <w:start w:val="1"/>
      <w:numFmt w:val="bullet"/>
      <w:lvlText w:val="o"/>
      <w:lvlJc w:val="left"/>
      <w:pPr>
        <w:ind w:left="561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lvl w:ilvl="8" w:tplc="65CA912E">
      <w:start w:val="1"/>
      <w:numFmt w:val="bullet"/>
      <w:lvlText w:val="▪"/>
      <w:lvlJc w:val="left"/>
      <w:pPr>
        <w:ind w:left="6331"/>
      </w:pPr>
      <w:rPr>
        <w:rFonts w:ascii="Segoe UI Symbol" w:eastAsia="Segoe UI Symbol" w:hAnsi="Segoe UI Symbol" w:cs="Segoe UI Symbol"/>
        <w:b w:val="0"/>
        <w:i w:val="0"/>
        <w:strike w:val="0"/>
        <w:dstrike w:val="0"/>
        <w:color w:val="0070C0"/>
        <w:sz w:val="19"/>
        <w:szCs w:val="19"/>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A6"/>
    <w:rsid w:val="001806A8"/>
    <w:rsid w:val="008012A6"/>
    <w:rsid w:val="00D72699"/>
    <w:rsid w:val="00EE2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45CE"/>
  <w15:docId w15:val="{E806C343-68B7-49D9-B160-BDEF48D2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15"/>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3560</Characters>
  <Application>Microsoft Office Word</Application>
  <DocSecurity>0</DocSecurity>
  <Lines>98</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cp:lastModifiedBy>KEARNEY, Melissa</cp:lastModifiedBy>
  <cp:revision>2</cp:revision>
  <dcterms:created xsi:type="dcterms:W3CDTF">2021-11-17T00:06:00Z</dcterms:created>
  <dcterms:modified xsi:type="dcterms:W3CDTF">2021-11-17T00:06:00Z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68F310D8FA644EC9BA71E30B26163FC8</vt:lpwstr>
  </property>
  <property fmtid="{D5CDD505-2E9C-101B-9397-08002B2CF9AE}" pid="9" name="PM_ProtectiveMarkingValue_Footer">
    <vt:lpwstr>OFFICIAL</vt:lpwstr>
  </property>
  <property fmtid="{D5CDD505-2E9C-101B-9397-08002B2CF9AE}" pid="10" name="PM_Originator_Hash_SHA1">
    <vt:lpwstr>1E20D2CA9C9C1643A4E0BE831969E67049471D96</vt:lpwstr>
  </property>
  <property fmtid="{D5CDD505-2E9C-101B-9397-08002B2CF9AE}" pid="11" name="PM_OriginationTimeStamp">
    <vt:lpwstr>2021-11-17T00:06:23Z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0A6E84E55F1C86CF616DE5C90FDE93BD</vt:lpwstr>
  </property>
  <property fmtid="{D5CDD505-2E9C-101B-9397-08002B2CF9AE}" pid="20" name="PM_Hash_Salt">
    <vt:lpwstr>ED25A5DE12BEF6B7D1B987198EFB4185</vt:lpwstr>
  </property>
  <property fmtid="{D5CDD505-2E9C-101B-9397-08002B2CF9AE}" pid="21" name="PM_Hash_SHA1">
    <vt:lpwstr>AC5485C421F0283F5F9385ECBE80F328BC85E4DA</vt:lpwstr>
  </property>
  <property fmtid="{D5CDD505-2E9C-101B-9397-08002B2CF9AE}" pid="22" name="PM_SecurityClassification_Prev">
    <vt:lpwstr>OFFICIAL</vt:lpwstr>
  </property>
  <property fmtid="{D5CDD505-2E9C-101B-9397-08002B2CF9AE}" pid="23" name="PM_Qualifier_Prev">
    <vt:lpwstr/>
  </property>
</Properties>
</file>