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18F" w:rsidRDefault="00D63012" w:rsidP="00D63012">
      <w:pPr>
        <w:spacing w:after="166"/>
        <w:ind w:left="0"/>
      </w:pPr>
      <w:bookmarkStart w:id="0" w:name="_GoBack"/>
      <w:r>
        <w:rPr>
          <w:b/>
          <w:color w:val="00739B"/>
          <w:sz w:val="44"/>
        </w:rPr>
        <w:t xml:space="preserve"> Families and Children program logic example – single service </w:t>
      </w:r>
    </w:p>
    <w:bookmarkEnd w:id="0"/>
    <w:p w:rsidR="00DB418F" w:rsidRDefault="00D63012">
      <w:pPr>
        <w:pBdr>
          <w:bottom w:val="single" w:sz="4" w:space="0" w:color="000000"/>
        </w:pBdr>
        <w:shd w:val="clear" w:color="auto" w:fill="E7E6E6"/>
        <w:spacing w:after="130" w:line="243" w:lineRule="auto"/>
      </w:pPr>
      <w:r>
        <w:rPr>
          <w:b/>
        </w:rPr>
        <w:t xml:space="preserve">Objective/s: </w:t>
      </w:r>
      <w:r>
        <w:t xml:space="preserve">This parenting program provides parents/carers with strategies and tools to support their children’s social and emotional development leading to better school transitions.  </w:t>
      </w:r>
    </w:p>
    <w:p w:rsidR="00DB418F" w:rsidRDefault="00AC0A88">
      <w:r>
        <w:rPr>
          <w:b/>
        </w:rPr>
        <w:t>Needs Statement</w:t>
      </w:r>
      <w:r w:rsidR="00D63012">
        <w:rPr>
          <w:b/>
        </w:rPr>
        <w:t>:</w:t>
      </w:r>
      <w:r w:rsidR="00D63012">
        <w:t xml:space="preserve"> The number of pre-school aged children with social-emotional difficulties in the community has steadily increased over the past three years (AEDC, 2018). High numbers of families in the area are also facing multiple complex social issues (ABS, 2016). Risk factors associated with social-emotional delay in children include parents experiencing financial stress, mental health difficulties and substance abuse, and histories of trauma and family violence (Tully, 2020). This program will target parents experiencing one or more risk factors as research shows that early intervention involving parent education can enhance children’s social-emotional development before they enter school (Sartore et al., 2016).</w:t>
      </w:r>
      <w:r w:rsidR="00D63012">
        <w:rPr>
          <w:sz w:val="20"/>
        </w:rPr>
        <w:t xml:space="preserve"> </w:t>
      </w:r>
    </w:p>
    <w:tbl>
      <w:tblPr>
        <w:tblStyle w:val="TableGrid"/>
        <w:tblW w:w="15170" w:type="dxa"/>
        <w:tblInd w:w="0" w:type="dxa"/>
        <w:tblCellMar>
          <w:top w:w="76" w:type="dxa"/>
          <w:left w:w="113" w:type="dxa"/>
          <w:right w:w="58" w:type="dxa"/>
        </w:tblCellMar>
        <w:tblLook w:val="04A0" w:firstRow="1" w:lastRow="0" w:firstColumn="1" w:lastColumn="0" w:noHBand="0" w:noVBand="1"/>
      </w:tblPr>
      <w:tblGrid>
        <w:gridCol w:w="2552"/>
        <w:gridCol w:w="2381"/>
        <w:gridCol w:w="2551"/>
        <w:gridCol w:w="2552"/>
        <w:gridCol w:w="2552"/>
        <w:gridCol w:w="2582"/>
      </w:tblGrid>
      <w:tr w:rsidR="00DB418F">
        <w:trPr>
          <w:trHeight w:val="713"/>
        </w:trPr>
        <w:tc>
          <w:tcPr>
            <w:tcW w:w="2552" w:type="dxa"/>
            <w:tcBorders>
              <w:top w:val="single" w:sz="4" w:space="0" w:color="000000"/>
              <w:left w:val="nil"/>
              <w:bottom w:val="single" w:sz="4" w:space="0" w:color="000000"/>
              <w:right w:val="single" w:sz="4" w:space="0" w:color="000000"/>
            </w:tcBorders>
            <w:vAlign w:val="bottom"/>
          </w:tcPr>
          <w:p w:rsidR="00DB418F" w:rsidRDefault="00D63012">
            <w:pPr>
              <w:ind w:left="0" w:right="79"/>
              <w:jc w:val="right"/>
            </w:pPr>
            <w:r>
              <w:rPr>
                <w:noProof/>
              </w:rPr>
              <w:drawing>
                <wp:inline distT="0" distB="0" distL="0" distR="0">
                  <wp:extent cx="1361948" cy="387350"/>
                  <wp:effectExtent l="0" t="0" r="0" b="0"/>
                  <wp:docPr id="419" name="Picture 419"/>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7"/>
                          <a:stretch>
                            <a:fillRect/>
                          </a:stretch>
                        </pic:blipFill>
                        <pic:spPr>
                          <a:xfrm>
                            <a:off x="0" y="0"/>
                            <a:ext cx="1361948" cy="387350"/>
                          </a:xfrm>
                          <a:prstGeom prst="rect">
                            <a:avLst/>
                          </a:prstGeom>
                        </pic:spPr>
                      </pic:pic>
                    </a:graphicData>
                  </a:graphic>
                </wp:inline>
              </w:drawing>
            </w:r>
            <w:r>
              <w:rPr>
                <w:b/>
                <w:sz w:val="24"/>
              </w:rPr>
              <w:t xml:space="preserve"> </w:t>
            </w:r>
          </w:p>
        </w:tc>
        <w:tc>
          <w:tcPr>
            <w:tcW w:w="2381" w:type="dxa"/>
            <w:tcBorders>
              <w:top w:val="single" w:sz="4" w:space="0" w:color="000000"/>
              <w:left w:val="single" w:sz="4" w:space="0" w:color="000000"/>
              <w:bottom w:val="single" w:sz="4" w:space="0" w:color="000000"/>
              <w:right w:val="single" w:sz="4" w:space="0" w:color="000000"/>
            </w:tcBorders>
            <w:vAlign w:val="bottom"/>
          </w:tcPr>
          <w:p w:rsidR="00DB418F" w:rsidRDefault="00D63012">
            <w:pPr>
              <w:ind w:left="0"/>
              <w:jc w:val="right"/>
            </w:pPr>
            <w:r>
              <w:rPr>
                <w:noProof/>
              </w:rPr>
              <w:drawing>
                <wp:inline distT="0" distB="0" distL="0" distR="0">
                  <wp:extent cx="1355217" cy="385445"/>
                  <wp:effectExtent l="0" t="0" r="0" b="0"/>
                  <wp:docPr id="421"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8"/>
                          <a:stretch>
                            <a:fillRect/>
                          </a:stretch>
                        </pic:blipFill>
                        <pic:spPr>
                          <a:xfrm>
                            <a:off x="0" y="0"/>
                            <a:ext cx="1355217" cy="385445"/>
                          </a:xfrm>
                          <a:prstGeom prst="rect">
                            <a:avLst/>
                          </a:prstGeom>
                        </pic:spPr>
                      </pic:pic>
                    </a:graphicData>
                  </a:graphic>
                </wp:inline>
              </w:drawing>
            </w:r>
            <w:r>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rsidR="00DB418F" w:rsidRDefault="00D63012">
            <w:pPr>
              <w:ind w:left="0" w:right="79"/>
              <w:jc w:val="right"/>
            </w:pPr>
            <w:r>
              <w:rPr>
                <w:noProof/>
              </w:rPr>
              <w:drawing>
                <wp:inline distT="0" distB="0" distL="0" distR="0">
                  <wp:extent cx="1361948" cy="387350"/>
                  <wp:effectExtent l="0" t="0" r="0" b="0"/>
                  <wp:docPr id="423" name="Picture 423"/>
                  <wp:cNvGraphicFramePr/>
                  <a:graphic xmlns:a="http://schemas.openxmlformats.org/drawingml/2006/main">
                    <a:graphicData uri="http://schemas.openxmlformats.org/drawingml/2006/picture">
                      <pic:pic xmlns:pic="http://schemas.openxmlformats.org/drawingml/2006/picture">
                        <pic:nvPicPr>
                          <pic:cNvPr id="423" name="Picture 423"/>
                          <pic:cNvPicPr/>
                        </pic:nvPicPr>
                        <pic:blipFill>
                          <a:blip r:embed="rId9"/>
                          <a:stretch>
                            <a:fillRect/>
                          </a:stretch>
                        </pic:blipFill>
                        <pic:spPr>
                          <a:xfrm>
                            <a:off x="0" y="0"/>
                            <a:ext cx="1361948" cy="387350"/>
                          </a:xfrm>
                          <a:prstGeom prst="rect">
                            <a:avLst/>
                          </a:prstGeom>
                        </pic:spPr>
                      </pic:pic>
                    </a:graphicData>
                  </a:graphic>
                </wp:inline>
              </w:drawing>
            </w:r>
            <w:r>
              <w:rPr>
                <w:b/>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bottom"/>
          </w:tcPr>
          <w:p w:rsidR="00DB418F" w:rsidRDefault="00D63012">
            <w:pPr>
              <w:ind w:left="0" w:right="72"/>
              <w:jc w:val="right"/>
            </w:pPr>
            <w:r>
              <w:rPr>
                <w:noProof/>
              </w:rPr>
              <w:drawing>
                <wp:inline distT="0" distB="0" distL="0" distR="0">
                  <wp:extent cx="1368679" cy="389255"/>
                  <wp:effectExtent l="0" t="0" r="0" b="0"/>
                  <wp:docPr id="425" name="Picture 425"/>
                  <wp:cNvGraphicFramePr/>
                  <a:graphic xmlns:a="http://schemas.openxmlformats.org/drawingml/2006/main">
                    <a:graphicData uri="http://schemas.openxmlformats.org/drawingml/2006/picture">
                      <pic:pic xmlns:pic="http://schemas.openxmlformats.org/drawingml/2006/picture">
                        <pic:nvPicPr>
                          <pic:cNvPr id="425" name="Picture 425"/>
                          <pic:cNvPicPr/>
                        </pic:nvPicPr>
                        <pic:blipFill>
                          <a:blip r:embed="rId10"/>
                          <a:stretch>
                            <a:fillRect/>
                          </a:stretch>
                        </pic:blipFill>
                        <pic:spPr>
                          <a:xfrm>
                            <a:off x="0" y="0"/>
                            <a:ext cx="1368679" cy="389255"/>
                          </a:xfrm>
                          <a:prstGeom prst="rect">
                            <a:avLst/>
                          </a:prstGeom>
                        </pic:spPr>
                      </pic:pic>
                    </a:graphicData>
                  </a:graphic>
                </wp:inline>
              </w:drawing>
            </w:r>
            <w:r>
              <w:rPr>
                <w:b/>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bottom"/>
          </w:tcPr>
          <w:p w:rsidR="00DB418F" w:rsidRDefault="00D63012">
            <w:pPr>
              <w:ind w:left="0" w:right="151"/>
              <w:jc w:val="right"/>
            </w:pPr>
            <w:r>
              <w:rPr>
                <w:noProof/>
              </w:rPr>
              <w:drawing>
                <wp:inline distT="0" distB="0" distL="0" distR="0">
                  <wp:extent cx="1368679" cy="389255"/>
                  <wp:effectExtent l="0" t="0" r="0" b="0"/>
                  <wp:docPr id="427" name="Picture 427"/>
                  <wp:cNvGraphicFramePr/>
                  <a:graphic xmlns:a="http://schemas.openxmlformats.org/drawingml/2006/main">
                    <a:graphicData uri="http://schemas.openxmlformats.org/drawingml/2006/picture">
                      <pic:pic xmlns:pic="http://schemas.openxmlformats.org/drawingml/2006/picture">
                        <pic:nvPicPr>
                          <pic:cNvPr id="427" name="Picture 427"/>
                          <pic:cNvPicPr/>
                        </pic:nvPicPr>
                        <pic:blipFill>
                          <a:blip r:embed="rId11"/>
                          <a:stretch>
                            <a:fillRect/>
                          </a:stretch>
                        </pic:blipFill>
                        <pic:spPr>
                          <a:xfrm>
                            <a:off x="0" y="0"/>
                            <a:ext cx="1368679" cy="389255"/>
                          </a:xfrm>
                          <a:prstGeom prst="rect">
                            <a:avLst/>
                          </a:prstGeom>
                        </pic:spPr>
                      </pic:pic>
                    </a:graphicData>
                  </a:graphic>
                </wp:inline>
              </w:drawing>
            </w:r>
            <w:r>
              <w:rPr>
                <w:b/>
                <w:sz w:val="24"/>
              </w:rPr>
              <w:t xml:space="preserve"> </w:t>
            </w:r>
          </w:p>
        </w:tc>
        <w:tc>
          <w:tcPr>
            <w:tcW w:w="2582" w:type="dxa"/>
            <w:tcBorders>
              <w:top w:val="single" w:sz="4" w:space="0" w:color="000000"/>
              <w:left w:val="single" w:sz="4" w:space="0" w:color="000000"/>
              <w:bottom w:val="single" w:sz="4" w:space="0" w:color="000000"/>
              <w:right w:val="nil"/>
            </w:tcBorders>
            <w:vAlign w:val="bottom"/>
          </w:tcPr>
          <w:p w:rsidR="00DB418F" w:rsidRDefault="00D63012">
            <w:pPr>
              <w:ind w:left="0" w:right="101"/>
              <w:jc w:val="right"/>
            </w:pPr>
            <w:r>
              <w:rPr>
                <w:noProof/>
              </w:rPr>
              <w:drawing>
                <wp:inline distT="0" distB="0" distL="0" distR="0">
                  <wp:extent cx="1375410" cy="391160"/>
                  <wp:effectExtent l="0" t="0" r="0" b="0"/>
                  <wp:docPr id="429" name="Picture 429"/>
                  <wp:cNvGraphicFramePr/>
                  <a:graphic xmlns:a="http://schemas.openxmlformats.org/drawingml/2006/main">
                    <a:graphicData uri="http://schemas.openxmlformats.org/drawingml/2006/picture">
                      <pic:pic xmlns:pic="http://schemas.openxmlformats.org/drawingml/2006/picture">
                        <pic:nvPicPr>
                          <pic:cNvPr id="429" name="Picture 429"/>
                          <pic:cNvPicPr/>
                        </pic:nvPicPr>
                        <pic:blipFill>
                          <a:blip r:embed="rId12"/>
                          <a:stretch>
                            <a:fillRect/>
                          </a:stretch>
                        </pic:blipFill>
                        <pic:spPr>
                          <a:xfrm>
                            <a:off x="0" y="0"/>
                            <a:ext cx="1375410" cy="391160"/>
                          </a:xfrm>
                          <a:prstGeom prst="rect">
                            <a:avLst/>
                          </a:prstGeom>
                        </pic:spPr>
                      </pic:pic>
                    </a:graphicData>
                  </a:graphic>
                </wp:inline>
              </w:drawing>
            </w:r>
            <w:r>
              <w:rPr>
                <w:b/>
                <w:sz w:val="24"/>
              </w:rPr>
              <w:t xml:space="preserve"> </w:t>
            </w:r>
          </w:p>
        </w:tc>
      </w:tr>
      <w:tr w:rsidR="00DB418F">
        <w:trPr>
          <w:trHeight w:val="5172"/>
        </w:trPr>
        <w:tc>
          <w:tcPr>
            <w:tcW w:w="2552" w:type="dxa"/>
            <w:tcBorders>
              <w:top w:val="single" w:sz="4" w:space="0" w:color="000000"/>
              <w:left w:val="nil"/>
              <w:bottom w:val="single" w:sz="4" w:space="0" w:color="000000"/>
              <w:right w:val="single" w:sz="4" w:space="0" w:color="000000"/>
            </w:tcBorders>
          </w:tcPr>
          <w:p w:rsidR="00DB418F" w:rsidRDefault="00D63012">
            <w:pPr>
              <w:spacing w:after="105"/>
              <w:ind w:left="2"/>
            </w:pPr>
            <w:r>
              <w:t xml:space="preserve">Funding  </w:t>
            </w:r>
          </w:p>
          <w:p w:rsidR="00DB418F" w:rsidRDefault="00D63012">
            <w:pPr>
              <w:spacing w:after="103"/>
              <w:ind w:left="2"/>
            </w:pPr>
            <w:r>
              <w:t xml:space="preserve">Partner organisations  </w:t>
            </w:r>
          </w:p>
          <w:p w:rsidR="00DB418F" w:rsidRDefault="00D63012">
            <w:pPr>
              <w:spacing w:after="120" w:line="243" w:lineRule="auto"/>
              <w:ind w:left="2"/>
            </w:pPr>
            <w:r>
              <w:t xml:space="preserve">Qualified and experienced staff and managers </w:t>
            </w:r>
          </w:p>
          <w:p w:rsidR="00DB418F" w:rsidRDefault="00D63012">
            <w:pPr>
              <w:spacing w:after="103"/>
              <w:ind w:left="2"/>
            </w:pPr>
            <w:r>
              <w:t xml:space="preserve">Childcare workers </w:t>
            </w:r>
          </w:p>
          <w:p w:rsidR="00DB418F" w:rsidRDefault="00D63012">
            <w:pPr>
              <w:spacing w:after="120" w:line="243" w:lineRule="auto"/>
              <w:ind w:left="2"/>
            </w:pPr>
            <w:r>
              <w:t xml:space="preserve">Research and evidence about what works </w:t>
            </w:r>
          </w:p>
          <w:p w:rsidR="00DB418F" w:rsidRDefault="00D63012">
            <w:pPr>
              <w:spacing w:after="105"/>
              <w:ind w:left="2"/>
            </w:pPr>
            <w:r>
              <w:t xml:space="preserve">Venue </w:t>
            </w:r>
          </w:p>
          <w:p w:rsidR="00DB418F" w:rsidRDefault="00D63012">
            <w:pPr>
              <w:ind w:left="2"/>
            </w:pPr>
            <w:r>
              <w:t xml:space="preserve">Childcare facilities </w:t>
            </w:r>
          </w:p>
        </w:tc>
        <w:tc>
          <w:tcPr>
            <w:tcW w:w="2381" w:type="dxa"/>
            <w:tcBorders>
              <w:top w:val="single" w:sz="4" w:space="0" w:color="000000"/>
              <w:left w:val="single" w:sz="4" w:space="0" w:color="000000"/>
              <w:bottom w:val="single" w:sz="4" w:space="0" w:color="000000"/>
              <w:right w:val="single" w:sz="4" w:space="0" w:color="000000"/>
            </w:tcBorders>
          </w:tcPr>
          <w:p w:rsidR="00DB418F" w:rsidRDefault="00D63012">
            <w:pPr>
              <w:spacing w:after="12" w:line="243" w:lineRule="auto"/>
              <w:ind w:left="2"/>
            </w:pPr>
            <w:r>
              <w:t xml:space="preserve">Weekly parent education sessions about: </w:t>
            </w:r>
          </w:p>
          <w:p w:rsidR="00DB418F" w:rsidRDefault="00D63012">
            <w:pPr>
              <w:numPr>
                <w:ilvl w:val="0"/>
                <w:numId w:val="1"/>
              </w:numPr>
              <w:spacing w:after="1"/>
              <w:ind w:left="383" w:hanging="283"/>
            </w:pPr>
            <w:r>
              <w:t xml:space="preserve">Child development  </w:t>
            </w:r>
          </w:p>
          <w:p w:rsidR="00DB418F" w:rsidRDefault="00D63012">
            <w:pPr>
              <w:numPr>
                <w:ilvl w:val="0"/>
                <w:numId w:val="1"/>
              </w:numPr>
              <w:ind w:left="383" w:hanging="283"/>
            </w:pPr>
            <w:r>
              <w:t xml:space="preserve">Parenting styles </w:t>
            </w:r>
          </w:p>
          <w:p w:rsidR="00DB418F" w:rsidRDefault="00D63012">
            <w:pPr>
              <w:numPr>
                <w:ilvl w:val="0"/>
                <w:numId w:val="1"/>
              </w:numPr>
              <w:spacing w:after="49" w:line="245" w:lineRule="auto"/>
              <w:ind w:left="383" w:hanging="283"/>
            </w:pPr>
            <w:r>
              <w:t xml:space="preserve">Ideas for play and interaction </w:t>
            </w:r>
          </w:p>
          <w:p w:rsidR="00DB418F" w:rsidRDefault="00D63012">
            <w:pPr>
              <w:numPr>
                <w:ilvl w:val="0"/>
                <w:numId w:val="1"/>
              </w:numPr>
              <w:ind w:left="383" w:hanging="283"/>
            </w:pPr>
            <w:r>
              <w:t xml:space="preserve">Emotion regulation </w:t>
            </w:r>
          </w:p>
          <w:p w:rsidR="00DB418F" w:rsidRDefault="00D63012">
            <w:pPr>
              <w:numPr>
                <w:ilvl w:val="0"/>
                <w:numId w:val="1"/>
              </w:numPr>
              <w:spacing w:after="47" w:line="248" w:lineRule="auto"/>
              <w:ind w:left="383" w:hanging="283"/>
            </w:pPr>
            <w:r>
              <w:t xml:space="preserve">Managing difficult situations </w:t>
            </w:r>
          </w:p>
          <w:p w:rsidR="00DB418F" w:rsidRDefault="00D63012">
            <w:pPr>
              <w:numPr>
                <w:ilvl w:val="0"/>
                <w:numId w:val="1"/>
              </w:numPr>
              <w:spacing w:after="1"/>
              <w:ind w:left="383" w:hanging="283"/>
            </w:pPr>
            <w:r>
              <w:t xml:space="preserve">Self-care </w:t>
            </w:r>
          </w:p>
          <w:p w:rsidR="00DB418F" w:rsidRDefault="00D63012">
            <w:pPr>
              <w:numPr>
                <w:ilvl w:val="0"/>
                <w:numId w:val="1"/>
              </w:numPr>
              <w:ind w:left="383" w:hanging="283"/>
            </w:pPr>
            <w:r>
              <w:t xml:space="preserve">Support systems </w:t>
            </w:r>
          </w:p>
          <w:p w:rsidR="00DB418F" w:rsidRDefault="00D63012">
            <w:pPr>
              <w:ind w:left="2"/>
            </w:pPr>
            <w:r>
              <w:t xml:space="preserve"> </w:t>
            </w:r>
          </w:p>
          <w:p w:rsidR="00DB418F" w:rsidRDefault="00D63012">
            <w:pPr>
              <w:spacing w:after="103"/>
              <w:ind w:left="2"/>
            </w:pPr>
            <w:r>
              <w:t xml:space="preserve">Role modelling </w:t>
            </w:r>
          </w:p>
          <w:p w:rsidR="00DB418F" w:rsidRDefault="00D63012">
            <w:pPr>
              <w:spacing w:after="105"/>
              <w:ind w:left="2"/>
            </w:pPr>
            <w:r>
              <w:t xml:space="preserve">Homework activities  </w:t>
            </w:r>
          </w:p>
          <w:p w:rsidR="00DB418F" w:rsidRDefault="00D63012">
            <w:pPr>
              <w:spacing w:after="105"/>
              <w:ind w:left="2"/>
            </w:pPr>
            <w:r>
              <w:t xml:space="preserve">Social networking </w:t>
            </w:r>
          </w:p>
          <w:p w:rsidR="00DB418F" w:rsidRDefault="00D63012">
            <w:pPr>
              <w:ind w:left="2"/>
            </w:pPr>
            <w:r>
              <w:t xml:space="preserve">Referral </w:t>
            </w:r>
          </w:p>
        </w:tc>
        <w:tc>
          <w:tcPr>
            <w:tcW w:w="2551" w:type="dxa"/>
            <w:tcBorders>
              <w:top w:val="single" w:sz="4" w:space="0" w:color="000000"/>
              <w:left w:val="single" w:sz="4" w:space="0" w:color="000000"/>
              <w:bottom w:val="single" w:sz="4" w:space="0" w:color="000000"/>
              <w:right w:val="single" w:sz="4" w:space="0" w:color="000000"/>
            </w:tcBorders>
          </w:tcPr>
          <w:p w:rsidR="00DB418F" w:rsidRDefault="00D63012">
            <w:pPr>
              <w:spacing w:after="101" w:line="264" w:lineRule="auto"/>
              <w:ind w:left="2" w:right="192"/>
            </w:pPr>
            <w:r>
              <w:t xml:space="preserve">Number of parents/carers who are experiencing one or more risk factors such as financial stress, mental health difficulties or substance abuse  and  </w:t>
            </w:r>
          </w:p>
          <w:p w:rsidR="00DB418F" w:rsidRDefault="00D63012">
            <w:pPr>
              <w:spacing w:after="117" w:line="243" w:lineRule="auto"/>
              <w:ind w:left="2"/>
            </w:pPr>
            <w:r>
              <w:t xml:space="preserve">are caring for children aged between 3 to 5 years. </w:t>
            </w:r>
          </w:p>
          <w:p w:rsidR="00DB418F" w:rsidRDefault="00D63012">
            <w:pPr>
              <w:spacing w:after="118" w:line="243" w:lineRule="auto"/>
              <w:ind w:left="2"/>
              <w:jc w:val="both"/>
            </w:pPr>
            <w:r>
              <w:t xml:space="preserve">Number of program sessions delivered </w:t>
            </w:r>
          </w:p>
          <w:p w:rsidR="00DB418F" w:rsidRDefault="00D63012">
            <w:pPr>
              <w:spacing w:after="120" w:line="243" w:lineRule="auto"/>
              <w:ind w:left="2"/>
            </w:pPr>
            <w:r>
              <w:t xml:space="preserve">Number of program sessions attended </w:t>
            </w:r>
          </w:p>
          <w:p w:rsidR="00DB418F" w:rsidRDefault="00D63012">
            <w:pPr>
              <w:ind w:left="2"/>
            </w:pPr>
            <w:r>
              <w:t xml:space="preserve">Number of referrals </w:t>
            </w:r>
          </w:p>
        </w:tc>
        <w:tc>
          <w:tcPr>
            <w:tcW w:w="2552" w:type="dxa"/>
            <w:tcBorders>
              <w:top w:val="single" w:sz="4" w:space="0" w:color="000000"/>
              <w:left w:val="single" w:sz="4" w:space="0" w:color="000000"/>
              <w:bottom w:val="single" w:sz="4" w:space="0" w:color="000000"/>
              <w:right w:val="single" w:sz="4" w:space="0" w:color="000000"/>
            </w:tcBorders>
          </w:tcPr>
          <w:p w:rsidR="00DB418F" w:rsidRDefault="00D63012">
            <w:pPr>
              <w:spacing w:after="11" w:line="242" w:lineRule="auto"/>
              <w:ind w:left="2"/>
            </w:pPr>
            <w:r>
              <w:t xml:space="preserve">Parents/carers have increased knowledge and skills about: </w:t>
            </w:r>
          </w:p>
          <w:p w:rsidR="00DB418F" w:rsidRDefault="00D63012">
            <w:pPr>
              <w:numPr>
                <w:ilvl w:val="0"/>
                <w:numId w:val="2"/>
              </w:numPr>
              <w:spacing w:after="45" w:line="247" w:lineRule="auto"/>
              <w:ind w:left="383" w:hanging="283"/>
            </w:pPr>
            <w:r>
              <w:t xml:space="preserve">child development ages and stages </w:t>
            </w:r>
          </w:p>
          <w:p w:rsidR="00DB418F" w:rsidRDefault="00D63012">
            <w:pPr>
              <w:numPr>
                <w:ilvl w:val="0"/>
                <w:numId w:val="2"/>
              </w:numPr>
              <w:spacing w:after="49" w:line="245" w:lineRule="auto"/>
              <w:ind w:left="383" w:hanging="283"/>
            </w:pPr>
            <w:r>
              <w:t xml:space="preserve">positive parenting styles and strategies </w:t>
            </w:r>
          </w:p>
          <w:p w:rsidR="00DB418F" w:rsidRDefault="00D63012">
            <w:pPr>
              <w:numPr>
                <w:ilvl w:val="0"/>
                <w:numId w:val="2"/>
              </w:numPr>
              <w:spacing w:after="47" w:line="244" w:lineRule="auto"/>
              <w:ind w:left="383" w:hanging="283"/>
            </w:pPr>
            <w:r>
              <w:t xml:space="preserve">how to manage challenging behaviors in their children  </w:t>
            </w:r>
          </w:p>
          <w:p w:rsidR="00DB418F" w:rsidRDefault="00D63012">
            <w:pPr>
              <w:numPr>
                <w:ilvl w:val="0"/>
                <w:numId w:val="2"/>
              </w:numPr>
              <w:spacing w:after="37" w:line="245" w:lineRule="auto"/>
              <w:ind w:left="383" w:hanging="283"/>
            </w:pPr>
            <w:r>
              <w:t xml:space="preserve">how to cope in difficult situations </w:t>
            </w:r>
          </w:p>
          <w:p w:rsidR="00DB418F" w:rsidRDefault="00D63012">
            <w:pPr>
              <w:ind w:left="2"/>
            </w:pPr>
            <w:r>
              <w:t xml:space="preserve"> </w:t>
            </w:r>
          </w:p>
          <w:p w:rsidR="00DB418F" w:rsidRDefault="00D63012">
            <w:pPr>
              <w:spacing w:after="121" w:line="242" w:lineRule="auto"/>
              <w:ind w:left="2" w:right="55"/>
            </w:pPr>
            <w:r>
              <w:t xml:space="preserve">Parents/carers have increased awareness of the importance of self-care and support networks  </w:t>
            </w:r>
          </w:p>
          <w:p w:rsidR="00DB418F" w:rsidRDefault="00D63012">
            <w:pPr>
              <w:ind w:left="2"/>
            </w:pPr>
            <w:r>
              <w:t xml:space="preserve">Parents/carers have increased knowledge about how to access support </w:t>
            </w:r>
          </w:p>
        </w:tc>
        <w:tc>
          <w:tcPr>
            <w:tcW w:w="2552" w:type="dxa"/>
            <w:tcBorders>
              <w:top w:val="single" w:sz="4" w:space="0" w:color="000000"/>
              <w:left w:val="single" w:sz="4" w:space="0" w:color="000000"/>
              <w:bottom w:val="single" w:sz="4" w:space="0" w:color="000000"/>
              <w:right w:val="single" w:sz="4" w:space="0" w:color="000000"/>
            </w:tcBorders>
          </w:tcPr>
          <w:p w:rsidR="00DB418F" w:rsidRDefault="00D63012">
            <w:pPr>
              <w:spacing w:after="10" w:line="243" w:lineRule="auto"/>
              <w:ind w:left="2" w:right="33"/>
            </w:pPr>
            <w:r>
              <w:t xml:space="preserve">Parents/carers increasingly:  </w:t>
            </w:r>
          </w:p>
          <w:p w:rsidR="00DB418F" w:rsidRDefault="00D63012">
            <w:pPr>
              <w:numPr>
                <w:ilvl w:val="0"/>
                <w:numId w:val="3"/>
              </w:numPr>
              <w:spacing w:after="47" w:line="245" w:lineRule="auto"/>
              <w:ind w:left="383" w:right="55" w:hanging="283"/>
            </w:pPr>
            <w:r>
              <w:t xml:space="preserve">Manage difficult situations </w:t>
            </w:r>
          </w:p>
          <w:p w:rsidR="00DB418F" w:rsidRDefault="00D63012">
            <w:pPr>
              <w:numPr>
                <w:ilvl w:val="0"/>
                <w:numId w:val="3"/>
              </w:numPr>
              <w:spacing w:after="50" w:line="244" w:lineRule="auto"/>
              <w:ind w:left="383" w:right="55" w:hanging="283"/>
            </w:pPr>
            <w:r>
              <w:t xml:space="preserve">Have positive interactions with their children </w:t>
            </w:r>
          </w:p>
          <w:p w:rsidR="00DB418F" w:rsidRDefault="00D63012">
            <w:pPr>
              <w:numPr>
                <w:ilvl w:val="0"/>
                <w:numId w:val="3"/>
              </w:numPr>
              <w:spacing w:after="38" w:line="244" w:lineRule="auto"/>
              <w:ind w:left="383" w:right="55" w:hanging="283"/>
            </w:pPr>
            <w:r>
              <w:t xml:space="preserve">Support their children’s socialemotional wellbeing </w:t>
            </w:r>
          </w:p>
          <w:p w:rsidR="00DB418F" w:rsidRDefault="00D63012">
            <w:pPr>
              <w:ind w:left="2"/>
            </w:pPr>
            <w:r>
              <w:t xml:space="preserve"> </w:t>
            </w:r>
          </w:p>
          <w:p w:rsidR="00DB418F" w:rsidRDefault="00D63012">
            <w:pPr>
              <w:spacing w:after="120" w:line="243" w:lineRule="auto"/>
              <w:ind w:left="2"/>
            </w:pPr>
            <w:r>
              <w:t xml:space="preserve">Children’s social-emotional skills are enhanced </w:t>
            </w:r>
          </w:p>
          <w:p w:rsidR="00DB418F" w:rsidRDefault="00D63012">
            <w:pPr>
              <w:ind w:left="2"/>
            </w:pPr>
            <w:r>
              <w:t xml:space="preserve">Parents/carers have increased confidence to access support services and social networks </w:t>
            </w:r>
          </w:p>
        </w:tc>
        <w:tc>
          <w:tcPr>
            <w:tcW w:w="2582" w:type="dxa"/>
            <w:tcBorders>
              <w:top w:val="single" w:sz="4" w:space="0" w:color="000000"/>
              <w:left w:val="single" w:sz="4" w:space="0" w:color="000000"/>
              <w:bottom w:val="single" w:sz="4" w:space="0" w:color="000000"/>
              <w:right w:val="nil"/>
            </w:tcBorders>
          </w:tcPr>
          <w:p w:rsidR="00DB418F" w:rsidRDefault="00D63012">
            <w:pPr>
              <w:spacing w:after="118" w:line="243" w:lineRule="auto"/>
              <w:ind w:left="2"/>
            </w:pPr>
            <w:r>
              <w:t xml:space="preserve">Children are socially and emotionally ready to start school </w:t>
            </w:r>
          </w:p>
          <w:p w:rsidR="00DB418F" w:rsidRDefault="00D63012">
            <w:pPr>
              <w:spacing w:after="121" w:line="242" w:lineRule="auto"/>
              <w:ind w:left="2" w:right="12"/>
            </w:pPr>
            <w:r>
              <w:t xml:space="preserve">Parents/carers are equipped with tools and strategies to manage their children’s needs  </w:t>
            </w:r>
          </w:p>
          <w:p w:rsidR="00DB418F" w:rsidRDefault="00D63012">
            <w:pPr>
              <w:spacing w:after="117" w:line="243" w:lineRule="auto"/>
              <w:ind w:left="2"/>
            </w:pPr>
            <w:r>
              <w:t xml:space="preserve">Positive caregiver-child relationship </w:t>
            </w:r>
          </w:p>
          <w:p w:rsidR="00DB418F" w:rsidRDefault="00D63012">
            <w:pPr>
              <w:ind w:left="2"/>
            </w:pPr>
            <w:r>
              <w:t xml:space="preserve">Parents/carers access support services when they or their children need it </w:t>
            </w:r>
          </w:p>
        </w:tc>
      </w:tr>
      <w:tr w:rsidR="00DB418F">
        <w:trPr>
          <w:trHeight w:val="1516"/>
        </w:trPr>
        <w:tc>
          <w:tcPr>
            <w:tcW w:w="15170" w:type="dxa"/>
            <w:gridSpan w:val="6"/>
            <w:tcBorders>
              <w:top w:val="single" w:sz="4" w:space="0" w:color="000000"/>
              <w:left w:val="nil"/>
              <w:bottom w:val="nil"/>
              <w:right w:val="nil"/>
            </w:tcBorders>
            <w:shd w:val="clear" w:color="auto" w:fill="E7E6E6"/>
            <w:vAlign w:val="bottom"/>
          </w:tcPr>
          <w:p w:rsidR="00DB418F" w:rsidRDefault="00D63012">
            <w:pPr>
              <w:spacing w:after="105"/>
              <w:ind w:left="2"/>
            </w:pPr>
            <w:r>
              <w:rPr>
                <w:b/>
              </w:rPr>
              <w:lastRenderedPageBreak/>
              <w:t xml:space="preserve">Theory of change statement </w:t>
            </w:r>
          </w:p>
          <w:p w:rsidR="00DB418F" w:rsidRDefault="00D63012">
            <w:pPr>
              <w:ind w:left="2"/>
            </w:pPr>
            <w:r>
              <w:t xml:space="preserve">This parenting program aims to enhance children’s social-emotional development for improved school transition and education outcomes. We will achieve this by taking a social learning theory approach to strengthen parent competencies and confidence (Horsburgh &amp; Ippolito, 2018). According to research, parenting competencies such as self-regulation and relational skills, and parenting confidence can enhance children’s social-emotional development (Jones &amp; Prinz, 2005; Tully, 2009).We will also focus on increasing parents’ social connections and access to services because these are known to have benefits for child and family wellbeing (Commerford &amp; Robinson, 2016). We will actively support program participation and engagement through a strengths-based and non-judgmental approach. </w:t>
            </w:r>
          </w:p>
        </w:tc>
      </w:tr>
    </w:tbl>
    <w:p w:rsidR="00DB418F" w:rsidRDefault="00D63012">
      <w:pPr>
        <w:ind w:left="0"/>
      </w:pPr>
      <w:r>
        <w:t xml:space="preserve"> </w:t>
      </w:r>
    </w:p>
    <w:sectPr w:rsidR="00DB418F">
      <w:pgSz w:w="16841" w:h="11899" w:orient="landscape"/>
      <w:pgMar w:top="1440" w:right="1545" w:bottom="10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012" w:rsidRDefault="00D63012" w:rsidP="00D63012">
      <w:pPr>
        <w:spacing w:line="240" w:lineRule="auto"/>
      </w:pPr>
      <w:r>
        <w:separator/>
      </w:r>
    </w:p>
  </w:endnote>
  <w:endnote w:type="continuationSeparator" w:id="0">
    <w:p w:rsidR="00D63012" w:rsidRDefault="00D63012" w:rsidP="00D63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012" w:rsidRDefault="00D63012" w:rsidP="00D63012">
      <w:pPr>
        <w:spacing w:line="240" w:lineRule="auto"/>
      </w:pPr>
      <w:r>
        <w:separator/>
      </w:r>
    </w:p>
  </w:footnote>
  <w:footnote w:type="continuationSeparator" w:id="0">
    <w:p w:rsidR="00D63012" w:rsidRDefault="00D63012" w:rsidP="00D630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8322A"/>
    <w:multiLevelType w:val="hybridMultilevel"/>
    <w:tmpl w:val="7CECEDF2"/>
    <w:lvl w:ilvl="0" w:tplc="E718176E">
      <w:start w:val="1"/>
      <w:numFmt w:val="bullet"/>
      <w:lvlText w:val="•"/>
      <w:lvlJc w:val="left"/>
      <w:pPr>
        <w:ind w:left="384"/>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1" w:tplc="578E43C4">
      <w:start w:val="1"/>
      <w:numFmt w:val="bullet"/>
      <w:lvlText w:val="o"/>
      <w:lvlJc w:val="left"/>
      <w:pPr>
        <w:ind w:left="1294"/>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2" w:tplc="01AA3C5C">
      <w:start w:val="1"/>
      <w:numFmt w:val="bullet"/>
      <w:lvlText w:val="▪"/>
      <w:lvlJc w:val="left"/>
      <w:pPr>
        <w:ind w:left="2014"/>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3" w:tplc="EBFA6874">
      <w:start w:val="1"/>
      <w:numFmt w:val="bullet"/>
      <w:lvlText w:val="•"/>
      <w:lvlJc w:val="left"/>
      <w:pPr>
        <w:ind w:left="2734"/>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4" w:tplc="C354FA86">
      <w:start w:val="1"/>
      <w:numFmt w:val="bullet"/>
      <w:lvlText w:val="o"/>
      <w:lvlJc w:val="left"/>
      <w:pPr>
        <w:ind w:left="3454"/>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5" w:tplc="983A7E38">
      <w:start w:val="1"/>
      <w:numFmt w:val="bullet"/>
      <w:lvlText w:val="▪"/>
      <w:lvlJc w:val="left"/>
      <w:pPr>
        <w:ind w:left="4174"/>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6" w:tplc="88909268">
      <w:start w:val="1"/>
      <w:numFmt w:val="bullet"/>
      <w:lvlText w:val="•"/>
      <w:lvlJc w:val="left"/>
      <w:pPr>
        <w:ind w:left="4894"/>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7" w:tplc="29B2D508">
      <w:start w:val="1"/>
      <w:numFmt w:val="bullet"/>
      <w:lvlText w:val="o"/>
      <w:lvlJc w:val="left"/>
      <w:pPr>
        <w:ind w:left="5614"/>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8" w:tplc="26F6F714">
      <w:start w:val="1"/>
      <w:numFmt w:val="bullet"/>
      <w:lvlText w:val="▪"/>
      <w:lvlJc w:val="left"/>
      <w:pPr>
        <w:ind w:left="6334"/>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abstractNum>
  <w:abstractNum w:abstractNumId="1" w15:restartNumberingAfterBreak="0">
    <w:nsid w:val="2C543D6F"/>
    <w:multiLevelType w:val="hybridMultilevel"/>
    <w:tmpl w:val="3CF04D60"/>
    <w:lvl w:ilvl="0" w:tplc="E2CA14A0">
      <w:start w:val="1"/>
      <w:numFmt w:val="bullet"/>
      <w:lvlText w:val="•"/>
      <w:lvlJc w:val="left"/>
      <w:pPr>
        <w:ind w:left="384"/>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1" w:tplc="95602E8E">
      <w:start w:val="1"/>
      <w:numFmt w:val="bullet"/>
      <w:lvlText w:val="o"/>
      <w:lvlJc w:val="left"/>
      <w:pPr>
        <w:ind w:left="1294"/>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2" w:tplc="611E3818">
      <w:start w:val="1"/>
      <w:numFmt w:val="bullet"/>
      <w:lvlText w:val="▪"/>
      <w:lvlJc w:val="left"/>
      <w:pPr>
        <w:ind w:left="2014"/>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3" w:tplc="7CFC728C">
      <w:start w:val="1"/>
      <w:numFmt w:val="bullet"/>
      <w:lvlText w:val="•"/>
      <w:lvlJc w:val="left"/>
      <w:pPr>
        <w:ind w:left="2734"/>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4" w:tplc="CDA6D832">
      <w:start w:val="1"/>
      <w:numFmt w:val="bullet"/>
      <w:lvlText w:val="o"/>
      <w:lvlJc w:val="left"/>
      <w:pPr>
        <w:ind w:left="3454"/>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5" w:tplc="7682C682">
      <w:start w:val="1"/>
      <w:numFmt w:val="bullet"/>
      <w:lvlText w:val="▪"/>
      <w:lvlJc w:val="left"/>
      <w:pPr>
        <w:ind w:left="4174"/>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6" w:tplc="FE522766">
      <w:start w:val="1"/>
      <w:numFmt w:val="bullet"/>
      <w:lvlText w:val="•"/>
      <w:lvlJc w:val="left"/>
      <w:pPr>
        <w:ind w:left="4894"/>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7" w:tplc="B6FC851E">
      <w:start w:val="1"/>
      <w:numFmt w:val="bullet"/>
      <w:lvlText w:val="o"/>
      <w:lvlJc w:val="left"/>
      <w:pPr>
        <w:ind w:left="5614"/>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8" w:tplc="4498F8EA">
      <w:start w:val="1"/>
      <w:numFmt w:val="bullet"/>
      <w:lvlText w:val="▪"/>
      <w:lvlJc w:val="left"/>
      <w:pPr>
        <w:ind w:left="6334"/>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abstractNum>
  <w:abstractNum w:abstractNumId="2" w15:restartNumberingAfterBreak="0">
    <w:nsid w:val="75A92B62"/>
    <w:multiLevelType w:val="hybridMultilevel"/>
    <w:tmpl w:val="0B32D488"/>
    <w:lvl w:ilvl="0" w:tplc="029C9450">
      <w:start w:val="1"/>
      <w:numFmt w:val="bullet"/>
      <w:lvlText w:val="•"/>
      <w:lvlJc w:val="left"/>
      <w:pPr>
        <w:ind w:left="384"/>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1" w:tplc="4E1AC24A">
      <w:start w:val="1"/>
      <w:numFmt w:val="bullet"/>
      <w:lvlText w:val="o"/>
      <w:lvlJc w:val="left"/>
      <w:pPr>
        <w:ind w:left="1294"/>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2" w:tplc="4A947EB6">
      <w:start w:val="1"/>
      <w:numFmt w:val="bullet"/>
      <w:lvlText w:val="▪"/>
      <w:lvlJc w:val="left"/>
      <w:pPr>
        <w:ind w:left="2014"/>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3" w:tplc="6BF2BF36">
      <w:start w:val="1"/>
      <w:numFmt w:val="bullet"/>
      <w:lvlText w:val="•"/>
      <w:lvlJc w:val="left"/>
      <w:pPr>
        <w:ind w:left="2734"/>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4" w:tplc="1BF6F23C">
      <w:start w:val="1"/>
      <w:numFmt w:val="bullet"/>
      <w:lvlText w:val="o"/>
      <w:lvlJc w:val="left"/>
      <w:pPr>
        <w:ind w:left="3454"/>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5" w:tplc="AF4EB586">
      <w:start w:val="1"/>
      <w:numFmt w:val="bullet"/>
      <w:lvlText w:val="▪"/>
      <w:lvlJc w:val="left"/>
      <w:pPr>
        <w:ind w:left="4174"/>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6" w:tplc="64EAE61C">
      <w:start w:val="1"/>
      <w:numFmt w:val="bullet"/>
      <w:lvlText w:val="•"/>
      <w:lvlJc w:val="left"/>
      <w:pPr>
        <w:ind w:left="4894"/>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7" w:tplc="76645772">
      <w:start w:val="1"/>
      <w:numFmt w:val="bullet"/>
      <w:lvlText w:val="o"/>
      <w:lvlJc w:val="left"/>
      <w:pPr>
        <w:ind w:left="5614"/>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8" w:tplc="235CD8CA">
      <w:start w:val="1"/>
      <w:numFmt w:val="bullet"/>
      <w:lvlText w:val="▪"/>
      <w:lvlJc w:val="left"/>
      <w:pPr>
        <w:ind w:left="6334"/>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8F"/>
    <w:rsid w:val="005C04EE"/>
    <w:rsid w:val="00AC0A88"/>
    <w:rsid w:val="00D63012"/>
    <w:rsid w:val="00DB4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E4D88"/>
  <w15:docId w15:val="{D1F5109C-4EBC-4BEA-B520-A6EA2554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15"/>
    </w:pPr>
    <w:rPr>
      <w:rFonts w:ascii="Arial" w:eastAsia="Arial" w:hAnsi="Arial" w:cs="Arial"/>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63012"/>
    <w:pPr>
      <w:tabs>
        <w:tab w:val="center" w:pos="4513"/>
        <w:tab w:val="right" w:pos="9026"/>
      </w:tabs>
      <w:spacing w:line="240" w:lineRule="auto"/>
    </w:pPr>
  </w:style>
  <w:style w:type="character" w:customStyle="1" w:styleId="HeaderChar">
    <w:name w:val="Header Char"/>
    <w:basedOn w:val="DefaultParagraphFont"/>
    <w:link w:val="Header"/>
    <w:uiPriority w:val="99"/>
    <w:rsid w:val="00D63012"/>
    <w:rPr>
      <w:rFonts w:ascii="Arial" w:eastAsia="Arial" w:hAnsi="Arial" w:cs="Arial"/>
      <w:color w:val="000000"/>
      <w:sz w:val="19"/>
    </w:rPr>
  </w:style>
  <w:style w:type="paragraph" w:styleId="Footer">
    <w:name w:val="footer"/>
    <w:basedOn w:val="Normal"/>
    <w:link w:val="FooterChar"/>
    <w:uiPriority w:val="99"/>
    <w:unhideWhenUsed/>
    <w:rsid w:val="00D63012"/>
    <w:pPr>
      <w:tabs>
        <w:tab w:val="center" w:pos="4513"/>
        <w:tab w:val="right" w:pos="9026"/>
      </w:tabs>
      <w:spacing w:line="240" w:lineRule="auto"/>
    </w:pPr>
  </w:style>
  <w:style w:type="character" w:customStyle="1" w:styleId="FooterChar">
    <w:name w:val="Footer Char"/>
    <w:basedOn w:val="DefaultParagraphFont"/>
    <w:link w:val="Footer"/>
    <w:uiPriority w:val="99"/>
    <w:rsid w:val="00D63012"/>
    <w:rPr>
      <w:rFonts w:ascii="Arial" w:eastAsia="Arial" w:hAnsi="Arial" w:cs="Arial"/>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2974</Characters>
  <Application>Microsoft Office Word</Application>
  <DocSecurity>0</DocSecurity>
  <Lines>108</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[SEC=OFFICIAL]</cp:keywords>
  <cp:lastModifiedBy>KEARNEY, Melissa</cp:lastModifiedBy>
  <cp:revision>2</cp:revision>
  <dcterms:created xsi:type="dcterms:W3CDTF">2021-11-17T00:05:00Z</dcterms:created>
  <dcterms:modified xsi:type="dcterms:W3CDTF">2021-11-17T00:05:00Z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204B0110123646E5824E2413673D93C4</vt:lpwstr>
  </property>
  <property fmtid="{D5CDD505-2E9C-101B-9397-08002B2CF9AE}" pid="9" name="PM_ProtectiveMarkingValue_Footer">
    <vt:lpwstr>OFFICIAL</vt:lpwstr>
  </property>
  <property fmtid="{D5CDD505-2E9C-101B-9397-08002B2CF9AE}" pid="10" name="PM_Originator_Hash_SHA1">
    <vt:lpwstr>1E20D2CA9C9C1643A4E0BE831969E67049471D96</vt:lpwstr>
  </property>
  <property fmtid="{D5CDD505-2E9C-101B-9397-08002B2CF9AE}" pid="11" name="PM_OriginationTimeStamp">
    <vt:lpwstr>2021-11-17T00:04:47Z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9AC9A2912A2AA43503B7884525290E3A</vt:lpwstr>
  </property>
  <property fmtid="{D5CDD505-2E9C-101B-9397-08002B2CF9AE}" pid="20" name="PM_Hash_Salt">
    <vt:lpwstr>06768E580B6DB0884017F7B4C1F2C484</vt:lpwstr>
  </property>
  <property fmtid="{D5CDD505-2E9C-101B-9397-08002B2CF9AE}" pid="21" name="PM_Hash_SHA1">
    <vt:lpwstr>0A4E25C4430736F4840F62B8129EB9BC20CDA0E3</vt:lpwstr>
  </property>
  <property fmtid="{D5CDD505-2E9C-101B-9397-08002B2CF9AE}" pid="22" name="PM_SecurityClassification_Prev">
    <vt:lpwstr>OFFICIAL</vt:lpwstr>
  </property>
  <property fmtid="{D5CDD505-2E9C-101B-9397-08002B2CF9AE}" pid="23" name="PM_Qualifier_Prev">
    <vt:lpwstr/>
  </property>
</Properties>
</file>