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0422" w14:textId="77777777" w:rsidR="00726AB5" w:rsidRPr="00C57F9B" w:rsidRDefault="00726AB5" w:rsidP="00726AB5">
      <w:pPr>
        <w:pStyle w:val="Title"/>
        <w:rPr>
          <w:color w:val="005A70"/>
        </w:rPr>
      </w:pPr>
      <w:bookmarkStart w:id="0" w:name="_GoBack"/>
      <w:bookmarkEnd w:id="0"/>
      <w:r>
        <w:rPr>
          <w:color w:val="005A70"/>
        </w:rPr>
        <w:t>More support for vulnerable Australians</w:t>
      </w:r>
    </w:p>
    <w:p w14:paraId="08C882E4" w14:textId="77777777" w:rsidR="00F8336D" w:rsidRPr="00AB2394" w:rsidRDefault="00F8336D" w:rsidP="00F37A34">
      <w:pPr>
        <w:pStyle w:val="Subtitle"/>
        <w:sectPr w:rsidR="00F8336D" w:rsidRPr="00AB2394" w:rsidSect="00AF34BE">
          <w:headerReference w:type="default" r:id="rId8"/>
          <w:footerReference w:type="default" r:id="rId9"/>
          <w:headerReference w:type="first" r:id="rId10"/>
          <w:footerReference w:type="first" r:id="rId11"/>
          <w:pgSz w:w="11906" w:h="16838"/>
          <w:pgMar w:top="2669" w:right="849" w:bottom="1440" w:left="851" w:header="567" w:footer="567" w:gutter="0"/>
          <w:cols w:space="708"/>
          <w:titlePg/>
          <w:docGrid w:linePitch="360"/>
        </w:sectPr>
      </w:pPr>
      <w:r>
        <w:t>201</w:t>
      </w:r>
      <w:r w:rsidR="00FF4B45">
        <w:t>9</w:t>
      </w:r>
      <w:r>
        <w:t xml:space="preserve"> Budget</w:t>
      </w:r>
    </w:p>
    <w:p w14:paraId="0F522618" w14:textId="77777777" w:rsidR="00726AB5" w:rsidRPr="00C57F9B" w:rsidRDefault="00726AB5" w:rsidP="00726AB5">
      <w:pPr>
        <w:pStyle w:val="PullOutText"/>
      </w:pPr>
      <w:r>
        <w:t>The Australian Government recognises the value of robust investment in services and support to improve the wellbeing of vulnerable Australians.</w:t>
      </w:r>
    </w:p>
    <w:p w14:paraId="1763D5BD" w14:textId="77777777" w:rsidR="00F21BE7" w:rsidRDefault="00F21BE7" w:rsidP="00F21BE7">
      <w:pPr>
        <w:pStyle w:val="Heading1"/>
      </w:pPr>
      <w:r>
        <w:t xml:space="preserve">What </w:t>
      </w:r>
      <w:proofErr w:type="gramStart"/>
      <w:r>
        <w:t>was announced</w:t>
      </w:r>
      <w:proofErr w:type="gramEnd"/>
      <w:r>
        <w:t xml:space="preserve"> in </w:t>
      </w:r>
      <w:r>
        <w:br/>
        <w:t>the 2019 Budget?</w:t>
      </w:r>
    </w:p>
    <w:p w14:paraId="6C0B72D3" w14:textId="77777777" w:rsidR="00F21BE7" w:rsidRDefault="00F21BE7" w:rsidP="00F21BE7">
      <w:pPr>
        <w:rPr>
          <w:rFonts w:cs="Arial"/>
        </w:rPr>
      </w:pPr>
      <w:r>
        <w:rPr>
          <w:rFonts w:cs="Arial"/>
        </w:rPr>
        <w:t>The Australian Government will invest</w:t>
      </w:r>
      <w:r>
        <w:rPr>
          <w:rFonts w:cs="Arial"/>
        </w:rPr>
        <w:br/>
        <w:t>$73.1 million through a number of initiatives to improve the wellbeing of vulnerable Australians - including children and young people, Indigenous students, migrants and refugees.</w:t>
      </w:r>
    </w:p>
    <w:p w14:paraId="0E40E737" w14:textId="1B6EBC14" w:rsidR="00F21BE7" w:rsidRPr="002F5A73" w:rsidRDefault="004221E0" w:rsidP="00F21BE7">
      <w:pPr>
        <w:pStyle w:val="Heading1"/>
        <w:rPr>
          <w:sz w:val="28"/>
        </w:rPr>
      </w:pPr>
      <w:r>
        <w:rPr>
          <w:sz w:val="28"/>
        </w:rPr>
        <w:t xml:space="preserve">Building social cohesion for newly arrived migrants - </w:t>
      </w:r>
      <w:r w:rsidR="00F21BE7" w:rsidRPr="002F5A73">
        <w:rPr>
          <w:sz w:val="28"/>
        </w:rPr>
        <w:t>Expansion of the National Community Hubs program</w:t>
      </w:r>
    </w:p>
    <w:p w14:paraId="6AF2E572" w14:textId="77777777" w:rsidR="00F21BE7" w:rsidRPr="002F5A73" w:rsidRDefault="00F21BE7" w:rsidP="00F21BE7">
      <w:pPr>
        <w:spacing w:after="0" w:line="240" w:lineRule="auto"/>
        <w:rPr>
          <w:rFonts w:cs="Arial"/>
        </w:rPr>
      </w:pPr>
      <w:r>
        <w:rPr>
          <w:rFonts w:cs="Arial"/>
        </w:rPr>
        <w:t>An investment of $20.4 million will extend and expand t</w:t>
      </w:r>
      <w:r w:rsidRPr="002F5A73">
        <w:rPr>
          <w:rFonts w:cs="Arial"/>
        </w:rPr>
        <w:t xml:space="preserve">he National Community Hubs Program </w:t>
      </w:r>
      <w:r>
        <w:rPr>
          <w:rFonts w:cs="Arial"/>
        </w:rPr>
        <w:t>across the country</w:t>
      </w:r>
      <w:r w:rsidRPr="002F5A73">
        <w:rPr>
          <w:rFonts w:cs="Arial"/>
        </w:rPr>
        <w:t xml:space="preserve">. </w:t>
      </w:r>
    </w:p>
    <w:p w14:paraId="035936A9" w14:textId="77777777" w:rsidR="00F21BE7" w:rsidRPr="002F5A73" w:rsidRDefault="00F21BE7" w:rsidP="00F21BE7">
      <w:pPr>
        <w:spacing w:after="0" w:line="240" w:lineRule="auto"/>
        <w:rPr>
          <w:rFonts w:cs="Arial"/>
        </w:rPr>
      </w:pPr>
    </w:p>
    <w:p w14:paraId="1092A8C5" w14:textId="77777777" w:rsidR="00F21BE7" w:rsidRPr="002F5A73" w:rsidRDefault="00F21BE7" w:rsidP="00F21BE7">
      <w:pPr>
        <w:spacing w:after="0" w:line="240" w:lineRule="auto"/>
        <w:rPr>
          <w:rFonts w:cs="Arial"/>
        </w:rPr>
      </w:pPr>
      <w:r>
        <w:rPr>
          <w:rFonts w:cs="Arial"/>
        </w:rPr>
        <w:t>This</w:t>
      </w:r>
      <w:r w:rsidRPr="002F5A73">
        <w:rPr>
          <w:rFonts w:cs="Arial"/>
        </w:rPr>
        <w:t xml:space="preserve"> </w:t>
      </w:r>
      <w:r>
        <w:rPr>
          <w:rFonts w:cs="Arial"/>
        </w:rPr>
        <w:t xml:space="preserve">funding </w:t>
      </w:r>
      <w:r w:rsidRPr="002F5A73">
        <w:rPr>
          <w:rFonts w:cs="Arial"/>
        </w:rPr>
        <w:t xml:space="preserve">will </w:t>
      </w:r>
      <w:r>
        <w:rPr>
          <w:rFonts w:cs="Arial"/>
        </w:rPr>
        <w:t xml:space="preserve">create </w:t>
      </w:r>
      <w:r w:rsidRPr="002F5A73">
        <w:rPr>
          <w:rFonts w:cs="Arial"/>
        </w:rPr>
        <w:t xml:space="preserve">32 new Hubs and fund the continuation of 68 existing Hubs, bringing the total number of Government funded Hubs to 100. </w:t>
      </w:r>
    </w:p>
    <w:p w14:paraId="656149F5" w14:textId="77777777" w:rsidR="00F21BE7" w:rsidRPr="002F5A73" w:rsidRDefault="00F21BE7" w:rsidP="00F21BE7">
      <w:pPr>
        <w:spacing w:after="0" w:line="240" w:lineRule="auto"/>
        <w:rPr>
          <w:rFonts w:cs="Arial"/>
        </w:rPr>
      </w:pPr>
    </w:p>
    <w:p w14:paraId="605F2547" w14:textId="77777777" w:rsidR="00F21BE7" w:rsidRPr="002F5A73" w:rsidRDefault="00F21BE7" w:rsidP="00F21BE7">
      <w:pPr>
        <w:spacing w:after="0" w:line="240" w:lineRule="auto"/>
        <w:rPr>
          <w:rFonts w:cs="Arial"/>
        </w:rPr>
      </w:pPr>
      <w:r w:rsidRPr="002F5A73">
        <w:rPr>
          <w:rFonts w:cs="Arial"/>
        </w:rPr>
        <w:t>The Community Hubs aim to strengthen people’s sense of belonging in Australian society and to increase the social and economic participation of community members by linking them to services such as skills training, employment services, English classes and volunteering opportunities.</w:t>
      </w:r>
    </w:p>
    <w:p w14:paraId="3D25F680" w14:textId="77777777" w:rsidR="00F21BE7" w:rsidRPr="002F5A73" w:rsidRDefault="00F21BE7" w:rsidP="00F21BE7">
      <w:pPr>
        <w:pStyle w:val="Heading1"/>
        <w:rPr>
          <w:sz w:val="28"/>
        </w:rPr>
      </w:pPr>
      <w:r w:rsidRPr="002F5A73">
        <w:rPr>
          <w:sz w:val="28"/>
        </w:rPr>
        <w:t>Key facts</w:t>
      </w:r>
    </w:p>
    <w:p w14:paraId="746E60F1" w14:textId="77777777" w:rsidR="00F21BE7" w:rsidRPr="00F21E5A" w:rsidRDefault="00F21BE7" w:rsidP="00F21E5A">
      <w:pPr>
        <w:pStyle w:val="ListParagraph"/>
        <w:numPr>
          <w:ilvl w:val="0"/>
          <w:numId w:val="7"/>
        </w:numPr>
        <w:spacing w:after="0" w:line="240" w:lineRule="auto"/>
        <w:rPr>
          <w:rFonts w:cs="Arial"/>
        </w:rPr>
      </w:pPr>
      <w:r w:rsidRPr="00F21E5A">
        <w:rPr>
          <w:rFonts w:cs="Arial"/>
        </w:rPr>
        <w:t xml:space="preserve">The National Community Hubs program provides valuable services and support for migrants, refugees, women and children, and other vulnerable groups to help them integrate and participate in their local communities. </w:t>
      </w:r>
    </w:p>
    <w:p w14:paraId="4989F297" w14:textId="706FF78B" w:rsidR="00F21BE7" w:rsidRPr="002F5A73" w:rsidRDefault="004221E0" w:rsidP="00F21BE7">
      <w:pPr>
        <w:pStyle w:val="Heading1"/>
        <w:rPr>
          <w:sz w:val="28"/>
        </w:rPr>
      </w:pPr>
      <w:r>
        <w:rPr>
          <w:sz w:val="28"/>
        </w:rPr>
        <w:t xml:space="preserve">Building social cohesion for newly arrived migrants - </w:t>
      </w:r>
      <w:r w:rsidR="00F21BE7" w:rsidRPr="002F5A73">
        <w:rPr>
          <w:sz w:val="28"/>
        </w:rPr>
        <w:t>National Youth Hubs Program trial</w:t>
      </w:r>
    </w:p>
    <w:p w14:paraId="4C2C5A34" w14:textId="60BE8E53" w:rsidR="00F21BE7" w:rsidRPr="002F5A73" w:rsidRDefault="00F21BE7" w:rsidP="00F21BE7">
      <w:pPr>
        <w:spacing w:after="0" w:line="240" w:lineRule="auto"/>
        <w:rPr>
          <w:rFonts w:cs="Arial"/>
        </w:rPr>
      </w:pPr>
      <w:r>
        <w:rPr>
          <w:rFonts w:cs="Arial"/>
        </w:rPr>
        <w:t>U</w:t>
      </w:r>
      <w:r w:rsidRPr="002F5A73">
        <w:rPr>
          <w:rFonts w:cs="Arial"/>
        </w:rPr>
        <w:t>sing the successful approach from the National Community Hubs Program to support migrant and refugee women and young people aged 13-21</w:t>
      </w:r>
      <w:r>
        <w:rPr>
          <w:rFonts w:cs="Arial"/>
        </w:rPr>
        <w:t xml:space="preserve">, </w:t>
      </w:r>
      <w:r w:rsidRPr="002F5A73">
        <w:rPr>
          <w:rFonts w:cs="Arial"/>
        </w:rPr>
        <w:t xml:space="preserve">$2.2 million </w:t>
      </w:r>
      <w:proofErr w:type="gramStart"/>
      <w:r w:rsidR="005B2B11">
        <w:rPr>
          <w:rFonts w:cs="Arial"/>
        </w:rPr>
        <w:t>will be allocated</w:t>
      </w:r>
      <w:proofErr w:type="gramEnd"/>
      <w:r w:rsidR="005B2B11">
        <w:rPr>
          <w:rFonts w:cs="Arial"/>
        </w:rPr>
        <w:t xml:space="preserve"> from 1 January 2020 to 30 June 2021 to establish</w:t>
      </w:r>
      <w:r w:rsidRPr="002F5A73">
        <w:rPr>
          <w:rFonts w:cs="Arial"/>
        </w:rPr>
        <w:t xml:space="preserve"> a National Youth Hubs Program trial.</w:t>
      </w:r>
    </w:p>
    <w:p w14:paraId="5C8D6471" w14:textId="77777777" w:rsidR="00F21BE7" w:rsidRPr="002F5A73" w:rsidRDefault="00F21BE7" w:rsidP="00F21BE7">
      <w:pPr>
        <w:spacing w:after="0" w:line="240" w:lineRule="auto"/>
        <w:rPr>
          <w:rFonts w:cs="Arial"/>
        </w:rPr>
      </w:pPr>
    </w:p>
    <w:p w14:paraId="37531DF1" w14:textId="77777777" w:rsidR="00F21BE7" w:rsidRPr="002F5A73" w:rsidRDefault="00F21BE7" w:rsidP="00F21BE7">
      <w:pPr>
        <w:spacing w:after="0" w:line="240" w:lineRule="auto"/>
        <w:rPr>
          <w:rFonts w:cs="Arial"/>
        </w:rPr>
      </w:pPr>
      <w:r w:rsidRPr="002F5A73">
        <w:rPr>
          <w:rFonts w:cs="Arial"/>
        </w:rPr>
        <w:t xml:space="preserve">The trial will target hard to reach migrant and refugee women (mothers) and young people in areas of either high social disadvantage, high migrant population or both – including regional areas, and </w:t>
      </w:r>
      <w:proofErr w:type="gramStart"/>
      <w:r w:rsidRPr="002F5A73">
        <w:rPr>
          <w:rFonts w:cs="Arial"/>
        </w:rPr>
        <w:t>be delivered</w:t>
      </w:r>
      <w:proofErr w:type="gramEnd"/>
      <w:r w:rsidRPr="002F5A73">
        <w:rPr>
          <w:rFonts w:cs="Arial"/>
        </w:rPr>
        <w:t xml:space="preserve"> through high schools and suitable community facilities.</w:t>
      </w:r>
    </w:p>
    <w:p w14:paraId="0AB066B1" w14:textId="77777777" w:rsidR="00F21BE7" w:rsidRPr="002F5A73" w:rsidRDefault="00F21BE7" w:rsidP="00F21BE7">
      <w:pPr>
        <w:spacing w:after="0" w:line="240" w:lineRule="auto"/>
        <w:rPr>
          <w:rFonts w:cs="Arial"/>
        </w:rPr>
      </w:pPr>
    </w:p>
    <w:p w14:paraId="2C605A5C" w14:textId="3600E2E8" w:rsidR="00F21BE7" w:rsidRPr="002F5A73" w:rsidRDefault="00F21BE7" w:rsidP="00F21BE7">
      <w:pPr>
        <w:spacing w:after="0" w:line="240" w:lineRule="auto"/>
        <w:rPr>
          <w:rFonts w:cs="Arial"/>
        </w:rPr>
      </w:pPr>
      <w:r w:rsidRPr="002F5A73">
        <w:rPr>
          <w:rFonts w:cs="Arial"/>
        </w:rPr>
        <w:t>In particular</w:t>
      </w:r>
      <w:r w:rsidR="001769E9">
        <w:rPr>
          <w:rFonts w:cs="Arial"/>
        </w:rPr>
        <w:t>,</w:t>
      </w:r>
      <w:r w:rsidRPr="002F5A73">
        <w:rPr>
          <w:rFonts w:cs="Arial"/>
        </w:rPr>
        <w:t xml:space="preserve"> the program will target vulnerable migrant young people in preparation </w:t>
      </w:r>
      <w:proofErr w:type="gramStart"/>
      <w:r w:rsidRPr="002F5A73">
        <w:rPr>
          <w:rFonts w:cs="Arial"/>
        </w:rPr>
        <w:t>for employment and training, and to support their social integration and participation</w:t>
      </w:r>
      <w:proofErr w:type="gramEnd"/>
      <w:r w:rsidRPr="002F5A73">
        <w:rPr>
          <w:rFonts w:cs="Arial"/>
        </w:rPr>
        <w:t>.</w:t>
      </w:r>
    </w:p>
    <w:p w14:paraId="1D2757E1" w14:textId="77777777" w:rsidR="009B1FE2" w:rsidRDefault="009B1FE2" w:rsidP="00F21BE7">
      <w:pPr>
        <w:pStyle w:val="Heading1"/>
        <w:rPr>
          <w:sz w:val="28"/>
        </w:rPr>
      </w:pPr>
    </w:p>
    <w:p w14:paraId="07774EE5" w14:textId="291EC990" w:rsidR="00F21BE7" w:rsidRPr="001F7844" w:rsidRDefault="004221E0" w:rsidP="00F21BE7">
      <w:pPr>
        <w:pStyle w:val="Heading1"/>
        <w:rPr>
          <w:sz w:val="28"/>
        </w:rPr>
      </w:pPr>
      <w:r>
        <w:rPr>
          <w:sz w:val="28"/>
        </w:rPr>
        <w:lastRenderedPageBreak/>
        <w:t>Extending Family Tax Benefit to ABSTUDY recipients aged 16 and over who study away from home</w:t>
      </w:r>
      <w:r w:rsidR="00F21BE7">
        <w:rPr>
          <w:sz w:val="28"/>
        </w:rPr>
        <w:t xml:space="preserve"> </w:t>
      </w:r>
    </w:p>
    <w:p w14:paraId="071A6802" w14:textId="77777777" w:rsidR="00F21BE7" w:rsidRPr="00B7653A" w:rsidRDefault="00F21BE7" w:rsidP="00F21BE7">
      <w:pPr>
        <w:spacing w:after="0" w:line="240" w:lineRule="auto"/>
        <w:rPr>
          <w:rFonts w:cs="Arial"/>
        </w:rPr>
      </w:pPr>
      <w:r w:rsidRPr="00B7653A">
        <w:rPr>
          <w:rFonts w:cs="Arial"/>
        </w:rPr>
        <w:t>To help Indigenous students stay in boarding school, the Australian Government has committed $36.4 million to extend Family Tax Benefit to provide payment to families where an ABSTUDY student needs to live away from home to study, is aged 16-19 years and in full-time secondary study.</w:t>
      </w:r>
    </w:p>
    <w:p w14:paraId="1B14CCC7" w14:textId="77777777" w:rsidR="00F21BE7" w:rsidRPr="006F1FB4" w:rsidRDefault="00F21BE7" w:rsidP="00F21BE7">
      <w:pPr>
        <w:pStyle w:val="Heading1"/>
        <w:rPr>
          <w:sz w:val="28"/>
        </w:rPr>
      </w:pPr>
      <w:r w:rsidRPr="006F1FB4">
        <w:rPr>
          <w:sz w:val="28"/>
        </w:rPr>
        <w:t>Key facts</w:t>
      </w:r>
    </w:p>
    <w:p w14:paraId="08009CAD" w14:textId="77777777" w:rsidR="00F21BE7" w:rsidRPr="00B7653A" w:rsidRDefault="00F21BE7" w:rsidP="001A312F">
      <w:pPr>
        <w:pStyle w:val="ListBullet"/>
        <w:numPr>
          <w:ilvl w:val="0"/>
          <w:numId w:val="7"/>
        </w:numPr>
      </w:pPr>
      <w:r w:rsidRPr="00B7653A">
        <w:t>The measure</w:t>
      </w:r>
      <w:r>
        <w:t xml:space="preserve"> </w:t>
      </w:r>
      <w:proofErr w:type="gramStart"/>
      <w:r>
        <w:t>is</w:t>
      </w:r>
      <w:r w:rsidRPr="00B7653A">
        <w:t xml:space="preserve"> designed</w:t>
      </w:r>
      <w:proofErr w:type="gramEnd"/>
      <w:r w:rsidRPr="00B7653A">
        <w:t xml:space="preserve"> to assist Indigenous students studying away from home</w:t>
      </w:r>
      <w:r>
        <w:t xml:space="preserve"> and</w:t>
      </w:r>
      <w:r w:rsidRPr="00B7653A">
        <w:t xml:space="preserve"> is in addition to the $38.1 million the Australian Government invested into ABSTUDY from 1 January 2019. The new measure will provide more support for Aboriginal and Torres Strait Islander secondary students who need to travel away from home to study. </w:t>
      </w:r>
    </w:p>
    <w:p w14:paraId="1A875D09" w14:textId="01A2DE1D" w:rsidR="00F21BE7" w:rsidRPr="00C22A17" w:rsidRDefault="004221E0" w:rsidP="00F21BE7">
      <w:pPr>
        <w:pStyle w:val="Heading1"/>
        <w:rPr>
          <w:color w:val="FF0000"/>
          <w:sz w:val="28"/>
        </w:rPr>
      </w:pPr>
      <w:r>
        <w:rPr>
          <w:sz w:val="28"/>
        </w:rPr>
        <w:t xml:space="preserve">Social Impact </w:t>
      </w:r>
      <w:proofErr w:type="gramStart"/>
      <w:r>
        <w:rPr>
          <w:sz w:val="28"/>
        </w:rPr>
        <w:t>Investing—</w:t>
      </w:r>
      <w:proofErr w:type="gramEnd"/>
      <w:r w:rsidR="00F21BE7">
        <w:rPr>
          <w:sz w:val="28"/>
        </w:rPr>
        <w:t>payment by outcome</w:t>
      </w:r>
      <w:r>
        <w:rPr>
          <w:sz w:val="28"/>
        </w:rPr>
        <w:t>s</w:t>
      </w:r>
      <w:r w:rsidR="00F21BE7">
        <w:rPr>
          <w:sz w:val="28"/>
        </w:rPr>
        <w:t xml:space="preserve"> service delivery</w:t>
      </w:r>
    </w:p>
    <w:p w14:paraId="5608E0FC" w14:textId="7C982649" w:rsidR="00F21BE7" w:rsidRPr="00B7653A" w:rsidRDefault="00F21BE7" w:rsidP="00F21BE7">
      <w:pPr>
        <w:spacing w:after="0" w:line="240" w:lineRule="auto"/>
        <w:rPr>
          <w:rFonts w:cs="Arial"/>
        </w:rPr>
      </w:pPr>
      <w:r w:rsidRPr="00B7653A">
        <w:rPr>
          <w:rFonts w:cs="Arial"/>
        </w:rPr>
        <w:t>$14</w:t>
      </w:r>
      <w:r>
        <w:rPr>
          <w:rFonts w:cs="Arial"/>
        </w:rPr>
        <w:t>.1</w:t>
      </w:r>
      <w:r w:rsidRPr="00B7653A">
        <w:rPr>
          <w:rFonts w:cs="Arial"/>
        </w:rPr>
        <w:t xml:space="preserve"> million </w:t>
      </w:r>
      <w:r w:rsidR="004221E0">
        <w:rPr>
          <w:rFonts w:cs="Arial"/>
        </w:rPr>
        <w:t>to establish three</w:t>
      </w:r>
      <w:r w:rsidRPr="00B7653A">
        <w:rPr>
          <w:rFonts w:cs="Arial"/>
        </w:rPr>
        <w:t xml:space="preserve"> Social </w:t>
      </w:r>
      <w:r>
        <w:rPr>
          <w:rFonts w:cs="Arial"/>
        </w:rPr>
        <w:t xml:space="preserve">Impact Investment </w:t>
      </w:r>
      <w:r w:rsidR="004221E0">
        <w:rPr>
          <w:rFonts w:cs="Arial"/>
        </w:rPr>
        <w:t xml:space="preserve">payment by outcome </w:t>
      </w:r>
      <w:r>
        <w:rPr>
          <w:rFonts w:cs="Arial"/>
        </w:rPr>
        <w:t>trial</w:t>
      </w:r>
      <w:r w:rsidR="004221E0">
        <w:rPr>
          <w:rFonts w:cs="Arial"/>
        </w:rPr>
        <w:t>s</w:t>
      </w:r>
      <w:r>
        <w:rPr>
          <w:rFonts w:cs="Arial"/>
        </w:rPr>
        <w:t xml:space="preserve"> funding </w:t>
      </w:r>
      <w:r w:rsidRPr="00B7653A">
        <w:rPr>
          <w:rFonts w:cs="Arial"/>
        </w:rPr>
        <w:t xml:space="preserve">organisations based on the social outcomes they achieve. </w:t>
      </w:r>
    </w:p>
    <w:p w14:paraId="2DABFEA9" w14:textId="77777777" w:rsidR="00F21BE7" w:rsidRPr="00B7653A" w:rsidRDefault="00F21BE7" w:rsidP="00F21BE7">
      <w:pPr>
        <w:spacing w:after="0" w:line="240" w:lineRule="auto"/>
        <w:rPr>
          <w:rFonts w:cs="Arial"/>
        </w:rPr>
      </w:pPr>
    </w:p>
    <w:p w14:paraId="3A556E70" w14:textId="03E17B3B" w:rsidR="00F21BE7" w:rsidRPr="00B7653A" w:rsidRDefault="004221E0" w:rsidP="00F21BE7">
      <w:pPr>
        <w:spacing w:after="0" w:line="240" w:lineRule="auto"/>
        <w:rPr>
          <w:rFonts w:cs="Arial"/>
        </w:rPr>
      </w:pPr>
      <w:r>
        <w:rPr>
          <w:rFonts w:cs="Arial"/>
        </w:rPr>
        <w:t>O</w:t>
      </w:r>
      <w:r w:rsidR="00F21BE7" w:rsidRPr="00B7653A">
        <w:rPr>
          <w:rFonts w:cs="Arial"/>
        </w:rPr>
        <w:t xml:space="preserve">rganisations will </w:t>
      </w:r>
      <w:proofErr w:type="gramStart"/>
      <w:r w:rsidR="00F21BE7" w:rsidRPr="00B7653A">
        <w:rPr>
          <w:rFonts w:cs="Arial"/>
        </w:rPr>
        <w:t>partner</w:t>
      </w:r>
      <w:proofErr w:type="gramEnd"/>
      <w:r w:rsidR="00F21BE7" w:rsidRPr="00B7653A">
        <w:rPr>
          <w:rFonts w:cs="Arial"/>
        </w:rPr>
        <w:t xml:space="preserve"> with Government to participate in the</w:t>
      </w:r>
      <w:r>
        <w:rPr>
          <w:rFonts w:cs="Arial"/>
        </w:rPr>
        <w:t xml:space="preserve"> trial</w:t>
      </w:r>
      <w:r w:rsidR="00F21BE7" w:rsidRPr="00B7653A">
        <w:rPr>
          <w:rFonts w:cs="Arial"/>
        </w:rPr>
        <w:t xml:space="preserve"> design, delivery and </w:t>
      </w:r>
      <w:r>
        <w:rPr>
          <w:rFonts w:cs="Arial"/>
        </w:rPr>
        <w:t>outcome measurement</w:t>
      </w:r>
      <w:r w:rsidR="00F21BE7" w:rsidRPr="00B7653A">
        <w:rPr>
          <w:rFonts w:cs="Arial"/>
        </w:rPr>
        <w:t xml:space="preserve">. This funding brings the Government’s total investment in Social Impact Investing </w:t>
      </w:r>
      <w:r w:rsidR="00F21BE7">
        <w:rPr>
          <w:rFonts w:cs="Arial"/>
        </w:rPr>
        <w:t>over $55</w:t>
      </w:r>
      <w:r w:rsidR="00F21BE7" w:rsidRPr="00B7653A">
        <w:rPr>
          <w:rFonts w:cs="Arial"/>
        </w:rPr>
        <w:t xml:space="preserve"> million. </w:t>
      </w:r>
    </w:p>
    <w:p w14:paraId="7A7A9EBE" w14:textId="77777777" w:rsidR="00F21BE7" w:rsidRPr="006F1FB4" w:rsidRDefault="00F21BE7" w:rsidP="00F21BE7">
      <w:pPr>
        <w:pStyle w:val="Heading1"/>
        <w:rPr>
          <w:sz w:val="28"/>
        </w:rPr>
      </w:pPr>
      <w:r w:rsidRPr="006F1FB4">
        <w:rPr>
          <w:sz w:val="28"/>
        </w:rPr>
        <w:t>Key facts</w:t>
      </w:r>
    </w:p>
    <w:p w14:paraId="4D28D9FB" w14:textId="77777777" w:rsidR="00F21BE7" w:rsidRPr="008F5FBF" w:rsidRDefault="00F21BE7" w:rsidP="00F21BE7">
      <w:pPr>
        <w:pStyle w:val="ListParagraph"/>
        <w:numPr>
          <w:ilvl w:val="0"/>
          <w:numId w:val="6"/>
        </w:numPr>
        <w:rPr>
          <w:rFonts w:ascii="Calibri" w:hAnsi="Calibri"/>
        </w:rPr>
      </w:pPr>
      <w:r w:rsidRPr="008F5FBF">
        <w:t>Social impact investing is an emerging, outcomes-based approach that brings together governments, service providers, investors and communities to tackle a range of policy issues. It provides governments with an alternative and innovative mechanism to address social and environmental issues while also leveraging government and private sector capital, building a stronger culture of robust evaluation and evidenced-based decision making, and creating a heightened focus on outcomes.</w:t>
      </w:r>
    </w:p>
    <w:p w14:paraId="333F4EDF" w14:textId="7C413EB4" w:rsidR="00F21BE7" w:rsidRPr="001F7844" w:rsidRDefault="004221E0" w:rsidP="00F21BE7">
      <w:pPr>
        <w:pStyle w:val="Heading1"/>
        <w:rPr>
          <w:sz w:val="28"/>
        </w:rPr>
      </w:pPr>
      <w:r>
        <w:rPr>
          <w:sz w:val="28"/>
        </w:rPr>
        <w:t>Chang</w:t>
      </w:r>
      <w:r w:rsidR="00F21BE7">
        <w:rPr>
          <w:sz w:val="28"/>
        </w:rPr>
        <w:t xml:space="preserve">ing the social security income assessment model </w:t>
      </w:r>
    </w:p>
    <w:p w14:paraId="38144F6C" w14:textId="36695E79" w:rsidR="00F21BE7" w:rsidRPr="00B7653A" w:rsidRDefault="00F21BE7" w:rsidP="00F21BE7">
      <w:pPr>
        <w:pStyle w:val="ListBullet"/>
        <w:numPr>
          <w:ilvl w:val="0"/>
          <w:numId w:val="0"/>
        </w:numPr>
      </w:pPr>
      <w:r w:rsidRPr="00B7653A">
        <w:t>The Australian Government is making reporting easier and more accurate for income support recipients.</w:t>
      </w:r>
      <w:r w:rsidR="009B1FE2">
        <w:t xml:space="preserve"> </w:t>
      </w:r>
      <w:r w:rsidRPr="00B7653A">
        <w:t>Under the new measure, the Government is adapting the way income support recipients report employment income</w:t>
      </w:r>
      <w:r>
        <w:t xml:space="preserve"> to when income </w:t>
      </w:r>
      <w:proofErr w:type="gramStart"/>
      <w:r>
        <w:t xml:space="preserve">is received, </w:t>
      </w:r>
      <w:r w:rsidRPr="00B7653A">
        <w:t>rather than earned</w:t>
      </w:r>
      <w:proofErr w:type="gramEnd"/>
      <w:r w:rsidRPr="00B7653A">
        <w:t xml:space="preserve">. </w:t>
      </w:r>
    </w:p>
    <w:p w14:paraId="7E37C19E" w14:textId="77777777" w:rsidR="00F21BE7" w:rsidRPr="00B7653A" w:rsidRDefault="00F21BE7" w:rsidP="00F21BE7">
      <w:pPr>
        <w:pStyle w:val="ListBullet"/>
        <w:numPr>
          <w:ilvl w:val="0"/>
          <w:numId w:val="0"/>
        </w:numPr>
      </w:pPr>
    </w:p>
    <w:p w14:paraId="3C0BC402" w14:textId="77777777" w:rsidR="00F21BE7" w:rsidRPr="00B7653A" w:rsidRDefault="00F21BE7" w:rsidP="00F21BE7">
      <w:pPr>
        <w:pStyle w:val="ListBullet"/>
        <w:numPr>
          <w:ilvl w:val="0"/>
          <w:numId w:val="0"/>
        </w:numPr>
      </w:pPr>
      <w:r w:rsidRPr="00B7653A">
        <w:rPr>
          <w:rFonts w:eastAsia="Arial" w:cs="Times New Roman"/>
        </w:rPr>
        <w:t xml:space="preserve">To make this possible the Australian Government will leverage the collection of data under Single Touch Payroll by the Australian Taxation Office – a streamlined way employers report taxation and superannuation information – and share it with relevant Commonwealth agencies. </w:t>
      </w:r>
    </w:p>
    <w:p w14:paraId="2A6B5313" w14:textId="069DAFF9" w:rsidR="00F21BE7" w:rsidRPr="00B7653A" w:rsidRDefault="00F21BE7" w:rsidP="00F21BE7">
      <w:pPr>
        <w:pStyle w:val="ListBullet"/>
        <w:numPr>
          <w:ilvl w:val="0"/>
          <w:numId w:val="0"/>
        </w:numPr>
      </w:pPr>
      <w:r w:rsidRPr="00B7653A">
        <w:t>This will reflect the way employers pay their employees.</w:t>
      </w:r>
      <w:r w:rsidR="00445AF8">
        <w:t xml:space="preserve"> </w:t>
      </w:r>
    </w:p>
    <w:p w14:paraId="725ECB47" w14:textId="77777777" w:rsidR="00F21BE7" w:rsidRPr="00B7653A" w:rsidRDefault="00F21BE7" w:rsidP="00F21BE7">
      <w:pPr>
        <w:pStyle w:val="ListBullet"/>
        <w:numPr>
          <w:ilvl w:val="0"/>
          <w:numId w:val="0"/>
        </w:numPr>
      </w:pPr>
    </w:p>
    <w:p w14:paraId="39A958A8" w14:textId="77777777" w:rsidR="00F21BE7" w:rsidRPr="00B7653A" w:rsidRDefault="00F21BE7" w:rsidP="00F21BE7">
      <w:pPr>
        <w:pStyle w:val="ListBullet"/>
        <w:numPr>
          <w:ilvl w:val="0"/>
          <w:numId w:val="0"/>
        </w:numPr>
        <w:ind w:left="357" w:hanging="357"/>
        <w:rPr>
          <w:rFonts w:eastAsia="Arial" w:cs="Times New Roman"/>
        </w:rPr>
      </w:pPr>
      <w:r w:rsidRPr="00B7653A">
        <w:t>The measure will come into effect on 1 July 2020.</w:t>
      </w:r>
    </w:p>
    <w:p w14:paraId="30BAF43B" w14:textId="77777777" w:rsidR="00F21BE7" w:rsidRPr="006F1FB4" w:rsidRDefault="00F21BE7" w:rsidP="00F21BE7">
      <w:pPr>
        <w:pStyle w:val="Heading1"/>
        <w:rPr>
          <w:sz w:val="28"/>
        </w:rPr>
      </w:pPr>
      <w:r w:rsidRPr="006F1FB4">
        <w:rPr>
          <w:sz w:val="28"/>
        </w:rPr>
        <w:t>Key facts</w:t>
      </w:r>
    </w:p>
    <w:p w14:paraId="7F23907C" w14:textId="6E0F6909" w:rsidR="00F21BE7" w:rsidRPr="00120F2A" w:rsidRDefault="00F21BE7" w:rsidP="009B1FE2">
      <w:pPr>
        <w:pStyle w:val="ListBullet"/>
        <w:numPr>
          <w:ilvl w:val="0"/>
          <w:numId w:val="6"/>
        </w:numPr>
      </w:pPr>
      <w:r w:rsidRPr="00120F2A">
        <w:t xml:space="preserve">The Australian Government is making changes to the way it assesses employment income, which will make reporting easier and more accurate for income support recipients. </w:t>
      </w:r>
    </w:p>
    <w:p w14:paraId="2BB2A583" w14:textId="603D82F7" w:rsidR="00F21BE7" w:rsidRPr="00120F2A" w:rsidRDefault="00F21BE7" w:rsidP="009B1FE2">
      <w:pPr>
        <w:pStyle w:val="ListBullet"/>
        <w:numPr>
          <w:ilvl w:val="0"/>
          <w:numId w:val="6"/>
        </w:numPr>
      </w:pPr>
      <w:r>
        <w:t>This means people will report the gross income from their employer, making their income support payments more accurate and a debt less likely to occur.</w:t>
      </w:r>
    </w:p>
    <w:p w14:paraId="121059E0" w14:textId="4D016CC7" w:rsidR="00F21BE7" w:rsidRDefault="00F21BE7" w:rsidP="009B1FE2">
      <w:pPr>
        <w:pStyle w:val="ListBullet"/>
        <w:numPr>
          <w:ilvl w:val="0"/>
          <w:numId w:val="6"/>
        </w:numPr>
      </w:pPr>
      <w:r w:rsidRPr="00B7653A">
        <w:t xml:space="preserve">Changes to the income assessment model will </w:t>
      </w:r>
      <w:r w:rsidR="004F7EC2">
        <w:t xml:space="preserve">deliver savings </w:t>
      </w:r>
      <w:r>
        <w:t>the Australian Government</w:t>
      </w:r>
      <w:r w:rsidR="004F7EC2">
        <w:t xml:space="preserve"> of</w:t>
      </w:r>
      <w:r>
        <w:t xml:space="preserve"> $2.1 billion over f</w:t>
      </w:r>
      <w:r w:rsidR="004F7EC2">
        <w:t>ive</w:t>
      </w:r>
      <w:r>
        <w:t xml:space="preserve"> years.</w:t>
      </w:r>
    </w:p>
    <w:p w14:paraId="18549C1A" w14:textId="77777777" w:rsidR="00F21BE7" w:rsidRPr="00B7653A" w:rsidRDefault="00F21BE7" w:rsidP="00F21BE7">
      <w:pPr>
        <w:pStyle w:val="ListBullet"/>
        <w:numPr>
          <w:ilvl w:val="0"/>
          <w:numId w:val="6"/>
        </w:numPr>
        <w:rPr>
          <w:rFonts w:cs="Arial"/>
        </w:rPr>
      </w:pPr>
      <w:r>
        <w:t xml:space="preserve">These changes are an important step in the modernisation of Australia’s social security system. It will reduce red tape and </w:t>
      </w:r>
      <w:r w:rsidRPr="00B7653A">
        <w:t>make</w:t>
      </w:r>
      <w:r w:rsidRPr="00B7653A">
        <w:rPr>
          <w:rFonts w:eastAsia="Arial" w:cs="Times New Roman"/>
        </w:rPr>
        <w:t xml:space="preserve"> it easier for people to access services and payments</w:t>
      </w:r>
      <w:r>
        <w:rPr>
          <w:rFonts w:eastAsia="Arial" w:cs="Times New Roman"/>
        </w:rPr>
        <w:t xml:space="preserve"> - </w:t>
      </w:r>
      <w:r w:rsidRPr="00B7653A">
        <w:rPr>
          <w:rFonts w:eastAsia="Arial" w:cs="Times New Roman"/>
        </w:rPr>
        <w:t>ensuring Australia’s welfare system remains sustainable.</w:t>
      </w:r>
    </w:p>
    <w:p w14:paraId="00F54DFE" w14:textId="77777777" w:rsidR="00F21BE7" w:rsidRPr="00B77D94" w:rsidRDefault="00F21BE7" w:rsidP="00F21BE7">
      <w:pPr>
        <w:pStyle w:val="Heading2"/>
      </w:pPr>
      <w:r>
        <w:t>More information</w:t>
      </w:r>
    </w:p>
    <w:p w14:paraId="5DBDB3C2" w14:textId="77777777" w:rsidR="00F21BE7" w:rsidRPr="00C25E01" w:rsidRDefault="00F21BE7" w:rsidP="00F21BE7">
      <w:r w:rsidRPr="00C25E01">
        <w:t xml:space="preserve">For more information about this measure and other Department of Social Services’ Budget measures, </w:t>
      </w:r>
      <w:r>
        <w:t xml:space="preserve">visit </w:t>
      </w:r>
      <w:r w:rsidRPr="00D22A8A">
        <w:t xml:space="preserve">the </w:t>
      </w:r>
      <w:hyperlink r:id="rId12" w:history="1">
        <w:r w:rsidRPr="00D22A8A">
          <w:rPr>
            <w:rStyle w:val="Hyperlink"/>
            <w:rFonts w:eastAsiaTheme="majorEastAsia"/>
          </w:rPr>
          <w:t>Department of Social Services</w:t>
        </w:r>
      </w:hyperlink>
      <w:r w:rsidRPr="00D22A8A">
        <w:t xml:space="preserve"> website (</w:t>
      </w:r>
      <w:hyperlink r:id="rId13" w:history="1">
        <w:r>
          <w:rPr>
            <w:rStyle w:val="Hyperlink"/>
            <w:rFonts w:eastAsiaTheme="majorEastAsia"/>
          </w:rPr>
          <w:t>dss.gov.au</w:t>
        </w:r>
      </w:hyperlink>
      <w:r w:rsidRPr="00D22A8A">
        <w:t>)</w:t>
      </w:r>
      <w:r>
        <w:t>.</w:t>
      </w:r>
      <w:r w:rsidRPr="00D22A8A">
        <w:t xml:space="preserve"> </w:t>
      </w:r>
    </w:p>
    <w:p w14:paraId="0D8FAF46" w14:textId="6CAA2EA6" w:rsidR="001F33AF" w:rsidRDefault="00F21BE7" w:rsidP="00A52A9B">
      <w:r w:rsidRPr="00C25E01">
        <w:t xml:space="preserve">For information about </w:t>
      </w:r>
      <w:r>
        <w:t xml:space="preserve">the 2019 </w:t>
      </w:r>
      <w:r w:rsidRPr="00C25E01">
        <w:t xml:space="preserve">Budget, </w:t>
      </w:r>
      <w:r>
        <w:t xml:space="preserve">visit the </w:t>
      </w:r>
      <w:hyperlink r:id="rId14" w:history="1">
        <w:r w:rsidRPr="001F33AF">
          <w:rPr>
            <w:rStyle w:val="Hyperlink"/>
          </w:rPr>
          <w:t>Australian Government budget</w:t>
        </w:r>
      </w:hyperlink>
      <w:r>
        <w:t xml:space="preserve"> website</w:t>
      </w:r>
      <w:r w:rsidRPr="00C25E01">
        <w:t xml:space="preserve"> </w:t>
      </w:r>
      <w:r>
        <w:t>(</w:t>
      </w:r>
      <w:hyperlink r:id="rId15" w:history="1">
        <w:r>
          <w:rPr>
            <w:rStyle w:val="Hyperlink"/>
          </w:rPr>
          <w:t>budget.gov.au</w:t>
        </w:r>
      </w:hyperlink>
      <w:r w:rsidRPr="001F33AF">
        <w:t>).</w:t>
      </w:r>
    </w:p>
    <w:sectPr w:rsidR="001F33AF" w:rsidSect="00AF34BE">
      <w:headerReference w:type="default" r:id="rId16"/>
      <w:footerReference w:type="default" r:id="rId17"/>
      <w:type w:val="continuous"/>
      <w:pgSz w:w="11906" w:h="16838"/>
      <w:pgMar w:top="1102" w:right="849" w:bottom="851" w:left="851" w:header="426" w:footer="56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A38E8" w14:textId="77777777" w:rsidR="00865B37" w:rsidRDefault="00865B37" w:rsidP="00410EB6">
      <w:pPr>
        <w:spacing w:after="0" w:line="240" w:lineRule="auto"/>
      </w:pPr>
      <w:r>
        <w:separator/>
      </w:r>
    </w:p>
  </w:endnote>
  <w:endnote w:type="continuationSeparator" w:id="0">
    <w:p w14:paraId="6B3709CF" w14:textId="77777777" w:rsidR="00865B37" w:rsidRDefault="00865B37" w:rsidP="0041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 LT 55 Roman">
    <w:altName w:val="HelveticaNeue LT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56FD" w14:textId="77777777" w:rsidR="00804E69" w:rsidRDefault="00804E69" w:rsidP="00804E69">
    <w:pPr>
      <w:pStyle w:val="Footer"/>
      <w:jc w:val="center"/>
    </w:pPr>
  </w:p>
  <w:p w14:paraId="6DB834D9" w14:textId="77777777" w:rsidR="00D87486" w:rsidRDefault="00D87486" w:rsidP="006D69F6">
    <w:pPr>
      <w:pStyle w:val="Footer"/>
      <w:pBdr>
        <w:top w:val="single" w:sz="4" w:space="1" w:color="D9D9D9" w:themeColor="background1" w:themeShade="D9"/>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51581"/>
      <w:docPartObj>
        <w:docPartGallery w:val="Page Numbers (Bottom of Page)"/>
        <w:docPartUnique/>
      </w:docPartObj>
    </w:sdtPr>
    <w:sdtEndPr>
      <w:rPr>
        <w:noProof/>
      </w:rPr>
    </w:sdtEndPr>
    <w:sdtContent>
      <w:p w14:paraId="6E527832" w14:textId="045F4826" w:rsidR="00804E69" w:rsidRDefault="00560A0B" w:rsidP="00560A0B">
        <w:pPr>
          <w:pStyle w:val="Footer"/>
        </w:pPr>
        <w:r>
          <w:fldChar w:fldCharType="begin"/>
        </w:r>
        <w:r>
          <w:instrText xml:space="preserve"> PAGE   \* MERGEFORMAT </w:instrText>
        </w:r>
        <w:r>
          <w:fldChar w:fldCharType="separate"/>
        </w:r>
        <w:r w:rsidR="00A57F36">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113963"/>
      <w:docPartObj>
        <w:docPartGallery w:val="Page Numbers (Bottom of Page)"/>
        <w:docPartUnique/>
      </w:docPartObj>
    </w:sdtPr>
    <w:sdtEndPr>
      <w:rPr>
        <w:noProof/>
      </w:rPr>
    </w:sdtEndPr>
    <w:sdtContent>
      <w:p w14:paraId="162E3107" w14:textId="2960047A" w:rsidR="00804E69" w:rsidRDefault="00560A0B" w:rsidP="00560A0B">
        <w:pPr>
          <w:pStyle w:val="Footer"/>
        </w:pPr>
        <w:r>
          <w:fldChar w:fldCharType="begin"/>
        </w:r>
        <w:r>
          <w:instrText xml:space="preserve"> PAGE   \* MERGEFORMAT </w:instrText>
        </w:r>
        <w:r>
          <w:fldChar w:fldCharType="separate"/>
        </w:r>
        <w:r w:rsidR="00A57F3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DBFB3" w14:textId="77777777" w:rsidR="00865B37" w:rsidRDefault="00865B37" w:rsidP="00410EB6">
      <w:pPr>
        <w:spacing w:after="0" w:line="240" w:lineRule="auto"/>
      </w:pPr>
      <w:r>
        <w:separator/>
      </w:r>
    </w:p>
  </w:footnote>
  <w:footnote w:type="continuationSeparator" w:id="0">
    <w:p w14:paraId="098DDC18" w14:textId="77777777" w:rsidR="00865B37" w:rsidRDefault="00865B37" w:rsidP="0041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EC748" w14:textId="77777777" w:rsidR="003612B4" w:rsidRPr="003612B4" w:rsidRDefault="003612B4" w:rsidP="003612B4">
    <w:pPr>
      <w:ind w:left="-79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A601" w14:textId="77777777" w:rsidR="003612B4" w:rsidRPr="003612B4" w:rsidRDefault="003612B4" w:rsidP="00AF34BE">
    <w:pPr>
      <w:spacing w:before="2000" w:after="0"/>
      <w:ind w:left="-850"/>
      <w:jc w:val="center"/>
    </w:pPr>
    <w:r w:rsidRPr="00AF34BE">
      <w:rPr>
        <w:noProof/>
        <w:lang w:eastAsia="en-AU"/>
      </w:rPr>
      <w:drawing>
        <wp:inline distT="0" distB="0" distL="0" distR="0" wp14:anchorId="7C8F7AAC" wp14:editId="0350D636">
          <wp:extent cx="7559900" cy="1443598"/>
          <wp:effectExtent l="0" t="0" r="3175" b="4445"/>
          <wp:docPr id="7" name="Picture 7" descr="Department of Social Services logo with Australian Government Crest. Department of Social Services branding with silhouettes of man in wheelchair, child, woman, man and two women." title="Department of Social Services logo and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59900" cy="1443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37C4" w14:textId="77777777" w:rsidR="00D1206A" w:rsidRPr="003612B4" w:rsidRDefault="00D1206A" w:rsidP="003612B4">
    <w:pPr>
      <w:ind w:left="-79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29ED3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7A48A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556C87"/>
    <w:multiLevelType w:val="hybridMultilevel"/>
    <w:tmpl w:val="CA0D98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014B7A"/>
    <w:multiLevelType w:val="hybridMultilevel"/>
    <w:tmpl w:val="06B49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A175D8"/>
    <w:multiLevelType w:val="hybridMultilevel"/>
    <w:tmpl w:val="5936D59A"/>
    <w:lvl w:ilvl="0" w:tplc="CB24A91E">
      <w:start w:val="1"/>
      <w:numFmt w:val="bullet"/>
      <w:lvlText w:val=""/>
      <w:lvlJc w:val="left"/>
      <w:pPr>
        <w:tabs>
          <w:tab w:val="num" w:pos="397"/>
        </w:tabs>
        <w:ind w:left="454" w:hanging="227"/>
      </w:pPr>
      <w:rPr>
        <w:rFonts w:ascii="Symbol" w:hAnsi="Symbol" w:hint="default"/>
        <w:color w:val="auto"/>
        <w:sz w:val="20"/>
        <w:szCs w:val="20"/>
      </w:rPr>
    </w:lvl>
    <w:lvl w:ilvl="1" w:tplc="11F072B2">
      <w:start w:val="1"/>
      <w:numFmt w:val="bullet"/>
      <w:lvlText w:val="o"/>
      <w:lvlJc w:val="left"/>
      <w:pPr>
        <w:tabs>
          <w:tab w:val="num" w:pos="1440"/>
        </w:tabs>
        <w:ind w:left="1440" w:hanging="360"/>
      </w:pPr>
      <w:rPr>
        <w:rFonts w:ascii="Courier New" w:hAnsi="Courier New" w:cs="Times New Roman" w:hint="default"/>
        <w:sz w:val="20"/>
        <w:szCs w:val="20"/>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546512"/>
    <w:multiLevelType w:val="hybridMultilevel"/>
    <w:tmpl w:val="71089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B46609"/>
    <w:multiLevelType w:val="hybridMultilevel"/>
    <w:tmpl w:val="688C5E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C5"/>
    <w:rsid w:val="0004147F"/>
    <w:rsid w:val="000758AC"/>
    <w:rsid w:val="00081610"/>
    <w:rsid w:val="000B74EA"/>
    <w:rsid w:val="000C350D"/>
    <w:rsid w:val="00120A46"/>
    <w:rsid w:val="001769E9"/>
    <w:rsid w:val="001A312F"/>
    <w:rsid w:val="001C77D3"/>
    <w:rsid w:val="001E630D"/>
    <w:rsid w:val="001F33AF"/>
    <w:rsid w:val="00345B22"/>
    <w:rsid w:val="003612B4"/>
    <w:rsid w:val="003B2BB8"/>
    <w:rsid w:val="003D34FF"/>
    <w:rsid w:val="003E25A5"/>
    <w:rsid w:val="003F4A5C"/>
    <w:rsid w:val="00410EB6"/>
    <w:rsid w:val="004221E0"/>
    <w:rsid w:val="00445AF8"/>
    <w:rsid w:val="004B54CA"/>
    <w:rsid w:val="004E44F5"/>
    <w:rsid w:val="004E5CBF"/>
    <w:rsid w:val="004F7EC2"/>
    <w:rsid w:val="00545286"/>
    <w:rsid w:val="00560A0B"/>
    <w:rsid w:val="005705AB"/>
    <w:rsid w:val="005B2B11"/>
    <w:rsid w:val="005C3AA9"/>
    <w:rsid w:val="005D6182"/>
    <w:rsid w:val="00616458"/>
    <w:rsid w:val="006A4CE7"/>
    <w:rsid w:val="006D69F6"/>
    <w:rsid w:val="00726AB5"/>
    <w:rsid w:val="00774C46"/>
    <w:rsid w:val="00785261"/>
    <w:rsid w:val="007A72AB"/>
    <w:rsid w:val="007B0256"/>
    <w:rsid w:val="007F107A"/>
    <w:rsid w:val="008012D9"/>
    <w:rsid w:val="00804E69"/>
    <w:rsid w:val="008565DF"/>
    <w:rsid w:val="00865B37"/>
    <w:rsid w:val="00911DC5"/>
    <w:rsid w:val="009225F0"/>
    <w:rsid w:val="009843F9"/>
    <w:rsid w:val="00994FD8"/>
    <w:rsid w:val="009B1FE2"/>
    <w:rsid w:val="009E2EA1"/>
    <w:rsid w:val="009F3949"/>
    <w:rsid w:val="00A52A9B"/>
    <w:rsid w:val="00A57F36"/>
    <w:rsid w:val="00AB2394"/>
    <w:rsid w:val="00AD2D06"/>
    <w:rsid w:val="00AF34BE"/>
    <w:rsid w:val="00B025BB"/>
    <w:rsid w:val="00B16C06"/>
    <w:rsid w:val="00B77D94"/>
    <w:rsid w:val="00BA2DB9"/>
    <w:rsid w:val="00BE7148"/>
    <w:rsid w:val="00C57F9B"/>
    <w:rsid w:val="00C7007A"/>
    <w:rsid w:val="00CB43C9"/>
    <w:rsid w:val="00D1206A"/>
    <w:rsid w:val="00D134A4"/>
    <w:rsid w:val="00D316B8"/>
    <w:rsid w:val="00D87486"/>
    <w:rsid w:val="00DA021C"/>
    <w:rsid w:val="00DB30D1"/>
    <w:rsid w:val="00DD0A56"/>
    <w:rsid w:val="00E0500E"/>
    <w:rsid w:val="00EA2142"/>
    <w:rsid w:val="00EC0F12"/>
    <w:rsid w:val="00F21BE7"/>
    <w:rsid w:val="00F21E5A"/>
    <w:rsid w:val="00F37A34"/>
    <w:rsid w:val="00F671B0"/>
    <w:rsid w:val="00F8336D"/>
    <w:rsid w:val="00FB4BCB"/>
    <w:rsid w:val="00FF4B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84EC8E"/>
  <w15:docId w15:val="{A8ED83F9-21E5-467E-AACD-90F623B7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6D"/>
    <w:pPr>
      <w:spacing w:after="240" w:line="280" w:lineRule="exact"/>
    </w:pPr>
    <w:rPr>
      <w:rFonts w:ascii="Arial" w:hAnsi="Arial"/>
    </w:rPr>
  </w:style>
  <w:style w:type="paragraph" w:styleId="Heading1">
    <w:name w:val="heading 1"/>
    <w:next w:val="Normal"/>
    <w:link w:val="Heading1Char"/>
    <w:uiPriority w:val="9"/>
    <w:qFormat/>
    <w:rsid w:val="00C57F9B"/>
    <w:pPr>
      <w:spacing w:before="360" w:after="120" w:line="240" w:lineRule="auto"/>
      <w:contextualSpacing/>
      <w:outlineLvl w:val="0"/>
    </w:pPr>
    <w:rPr>
      <w:rFonts w:ascii="Georgia" w:eastAsiaTheme="majorEastAsia" w:hAnsi="Georgia" w:cstheme="majorBidi"/>
      <w:bCs/>
      <w:color w:val="005A70"/>
      <w:sz w:val="36"/>
      <w:szCs w:val="28"/>
    </w:rPr>
  </w:style>
  <w:style w:type="paragraph" w:styleId="Heading2">
    <w:name w:val="heading 2"/>
    <w:basedOn w:val="Heading1"/>
    <w:next w:val="Normal"/>
    <w:link w:val="Heading2Char"/>
    <w:uiPriority w:val="9"/>
    <w:unhideWhenUsed/>
    <w:qFormat/>
    <w:rsid w:val="00C57F9B"/>
    <w:pPr>
      <w:outlineLvl w:val="1"/>
    </w:pPr>
    <w:rPr>
      <w:bCs w:val="0"/>
      <w:sz w:val="32"/>
      <w:szCs w:val="26"/>
    </w:rPr>
  </w:style>
  <w:style w:type="paragraph" w:styleId="Heading3">
    <w:name w:val="heading 3"/>
    <w:basedOn w:val="Heading2"/>
    <w:next w:val="Normal"/>
    <w:link w:val="Heading3Char"/>
    <w:uiPriority w:val="9"/>
    <w:unhideWhenUsed/>
    <w:qFormat/>
    <w:rsid w:val="00AB2394"/>
    <w:pPr>
      <w:spacing w:before="120" w:after="240"/>
      <w:outlineLvl w:val="2"/>
    </w:pPr>
    <w:rPr>
      <w:bCs/>
      <w:color w:val="520A76"/>
      <w:sz w:val="28"/>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F9B"/>
    <w:rPr>
      <w:rFonts w:ascii="Georgia" w:eastAsiaTheme="majorEastAsia" w:hAnsi="Georgia" w:cstheme="majorBidi"/>
      <w:bCs/>
      <w:color w:val="005A70"/>
      <w:sz w:val="36"/>
      <w:szCs w:val="28"/>
    </w:rPr>
  </w:style>
  <w:style w:type="character" w:customStyle="1" w:styleId="Heading2Char">
    <w:name w:val="Heading 2 Char"/>
    <w:basedOn w:val="DefaultParagraphFont"/>
    <w:link w:val="Heading2"/>
    <w:uiPriority w:val="9"/>
    <w:rsid w:val="00C57F9B"/>
    <w:rPr>
      <w:rFonts w:ascii="Georgia" w:eastAsiaTheme="majorEastAsia" w:hAnsi="Georgia" w:cstheme="majorBidi"/>
      <w:color w:val="005A70"/>
      <w:sz w:val="32"/>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AB2394"/>
    <w:rPr>
      <w:rFonts w:ascii="Georgia" w:eastAsiaTheme="majorEastAsia" w:hAnsi="Georgia" w:cstheme="majorBidi"/>
      <w:bCs/>
      <w:color w:val="520A76"/>
      <w:sz w:val="28"/>
      <w:szCs w:val="26"/>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345B22"/>
    <w:pPr>
      <w:spacing w:before="120" w:after="120" w:line="240" w:lineRule="auto"/>
    </w:pPr>
    <w:rPr>
      <w:rFonts w:ascii="Georgia" w:eastAsiaTheme="majorEastAsia" w:hAnsi="Georgia" w:cstheme="majorBidi"/>
      <w:color w:val="500778"/>
      <w:spacing w:val="5"/>
      <w:sz w:val="72"/>
      <w:szCs w:val="52"/>
    </w:rPr>
  </w:style>
  <w:style w:type="character" w:customStyle="1" w:styleId="TitleChar">
    <w:name w:val="Title Char"/>
    <w:basedOn w:val="DefaultParagraphFont"/>
    <w:link w:val="Title"/>
    <w:uiPriority w:val="10"/>
    <w:rsid w:val="00345B22"/>
    <w:rPr>
      <w:rFonts w:ascii="Georgia" w:eastAsiaTheme="majorEastAsia" w:hAnsi="Georgia" w:cstheme="majorBidi"/>
      <w:color w:val="500778"/>
      <w:spacing w:val="5"/>
      <w:sz w:val="72"/>
      <w:szCs w:val="52"/>
    </w:rPr>
  </w:style>
  <w:style w:type="paragraph" w:styleId="Subtitle">
    <w:name w:val="Subtitle"/>
    <w:basedOn w:val="Normal"/>
    <w:next w:val="Normal"/>
    <w:link w:val="SubtitleChar"/>
    <w:uiPriority w:val="11"/>
    <w:qFormat/>
    <w:rsid w:val="00345B22"/>
    <w:pPr>
      <w:spacing w:before="120" w:after="840" w:line="280" w:lineRule="atLeast"/>
    </w:pPr>
    <w:rPr>
      <w:rFonts w:ascii="Georgia" w:eastAsiaTheme="majorEastAsia" w:hAnsi="Georgia" w:cstheme="majorBidi"/>
      <w:iCs/>
      <w:spacing w:val="13"/>
      <w:sz w:val="36"/>
      <w:szCs w:val="24"/>
    </w:rPr>
  </w:style>
  <w:style w:type="character" w:customStyle="1" w:styleId="SubtitleChar">
    <w:name w:val="Subtitle Char"/>
    <w:basedOn w:val="DefaultParagraphFont"/>
    <w:link w:val="Subtitle"/>
    <w:uiPriority w:val="11"/>
    <w:rsid w:val="00345B22"/>
    <w:rPr>
      <w:rFonts w:ascii="Georgia" w:eastAsiaTheme="majorEastAsia" w:hAnsi="Georgia" w:cstheme="majorBidi"/>
      <w:iCs/>
      <w:spacing w:val="13"/>
      <w:sz w:val="36"/>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出段落,列出段落1"/>
    <w:basedOn w:val="Normal"/>
    <w:link w:val="ListParagraphChar"/>
    <w:uiPriority w:val="34"/>
    <w:qFormat/>
    <w:rsid w:val="004B54CA"/>
    <w:pPr>
      <w:ind w:left="720"/>
      <w:contextualSpacing/>
    </w:pPr>
  </w:style>
  <w:style w:type="character" w:styleId="Emphasis">
    <w:name w:val="Emphasis"/>
    <w:uiPriority w:val="20"/>
    <w:qFormat/>
    <w:rsid w:val="00DA021C"/>
    <w:rPr>
      <w:rFonts w:ascii="Arial" w:hAnsi="Arial"/>
      <w:b/>
      <w:bCs/>
      <w:i w:val="0"/>
      <w:iCs/>
      <w:color w:val="520A76"/>
      <w:spacing w:val="6"/>
      <w:sz w:val="24"/>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customStyle="1" w:styleId="Introtext">
    <w:name w:val="Intro text"/>
    <w:basedOn w:val="Normal"/>
    <w:qFormat/>
    <w:rsid w:val="00345B22"/>
    <w:pPr>
      <w:spacing w:before="240" w:after="480" w:line="340" w:lineRule="exact"/>
    </w:pPr>
    <w:rPr>
      <w:b/>
      <w:color w:val="500778"/>
      <w:sz w:val="26"/>
    </w:rPr>
  </w:style>
  <w:style w:type="character" w:styleId="SubtleReference">
    <w:name w:val="Subtle Reference"/>
    <w:uiPriority w:val="31"/>
    <w:qFormat/>
    <w:rsid w:val="004B54CA"/>
    <w:rPr>
      <w:smallCaps/>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120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A46"/>
    <w:rPr>
      <w:rFonts w:ascii="Arial" w:hAnsi="Arial"/>
    </w:rPr>
  </w:style>
  <w:style w:type="paragraph" w:styleId="Footer">
    <w:name w:val="footer"/>
    <w:basedOn w:val="Normal"/>
    <w:link w:val="FooterChar"/>
    <w:uiPriority w:val="99"/>
    <w:unhideWhenUsed/>
    <w:rsid w:val="00560A0B"/>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560A0B"/>
    <w:rPr>
      <w:rFonts w:ascii="Arial" w:hAnsi="Arial"/>
      <w:sz w:val="16"/>
    </w:rPr>
  </w:style>
  <w:style w:type="paragraph" w:customStyle="1" w:styleId="Default">
    <w:name w:val="Default"/>
    <w:rsid w:val="00AB2394"/>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paragraph" w:styleId="ListBullet">
    <w:name w:val="List Bullet"/>
    <w:basedOn w:val="Normal"/>
    <w:uiPriority w:val="99"/>
    <w:rsid w:val="00D316B8"/>
    <w:pPr>
      <w:numPr>
        <w:numId w:val="2"/>
      </w:numPr>
      <w:ind w:left="714" w:hanging="357"/>
      <w:contextualSpacing/>
    </w:pPr>
  </w:style>
  <w:style w:type="paragraph" w:styleId="BalloonText">
    <w:name w:val="Balloon Text"/>
    <w:basedOn w:val="Normal"/>
    <w:link w:val="BalloonTextChar"/>
    <w:uiPriority w:val="99"/>
    <w:semiHidden/>
    <w:unhideWhenUsed/>
    <w:rsid w:val="00361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2B4"/>
    <w:rPr>
      <w:rFonts w:ascii="Tahoma" w:hAnsi="Tahoma" w:cs="Tahoma"/>
      <w:sz w:val="16"/>
      <w:szCs w:val="16"/>
    </w:rPr>
  </w:style>
  <w:style w:type="paragraph" w:customStyle="1" w:styleId="PullOutText">
    <w:name w:val="Pull Out Text"/>
    <w:basedOn w:val="Normal"/>
    <w:qFormat/>
    <w:rsid w:val="00C57F9B"/>
    <w:pPr>
      <w:pBdr>
        <w:top w:val="single" w:sz="2" w:space="4" w:color="005A70"/>
        <w:left w:val="single" w:sz="2" w:space="4" w:color="005A70"/>
        <w:bottom w:val="single" w:sz="2" w:space="4" w:color="005A70"/>
        <w:right w:val="single" w:sz="2" w:space="4" w:color="005A70"/>
      </w:pBdr>
      <w:shd w:val="clear" w:color="auto" w:fill="005A70"/>
      <w:autoSpaceDE w:val="0"/>
      <w:autoSpaceDN w:val="0"/>
      <w:adjustRightInd w:val="0"/>
      <w:spacing w:before="480" w:after="480" w:line="360" w:lineRule="exact"/>
      <w:ind w:right="113"/>
    </w:pPr>
    <w:rPr>
      <w:rFonts w:ascii="Georgia" w:hAnsi="Georgia" w:cs="Georgia"/>
      <w:color w:val="FFFFFF"/>
      <w:sz w:val="24"/>
      <w:szCs w:val="24"/>
    </w:rPr>
  </w:style>
  <w:style w:type="character" w:styleId="Hyperlink">
    <w:name w:val="Hyperlink"/>
    <w:basedOn w:val="DefaultParagraphFont"/>
    <w:uiPriority w:val="99"/>
    <w:rsid w:val="001F33AF"/>
    <w:rPr>
      <w:rFonts w:ascii="Arial" w:hAnsi="Arial"/>
      <w:b w:val="0"/>
      <w:color w:val="0000FF"/>
      <w:sz w:val="22"/>
      <w:u w:val="single"/>
    </w:rPr>
  </w:style>
  <w:style w:type="character" w:styleId="FollowedHyperlink">
    <w:name w:val="FollowedHyperlink"/>
    <w:basedOn w:val="DefaultParagraphFont"/>
    <w:uiPriority w:val="99"/>
    <w:semiHidden/>
    <w:unhideWhenUsed/>
    <w:rsid w:val="005705AB"/>
    <w:rPr>
      <w:color w:val="000000" w:themeColor="followedHyperlink"/>
      <w:u w:val="single"/>
    </w:rPr>
  </w:style>
  <w:style w:type="character" w:styleId="CommentReference">
    <w:name w:val="annotation reference"/>
    <w:basedOn w:val="DefaultParagraphFont"/>
    <w:uiPriority w:val="99"/>
    <w:semiHidden/>
    <w:unhideWhenUsed/>
    <w:rsid w:val="00616458"/>
    <w:rPr>
      <w:sz w:val="16"/>
      <w:szCs w:val="16"/>
    </w:rPr>
  </w:style>
  <w:style w:type="paragraph" w:styleId="CommentText">
    <w:name w:val="annotation text"/>
    <w:basedOn w:val="Normal"/>
    <w:link w:val="CommentTextChar"/>
    <w:uiPriority w:val="99"/>
    <w:semiHidden/>
    <w:unhideWhenUsed/>
    <w:rsid w:val="00616458"/>
    <w:pPr>
      <w:spacing w:line="240" w:lineRule="auto"/>
    </w:pPr>
    <w:rPr>
      <w:sz w:val="20"/>
      <w:szCs w:val="20"/>
    </w:rPr>
  </w:style>
  <w:style w:type="character" w:customStyle="1" w:styleId="CommentTextChar">
    <w:name w:val="Comment Text Char"/>
    <w:basedOn w:val="DefaultParagraphFont"/>
    <w:link w:val="CommentText"/>
    <w:uiPriority w:val="99"/>
    <w:semiHidden/>
    <w:rsid w:val="00616458"/>
    <w:rPr>
      <w:rFonts w:ascii="Arial" w:hAnsi="Arial"/>
      <w:sz w:val="20"/>
      <w:szCs w:val="20"/>
    </w:rPr>
  </w:style>
  <w:style w:type="paragraph" w:styleId="PlainText">
    <w:name w:val="Plain Text"/>
    <w:basedOn w:val="Normal"/>
    <w:link w:val="PlainTextChar"/>
    <w:uiPriority w:val="99"/>
    <w:unhideWhenUsed/>
    <w:rsid w:val="009843F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843F9"/>
    <w:rPr>
      <w:rFonts w:ascii="Calibri" w:hAnsi="Calibri"/>
      <w:szCs w:val="21"/>
    </w:r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locked/>
    <w:rsid w:val="00726AB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ss.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s.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udget.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udget.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_SG0064\AppData\Local\Microsoft\Windows\Temporary%20Internet%20Files\Content.Outlook\VPA2PUXR\Budget%20fact%20sheet%20template%202017_FA%20(2)%20(2).dotx"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035A8-4033-4BD4-B0F3-8D61445A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fact sheet template 2017_FA (2) (2).dotx</Template>
  <TotalTime>1</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Budget 2015</vt:lpstr>
    </vt:vector>
  </TitlesOfParts>
  <Company>Department of Social Services</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2015</dc:title>
  <dc:creator>GONZALEZ, Samantha - Secure</dc:creator>
  <cp:lastModifiedBy>CLARK, Ian</cp:lastModifiedBy>
  <cp:revision>5</cp:revision>
  <cp:lastPrinted>2019-03-31T01:51:00Z</cp:lastPrinted>
  <dcterms:created xsi:type="dcterms:W3CDTF">2019-04-02T00:36:00Z</dcterms:created>
  <dcterms:modified xsi:type="dcterms:W3CDTF">2019-04-02T04:33:00Z</dcterms:modified>
</cp:coreProperties>
</file>