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F5" w:rsidRPr="00C57F9B" w:rsidRDefault="00796BE2" w:rsidP="004E44F5">
      <w:pPr>
        <w:pStyle w:val="Title"/>
        <w:rPr>
          <w:color w:val="005A70"/>
        </w:rPr>
      </w:pPr>
      <w:bookmarkStart w:id="0" w:name="_GoBack"/>
      <w:bookmarkEnd w:id="0"/>
      <w:r>
        <w:rPr>
          <w:color w:val="005A70"/>
        </w:rPr>
        <w:t xml:space="preserve">Establishing the </w:t>
      </w:r>
      <w:r w:rsidR="004E44F5">
        <w:rPr>
          <w:color w:val="005A70"/>
        </w:rPr>
        <w:t>National Centre for the Prevention of Child Sexual Abuse</w:t>
      </w:r>
    </w:p>
    <w:p w:rsidR="00F8336D" w:rsidRPr="00AB2394" w:rsidRDefault="00F8336D" w:rsidP="00F37A34">
      <w:pPr>
        <w:pStyle w:val="Subtitle"/>
        <w:sectPr w:rsidR="00F8336D" w:rsidRPr="00AB2394" w:rsidSect="00AF34B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69" w:right="849" w:bottom="1440" w:left="851" w:header="567" w:footer="567" w:gutter="0"/>
          <w:cols w:space="708"/>
          <w:titlePg/>
          <w:docGrid w:linePitch="360"/>
        </w:sectPr>
      </w:pPr>
      <w:r>
        <w:t>201</w:t>
      </w:r>
      <w:r w:rsidR="00FF4B45">
        <w:t>9</w:t>
      </w:r>
      <w:r>
        <w:t xml:space="preserve"> Budget</w:t>
      </w:r>
    </w:p>
    <w:p w:rsidR="001C77D3" w:rsidRPr="00C57F9B" w:rsidRDefault="00616458" w:rsidP="001C77D3">
      <w:pPr>
        <w:pStyle w:val="PullOutText"/>
      </w:pPr>
      <w:r>
        <w:t xml:space="preserve">The Australian Government will aim to improve outcomes for survivors of child sexual abuse with the establishment of the National Centre for the Prevention of Child Sexual Abuse. </w:t>
      </w:r>
    </w:p>
    <w:p w:rsidR="00AB2394" w:rsidRDefault="00D1206A" w:rsidP="00DA021C">
      <w:pPr>
        <w:pStyle w:val="Heading1"/>
      </w:pPr>
      <w:r>
        <w:t xml:space="preserve">What </w:t>
      </w:r>
      <w:proofErr w:type="gramStart"/>
      <w:r>
        <w:t>was announced</w:t>
      </w:r>
      <w:proofErr w:type="gramEnd"/>
      <w:r>
        <w:t xml:space="preserve"> in </w:t>
      </w:r>
      <w:r w:rsidR="00DD0A56">
        <w:br/>
      </w:r>
      <w:r>
        <w:t>the 201</w:t>
      </w:r>
      <w:r w:rsidR="00FF4B45">
        <w:t>9</w:t>
      </w:r>
      <w:r>
        <w:t xml:space="preserve"> </w:t>
      </w:r>
      <w:r w:rsidR="00DD0A56">
        <w:t>B</w:t>
      </w:r>
      <w:r>
        <w:t>udget?</w:t>
      </w:r>
    </w:p>
    <w:p w:rsidR="00616458" w:rsidRPr="00C86945" w:rsidRDefault="00616458" w:rsidP="00616458">
      <w:pPr>
        <w:spacing w:after="200" w:line="276" w:lineRule="auto"/>
        <w:rPr>
          <w:rFonts w:cs="Arial"/>
        </w:rPr>
      </w:pPr>
      <w:r>
        <w:rPr>
          <w:rFonts w:cs="Arial"/>
        </w:rPr>
        <w:t>T</w:t>
      </w:r>
      <w:r w:rsidRPr="00C86945">
        <w:rPr>
          <w:rFonts w:cs="Arial"/>
        </w:rPr>
        <w:t xml:space="preserve">he Government </w:t>
      </w:r>
      <w:r>
        <w:rPr>
          <w:rFonts w:cs="Arial"/>
        </w:rPr>
        <w:t xml:space="preserve">has </w:t>
      </w:r>
      <w:r w:rsidR="00F309D6">
        <w:rPr>
          <w:rFonts w:cs="Arial"/>
        </w:rPr>
        <w:t>committed $25</w:t>
      </w:r>
      <w:r w:rsidRPr="00C86945">
        <w:rPr>
          <w:rFonts w:cs="Arial"/>
        </w:rPr>
        <w:t xml:space="preserve">.5 million </w:t>
      </w:r>
      <w:r w:rsidR="00490BC5">
        <w:rPr>
          <w:rFonts w:cs="Arial"/>
        </w:rPr>
        <w:t xml:space="preserve">(to 2024-25) </w:t>
      </w:r>
      <w:r w:rsidRPr="00C86945">
        <w:rPr>
          <w:rFonts w:cs="Arial"/>
        </w:rPr>
        <w:t>towards the establishment of the National Centre for the Prevention of Child Sexual Abuse (the National Centre).</w:t>
      </w:r>
    </w:p>
    <w:p w:rsidR="00616458" w:rsidRDefault="00616458" w:rsidP="00616458">
      <w:pPr>
        <w:spacing w:before="120" w:after="120" w:line="240" w:lineRule="auto"/>
        <w:rPr>
          <w:rFonts w:cs="Arial"/>
        </w:rPr>
      </w:pPr>
      <w:r>
        <w:rPr>
          <w:rFonts w:cs="Arial"/>
        </w:rPr>
        <w:t xml:space="preserve">The National Centre aims to prevent child sexual abuse, reducing the associated stigma, and raise awareness and understanding of the impacts of child sexual abuse. </w:t>
      </w:r>
    </w:p>
    <w:p w:rsidR="006D69F6" w:rsidRPr="00F8336D" w:rsidRDefault="00616458" w:rsidP="00616458">
      <w:r>
        <w:rPr>
          <w:rFonts w:cs="Arial"/>
        </w:rPr>
        <w:t xml:space="preserve">It will provide a national, strategic focus to </w:t>
      </w:r>
      <w:proofErr w:type="gramStart"/>
      <w:r>
        <w:rPr>
          <w:rFonts w:cs="Arial"/>
        </w:rPr>
        <w:t>research and improve the capacity of services to respond to survivors, reduce offender recidivism</w:t>
      </w:r>
      <w:proofErr w:type="gramEnd"/>
      <w:r>
        <w:rPr>
          <w:rFonts w:cs="Arial"/>
        </w:rPr>
        <w:t xml:space="preserve"> and help to prevent future child sexual abuse.  </w:t>
      </w:r>
    </w:p>
    <w:p w:rsidR="006D69F6" w:rsidRPr="006D69F6" w:rsidRDefault="00D1206A" w:rsidP="00F8336D">
      <w:pPr>
        <w:pStyle w:val="Heading1"/>
      </w:pPr>
      <w:r>
        <w:t>Key facts</w:t>
      </w:r>
    </w:p>
    <w:p w:rsidR="00616458" w:rsidRPr="00DD0F19" w:rsidRDefault="00616458" w:rsidP="00DD0F19">
      <w:pPr>
        <w:pStyle w:val="ListParagraph"/>
        <w:numPr>
          <w:ilvl w:val="0"/>
          <w:numId w:val="6"/>
        </w:numPr>
        <w:spacing w:before="120" w:after="120" w:line="240" w:lineRule="auto"/>
        <w:rPr>
          <w:rFonts w:cs="Arial"/>
        </w:rPr>
      </w:pPr>
      <w:r w:rsidRPr="00DD0F19">
        <w:rPr>
          <w:rFonts w:cs="Arial"/>
        </w:rPr>
        <w:t xml:space="preserve">The establishment of the National Centre was a recommendation of the Royal </w:t>
      </w:r>
      <w:r w:rsidRPr="00DD0F19">
        <w:rPr>
          <w:rFonts w:cs="Arial"/>
        </w:rPr>
        <w:t xml:space="preserve">Commission into Institutional Responses to Child Sexual Abuse (Recommendation 9.9). </w:t>
      </w:r>
    </w:p>
    <w:p w:rsidR="00616458" w:rsidRPr="00DD0F19" w:rsidRDefault="00616458" w:rsidP="00DD0F19">
      <w:pPr>
        <w:pStyle w:val="ListParagraph"/>
        <w:numPr>
          <w:ilvl w:val="0"/>
          <w:numId w:val="6"/>
        </w:numPr>
        <w:spacing w:before="120" w:after="120" w:line="240" w:lineRule="auto"/>
        <w:rPr>
          <w:rFonts w:cs="Arial"/>
        </w:rPr>
      </w:pPr>
      <w:r w:rsidRPr="00DD0F19">
        <w:rPr>
          <w:rFonts w:cs="Arial"/>
        </w:rPr>
        <w:t>The Governmen</w:t>
      </w:r>
      <w:r w:rsidR="00254B32">
        <w:rPr>
          <w:rFonts w:cs="Arial"/>
        </w:rPr>
        <w:t xml:space="preserve">t will work with the sector to </w:t>
      </w:r>
      <w:r w:rsidRPr="00DD0F19">
        <w:rPr>
          <w:rFonts w:cs="Arial"/>
        </w:rPr>
        <w:t xml:space="preserve">co-design the National Centre. </w:t>
      </w:r>
    </w:p>
    <w:p w:rsidR="00616458" w:rsidRPr="00DD0F19" w:rsidRDefault="00616458" w:rsidP="00DD0F19">
      <w:pPr>
        <w:pStyle w:val="ListParagraph"/>
        <w:numPr>
          <w:ilvl w:val="0"/>
          <w:numId w:val="6"/>
        </w:numPr>
        <w:spacing w:before="120" w:after="120" w:line="240" w:lineRule="auto"/>
        <w:rPr>
          <w:rFonts w:cs="Arial"/>
        </w:rPr>
      </w:pPr>
      <w:r w:rsidRPr="00DD0F19">
        <w:rPr>
          <w:rFonts w:cs="Arial"/>
        </w:rPr>
        <w:t>The National Centre will improve outcomes for survivors by:</w:t>
      </w:r>
    </w:p>
    <w:p w:rsidR="00616458" w:rsidRDefault="00616458" w:rsidP="00DD0F19">
      <w:pPr>
        <w:numPr>
          <w:ilvl w:val="1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raising practitioner, parent, organisational and community awareness and promoting destigmatising messages</w:t>
      </w:r>
    </w:p>
    <w:p w:rsidR="00616458" w:rsidRDefault="00616458" w:rsidP="00DD0F19">
      <w:pPr>
        <w:numPr>
          <w:ilvl w:val="1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increasing practitioners’ knowledge and competence in responding to child and adult survivors by identifying best practice and building the evidence base on what works</w:t>
      </w:r>
    </w:p>
    <w:p w:rsidR="00616458" w:rsidRDefault="00616458" w:rsidP="00DD0F19">
      <w:pPr>
        <w:numPr>
          <w:ilvl w:val="1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informing the development of better primary prevention, secondary support and tertiary intervention service models through research and evaluation</w:t>
      </w:r>
    </w:p>
    <w:p w:rsidR="00616458" w:rsidRDefault="00616458" w:rsidP="00DD0F19">
      <w:pPr>
        <w:numPr>
          <w:ilvl w:val="1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increasing practitioner, parent, organisational and community knowledge and competence in preventing and responding to child sexual abuse, and </w:t>
      </w:r>
    </w:p>
    <w:p w:rsidR="00616458" w:rsidRDefault="00616458" w:rsidP="00DD0F19">
      <w:pPr>
        <w:numPr>
          <w:ilvl w:val="1"/>
          <w:numId w:val="6"/>
        </w:numPr>
        <w:spacing w:after="0" w:line="240" w:lineRule="auto"/>
        <w:rPr>
          <w:rFonts w:cs="Arial"/>
        </w:rPr>
      </w:pPr>
      <w:proofErr w:type="gramStart"/>
      <w:r>
        <w:rPr>
          <w:rFonts w:cs="Arial"/>
        </w:rPr>
        <w:t>building</w:t>
      </w:r>
      <w:proofErr w:type="gramEnd"/>
      <w:r>
        <w:rPr>
          <w:rFonts w:cs="Arial"/>
        </w:rPr>
        <w:t xml:space="preserve"> the capability of organisations to treat perpetrators, including children, who display inappropriate or harmful sexual behaviours.</w:t>
      </w:r>
    </w:p>
    <w:p w:rsidR="00616458" w:rsidRPr="00DD0F19" w:rsidRDefault="00616458" w:rsidP="00DD0F19">
      <w:pPr>
        <w:pStyle w:val="ListParagraph"/>
        <w:numPr>
          <w:ilvl w:val="0"/>
          <w:numId w:val="6"/>
        </w:numPr>
        <w:spacing w:before="120" w:after="120" w:line="240" w:lineRule="auto"/>
        <w:rPr>
          <w:rFonts w:cs="Arial"/>
        </w:rPr>
      </w:pPr>
      <w:r w:rsidRPr="00DD0F19">
        <w:rPr>
          <w:rFonts w:cs="Arial"/>
        </w:rPr>
        <w:lastRenderedPageBreak/>
        <w:t>The National Centre’s governance will be independent of the Government.</w:t>
      </w:r>
    </w:p>
    <w:p w:rsidR="00616458" w:rsidRPr="00DD0F19" w:rsidRDefault="00616458" w:rsidP="00DD0F19">
      <w:pPr>
        <w:pStyle w:val="ListParagraph"/>
        <w:numPr>
          <w:ilvl w:val="0"/>
          <w:numId w:val="6"/>
        </w:numPr>
        <w:spacing w:before="120" w:after="120" w:line="240" w:lineRule="auto"/>
        <w:rPr>
          <w:rFonts w:cs="Arial"/>
        </w:rPr>
      </w:pPr>
      <w:r w:rsidRPr="00DD0F19">
        <w:rPr>
          <w:rFonts w:cs="Arial"/>
        </w:rPr>
        <w:t xml:space="preserve">The National Centre will </w:t>
      </w:r>
      <w:proofErr w:type="gramStart"/>
      <w:r w:rsidRPr="00DD0F19">
        <w:rPr>
          <w:rFonts w:cs="Arial"/>
        </w:rPr>
        <w:t>partner</w:t>
      </w:r>
      <w:proofErr w:type="gramEnd"/>
      <w:r w:rsidRPr="00DD0F19">
        <w:rPr>
          <w:rFonts w:cs="Arial"/>
        </w:rPr>
        <w:t xml:space="preserve"> with survivors in all its work, valuing their knowledge and experience. </w:t>
      </w:r>
    </w:p>
    <w:p w:rsidR="00616458" w:rsidRPr="00102FA8" w:rsidRDefault="00616458" w:rsidP="00616458">
      <w:pPr>
        <w:spacing w:before="120" w:after="120" w:line="240" w:lineRule="auto"/>
        <w:rPr>
          <w:rFonts w:cs="Arial"/>
        </w:rPr>
      </w:pPr>
      <w:r w:rsidRPr="00102FA8">
        <w:rPr>
          <w:rFonts w:cs="Arial"/>
        </w:rPr>
        <w:t xml:space="preserve">The state and territory governments </w:t>
      </w:r>
      <w:proofErr w:type="gramStart"/>
      <w:r>
        <w:rPr>
          <w:rFonts w:cs="Arial"/>
        </w:rPr>
        <w:t>have been asked</w:t>
      </w:r>
      <w:proofErr w:type="gramEnd"/>
      <w:r>
        <w:rPr>
          <w:rFonts w:cs="Arial"/>
        </w:rPr>
        <w:t xml:space="preserve"> to</w:t>
      </w:r>
      <w:r w:rsidRPr="00102FA8">
        <w:rPr>
          <w:rFonts w:cs="Arial"/>
        </w:rPr>
        <w:t xml:space="preserve"> work as partners in this important venture.</w:t>
      </w:r>
    </w:p>
    <w:p w:rsidR="00B77D94" w:rsidRPr="00B77D94" w:rsidRDefault="00F8336D" w:rsidP="001F33AF">
      <w:pPr>
        <w:pStyle w:val="Heading2"/>
      </w:pPr>
      <w:r>
        <w:t>More information</w:t>
      </w:r>
    </w:p>
    <w:p w:rsidR="001F33AF" w:rsidRPr="00C25E01" w:rsidRDefault="001F33AF" w:rsidP="001F33AF">
      <w:r w:rsidRPr="00C25E01">
        <w:t xml:space="preserve">For more information about this measure and other Department of Social Services’ Budget measures, </w:t>
      </w:r>
      <w:r>
        <w:t xml:space="preserve">visit </w:t>
      </w:r>
      <w:r w:rsidRPr="00D22A8A">
        <w:t xml:space="preserve">the </w:t>
      </w:r>
      <w:hyperlink r:id="rId12" w:history="1">
        <w:r w:rsidRPr="00D22A8A">
          <w:rPr>
            <w:rStyle w:val="Hyperlink"/>
            <w:rFonts w:eastAsiaTheme="majorEastAsia"/>
          </w:rPr>
          <w:t>Department of Social Services</w:t>
        </w:r>
      </w:hyperlink>
      <w:r w:rsidRPr="00D22A8A">
        <w:t xml:space="preserve"> website (</w:t>
      </w:r>
      <w:hyperlink r:id="rId13" w:history="1">
        <w:r w:rsidR="003E25A5">
          <w:rPr>
            <w:rStyle w:val="Hyperlink"/>
            <w:rFonts w:eastAsiaTheme="majorEastAsia"/>
          </w:rPr>
          <w:t>dss.gov.au</w:t>
        </w:r>
      </w:hyperlink>
      <w:r w:rsidRPr="00D22A8A">
        <w:t>)</w:t>
      </w:r>
      <w:r>
        <w:t>.</w:t>
      </w:r>
      <w:r w:rsidRPr="00D22A8A">
        <w:t xml:space="preserve"> </w:t>
      </w:r>
    </w:p>
    <w:p w:rsidR="001F33AF" w:rsidRDefault="001F33AF" w:rsidP="001F33AF">
      <w:r w:rsidRPr="00C25E01">
        <w:t xml:space="preserve">For information about </w:t>
      </w:r>
      <w:r>
        <w:t>the 201</w:t>
      </w:r>
      <w:r w:rsidR="00FF4B45">
        <w:t>9</w:t>
      </w:r>
      <w:r>
        <w:t xml:space="preserve"> </w:t>
      </w:r>
      <w:r w:rsidRPr="00C25E01">
        <w:t xml:space="preserve">Budget, </w:t>
      </w:r>
      <w:r>
        <w:t xml:space="preserve">visit the </w:t>
      </w:r>
      <w:hyperlink r:id="rId14" w:history="1">
        <w:r w:rsidRPr="001F33AF">
          <w:rPr>
            <w:rStyle w:val="Hyperlink"/>
          </w:rPr>
          <w:t>Australian Government budget</w:t>
        </w:r>
      </w:hyperlink>
      <w:r>
        <w:t xml:space="preserve"> website</w:t>
      </w:r>
      <w:r w:rsidRPr="00C25E01">
        <w:t xml:space="preserve"> </w:t>
      </w:r>
      <w:r>
        <w:t>(</w:t>
      </w:r>
      <w:hyperlink r:id="rId15" w:history="1">
        <w:r w:rsidR="003E25A5">
          <w:rPr>
            <w:rStyle w:val="Hyperlink"/>
          </w:rPr>
          <w:t>budget.gov.au</w:t>
        </w:r>
      </w:hyperlink>
      <w:r w:rsidRPr="001F33AF">
        <w:t>).</w:t>
      </w:r>
    </w:p>
    <w:sectPr w:rsidR="001F33AF" w:rsidSect="00AF34BE">
      <w:headerReference w:type="default" r:id="rId16"/>
      <w:footerReference w:type="default" r:id="rId17"/>
      <w:type w:val="continuous"/>
      <w:pgSz w:w="11906" w:h="16838"/>
      <w:pgMar w:top="1102" w:right="849" w:bottom="851" w:left="851" w:header="426" w:footer="567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AF" w:rsidRDefault="000567AF" w:rsidP="00410EB6">
      <w:pPr>
        <w:spacing w:after="0" w:line="240" w:lineRule="auto"/>
      </w:pPr>
      <w:r>
        <w:separator/>
      </w:r>
    </w:p>
  </w:endnote>
  <w:endnote w:type="continuationSeparator" w:id="0">
    <w:p w:rsidR="000567AF" w:rsidRDefault="000567AF" w:rsidP="0041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HelveticaNeue LT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69" w:rsidRDefault="00804E69" w:rsidP="00804E69">
    <w:pPr>
      <w:pStyle w:val="Footer"/>
      <w:jc w:val="center"/>
    </w:pPr>
  </w:p>
  <w:p w:rsidR="00D87486" w:rsidRDefault="00D87486" w:rsidP="006D69F6">
    <w:pPr>
      <w:pStyle w:val="Footer"/>
      <w:pBdr>
        <w:top w:val="single" w:sz="4" w:space="1" w:color="D9D9D9" w:themeColor="background1" w:themeShade="D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51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E69" w:rsidRDefault="00560A0B" w:rsidP="00560A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1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113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E69" w:rsidRDefault="00560A0B" w:rsidP="00560A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AF" w:rsidRDefault="000567AF" w:rsidP="00410EB6">
      <w:pPr>
        <w:spacing w:after="0" w:line="240" w:lineRule="auto"/>
      </w:pPr>
      <w:r>
        <w:separator/>
      </w:r>
    </w:p>
  </w:footnote>
  <w:footnote w:type="continuationSeparator" w:id="0">
    <w:p w:rsidR="000567AF" w:rsidRDefault="000567AF" w:rsidP="0041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4" w:rsidRPr="003612B4" w:rsidRDefault="003612B4" w:rsidP="003612B4">
    <w:pPr>
      <w:ind w:left="-7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4" w:rsidRPr="003612B4" w:rsidRDefault="003612B4" w:rsidP="00AF34BE">
    <w:pPr>
      <w:spacing w:before="2000" w:after="0"/>
      <w:ind w:left="-850"/>
      <w:jc w:val="center"/>
    </w:pPr>
    <w:r w:rsidRPr="00AF34BE">
      <w:rPr>
        <w:noProof/>
        <w:lang w:eastAsia="en-AU"/>
      </w:rPr>
      <w:drawing>
        <wp:inline distT="0" distB="0" distL="0" distR="0" wp14:anchorId="45E36731" wp14:editId="3FFA9B97">
          <wp:extent cx="7559900" cy="1443598"/>
          <wp:effectExtent l="0" t="0" r="3175" b="4445"/>
          <wp:docPr id="7" name="Picture 7" descr="Department of Social Services logo with Australian Government Crest. Department of Social Services branding with silhouettes of man in wheelchair, child, woman, man and two women." title="Department of Social Services logo and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00" cy="144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6A" w:rsidRPr="003612B4" w:rsidRDefault="00D1206A" w:rsidP="003612B4">
    <w:pPr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29ED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7A48A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73686"/>
    <w:multiLevelType w:val="hybridMultilevel"/>
    <w:tmpl w:val="EF6C8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C87"/>
    <w:multiLevelType w:val="hybridMultilevel"/>
    <w:tmpl w:val="CA0D98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3A175D8"/>
    <w:multiLevelType w:val="hybridMultilevel"/>
    <w:tmpl w:val="5936D59A"/>
    <w:lvl w:ilvl="0" w:tplc="CB24A91E">
      <w:start w:val="1"/>
      <w:numFmt w:val="bullet"/>
      <w:lvlText w:val=""/>
      <w:lvlJc w:val="left"/>
      <w:pPr>
        <w:tabs>
          <w:tab w:val="num" w:pos="397"/>
        </w:tabs>
        <w:ind w:left="454" w:hanging="227"/>
      </w:pPr>
      <w:rPr>
        <w:rFonts w:ascii="Symbol" w:hAnsi="Symbol" w:hint="default"/>
        <w:color w:val="auto"/>
        <w:sz w:val="20"/>
        <w:szCs w:val="20"/>
      </w:rPr>
    </w:lvl>
    <w:lvl w:ilvl="1" w:tplc="11F07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46609"/>
    <w:multiLevelType w:val="hybridMultilevel"/>
    <w:tmpl w:val="688C5E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C5"/>
    <w:rsid w:val="0004147F"/>
    <w:rsid w:val="000567AF"/>
    <w:rsid w:val="000758AC"/>
    <w:rsid w:val="00081610"/>
    <w:rsid w:val="000B74EA"/>
    <w:rsid w:val="000C350D"/>
    <w:rsid w:val="00120A46"/>
    <w:rsid w:val="00182537"/>
    <w:rsid w:val="001C77D3"/>
    <w:rsid w:val="001D6E9D"/>
    <w:rsid w:val="001E630D"/>
    <w:rsid w:val="001F33AF"/>
    <w:rsid w:val="00254B32"/>
    <w:rsid w:val="00345B22"/>
    <w:rsid w:val="003612B4"/>
    <w:rsid w:val="003B2BB8"/>
    <w:rsid w:val="003D34FF"/>
    <w:rsid w:val="003E25A5"/>
    <w:rsid w:val="003F4A5C"/>
    <w:rsid w:val="00410EB6"/>
    <w:rsid w:val="00490BC5"/>
    <w:rsid w:val="004B54CA"/>
    <w:rsid w:val="004E21B5"/>
    <w:rsid w:val="004E44F5"/>
    <w:rsid w:val="004E5CBF"/>
    <w:rsid w:val="00545286"/>
    <w:rsid w:val="00560A0B"/>
    <w:rsid w:val="005705AB"/>
    <w:rsid w:val="005C3AA9"/>
    <w:rsid w:val="005D6182"/>
    <w:rsid w:val="00616458"/>
    <w:rsid w:val="006A4CE7"/>
    <w:rsid w:val="006D69F6"/>
    <w:rsid w:val="00774C46"/>
    <w:rsid w:val="00785261"/>
    <w:rsid w:val="00796BE2"/>
    <w:rsid w:val="007A72AB"/>
    <w:rsid w:val="007B0256"/>
    <w:rsid w:val="007E377B"/>
    <w:rsid w:val="007F107A"/>
    <w:rsid w:val="00804E69"/>
    <w:rsid w:val="008565DF"/>
    <w:rsid w:val="008930F0"/>
    <w:rsid w:val="00911DC5"/>
    <w:rsid w:val="009225F0"/>
    <w:rsid w:val="00994FD8"/>
    <w:rsid w:val="009E2EA1"/>
    <w:rsid w:val="009F3949"/>
    <w:rsid w:val="00A538B3"/>
    <w:rsid w:val="00AB2394"/>
    <w:rsid w:val="00AF34BE"/>
    <w:rsid w:val="00B77D94"/>
    <w:rsid w:val="00BA2DB9"/>
    <w:rsid w:val="00BE7148"/>
    <w:rsid w:val="00C57F9B"/>
    <w:rsid w:val="00C7007A"/>
    <w:rsid w:val="00D1206A"/>
    <w:rsid w:val="00D316B8"/>
    <w:rsid w:val="00D87486"/>
    <w:rsid w:val="00DA021C"/>
    <w:rsid w:val="00DD0A56"/>
    <w:rsid w:val="00DD0F19"/>
    <w:rsid w:val="00EA2142"/>
    <w:rsid w:val="00EC0F12"/>
    <w:rsid w:val="00F309D6"/>
    <w:rsid w:val="00F37A34"/>
    <w:rsid w:val="00F671B0"/>
    <w:rsid w:val="00F8336D"/>
    <w:rsid w:val="00FB4BCB"/>
    <w:rsid w:val="00FD6E84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8ED83F9-21E5-467E-AACD-90F623B7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6D"/>
    <w:pPr>
      <w:spacing w:after="240" w:line="280" w:lineRule="exact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C57F9B"/>
    <w:pPr>
      <w:spacing w:before="360" w:after="120" w:line="240" w:lineRule="auto"/>
      <w:contextualSpacing/>
      <w:outlineLvl w:val="0"/>
    </w:pPr>
    <w:rPr>
      <w:rFonts w:ascii="Georgia" w:eastAsiaTheme="majorEastAsia" w:hAnsi="Georgia" w:cstheme="majorBidi"/>
      <w:bCs/>
      <w:color w:val="005A70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7F9B"/>
    <w:pPr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2394"/>
    <w:pPr>
      <w:spacing w:before="120" w:after="240"/>
      <w:outlineLvl w:val="2"/>
    </w:pPr>
    <w:rPr>
      <w:bCs/>
      <w:color w:val="520A7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F9B"/>
    <w:rPr>
      <w:rFonts w:ascii="Georgia" w:eastAsiaTheme="majorEastAsia" w:hAnsi="Georgia" w:cstheme="majorBidi"/>
      <w:bCs/>
      <w:color w:val="005A7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7F9B"/>
    <w:rPr>
      <w:rFonts w:ascii="Georgia" w:eastAsiaTheme="majorEastAsia" w:hAnsi="Georgia" w:cstheme="majorBidi"/>
      <w:color w:val="005A70"/>
      <w:sz w:val="32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B2394"/>
    <w:rPr>
      <w:rFonts w:ascii="Georgia" w:eastAsiaTheme="majorEastAsia" w:hAnsi="Georgia" w:cstheme="majorBidi"/>
      <w:bCs/>
      <w:color w:val="520A76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5B22"/>
    <w:pPr>
      <w:spacing w:before="120" w:after="120" w:line="240" w:lineRule="auto"/>
    </w:pPr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B22"/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22"/>
    <w:pPr>
      <w:spacing w:before="120" w:after="840" w:line="280" w:lineRule="atLeast"/>
    </w:pPr>
    <w:rPr>
      <w:rFonts w:ascii="Georgia" w:eastAsiaTheme="majorEastAsia" w:hAnsi="Georgia" w:cstheme="majorBidi"/>
      <w:iCs/>
      <w:spacing w:val="13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5B22"/>
    <w:rPr>
      <w:rFonts w:ascii="Georgia" w:eastAsiaTheme="majorEastAsia" w:hAnsi="Georgia" w:cstheme="majorBidi"/>
      <w:iCs/>
      <w:spacing w:val="13"/>
      <w:sz w:val="36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DA021C"/>
    <w:rPr>
      <w:rFonts w:ascii="Arial" w:hAnsi="Arial"/>
      <w:b/>
      <w:bCs/>
      <w:i w:val="0"/>
      <w:iCs/>
      <w:color w:val="520A76"/>
      <w:spacing w:val="6"/>
      <w:sz w:val="24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customStyle="1" w:styleId="Introtext">
    <w:name w:val="Intro text"/>
    <w:basedOn w:val="Normal"/>
    <w:qFormat/>
    <w:rsid w:val="00345B22"/>
    <w:pPr>
      <w:spacing w:before="240" w:after="480" w:line="340" w:lineRule="exact"/>
    </w:pPr>
    <w:rPr>
      <w:b/>
      <w:color w:val="500778"/>
      <w:sz w:val="26"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20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4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0A0B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0A0B"/>
    <w:rPr>
      <w:rFonts w:ascii="Arial" w:hAnsi="Arial"/>
      <w:sz w:val="16"/>
    </w:rPr>
  </w:style>
  <w:style w:type="paragraph" w:customStyle="1" w:styleId="Default">
    <w:name w:val="Default"/>
    <w:rsid w:val="00AB2394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D316B8"/>
    <w:pPr>
      <w:numPr>
        <w:numId w:val="2"/>
      </w:numPr>
      <w:ind w:left="714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B4"/>
    <w:rPr>
      <w:rFonts w:ascii="Tahoma" w:hAnsi="Tahoma" w:cs="Tahoma"/>
      <w:sz w:val="16"/>
      <w:szCs w:val="16"/>
    </w:rPr>
  </w:style>
  <w:style w:type="paragraph" w:customStyle="1" w:styleId="PullOutText">
    <w:name w:val="Pull Out Text"/>
    <w:basedOn w:val="Normal"/>
    <w:qFormat/>
    <w:rsid w:val="00C57F9B"/>
    <w:pPr>
      <w:pBdr>
        <w:top w:val="single" w:sz="2" w:space="4" w:color="005A70"/>
        <w:left w:val="single" w:sz="2" w:space="4" w:color="005A70"/>
        <w:bottom w:val="single" w:sz="2" w:space="4" w:color="005A70"/>
        <w:right w:val="single" w:sz="2" w:space="4" w:color="005A70"/>
      </w:pBdr>
      <w:shd w:val="clear" w:color="auto" w:fill="005A70"/>
      <w:autoSpaceDE w:val="0"/>
      <w:autoSpaceDN w:val="0"/>
      <w:adjustRightInd w:val="0"/>
      <w:spacing w:before="480" w:after="480" w:line="360" w:lineRule="exact"/>
      <w:ind w:right="113"/>
    </w:pPr>
    <w:rPr>
      <w:rFonts w:ascii="Georgia" w:hAnsi="Georgia" w:cs="Georgia"/>
      <w:color w:val="FFFFFF"/>
      <w:sz w:val="24"/>
      <w:szCs w:val="24"/>
    </w:rPr>
  </w:style>
  <w:style w:type="character" w:styleId="Hyperlink">
    <w:name w:val="Hyperlink"/>
    <w:basedOn w:val="DefaultParagraphFont"/>
    <w:uiPriority w:val="99"/>
    <w:rsid w:val="001F33AF"/>
    <w:rPr>
      <w:rFonts w:ascii="Arial" w:hAnsi="Arial"/>
      <w:b w:val="0"/>
      <w:color w:val="0000FF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5AB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6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458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ss.gov.a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s.gov.a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udget.gov.a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udget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_SG0064\AppData\Local\Microsoft\Windows\Temporary%20Internet%20Files\Content.Outlook\VPA2PUXR\Budget%20fact%20sheet%20template%202017_FA%20(2)%20(2).dotx" TargetMode="Externa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9D50-944D-4088-A623-650DEF26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fact sheet template 2017_FA (2) (2).dotx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2015</vt:lpstr>
    </vt:vector>
  </TitlesOfParts>
  <Company>Department of Social Services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2015</dc:title>
  <dc:creator>GONZALEZ, Samantha - Secure</dc:creator>
  <cp:lastModifiedBy>CLARK, Ian</cp:lastModifiedBy>
  <cp:revision>4</cp:revision>
  <cp:lastPrinted>2019-03-31T01:50:00Z</cp:lastPrinted>
  <dcterms:created xsi:type="dcterms:W3CDTF">2019-04-02T00:35:00Z</dcterms:created>
  <dcterms:modified xsi:type="dcterms:W3CDTF">2019-04-02T04:32:00Z</dcterms:modified>
</cp:coreProperties>
</file>