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2D9" w:rsidRPr="00B810F0" w:rsidRDefault="001712D9" w:rsidP="00B810F0">
      <w:pPr>
        <w:pStyle w:val="Heading1"/>
        <w:ind w:left="454"/>
        <w:sectPr w:rsidR="001712D9" w:rsidRPr="00B810F0" w:rsidSect="003E2D56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2801" w:right="2546" w:bottom="1134" w:left="737" w:header="737" w:footer="1489" w:gutter="0"/>
          <w:cols w:space="708"/>
          <w:titlePg/>
          <w:docGrid w:linePitch="360"/>
        </w:sectPr>
      </w:pPr>
      <w:bookmarkStart w:id="0" w:name="_Toc391890680"/>
      <w:r w:rsidRPr="00DA4BA0">
        <w:t xml:space="preserve">Australian Priority Investment </w:t>
      </w:r>
      <w:r w:rsidR="00261A54" w:rsidRPr="004B74EB">
        <w:br/>
      </w:r>
      <w:r w:rsidRPr="00B810F0">
        <w:t>Approach to Welfare –</w:t>
      </w:r>
      <w:r w:rsidR="007F7843" w:rsidRPr="00B810F0">
        <w:t xml:space="preserve"> </w:t>
      </w:r>
      <w:r w:rsidR="0021781A">
        <w:t>Parents</w:t>
      </w:r>
    </w:p>
    <w:bookmarkEnd w:id="0"/>
    <w:p w:rsidR="001F4B82" w:rsidRDefault="001F4B82" w:rsidP="00DA5460">
      <w:pPr>
        <w:pStyle w:val="Heading2"/>
        <w:sectPr w:rsidR="001F4B82" w:rsidSect="001C6104">
          <w:headerReference w:type="first" r:id="rId13"/>
          <w:footerReference w:type="first" r:id="rId14"/>
          <w:type w:val="continuous"/>
          <w:pgSz w:w="11906" w:h="16838" w:code="9"/>
          <w:pgMar w:top="737" w:right="2268" w:bottom="1134" w:left="737" w:header="737" w:footer="454" w:gutter="0"/>
          <w:cols w:space="708"/>
          <w:titlePg/>
          <w:docGrid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455C766" wp14:editId="69CF4FFF">
                <wp:simplePos x="0" y="0"/>
                <wp:positionH relativeFrom="column">
                  <wp:posOffset>274955</wp:posOffset>
                </wp:positionH>
                <wp:positionV relativeFrom="paragraph">
                  <wp:posOffset>54610</wp:posOffset>
                </wp:positionV>
                <wp:extent cx="6029325" cy="752475"/>
                <wp:effectExtent l="0" t="0" r="28575" b="28575"/>
                <wp:wrapTight wrapText="bothSides">
                  <wp:wrapPolygon edited="0">
                    <wp:start x="0" y="0"/>
                    <wp:lineTo x="0" y="21873"/>
                    <wp:lineTo x="21634" y="21873"/>
                    <wp:lineTo x="21634" y="0"/>
                    <wp:lineTo x="0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5C92" w:rsidRDefault="00BD5C92" w:rsidP="00BD5C92">
                            <w:pPr>
                              <w:pStyle w:val="textboxes"/>
                            </w:pPr>
                            <w:r w:rsidRPr="003677B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The Priority Investment Approach is a new way of looking at the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welfare</w:t>
                            </w:r>
                            <w:r w:rsidRPr="003677B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system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 It uses</w:t>
                            </w:r>
                            <w:r w:rsidRPr="003677B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data analysis to provide </w:t>
                            </w:r>
                            <w:r w:rsidRPr="003677B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insights into how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the system </w:t>
                            </w:r>
                            <w:r w:rsidRPr="003677B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is working and us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es</w:t>
                            </w:r>
                            <w:r w:rsidRPr="003677B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those insights to find innovative ways of helping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more </w:t>
                            </w:r>
                            <w:r w:rsidRPr="003677B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Australians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live independently of welfare.</w:t>
                            </w:r>
                          </w:p>
                          <w:p w:rsidR="001712D9" w:rsidRDefault="001712D9" w:rsidP="0015179E">
                            <w:pPr>
                              <w:pStyle w:val="textboxes"/>
                              <w:ind w:left="-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1.65pt;margin-top:4.3pt;width:474.75pt;height:5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" fillcolor="white [3201]" strokecolor="#78be20 [3207]" strokeweight=".5pt">
                <v:textbox inset="5mm">
                  <w:txbxContent>
                    <w:p w:rsidR="00BD5C92" w:rsidRDefault="00BD5C92" w:rsidP="00BD5C92">
                      <w:pPr>
                        <w:pStyle w:val="textboxes"/>
                      </w:pPr>
                      <w:r w:rsidRPr="003677B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The Priority Investment Approach is a new way of looking at the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welfare</w:t>
                      </w:r>
                      <w:r w:rsidRPr="003677B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system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 It uses</w:t>
                      </w:r>
                      <w:r w:rsidRPr="003677B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data analysis to provide </w:t>
                      </w:r>
                      <w:r w:rsidRPr="003677B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insights into how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the system </w:t>
                      </w:r>
                      <w:r w:rsidRPr="003677B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is working and us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es</w:t>
                      </w:r>
                      <w:r w:rsidRPr="003677B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those insights to find innovative ways of helping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more </w:t>
                      </w:r>
                      <w:r w:rsidRPr="003677B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Australians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live independently of welfare.</w:t>
                      </w:r>
                    </w:p>
                    <w:p w:rsidR="001712D9" w:rsidRDefault="001712D9" w:rsidP="0015179E">
                      <w:pPr>
                        <w:pStyle w:val="textboxes"/>
                        <w:ind w:left="-142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3E2D56" w:rsidRDefault="00D62AA4" w:rsidP="00DA5460">
      <w:pPr>
        <w:pStyle w:val="Heading2"/>
        <w:contextualSpacing w:val="0"/>
      </w:pPr>
      <w:r>
        <w:t xml:space="preserve">What </w:t>
      </w:r>
      <w:r w:rsidR="002D2DF5">
        <w:t>we know</w:t>
      </w:r>
    </w:p>
    <w:p w:rsidR="00B810F0" w:rsidRDefault="00B810F0" w:rsidP="00B810F0">
      <w:pPr>
        <w:rPr>
          <w:rStyle w:val="BookTitle"/>
          <w:rFonts w:ascii="Georgia" w:eastAsiaTheme="majorEastAsia" w:hAnsi="Georgia" w:cs="Arial"/>
          <w:bCs/>
          <w:i w:val="0"/>
          <w:iCs w:val="0"/>
          <w:smallCaps w:val="0"/>
          <w:color w:val="275D38" w:themeColor="accent5"/>
          <w:sz w:val="32"/>
          <w:szCs w:val="28"/>
        </w:rPr>
      </w:pPr>
      <w:r>
        <w:rPr>
          <w:rFonts w:eastAsiaTheme="majorEastAsia"/>
        </w:rPr>
        <w:t>In 20</w:t>
      </w:r>
      <w:r w:rsidR="00005FED">
        <w:rPr>
          <w:rFonts w:eastAsiaTheme="majorEastAsia"/>
        </w:rPr>
        <w:t>14-</w:t>
      </w:r>
      <w:r>
        <w:rPr>
          <w:rFonts w:eastAsiaTheme="majorEastAsia"/>
        </w:rPr>
        <w:t>15</w:t>
      </w:r>
      <w:r w:rsidR="00B52CA3">
        <w:rPr>
          <w:rFonts w:eastAsiaTheme="majorEastAsia"/>
        </w:rPr>
        <w:t>,</w:t>
      </w:r>
      <w:r>
        <w:rPr>
          <w:rFonts w:eastAsiaTheme="majorEastAsia"/>
        </w:rPr>
        <w:t xml:space="preserve"> t</w:t>
      </w:r>
      <w:r w:rsidRPr="00227224">
        <w:rPr>
          <w:rFonts w:eastAsiaTheme="majorEastAsia"/>
        </w:rPr>
        <w:t>here were 432,000 people receiving</w:t>
      </w:r>
      <w:r w:rsidRPr="00F36D12">
        <w:rPr>
          <w:rStyle w:val="BookTitle"/>
          <w:rFonts w:eastAsiaTheme="majorEastAsia"/>
          <w:i w:val="0"/>
          <w:iCs w:val="0"/>
          <w:smallCaps w:val="0"/>
        </w:rPr>
        <w:t xml:space="preserve"> </w:t>
      </w:r>
      <w:r>
        <w:rPr>
          <w:rStyle w:val="BookTitle"/>
          <w:rFonts w:eastAsiaTheme="majorEastAsia"/>
          <w:i w:val="0"/>
          <w:iCs w:val="0"/>
          <w:smallCaps w:val="0"/>
        </w:rPr>
        <w:t>P</w:t>
      </w:r>
      <w:r w:rsidRPr="00F36D12">
        <w:rPr>
          <w:rStyle w:val="BookTitle"/>
          <w:rFonts w:eastAsiaTheme="majorEastAsia"/>
          <w:i w:val="0"/>
          <w:iCs w:val="0"/>
          <w:smallCaps w:val="0"/>
        </w:rPr>
        <w:t xml:space="preserve">arenting </w:t>
      </w:r>
      <w:r>
        <w:rPr>
          <w:rStyle w:val="BookTitle"/>
          <w:rFonts w:eastAsiaTheme="majorEastAsia"/>
          <w:i w:val="0"/>
          <w:iCs w:val="0"/>
          <w:smallCaps w:val="0"/>
        </w:rPr>
        <w:t>Payment.</w:t>
      </w:r>
    </w:p>
    <w:p w:rsidR="00B810F0" w:rsidRDefault="00B810F0" w:rsidP="00B810F0">
      <w:pPr>
        <w:rPr>
          <w:rStyle w:val="BookTitle"/>
          <w:rFonts w:ascii="Georgia" w:eastAsiaTheme="majorEastAsia" w:hAnsi="Georgia" w:cs="Arial"/>
          <w:bCs/>
          <w:i w:val="0"/>
          <w:iCs w:val="0"/>
          <w:smallCaps w:val="0"/>
          <w:color w:val="275D38" w:themeColor="accent5"/>
          <w:sz w:val="32"/>
          <w:szCs w:val="28"/>
        </w:rPr>
      </w:pPr>
      <w:r>
        <w:rPr>
          <w:rStyle w:val="BookTitle"/>
          <w:rFonts w:eastAsiaTheme="majorEastAsia"/>
          <w:i w:val="0"/>
          <w:iCs w:val="0"/>
          <w:smallCaps w:val="0"/>
        </w:rPr>
        <w:t>It is estimated that in 10 years around 48 per cent of those parents will be receiving income support payments, with only 22 per cent having left the welfare system.</w:t>
      </w:r>
    </w:p>
    <w:p w:rsidR="00B810F0" w:rsidRPr="00A153AE" w:rsidRDefault="00B810F0" w:rsidP="00B810F0">
      <w:pPr>
        <w:pStyle w:val="Heading2"/>
      </w:pPr>
      <w:r w:rsidRPr="00A153AE">
        <w:t>Young parents</w:t>
      </w:r>
    </w:p>
    <w:p w:rsidR="00B810F0" w:rsidRDefault="00B810F0" w:rsidP="00B810F0">
      <w:r>
        <w:t>Additional PwC analysis shows that young parents aged 18 and under are particularly vulnerable to the risk of long-term welfare dependency.</w:t>
      </w:r>
    </w:p>
    <w:p w:rsidR="00B810F0" w:rsidRDefault="00B15896" w:rsidP="00B810F0">
      <w:r>
        <w:t xml:space="preserve">In 2014-15, 4,370 </w:t>
      </w:r>
      <w:r w:rsidR="00B810F0" w:rsidRPr="00F01C38">
        <w:t xml:space="preserve">young </w:t>
      </w:r>
      <w:r w:rsidR="00B52CA3">
        <w:t>parents</w:t>
      </w:r>
      <w:r w:rsidR="00B52CA3" w:rsidRPr="00F01C38">
        <w:t xml:space="preserve"> </w:t>
      </w:r>
      <w:r w:rsidR="00B810F0" w:rsidRPr="00F01C38">
        <w:t>were receiving Parenting Payment</w:t>
      </w:r>
      <w:bookmarkStart w:id="1" w:name="_GoBack"/>
      <w:bookmarkEnd w:id="1"/>
      <w:r w:rsidR="00B810F0" w:rsidRPr="00F01C38">
        <w:t xml:space="preserve">. </w:t>
      </w:r>
    </w:p>
    <w:p w:rsidR="00B810F0" w:rsidRDefault="00690761" w:rsidP="00B810F0">
      <w:r>
        <w:t>Departmental analysis shows that i</w:t>
      </w:r>
      <w:r w:rsidR="00B810F0">
        <w:t>f nothing changes for these young parents:</w:t>
      </w:r>
    </w:p>
    <w:p w:rsidR="00B810F0" w:rsidRPr="00AB781B" w:rsidRDefault="004635CF" w:rsidP="00AB781B">
      <w:pPr>
        <w:pStyle w:val="ListBullet"/>
        <w:numPr>
          <w:ilvl w:val="0"/>
          <w:numId w:val="64"/>
        </w:numPr>
        <w:tabs>
          <w:tab w:val="clear" w:pos="170"/>
          <w:tab w:val="left" w:pos="567"/>
        </w:tabs>
        <w:ind w:left="425" w:hanging="357"/>
      </w:pPr>
      <w:r>
        <w:t>Around 70</w:t>
      </w:r>
      <w:r w:rsidR="00B810F0" w:rsidRPr="00AB781B">
        <w:t xml:space="preserve"> per cent will be receiving income support in 10 years, with a further 23 per cent receiving other non-income support payments. </w:t>
      </w:r>
    </w:p>
    <w:p w:rsidR="00B810F0" w:rsidRPr="00AB781B" w:rsidRDefault="004635CF" w:rsidP="00AB781B">
      <w:pPr>
        <w:pStyle w:val="ListBullet"/>
        <w:numPr>
          <w:ilvl w:val="0"/>
          <w:numId w:val="64"/>
        </w:numPr>
        <w:tabs>
          <w:tab w:val="clear" w:pos="170"/>
          <w:tab w:val="left" w:pos="567"/>
        </w:tabs>
        <w:ind w:left="425" w:hanging="357"/>
      </w:pPr>
      <w:r>
        <w:t>Around 40</w:t>
      </w:r>
      <w:r w:rsidR="00B810F0" w:rsidRPr="00AB781B">
        <w:t xml:space="preserve"> per cent will be receiving income support in 20 years, with a further 39 per cent receiving other non-income support payments.</w:t>
      </w:r>
    </w:p>
    <w:p w:rsidR="0011088C" w:rsidRPr="00A153AE" w:rsidRDefault="0011088C" w:rsidP="0011088C">
      <w:pPr>
        <w:pStyle w:val="Heading2"/>
      </w:pPr>
      <w:r w:rsidRPr="00A153AE">
        <w:t>Why?</w:t>
      </w:r>
    </w:p>
    <w:p w:rsidR="0011088C" w:rsidRDefault="0011088C" w:rsidP="0011088C">
      <w:r>
        <w:t>We know that generational influences play a significant role in the cycle of welfare dependency.</w:t>
      </w:r>
    </w:p>
    <w:p w:rsidR="00690761" w:rsidRDefault="00690761" w:rsidP="00B810F0"/>
    <w:p w:rsidR="00690761" w:rsidRDefault="00690761" w:rsidP="00B810F0"/>
    <w:p w:rsidR="0011088C" w:rsidRPr="006E6845" w:rsidRDefault="004635CF" w:rsidP="00B810F0">
      <w:r>
        <w:t>Analysis shows that s</w:t>
      </w:r>
      <w:r w:rsidRPr="00B70178">
        <w:t>ince 2002, 80 per cent of young mothers new to Parenting Payment had a parent or guardian who was on income support at some stage during their upbringing</w:t>
      </w:r>
      <w:r w:rsidR="0011088C" w:rsidRPr="00CB640F">
        <w:t>.</w:t>
      </w:r>
    </w:p>
    <w:tbl>
      <w:tblPr>
        <w:tblStyle w:val="MediumGrid1-Accent4"/>
        <w:tblpPr w:leftFromText="180" w:rightFromText="180" w:vertAnchor="text" w:horzAnchor="margin" w:tblpXSpec="right" w:tblpY="1654"/>
        <w:tblW w:w="4657" w:type="dxa"/>
        <w:tblLook w:val="04A0" w:firstRow="1" w:lastRow="0" w:firstColumn="1" w:lastColumn="0" w:noHBand="0" w:noVBand="1"/>
        <w:tblCaption w:val="Lifetime cost of Parenting Payment"/>
        <w:tblDescription w:val="The Government will spend an estimated $191 billion on future welfare payments for all people currently receiving Parenting Payment. &#10;People currently receiving Parenting Payment have the highest average future lifetime cost of all payment groups at $441,000 per person.&#10;Young parents are expected to have a higher average future lifetime cost at $547,000 per person.&#10;"/>
      </w:tblPr>
      <w:tblGrid>
        <w:gridCol w:w="4657"/>
      </w:tblGrid>
      <w:tr w:rsidR="0011088C" w:rsidTr="00710A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:rsidR="00AB781B" w:rsidRDefault="0011088C" w:rsidP="0011088C">
            <w:pPr>
              <w:rPr>
                <w:b w:val="0"/>
              </w:rPr>
            </w:pPr>
            <w:r w:rsidRPr="00A153AE">
              <w:rPr>
                <w:b w:val="0"/>
              </w:rPr>
              <w:t xml:space="preserve">The Government will spend an estimated $191 billion on </w:t>
            </w:r>
            <w:r w:rsidR="00221F68">
              <w:rPr>
                <w:b w:val="0"/>
              </w:rPr>
              <w:t xml:space="preserve">future </w:t>
            </w:r>
            <w:r w:rsidRPr="00A153AE">
              <w:rPr>
                <w:b w:val="0"/>
              </w:rPr>
              <w:t xml:space="preserve">welfare payments for all people currently </w:t>
            </w:r>
            <w:r w:rsidR="00AB781B">
              <w:rPr>
                <w:b w:val="0"/>
              </w:rPr>
              <w:t>receiving</w:t>
            </w:r>
            <w:r w:rsidR="00AB781B" w:rsidRPr="00A153AE">
              <w:rPr>
                <w:b w:val="0"/>
              </w:rPr>
              <w:t xml:space="preserve"> </w:t>
            </w:r>
            <w:r w:rsidRPr="00A153AE">
              <w:rPr>
                <w:b w:val="0"/>
              </w:rPr>
              <w:t xml:space="preserve">Parenting Payment. </w:t>
            </w:r>
          </w:p>
          <w:p w:rsidR="00AB781B" w:rsidRDefault="00AB781B" w:rsidP="0011088C">
            <w:pPr>
              <w:rPr>
                <w:b w:val="0"/>
              </w:rPr>
            </w:pPr>
            <w:r>
              <w:rPr>
                <w:b w:val="0"/>
              </w:rPr>
              <w:t>People currently receiving Parenting Payment</w:t>
            </w:r>
            <w:r w:rsidR="0011088C" w:rsidRPr="00A153AE">
              <w:rPr>
                <w:b w:val="0"/>
              </w:rPr>
              <w:t xml:space="preserve"> have the highest average</w:t>
            </w:r>
            <w:r w:rsidR="00FA2A48">
              <w:rPr>
                <w:b w:val="0"/>
              </w:rPr>
              <w:t xml:space="preserve"> future </w:t>
            </w:r>
            <w:r w:rsidR="0011088C" w:rsidRPr="00A153AE">
              <w:rPr>
                <w:b w:val="0"/>
              </w:rPr>
              <w:t>lifetime cost of all payment groups at $441,000 per person.</w:t>
            </w:r>
          </w:p>
          <w:p w:rsidR="0011088C" w:rsidRPr="00A153AE" w:rsidRDefault="0011088C" w:rsidP="00FA2A48">
            <w:pPr>
              <w:rPr>
                <w:rFonts w:ascii="Georgia" w:hAnsi="Georgia"/>
                <w:b w:val="0"/>
                <w:i/>
              </w:rPr>
            </w:pPr>
            <w:r w:rsidRPr="00A153AE">
              <w:rPr>
                <w:b w:val="0"/>
              </w:rPr>
              <w:t xml:space="preserve">Young parents </w:t>
            </w:r>
            <w:r w:rsidR="00FA2A48">
              <w:rPr>
                <w:b w:val="0"/>
              </w:rPr>
              <w:t xml:space="preserve">are expected to </w:t>
            </w:r>
            <w:r w:rsidRPr="00A153AE">
              <w:rPr>
                <w:b w:val="0"/>
              </w:rPr>
              <w:t xml:space="preserve">have a higher average </w:t>
            </w:r>
            <w:r w:rsidR="00FA2A48">
              <w:rPr>
                <w:b w:val="0"/>
              </w:rPr>
              <w:t xml:space="preserve">future lifetime </w:t>
            </w:r>
            <w:r w:rsidRPr="00A153AE">
              <w:rPr>
                <w:b w:val="0"/>
              </w:rPr>
              <w:t xml:space="preserve">cost </w:t>
            </w:r>
            <w:r w:rsidR="00FA2A48">
              <w:rPr>
                <w:b w:val="0"/>
              </w:rPr>
              <w:t>at</w:t>
            </w:r>
            <w:r w:rsidRPr="00A153AE">
              <w:rPr>
                <w:b w:val="0"/>
              </w:rPr>
              <w:t xml:space="preserve"> $547,000 per person</w:t>
            </w:r>
            <w:r w:rsidR="00AB781B">
              <w:rPr>
                <w:rFonts w:ascii="Georgia" w:hAnsi="Georgia"/>
                <w:b w:val="0"/>
                <w:i/>
                <w:color w:val="3C5F10" w:themeColor="accent4" w:themeShade="80"/>
              </w:rPr>
              <w:t>.</w:t>
            </w:r>
          </w:p>
        </w:tc>
      </w:tr>
    </w:tbl>
    <w:p w:rsidR="00B810F0" w:rsidRDefault="00B810F0" w:rsidP="00B810F0">
      <w:r>
        <w:t>Hav</w:t>
      </w:r>
      <w:r w:rsidR="00710AFD">
        <w:t>ing a child young can disrupt ed</w:t>
      </w:r>
      <w:r>
        <w:t>ucation, and increase the barriers to finding and keeping a job. This can lead to long-term welfare dependency, and</w:t>
      </w:r>
      <w:r w:rsidRPr="00AD207E">
        <w:t xml:space="preserve"> </w:t>
      </w:r>
      <w:r>
        <w:t>poorer life outcomes for mothers and their children</w:t>
      </w:r>
      <w:r w:rsidRPr="00AD207E">
        <w:t>.</w:t>
      </w:r>
      <w:r>
        <w:t xml:space="preserve"> </w:t>
      </w:r>
    </w:p>
    <w:p w:rsidR="00B810F0" w:rsidRPr="00B70572" w:rsidRDefault="00B810F0" w:rsidP="00B810F0">
      <w:pPr>
        <w:pStyle w:val="Heading2"/>
      </w:pPr>
      <w:r w:rsidRPr="00B70572">
        <w:t>Try, Test</w:t>
      </w:r>
      <w:r>
        <w:t xml:space="preserve"> and</w:t>
      </w:r>
      <w:r w:rsidRPr="00B70572">
        <w:t xml:space="preserve"> Learn Fund</w:t>
      </w:r>
    </w:p>
    <w:p w:rsidR="00B810F0" w:rsidRPr="00B70572" w:rsidRDefault="00B810F0" w:rsidP="00B810F0">
      <w:r w:rsidRPr="00B70572">
        <w:t>The Try, Test and Learn Fund will seek new and innovative policy responses that support groups identified by Priority Investment Approach analysis as being at risk of long-term welfare dependency.</w:t>
      </w:r>
    </w:p>
    <w:p w:rsidR="00B810F0" w:rsidRDefault="00B810F0" w:rsidP="00B810F0">
      <w:pPr>
        <w:pStyle w:val="Heading2"/>
        <w:rPr>
          <w:sz w:val="36"/>
        </w:rPr>
      </w:pPr>
      <w:r w:rsidRPr="00F01C38">
        <w:lastRenderedPageBreak/>
        <w:t>About Parenting Payment</w:t>
      </w:r>
    </w:p>
    <w:p w:rsidR="00226221" w:rsidRPr="002D2DF5" w:rsidRDefault="00B810F0" w:rsidP="00B810F0">
      <w:r>
        <w:t xml:space="preserve">Parenting Payment provides income support to parents or guardians </w:t>
      </w:r>
      <w:r w:rsidR="004635CF">
        <w:t>with caring responsibilities for young children.</w:t>
      </w:r>
    </w:p>
    <w:sectPr w:rsidR="00226221" w:rsidRPr="002D2DF5" w:rsidSect="0011088C">
      <w:type w:val="continuous"/>
      <w:pgSz w:w="11906" w:h="16838" w:code="9"/>
      <w:pgMar w:top="737" w:right="1274" w:bottom="1418" w:left="1134" w:header="737" w:footer="454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3A6" w:rsidRDefault="008103A6">
      <w:r>
        <w:separator/>
      </w:r>
    </w:p>
  </w:endnote>
  <w:endnote w:type="continuationSeparator" w:id="0">
    <w:p w:rsidR="008103A6" w:rsidRDefault="00810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2D9" w:rsidRPr="00846C1D" w:rsidRDefault="00205CE6" w:rsidP="00846C1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81A7CEC" wp14:editId="6B3746DE">
              <wp:simplePos x="0" y="0"/>
              <wp:positionH relativeFrom="column">
                <wp:posOffset>46023</wp:posOffset>
              </wp:positionH>
              <wp:positionV relativeFrom="paragraph">
                <wp:posOffset>-290195</wp:posOffset>
              </wp:positionV>
              <wp:extent cx="6524625" cy="43815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24625" cy="438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05CE6" w:rsidRPr="0098780E" w:rsidRDefault="00205CE6" w:rsidP="00205CE6">
                          <w:pPr>
                            <w:contextualSpacing/>
                            <w:jc w:val="right"/>
                            <w:rPr>
                              <w:b/>
                              <w:sz w:val="24"/>
                            </w:rPr>
                          </w:pPr>
                          <w:r w:rsidRPr="0098780E">
                            <w:rPr>
                              <w:color w:val="FFFFFF" w:themeColor="background1"/>
                              <w:sz w:val="24"/>
                            </w:rPr>
                            <w:t>For more informatio</w:t>
                          </w:r>
                          <w:r>
                            <w:rPr>
                              <w:color w:val="FFFFFF" w:themeColor="background1"/>
                              <w:sz w:val="24"/>
                            </w:rPr>
                            <w:t xml:space="preserve">n, </w:t>
                          </w:r>
                          <w:r w:rsidRPr="0098780E">
                            <w:rPr>
                              <w:color w:val="FFFFFF" w:themeColor="background1"/>
                              <w:sz w:val="24"/>
                            </w:rPr>
                            <w:t>visit</w:t>
                          </w:r>
                          <w:r>
                            <w:rPr>
                              <w:b/>
                              <w:color w:val="FFFFFF" w:themeColor="background1"/>
                              <w:sz w:val="24"/>
                            </w:rPr>
                            <w:t xml:space="preserve"> </w:t>
                          </w:r>
                          <w:r w:rsidRPr="009B7489">
                            <w:rPr>
                              <w:b/>
                              <w:color w:val="FFFFFF" w:themeColor="background1"/>
                              <w:sz w:val="24"/>
                            </w:rPr>
                            <w:t>dss.gov.au/priority-investment-approach</w:t>
                          </w:r>
                        </w:p>
                        <w:p w:rsidR="00205CE6" w:rsidRPr="0098780E" w:rsidRDefault="00205CE6" w:rsidP="00205CE6">
                          <w:pPr>
                            <w:contextualSpacing/>
                            <w:jc w:val="right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.6pt;margin-top:-22.85pt;width:513.75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" filled="f" stroked="f" strokeweight=".5pt">
              <v:textbox>
                <w:txbxContent>
                  <w:p w:rsidR="00205CE6" w:rsidRPr="0098780E" w:rsidRDefault="00205CE6" w:rsidP="00205CE6">
                    <w:pPr>
                      <w:contextualSpacing/>
                      <w:jc w:val="right"/>
                      <w:rPr>
                        <w:b/>
                        <w:sz w:val="24"/>
                      </w:rPr>
                    </w:pPr>
                    <w:r w:rsidRPr="0098780E">
                      <w:rPr>
                        <w:color w:val="FFFFFF" w:themeColor="background1"/>
                        <w:sz w:val="24"/>
                      </w:rPr>
                      <w:t>For more informatio</w:t>
                    </w:r>
                    <w:r>
                      <w:rPr>
                        <w:color w:val="FFFFFF" w:themeColor="background1"/>
                        <w:sz w:val="24"/>
                      </w:rPr>
                      <w:t xml:space="preserve">n, </w:t>
                    </w:r>
                    <w:r w:rsidRPr="0098780E">
                      <w:rPr>
                        <w:color w:val="FFFFFF" w:themeColor="background1"/>
                        <w:sz w:val="24"/>
                      </w:rPr>
                      <w:t>visit</w:t>
                    </w:r>
                    <w:r>
                      <w:rPr>
                        <w:b/>
                        <w:color w:val="FFFFFF" w:themeColor="background1"/>
                        <w:sz w:val="24"/>
                      </w:rPr>
                      <w:t xml:space="preserve"> </w:t>
                    </w:r>
                    <w:r w:rsidRPr="009B7489">
                      <w:rPr>
                        <w:b/>
                        <w:color w:val="FFFFFF" w:themeColor="background1"/>
                        <w:sz w:val="24"/>
                      </w:rPr>
                      <w:t>dss.gov.au/priority-investment-approach</w:t>
                    </w:r>
                  </w:p>
                  <w:p w:rsidR="00205CE6" w:rsidRPr="0098780E" w:rsidRDefault="00205CE6" w:rsidP="00205CE6">
                    <w:pPr>
                      <w:contextualSpacing/>
                      <w:jc w:val="right"/>
                      <w:rPr>
                        <w:b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0EE3557C" wp14:editId="42532E65">
          <wp:simplePos x="0" y="0"/>
          <wp:positionH relativeFrom="column">
            <wp:posOffset>-684530</wp:posOffset>
          </wp:positionH>
          <wp:positionV relativeFrom="paragraph">
            <wp:posOffset>-630378</wp:posOffset>
          </wp:positionV>
          <wp:extent cx="7559675" cy="1081405"/>
          <wp:effectExtent l="0" t="0" r="3175" b="4445"/>
          <wp:wrapNone/>
          <wp:docPr id="2" name="Picture 2" descr="Green banner aligning with the brand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v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81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12D9">
      <w:tab/>
    </w:r>
    <w:r w:rsidR="001712D9">
      <w:fldChar w:fldCharType="begin"/>
    </w:r>
    <w:r w:rsidR="001712D9">
      <w:instrText xml:space="preserve"> PAGE   \* MERGEFORMAT </w:instrText>
    </w:r>
    <w:r w:rsidR="001712D9">
      <w:fldChar w:fldCharType="separate"/>
    </w:r>
    <w:r w:rsidR="00B15896">
      <w:rPr>
        <w:noProof/>
      </w:rPr>
      <w:t>2</w:t>
    </w:r>
    <w:r w:rsidR="001712D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2D9" w:rsidRDefault="001712D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6217F6" wp14:editId="273E10DC">
              <wp:simplePos x="0" y="0"/>
              <wp:positionH relativeFrom="column">
                <wp:posOffset>274955</wp:posOffset>
              </wp:positionH>
              <wp:positionV relativeFrom="paragraph">
                <wp:posOffset>331742</wp:posOffset>
              </wp:positionV>
              <wp:extent cx="6524625" cy="43815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24625" cy="438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533E5" w:rsidRPr="0098780E" w:rsidRDefault="001533E5" w:rsidP="001533E5">
                          <w:pPr>
                            <w:contextualSpacing/>
                            <w:jc w:val="right"/>
                            <w:rPr>
                              <w:b/>
                              <w:sz w:val="24"/>
                            </w:rPr>
                          </w:pPr>
                          <w:r w:rsidRPr="0098780E">
                            <w:rPr>
                              <w:color w:val="FFFFFF" w:themeColor="background1"/>
                              <w:sz w:val="24"/>
                            </w:rPr>
                            <w:t>For more informatio</w:t>
                          </w:r>
                          <w:r>
                            <w:rPr>
                              <w:color w:val="FFFFFF" w:themeColor="background1"/>
                              <w:sz w:val="24"/>
                            </w:rPr>
                            <w:t xml:space="preserve">n, </w:t>
                          </w:r>
                          <w:r w:rsidRPr="0098780E">
                            <w:rPr>
                              <w:color w:val="FFFFFF" w:themeColor="background1"/>
                              <w:sz w:val="24"/>
                            </w:rPr>
                            <w:t>visit</w:t>
                          </w:r>
                          <w:r>
                            <w:rPr>
                              <w:b/>
                              <w:color w:val="FFFFFF" w:themeColor="background1"/>
                              <w:sz w:val="24"/>
                            </w:rPr>
                            <w:t xml:space="preserve"> </w:t>
                          </w:r>
                          <w:r w:rsidRPr="009B7489">
                            <w:rPr>
                              <w:b/>
                              <w:color w:val="FFFFFF" w:themeColor="background1"/>
                              <w:sz w:val="24"/>
                            </w:rPr>
                            <w:t>dss.gov.au/priority-investment-approach</w:t>
                          </w:r>
                        </w:p>
                        <w:p w:rsidR="001712D9" w:rsidRPr="0098780E" w:rsidRDefault="001712D9" w:rsidP="0015179E">
                          <w:pPr>
                            <w:contextualSpacing/>
                            <w:jc w:val="right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1.65pt;margin-top:26.1pt;width:513.7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" filled="f" stroked="f" strokeweight=".5pt">
              <v:textbox>
                <w:txbxContent>
                  <w:p w:rsidR="001533E5" w:rsidRPr="0098780E" w:rsidRDefault="001533E5" w:rsidP="001533E5">
                    <w:pPr>
                      <w:contextualSpacing/>
                      <w:jc w:val="right"/>
                      <w:rPr>
                        <w:b/>
                        <w:sz w:val="24"/>
                      </w:rPr>
                    </w:pPr>
                    <w:r w:rsidRPr="0098780E">
                      <w:rPr>
                        <w:color w:val="FFFFFF" w:themeColor="background1"/>
                        <w:sz w:val="24"/>
                      </w:rPr>
                      <w:t>For more informatio</w:t>
                    </w:r>
                    <w:r>
                      <w:rPr>
                        <w:color w:val="FFFFFF" w:themeColor="background1"/>
                        <w:sz w:val="24"/>
                      </w:rPr>
                      <w:t xml:space="preserve">n, </w:t>
                    </w:r>
                    <w:r w:rsidRPr="0098780E">
                      <w:rPr>
                        <w:color w:val="FFFFFF" w:themeColor="background1"/>
                        <w:sz w:val="24"/>
                      </w:rPr>
                      <w:t>visit</w:t>
                    </w:r>
                    <w:r>
                      <w:rPr>
                        <w:b/>
                        <w:color w:val="FFFFFF" w:themeColor="background1"/>
                        <w:sz w:val="24"/>
                      </w:rPr>
                      <w:t xml:space="preserve"> </w:t>
                    </w:r>
                    <w:r w:rsidRPr="009B7489">
                      <w:rPr>
                        <w:b/>
                        <w:color w:val="FFFFFF" w:themeColor="background1"/>
                        <w:sz w:val="24"/>
                      </w:rPr>
                      <w:t>dss.gov.au/priority-investment-approach</w:t>
                    </w:r>
                  </w:p>
                  <w:p w:rsidR="001712D9" w:rsidRPr="0098780E" w:rsidRDefault="001712D9" w:rsidP="0015179E">
                    <w:pPr>
                      <w:contextualSpacing/>
                      <w:jc w:val="right"/>
                      <w:rPr>
                        <w:b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13198F42" wp14:editId="56998774">
          <wp:simplePos x="0" y="0"/>
          <wp:positionH relativeFrom="column">
            <wp:posOffset>-467995</wp:posOffset>
          </wp:positionH>
          <wp:positionV relativeFrom="paragraph">
            <wp:posOffset>19685</wp:posOffset>
          </wp:positionV>
          <wp:extent cx="7559675" cy="1081405"/>
          <wp:effectExtent l="0" t="0" r="3175" b="4445"/>
          <wp:wrapNone/>
          <wp:docPr id="7" name="Picture 7" descr="Green banner aligning with the brand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v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81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E26" w:rsidRDefault="009D7E26" w:rsidP="00261A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3A6" w:rsidRDefault="008103A6">
      <w:r>
        <w:separator/>
      </w:r>
    </w:p>
  </w:footnote>
  <w:footnote w:type="continuationSeparator" w:id="0">
    <w:p w:rsidR="008103A6" w:rsidRDefault="008103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2D9" w:rsidRDefault="001712D9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229FF828" wp14:editId="6DFFDF0F">
              <wp:extent cx="6624000" cy="36000"/>
              <wp:effectExtent l="0" t="0" r="5715" b="2540"/>
              <wp:docPr id="3" name="Rectangle 3" descr="A line that appears under the header text" title="Hea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24000" cy="36000"/>
                      </a:xfrm>
                      <a:prstGeom prst="rect">
                        <a:avLst/>
                      </a:prstGeom>
                      <a:solidFill>
                        <a:srgbClr val="275D3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Rectangle 3" o:spid="_x0000_s1026" alt="Title: Header - Description: A line that appears under the header text" style="width:521.55pt;height: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" fillcolor="#275d38" stroked="f" strokeweight="2pt"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2D9" w:rsidRDefault="001712D9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5A1B9AD" wp14:editId="485CDB9E">
          <wp:simplePos x="0" y="0"/>
          <wp:positionH relativeFrom="column">
            <wp:posOffset>-467626</wp:posOffset>
          </wp:positionH>
          <wp:positionV relativeFrom="paragraph">
            <wp:posOffset>-201915</wp:posOffset>
          </wp:positionV>
          <wp:extent cx="7146925" cy="3376930"/>
          <wp:effectExtent l="0" t="0" r="0" b="0"/>
          <wp:wrapNone/>
          <wp:docPr id="6" name="Picture 6" descr="Background branding for the Australian Priority Investmen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TL_L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2" b="1"/>
                  <a:stretch/>
                </pic:blipFill>
                <pic:spPr bwMode="auto">
                  <a:xfrm>
                    <a:off x="0" y="0"/>
                    <a:ext cx="7146925" cy="33769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E26" w:rsidRDefault="009D7E2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BB267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321A74"/>
    <w:multiLevelType w:val="hybridMultilevel"/>
    <w:tmpl w:val="66064A4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D91797"/>
    <w:multiLevelType w:val="hybridMultilevel"/>
    <w:tmpl w:val="7F70702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394A3C"/>
    <w:multiLevelType w:val="hybridMultilevel"/>
    <w:tmpl w:val="233E736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E77272"/>
    <w:multiLevelType w:val="hybridMultilevel"/>
    <w:tmpl w:val="C38A28F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DE35CD"/>
    <w:multiLevelType w:val="hybridMultilevel"/>
    <w:tmpl w:val="6BB2F75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56537F"/>
    <w:multiLevelType w:val="hybridMultilevel"/>
    <w:tmpl w:val="CD7492C6"/>
    <w:lvl w:ilvl="0" w:tplc="85D00AA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A91167"/>
    <w:multiLevelType w:val="hybridMultilevel"/>
    <w:tmpl w:val="8F72A7C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1A0194"/>
    <w:multiLevelType w:val="hybridMultilevel"/>
    <w:tmpl w:val="48D6C72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317CFE"/>
    <w:multiLevelType w:val="hybridMultilevel"/>
    <w:tmpl w:val="77BA791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4B46"/>
    <w:multiLevelType w:val="hybridMultilevel"/>
    <w:tmpl w:val="075C8CE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7C205C96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DA5C00"/>
    <w:multiLevelType w:val="hybridMultilevel"/>
    <w:tmpl w:val="49D0345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1178B8"/>
    <w:multiLevelType w:val="hybridMultilevel"/>
    <w:tmpl w:val="058662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873FF7"/>
    <w:multiLevelType w:val="hybridMultilevel"/>
    <w:tmpl w:val="4836B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A52BCF"/>
    <w:multiLevelType w:val="hybridMultilevel"/>
    <w:tmpl w:val="A7B0B00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F774CB"/>
    <w:multiLevelType w:val="hybridMultilevel"/>
    <w:tmpl w:val="D3F4BA2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6F6270"/>
    <w:multiLevelType w:val="hybridMultilevel"/>
    <w:tmpl w:val="8E20FC6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D52A47"/>
    <w:multiLevelType w:val="hybridMultilevel"/>
    <w:tmpl w:val="3BEC2FB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1F549C"/>
    <w:multiLevelType w:val="hybridMultilevel"/>
    <w:tmpl w:val="7A9E96D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60062D"/>
    <w:multiLevelType w:val="hybridMultilevel"/>
    <w:tmpl w:val="07EAE07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A182A0EE">
      <w:start w:val="25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BD6E70"/>
    <w:multiLevelType w:val="hybridMultilevel"/>
    <w:tmpl w:val="F8C4277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A47282"/>
    <w:multiLevelType w:val="hybridMultilevel"/>
    <w:tmpl w:val="70A26F4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D2667E"/>
    <w:multiLevelType w:val="hybridMultilevel"/>
    <w:tmpl w:val="7C3CA74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683CD8"/>
    <w:multiLevelType w:val="hybridMultilevel"/>
    <w:tmpl w:val="C9CC45D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8C6019"/>
    <w:multiLevelType w:val="hybridMultilevel"/>
    <w:tmpl w:val="AF5CCC7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4E141A"/>
    <w:multiLevelType w:val="hybridMultilevel"/>
    <w:tmpl w:val="A4FCEC88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837F2C"/>
    <w:multiLevelType w:val="hybridMultilevel"/>
    <w:tmpl w:val="3EF0FB4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841A16"/>
    <w:multiLevelType w:val="hybridMultilevel"/>
    <w:tmpl w:val="067E87E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EC1306"/>
    <w:multiLevelType w:val="hybridMultilevel"/>
    <w:tmpl w:val="1A28BE4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294126"/>
    <w:multiLevelType w:val="hybridMultilevel"/>
    <w:tmpl w:val="2BACEFD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9559BE"/>
    <w:multiLevelType w:val="hybridMultilevel"/>
    <w:tmpl w:val="3FF4EAF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624C36"/>
    <w:multiLevelType w:val="hybridMultilevel"/>
    <w:tmpl w:val="CBF40BD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C875FA"/>
    <w:multiLevelType w:val="hybridMultilevel"/>
    <w:tmpl w:val="9EA6ACD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6003C3"/>
    <w:multiLevelType w:val="hybridMultilevel"/>
    <w:tmpl w:val="E1B0DD9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9E1779"/>
    <w:multiLevelType w:val="hybridMultilevel"/>
    <w:tmpl w:val="68AAAB7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BF710E"/>
    <w:multiLevelType w:val="hybridMultilevel"/>
    <w:tmpl w:val="FD94DD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885754"/>
    <w:multiLevelType w:val="hybridMultilevel"/>
    <w:tmpl w:val="E17630C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7F817F1"/>
    <w:multiLevelType w:val="hybridMultilevel"/>
    <w:tmpl w:val="6910E3EA"/>
    <w:lvl w:ilvl="0" w:tplc="B3623AD0">
      <w:numFmt w:val="bullet"/>
      <w:pStyle w:val="Table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958611D"/>
    <w:multiLevelType w:val="hybridMultilevel"/>
    <w:tmpl w:val="E6A85A8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A45B0B"/>
    <w:multiLevelType w:val="hybridMultilevel"/>
    <w:tmpl w:val="F5AEA9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C863BFA"/>
    <w:multiLevelType w:val="hybridMultilevel"/>
    <w:tmpl w:val="60CAB26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EF241EE"/>
    <w:multiLevelType w:val="hybridMultilevel"/>
    <w:tmpl w:val="30E8B04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0D76DA0"/>
    <w:multiLevelType w:val="hybridMultilevel"/>
    <w:tmpl w:val="3EDCDD0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0EC0809"/>
    <w:multiLevelType w:val="hybridMultilevel"/>
    <w:tmpl w:val="DA663E3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283087B"/>
    <w:multiLevelType w:val="hybridMultilevel"/>
    <w:tmpl w:val="FD4E20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7753469"/>
    <w:multiLevelType w:val="hybridMultilevel"/>
    <w:tmpl w:val="A920D7F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84C054A"/>
    <w:multiLevelType w:val="hybridMultilevel"/>
    <w:tmpl w:val="1752F4C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88E5002"/>
    <w:multiLevelType w:val="hybridMultilevel"/>
    <w:tmpl w:val="8688911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8C75EE4"/>
    <w:multiLevelType w:val="hybridMultilevel"/>
    <w:tmpl w:val="4B7C22F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9A11A25"/>
    <w:multiLevelType w:val="hybridMultilevel"/>
    <w:tmpl w:val="45D433B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AB74E58"/>
    <w:multiLevelType w:val="hybridMultilevel"/>
    <w:tmpl w:val="7FE6241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BC66005"/>
    <w:multiLevelType w:val="hybridMultilevel"/>
    <w:tmpl w:val="D9342F2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D553230"/>
    <w:multiLevelType w:val="hybridMultilevel"/>
    <w:tmpl w:val="51D4BDC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E557752"/>
    <w:multiLevelType w:val="hybridMultilevel"/>
    <w:tmpl w:val="B3B221E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ED070EE"/>
    <w:multiLevelType w:val="hybridMultilevel"/>
    <w:tmpl w:val="72F477B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FAE46C1"/>
    <w:multiLevelType w:val="hybridMultilevel"/>
    <w:tmpl w:val="1F2C64E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28E6F52"/>
    <w:multiLevelType w:val="hybridMultilevel"/>
    <w:tmpl w:val="B470BF2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4B92FD2"/>
    <w:multiLevelType w:val="hybridMultilevel"/>
    <w:tmpl w:val="7E782C4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5534591"/>
    <w:multiLevelType w:val="hybridMultilevel"/>
    <w:tmpl w:val="3D5C86D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C90016C"/>
    <w:multiLevelType w:val="hybridMultilevel"/>
    <w:tmpl w:val="5F6AF2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D6856D0"/>
    <w:multiLevelType w:val="hybridMultilevel"/>
    <w:tmpl w:val="507E579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FA82341"/>
    <w:multiLevelType w:val="hybridMultilevel"/>
    <w:tmpl w:val="77BA989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7"/>
  </w:num>
  <w:num w:numId="3">
    <w:abstractNumId w:val="39"/>
  </w:num>
  <w:num w:numId="4">
    <w:abstractNumId w:val="11"/>
  </w:num>
  <w:num w:numId="5">
    <w:abstractNumId w:val="17"/>
  </w:num>
  <w:num w:numId="6">
    <w:abstractNumId w:val="59"/>
  </w:num>
  <w:num w:numId="7">
    <w:abstractNumId w:val="46"/>
  </w:num>
  <w:num w:numId="8">
    <w:abstractNumId w:val="51"/>
  </w:num>
  <w:num w:numId="9">
    <w:abstractNumId w:val="7"/>
  </w:num>
  <w:num w:numId="10">
    <w:abstractNumId w:val="58"/>
  </w:num>
  <w:num w:numId="11">
    <w:abstractNumId w:val="18"/>
  </w:num>
  <w:num w:numId="12">
    <w:abstractNumId w:val="43"/>
  </w:num>
  <w:num w:numId="13">
    <w:abstractNumId w:val="53"/>
  </w:num>
  <w:num w:numId="14">
    <w:abstractNumId w:val="36"/>
  </w:num>
  <w:num w:numId="15">
    <w:abstractNumId w:val="3"/>
  </w:num>
  <w:num w:numId="16">
    <w:abstractNumId w:val="14"/>
  </w:num>
  <w:num w:numId="17">
    <w:abstractNumId w:val="57"/>
  </w:num>
  <w:num w:numId="18">
    <w:abstractNumId w:val="50"/>
  </w:num>
  <w:num w:numId="19">
    <w:abstractNumId w:val="15"/>
  </w:num>
  <w:num w:numId="20">
    <w:abstractNumId w:val="2"/>
  </w:num>
  <w:num w:numId="21">
    <w:abstractNumId w:val="5"/>
  </w:num>
  <w:num w:numId="22">
    <w:abstractNumId w:val="22"/>
  </w:num>
  <w:num w:numId="23">
    <w:abstractNumId w:val="19"/>
  </w:num>
  <w:num w:numId="24">
    <w:abstractNumId w:val="61"/>
  </w:num>
  <w:num w:numId="25">
    <w:abstractNumId w:val="34"/>
  </w:num>
  <w:num w:numId="26">
    <w:abstractNumId w:val="40"/>
  </w:num>
  <w:num w:numId="27">
    <w:abstractNumId w:val="21"/>
  </w:num>
  <w:num w:numId="28">
    <w:abstractNumId w:val="60"/>
  </w:num>
  <w:num w:numId="29">
    <w:abstractNumId w:val="49"/>
  </w:num>
  <w:num w:numId="30">
    <w:abstractNumId w:val="27"/>
  </w:num>
  <w:num w:numId="31">
    <w:abstractNumId w:val="45"/>
  </w:num>
  <w:num w:numId="32">
    <w:abstractNumId w:val="54"/>
  </w:num>
  <w:num w:numId="33">
    <w:abstractNumId w:val="56"/>
  </w:num>
  <w:num w:numId="34">
    <w:abstractNumId w:val="4"/>
  </w:num>
  <w:num w:numId="35">
    <w:abstractNumId w:val="25"/>
  </w:num>
  <w:num w:numId="36">
    <w:abstractNumId w:val="48"/>
  </w:num>
  <w:num w:numId="37">
    <w:abstractNumId w:val="8"/>
  </w:num>
  <w:num w:numId="38">
    <w:abstractNumId w:val="30"/>
  </w:num>
  <w:num w:numId="39">
    <w:abstractNumId w:val="24"/>
  </w:num>
  <w:num w:numId="40">
    <w:abstractNumId w:val="33"/>
  </w:num>
  <w:num w:numId="41">
    <w:abstractNumId w:val="38"/>
  </w:num>
  <w:num w:numId="42">
    <w:abstractNumId w:val="23"/>
  </w:num>
  <w:num w:numId="43">
    <w:abstractNumId w:val="16"/>
  </w:num>
  <w:num w:numId="44">
    <w:abstractNumId w:val="42"/>
  </w:num>
  <w:num w:numId="45">
    <w:abstractNumId w:val="47"/>
  </w:num>
  <w:num w:numId="46">
    <w:abstractNumId w:val="32"/>
  </w:num>
  <w:num w:numId="47">
    <w:abstractNumId w:val="31"/>
  </w:num>
  <w:num w:numId="48">
    <w:abstractNumId w:val="1"/>
  </w:num>
  <w:num w:numId="49">
    <w:abstractNumId w:val="44"/>
  </w:num>
  <w:num w:numId="50">
    <w:abstractNumId w:val="55"/>
  </w:num>
  <w:num w:numId="51">
    <w:abstractNumId w:val="41"/>
  </w:num>
  <w:num w:numId="52">
    <w:abstractNumId w:val="9"/>
  </w:num>
  <w:num w:numId="53">
    <w:abstractNumId w:val="52"/>
  </w:num>
  <w:num w:numId="54">
    <w:abstractNumId w:val="26"/>
  </w:num>
  <w:num w:numId="55">
    <w:abstractNumId w:val="20"/>
  </w:num>
  <w:num w:numId="56">
    <w:abstractNumId w:val="29"/>
  </w:num>
  <w:num w:numId="57">
    <w:abstractNumId w:val="28"/>
  </w:num>
  <w:num w:numId="58">
    <w:abstractNumId w:val="10"/>
  </w:num>
  <w:num w:numId="59">
    <w:abstractNumId w:val="37"/>
  </w:num>
  <w:num w:numId="60">
    <w:abstractNumId w:val="6"/>
  </w:num>
  <w:num w:numId="61">
    <w:abstractNumId w:val="12"/>
  </w:num>
  <w:num w:numId="62">
    <w:abstractNumId w:val="6"/>
  </w:num>
  <w:num w:numId="63">
    <w:abstractNumId w:val="35"/>
  </w:num>
  <w:num w:numId="64">
    <w:abstractNumId w:val="13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rawingGridHorizontalSpacing w:val="181"/>
  <w:drawingGridVerticalSpacing w:val="181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3CE"/>
    <w:rsid w:val="00002C18"/>
    <w:rsid w:val="00005FED"/>
    <w:rsid w:val="00010549"/>
    <w:rsid w:val="00010A66"/>
    <w:rsid w:val="00012F84"/>
    <w:rsid w:val="00025376"/>
    <w:rsid w:val="000260C5"/>
    <w:rsid w:val="00026D41"/>
    <w:rsid w:val="00027B26"/>
    <w:rsid w:val="0003104E"/>
    <w:rsid w:val="00031195"/>
    <w:rsid w:val="00032861"/>
    <w:rsid w:val="00035CA1"/>
    <w:rsid w:val="0003679F"/>
    <w:rsid w:val="000373DB"/>
    <w:rsid w:val="000435BB"/>
    <w:rsid w:val="000450E5"/>
    <w:rsid w:val="00045CCD"/>
    <w:rsid w:val="00047524"/>
    <w:rsid w:val="00047ACD"/>
    <w:rsid w:val="000505B2"/>
    <w:rsid w:val="00050E5B"/>
    <w:rsid w:val="00052943"/>
    <w:rsid w:val="000547EF"/>
    <w:rsid w:val="00054B89"/>
    <w:rsid w:val="00055692"/>
    <w:rsid w:val="00065114"/>
    <w:rsid w:val="00067CD0"/>
    <w:rsid w:val="0007607D"/>
    <w:rsid w:val="00076207"/>
    <w:rsid w:val="00080F2E"/>
    <w:rsid w:val="00081CEB"/>
    <w:rsid w:val="00083791"/>
    <w:rsid w:val="00086E3C"/>
    <w:rsid w:val="00087B2C"/>
    <w:rsid w:val="00087DBD"/>
    <w:rsid w:val="00090570"/>
    <w:rsid w:val="00090753"/>
    <w:rsid w:val="00097BFF"/>
    <w:rsid w:val="000A669D"/>
    <w:rsid w:val="000A66A8"/>
    <w:rsid w:val="000C014D"/>
    <w:rsid w:val="000C5309"/>
    <w:rsid w:val="000D3D8E"/>
    <w:rsid w:val="000D4703"/>
    <w:rsid w:val="000D64F9"/>
    <w:rsid w:val="000D693C"/>
    <w:rsid w:val="000E0564"/>
    <w:rsid w:val="000E12D4"/>
    <w:rsid w:val="000E2CA6"/>
    <w:rsid w:val="00104669"/>
    <w:rsid w:val="00110028"/>
    <w:rsid w:val="0011088C"/>
    <w:rsid w:val="00115D09"/>
    <w:rsid w:val="00116EDF"/>
    <w:rsid w:val="00124B26"/>
    <w:rsid w:val="00130C4E"/>
    <w:rsid w:val="00131B54"/>
    <w:rsid w:val="001354B7"/>
    <w:rsid w:val="001404FA"/>
    <w:rsid w:val="001413C5"/>
    <w:rsid w:val="00142956"/>
    <w:rsid w:val="00143502"/>
    <w:rsid w:val="00144494"/>
    <w:rsid w:val="00144868"/>
    <w:rsid w:val="00144A74"/>
    <w:rsid w:val="0015179E"/>
    <w:rsid w:val="001533E5"/>
    <w:rsid w:val="00157709"/>
    <w:rsid w:val="00167330"/>
    <w:rsid w:val="00167CF4"/>
    <w:rsid w:val="001712D9"/>
    <w:rsid w:val="00183CBC"/>
    <w:rsid w:val="00185F6A"/>
    <w:rsid w:val="001939FF"/>
    <w:rsid w:val="001943DD"/>
    <w:rsid w:val="00194DA0"/>
    <w:rsid w:val="00195374"/>
    <w:rsid w:val="001A127F"/>
    <w:rsid w:val="001A3CA4"/>
    <w:rsid w:val="001A3EA4"/>
    <w:rsid w:val="001A525B"/>
    <w:rsid w:val="001B3352"/>
    <w:rsid w:val="001B3AEC"/>
    <w:rsid w:val="001B42F6"/>
    <w:rsid w:val="001B5000"/>
    <w:rsid w:val="001B6F28"/>
    <w:rsid w:val="001C6104"/>
    <w:rsid w:val="001D4585"/>
    <w:rsid w:val="001D5D54"/>
    <w:rsid w:val="001D5E07"/>
    <w:rsid w:val="001E41C8"/>
    <w:rsid w:val="001E5C60"/>
    <w:rsid w:val="001F3AD7"/>
    <w:rsid w:val="001F4B82"/>
    <w:rsid w:val="00205CE6"/>
    <w:rsid w:val="0020637F"/>
    <w:rsid w:val="00207630"/>
    <w:rsid w:val="00213082"/>
    <w:rsid w:val="00214BA3"/>
    <w:rsid w:val="00216105"/>
    <w:rsid w:val="0021714E"/>
    <w:rsid w:val="0021781A"/>
    <w:rsid w:val="00221F68"/>
    <w:rsid w:val="00222187"/>
    <w:rsid w:val="00222C8D"/>
    <w:rsid w:val="00222E33"/>
    <w:rsid w:val="00225DB9"/>
    <w:rsid w:val="00226221"/>
    <w:rsid w:val="00227B95"/>
    <w:rsid w:val="00234444"/>
    <w:rsid w:val="0023523A"/>
    <w:rsid w:val="002353DF"/>
    <w:rsid w:val="00235F71"/>
    <w:rsid w:val="002465DC"/>
    <w:rsid w:val="0025272A"/>
    <w:rsid w:val="002527BC"/>
    <w:rsid w:val="00254055"/>
    <w:rsid w:val="00261A54"/>
    <w:rsid w:val="00266985"/>
    <w:rsid w:val="00271922"/>
    <w:rsid w:val="0027204E"/>
    <w:rsid w:val="00273412"/>
    <w:rsid w:val="00274ACF"/>
    <w:rsid w:val="00285F1B"/>
    <w:rsid w:val="0028605C"/>
    <w:rsid w:val="0028775C"/>
    <w:rsid w:val="00287E66"/>
    <w:rsid w:val="002904F7"/>
    <w:rsid w:val="00294078"/>
    <w:rsid w:val="002956E4"/>
    <w:rsid w:val="00295831"/>
    <w:rsid w:val="00296F1B"/>
    <w:rsid w:val="002A2A6A"/>
    <w:rsid w:val="002A6DF5"/>
    <w:rsid w:val="002C1D92"/>
    <w:rsid w:val="002D004A"/>
    <w:rsid w:val="002D00B0"/>
    <w:rsid w:val="002D2DF5"/>
    <w:rsid w:val="002D2E16"/>
    <w:rsid w:val="002D3138"/>
    <w:rsid w:val="002F1411"/>
    <w:rsid w:val="002F19EF"/>
    <w:rsid w:val="002F4E33"/>
    <w:rsid w:val="002F56D2"/>
    <w:rsid w:val="00302415"/>
    <w:rsid w:val="00303971"/>
    <w:rsid w:val="00307100"/>
    <w:rsid w:val="003102F6"/>
    <w:rsid w:val="00313304"/>
    <w:rsid w:val="00313C48"/>
    <w:rsid w:val="003162AD"/>
    <w:rsid w:val="00321148"/>
    <w:rsid w:val="00321798"/>
    <w:rsid w:val="0032414C"/>
    <w:rsid w:val="00325F44"/>
    <w:rsid w:val="00326976"/>
    <w:rsid w:val="003311D7"/>
    <w:rsid w:val="00332B8B"/>
    <w:rsid w:val="00343660"/>
    <w:rsid w:val="00347104"/>
    <w:rsid w:val="0035213F"/>
    <w:rsid w:val="00355132"/>
    <w:rsid w:val="003555D2"/>
    <w:rsid w:val="00363DF3"/>
    <w:rsid w:val="003656B1"/>
    <w:rsid w:val="00367B52"/>
    <w:rsid w:val="003703CE"/>
    <w:rsid w:val="0037056B"/>
    <w:rsid w:val="00377173"/>
    <w:rsid w:val="003774DA"/>
    <w:rsid w:val="003918E3"/>
    <w:rsid w:val="00392557"/>
    <w:rsid w:val="003945C0"/>
    <w:rsid w:val="00395D3F"/>
    <w:rsid w:val="00397A51"/>
    <w:rsid w:val="00397D57"/>
    <w:rsid w:val="003A06C2"/>
    <w:rsid w:val="003B6D2E"/>
    <w:rsid w:val="003C430D"/>
    <w:rsid w:val="003C7404"/>
    <w:rsid w:val="003D3C5A"/>
    <w:rsid w:val="003D404A"/>
    <w:rsid w:val="003E2D56"/>
    <w:rsid w:val="003E4047"/>
    <w:rsid w:val="003E6FDA"/>
    <w:rsid w:val="003F0B98"/>
    <w:rsid w:val="003F3072"/>
    <w:rsid w:val="00401A2A"/>
    <w:rsid w:val="00402E2B"/>
    <w:rsid w:val="004030E4"/>
    <w:rsid w:val="004103D7"/>
    <w:rsid w:val="0041307C"/>
    <w:rsid w:val="0041643E"/>
    <w:rsid w:val="004167B4"/>
    <w:rsid w:val="00430D7E"/>
    <w:rsid w:val="00431531"/>
    <w:rsid w:val="00433B04"/>
    <w:rsid w:val="00440BD3"/>
    <w:rsid w:val="00446F93"/>
    <w:rsid w:val="00452B29"/>
    <w:rsid w:val="004635CF"/>
    <w:rsid w:val="004649E2"/>
    <w:rsid w:val="00464E8C"/>
    <w:rsid w:val="00466D36"/>
    <w:rsid w:val="00467185"/>
    <w:rsid w:val="0047050C"/>
    <w:rsid w:val="00475504"/>
    <w:rsid w:val="00480F21"/>
    <w:rsid w:val="004811E6"/>
    <w:rsid w:val="00484FED"/>
    <w:rsid w:val="00495AF1"/>
    <w:rsid w:val="004B74EB"/>
    <w:rsid w:val="004C6B46"/>
    <w:rsid w:val="004C7954"/>
    <w:rsid w:val="004D33BD"/>
    <w:rsid w:val="004D7AD1"/>
    <w:rsid w:val="004E5664"/>
    <w:rsid w:val="004F5232"/>
    <w:rsid w:val="004F775C"/>
    <w:rsid w:val="00500B02"/>
    <w:rsid w:val="005015E4"/>
    <w:rsid w:val="0050291D"/>
    <w:rsid w:val="0050697E"/>
    <w:rsid w:val="00511193"/>
    <w:rsid w:val="00521E14"/>
    <w:rsid w:val="00524B3C"/>
    <w:rsid w:val="005315A9"/>
    <w:rsid w:val="00532B56"/>
    <w:rsid w:val="00534EA5"/>
    <w:rsid w:val="00540AD0"/>
    <w:rsid w:val="0054322A"/>
    <w:rsid w:val="00543923"/>
    <w:rsid w:val="00543A4F"/>
    <w:rsid w:val="00544399"/>
    <w:rsid w:val="005519C9"/>
    <w:rsid w:val="005523D1"/>
    <w:rsid w:val="00554A9C"/>
    <w:rsid w:val="00557624"/>
    <w:rsid w:val="0056023E"/>
    <w:rsid w:val="005658EF"/>
    <w:rsid w:val="005822A3"/>
    <w:rsid w:val="0058371B"/>
    <w:rsid w:val="0059070B"/>
    <w:rsid w:val="00594445"/>
    <w:rsid w:val="005A098C"/>
    <w:rsid w:val="005B1225"/>
    <w:rsid w:val="005B1CAA"/>
    <w:rsid w:val="005B5640"/>
    <w:rsid w:val="005B76B0"/>
    <w:rsid w:val="005C09F4"/>
    <w:rsid w:val="005C561A"/>
    <w:rsid w:val="005C5B93"/>
    <w:rsid w:val="005C66FF"/>
    <w:rsid w:val="005C673E"/>
    <w:rsid w:val="005C785A"/>
    <w:rsid w:val="005D03CA"/>
    <w:rsid w:val="005D161F"/>
    <w:rsid w:val="005D45AB"/>
    <w:rsid w:val="005E4662"/>
    <w:rsid w:val="005E6C9D"/>
    <w:rsid w:val="005F093F"/>
    <w:rsid w:val="005F214A"/>
    <w:rsid w:val="005F6BD6"/>
    <w:rsid w:val="00601C99"/>
    <w:rsid w:val="00607597"/>
    <w:rsid w:val="00615F6D"/>
    <w:rsid w:val="006255E4"/>
    <w:rsid w:val="006262F3"/>
    <w:rsid w:val="00630503"/>
    <w:rsid w:val="00635874"/>
    <w:rsid w:val="00641020"/>
    <w:rsid w:val="006410C1"/>
    <w:rsid w:val="00647F05"/>
    <w:rsid w:val="006530EF"/>
    <w:rsid w:val="00654D06"/>
    <w:rsid w:val="006551DE"/>
    <w:rsid w:val="00661536"/>
    <w:rsid w:val="0067233D"/>
    <w:rsid w:val="006745AE"/>
    <w:rsid w:val="00675BEF"/>
    <w:rsid w:val="00676AF3"/>
    <w:rsid w:val="00676D10"/>
    <w:rsid w:val="00680F71"/>
    <w:rsid w:val="00682A53"/>
    <w:rsid w:val="00690761"/>
    <w:rsid w:val="0069174B"/>
    <w:rsid w:val="00693FA1"/>
    <w:rsid w:val="006B05E3"/>
    <w:rsid w:val="006B09BC"/>
    <w:rsid w:val="006B42A0"/>
    <w:rsid w:val="006B4E59"/>
    <w:rsid w:val="006C3402"/>
    <w:rsid w:val="006C3622"/>
    <w:rsid w:val="006C395C"/>
    <w:rsid w:val="006C413D"/>
    <w:rsid w:val="006C45D4"/>
    <w:rsid w:val="006C5F47"/>
    <w:rsid w:val="006D67CC"/>
    <w:rsid w:val="006E1F3C"/>
    <w:rsid w:val="006E6073"/>
    <w:rsid w:val="006E7BDD"/>
    <w:rsid w:val="006F7300"/>
    <w:rsid w:val="00703C09"/>
    <w:rsid w:val="00705C4A"/>
    <w:rsid w:val="00710AFD"/>
    <w:rsid w:val="00712300"/>
    <w:rsid w:val="0071506D"/>
    <w:rsid w:val="00720739"/>
    <w:rsid w:val="00721695"/>
    <w:rsid w:val="00721ABF"/>
    <w:rsid w:val="007242B4"/>
    <w:rsid w:val="00725FB2"/>
    <w:rsid w:val="00730C64"/>
    <w:rsid w:val="007322AF"/>
    <w:rsid w:val="00733CCE"/>
    <w:rsid w:val="00735477"/>
    <w:rsid w:val="00736DCA"/>
    <w:rsid w:val="00742399"/>
    <w:rsid w:val="0074640C"/>
    <w:rsid w:val="0075003D"/>
    <w:rsid w:val="00751B37"/>
    <w:rsid w:val="00754D44"/>
    <w:rsid w:val="00767B7E"/>
    <w:rsid w:val="007746A9"/>
    <w:rsid w:val="00785465"/>
    <w:rsid w:val="00787656"/>
    <w:rsid w:val="007A67EA"/>
    <w:rsid w:val="007B15AF"/>
    <w:rsid w:val="007B7E83"/>
    <w:rsid w:val="007C0A40"/>
    <w:rsid w:val="007C1631"/>
    <w:rsid w:val="007C5A60"/>
    <w:rsid w:val="007C636F"/>
    <w:rsid w:val="007D08C4"/>
    <w:rsid w:val="007D0EF8"/>
    <w:rsid w:val="007D39EB"/>
    <w:rsid w:val="007F6C76"/>
    <w:rsid w:val="007F7843"/>
    <w:rsid w:val="008103A6"/>
    <w:rsid w:val="008131E7"/>
    <w:rsid w:val="00813711"/>
    <w:rsid w:val="00814279"/>
    <w:rsid w:val="008263C2"/>
    <w:rsid w:val="00835250"/>
    <w:rsid w:val="00835EF8"/>
    <w:rsid w:val="0083653B"/>
    <w:rsid w:val="00840450"/>
    <w:rsid w:val="00841884"/>
    <w:rsid w:val="00842959"/>
    <w:rsid w:val="00843FAD"/>
    <w:rsid w:val="008451FE"/>
    <w:rsid w:val="008466A1"/>
    <w:rsid w:val="00846C1D"/>
    <w:rsid w:val="00851758"/>
    <w:rsid w:val="00856D5A"/>
    <w:rsid w:val="008609EB"/>
    <w:rsid w:val="00862D6D"/>
    <w:rsid w:val="008653E0"/>
    <w:rsid w:val="008657FB"/>
    <w:rsid w:val="0086581F"/>
    <w:rsid w:val="00871D4F"/>
    <w:rsid w:val="00874FB3"/>
    <w:rsid w:val="00880BE3"/>
    <w:rsid w:val="00882588"/>
    <w:rsid w:val="008952D8"/>
    <w:rsid w:val="00895792"/>
    <w:rsid w:val="008A0EA6"/>
    <w:rsid w:val="008A3738"/>
    <w:rsid w:val="008B1A62"/>
    <w:rsid w:val="008B294C"/>
    <w:rsid w:val="008B645B"/>
    <w:rsid w:val="008B67B8"/>
    <w:rsid w:val="008B774D"/>
    <w:rsid w:val="008C123E"/>
    <w:rsid w:val="008C3ED0"/>
    <w:rsid w:val="008C5585"/>
    <w:rsid w:val="008C5E94"/>
    <w:rsid w:val="008D6790"/>
    <w:rsid w:val="008E6E9D"/>
    <w:rsid w:val="008F68F7"/>
    <w:rsid w:val="008F7480"/>
    <w:rsid w:val="009037B6"/>
    <w:rsid w:val="00904D1D"/>
    <w:rsid w:val="00906CBE"/>
    <w:rsid w:val="00906FFA"/>
    <w:rsid w:val="00910384"/>
    <w:rsid w:val="009139C0"/>
    <w:rsid w:val="009161C8"/>
    <w:rsid w:val="009164AD"/>
    <w:rsid w:val="00922289"/>
    <w:rsid w:val="00926CFA"/>
    <w:rsid w:val="00931F20"/>
    <w:rsid w:val="00936F46"/>
    <w:rsid w:val="0094271E"/>
    <w:rsid w:val="00943142"/>
    <w:rsid w:val="00943A29"/>
    <w:rsid w:val="0095197E"/>
    <w:rsid w:val="00952AB2"/>
    <w:rsid w:val="009551E0"/>
    <w:rsid w:val="00955801"/>
    <w:rsid w:val="0095654E"/>
    <w:rsid w:val="00956F3C"/>
    <w:rsid w:val="0095779B"/>
    <w:rsid w:val="0098780E"/>
    <w:rsid w:val="009900F0"/>
    <w:rsid w:val="00991769"/>
    <w:rsid w:val="00994E9F"/>
    <w:rsid w:val="00996931"/>
    <w:rsid w:val="009A4CD8"/>
    <w:rsid w:val="009B1C61"/>
    <w:rsid w:val="009B3ED1"/>
    <w:rsid w:val="009B761B"/>
    <w:rsid w:val="009C433C"/>
    <w:rsid w:val="009C49A3"/>
    <w:rsid w:val="009D28B7"/>
    <w:rsid w:val="009D6475"/>
    <w:rsid w:val="009D66BA"/>
    <w:rsid w:val="009D7342"/>
    <w:rsid w:val="009D7E1A"/>
    <w:rsid w:val="009D7E26"/>
    <w:rsid w:val="009E2162"/>
    <w:rsid w:val="009E787C"/>
    <w:rsid w:val="009F2E2D"/>
    <w:rsid w:val="00A006EB"/>
    <w:rsid w:val="00A03709"/>
    <w:rsid w:val="00A06C77"/>
    <w:rsid w:val="00A10147"/>
    <w:rsid w:val="00A13D26"/>
    <w:rsid w:val="00A146A5"/>
    <w:rsid w:val="00A1567F"/>
    <w:rsid w:val="00A17411"/>
    <w:rsid w:val="00A2223D"/>
    <w:rsid w:val="00A32062"/>
    <w:rsid w:val="00A34A74"/>
    <w:rsid w:val="00A35351"/>
    <w:rsid w:val="00A42ADE"/>
    <w:rsid w:val="00A60693"/>
    <w:rsid w:val="00A67728"/>
    <w:rsid w:val="00A81A4F"/>
    <w:rsid w:val="00A82E14"/>
    <w:rsid w:val="00A901E9"/>
    <w:rsid w:val="00A9710B"/>
    <w:rsid w:val="00A9762C"/>
    <w:rsid w:val="00AA4067"/>
    <w:rsid w:val="00AB1A5B"/>
    <w:rsid w:val="00AB35A1"/>
    <w:rsid w:val="00AB781B"/>
    <w:rsid w:val="00AC0A54"/>
    <w:rsid w:val="00AC125E"/>
    <w:rsid w:val="00AC45DF"/>
    <w:rsid w:val="00AC474D"/>
    <w:rsid w:val="00AC4DFD"/>
    <w:rsid w:val="00AC58FD"/>
    <w:rsid w:val="00AC60CD"/>
    <w:rsid w:val="00AD2107"/>
    <w:rsid w:val="00AD60E6"/>
    <w:rsid w:val="00AD793A"/>
    <w:rsid w:val="00AE2C1B"/>
    <w:rsid w:val="00AE5956"/>
    <w:rsid w:val="00AE619F"/>
    <w:rsid w:val="00AE6239"/>
    <w:rsid w:val="00AF373A"/>
    <w:rsid w:val="00AF7268"/>
    <w:rsid w:val="00AF7EFE"/>
    <w:rsid w:val="00B03BEE"/>
    <w:rsid w:val="00B049AA"/>
    <w:rsid w:val="00B0517E"/>
    <w:rsid w:val="00B056E2"/>
    <w:rsid w:val="00B11314"/>
    <w:rsid w:val="00B1192C"/>
    <w:rsid w:val="00B138E3"/>
    <w:rsid w:val="00B13E04"/>
    <w:rsid w:val="00B15896"/>
    <w:rsid w:val="00B23267"/>
    <w:rsid w:val="00B25891"/>
    <w:rsid w:val="00B27149"/>
    <w:rsid w:val="00B33D33"/>
    <w:rsid w:val="00B40D26"/>
    <w:rsid w:val="00B426BE"/>
    <w:rsid w:val="00B43FFF"/>
    <w:rsid w:val="00B4451B"/>
    <w:rsid w:val="00B52CA3"/>
    <w:rsid w:val="00B550EB"/>
    <w:rsid w:val="00B72D62"/>
    <w:rsid w:val="00B810F0"/>
    <w:rsid w:val="00B843C8"/>
    <w:rsid w:val="00B8457B"/>
    <w:rsid w:val="00B845C5"/>
    <w:rsid w:val="00B951E2"/>
    <w:rsid w:val="00B96F37"/>
    <w:rsid w:val="00BA607C"/>
    <w:rsid w:val="00BB3E2A"/>
    <w:rsid w:val="00BB5551"/>
    <w:rsid w:val="00BC16F5"/>
    <w:rsid w:val="00BC1D5D"/>
    <w:rsid w:val="00BC287D"/>
    <w:rsid w:val="00BC4A76"/>
    <w:rsid w:val="00BD0774"/>
    <w:rsid w:val="00BD32E5"/>
    <w:rsid w:val="00BD5C92"/>
    <w:rsid w:val="00BD7ADD"/>
    <w:rsid w:val="00BE41C3"/>
    <w:rsid w:val="00BE6767"/>
    <w:rsid w:val="00BE68D7"/>
    <w:rsid w:val="00BF7763"/>
    <w:rsid w:val="00C04D5E"/>
    <w:rsid w:val="00C21E92"/>
    <w:rsid w:val="00C24EA2"/>
    <w:rsid w:val="00C24F70"/>
    <w:rsid w:val="00C33479"/>
    <w:rsid w:val="00C350A1"/>
    <w:rsid w:val="00C35C04"/>
    <w:rsid w:val="00C36D06"/>
    <w:rsid w:val="00C436AF"/>
    <w:rsid w:val="00C47BA2"/>
    <w:rsid w:val="00C539B6"/>
    <w:rsid w:val="00C612DC"/>
    <w:rsid w:val="00C622CB"/>
    <w:rsid w:val="00C64D15"/>
    <w:rsid w:val="00C74F74"/>
    <w:rsid w:val="00C7554B"/>
    <w:rsid w:val="00C83E31"/>
    <w:rsid w:val="00C916A4"/>
    <w:rsid w:val="00CA2A52"/>
    <w:rsid w:val="00CA2B15"/>
    <w:rsid w:val="00CA6490"/>
    <w:rsid w:val="00CB4450"/>
    <w:rsid w:val="00CB5744"/>
    <w:rsid w:val="00CB7022"/>
    <w:rsid w:val="00CD1937"/>
    <w:rsid w:val="00CE214C"/>
    <w:rsid w:val="00CE6858"/>
    <w:rsid w:val="00CE6D61"/>
    <w:rsid w:val="00CF34DF"/>
    <w:rsid w:val="00CF50BE"/>
    <w:rsid w:val="00CF6A52"/>
    <w:rsid w:val="00D03583"/>
    <w:rsid w:val="00D117B4"/>
    <w:rsid w:val="00D141C2"/>
    <w:rsid w:val="00D169F7"/>
    <w:rsid w:val="00D24ED8"/>
    <w:rsid w:val="00D26D01"/>
    <w:rsid w:val="00D33DA3"/>
    <w:rsid w:val="00D34C06"/>
    <w:rsid w:val="00D360BA"/>
    <w:rsid w:val="00D405D6"/>
    <w:rsid w:val="00D4723B"/>
    <w:rsid w:val="00D55EE8"/>
    <w:rsid w:val="00D5785A"/>
    <w:rsid w:val="00D62AA4"/>
    <w:rsid w:val="00D63BF3"/>
    <w:rsid w:val="00D64C48"/>
    <w:rsid w:val="00D731C4"/>
    <w:rsid w:val="00D81BAA"/>
    <w:rsid w:val="00D83A0C"/>
    <w:rsid w:val="00D85BE0"/>
    <w:rsid w:val="00D86E3D"/>
    <w:rsid w:val="00D87C1A"/>
    <w:rsid w:val="00D87FD7"/>
    <w:rsid w:val="00D92167"/>
    <w:rsid w:val="00D9502B"/>
    <w:rsid w:val="00D97047"/>
    <w:rsid w:val="00D97108"/>
    <w:rsid w:val="00DA4BA0"/>
    <w:rsid w:val="00DA5460"/>
    <w:rsid w:val="00DB13C6"/>
    <w:rsid w:val="00DC5665"/>
    <w:rsid w:val="00DD0B0C"/>
    <w:rsid w:val="00DD4806"/>
    <w:rsid w:val="00DD4F44"/>
    <w:rsid w:val="00DD5D8B"/>
    <w:rsid w:val="00DE0F9E"/>
    <w:rsid w:val="00DE5D76"/>
    <w:rsid w:val="00E0078A"/>
    <w:rsid w:val="00E0283D"/>
    <w:rsid w:val="00E04C8D"/>
    <w:rsid w:val="00E128D8"/>
    <w:rsid w:val="00E17FD7"/>
    <w:rsid w:val="00E300C0"/>
    <w:rsid w:val="00E30D45"/>
    <w:rsid w:val="00E36C13"/>
    <w:rsid w:val="00E42FE4"/>
    <w:rsid w:val="00E46FAA"/>
    <w:rsid w:val="00E566F2"/>
    <w:rsid w:val="00E5750B"/>
    <w:rsid w:val="00E60E2E"/>
    <w:rsid w:val="00E63A24"/>
    <w:rsid w:val="00E71A2D"/>
    <w:rsid w:val="00E8698A"/>
    <w:rsid w:val="00E923F2"/>
    <w:rsid w:val="00E92BFF"/>
    <w:rsid w:val="00E95E1B"/>
    <w:rsid w:val="00EA31CC"/>
    <w:rsid w:val="00EB14DF"/>
    <w:rsid w:val="00EB2B64"/>
    <w:rsid w:val="00EB312E"/>
    <w:rsid w:val="00EB3A07"/>
    <w:rsid w:val="00EB4143"/>
    <w:rsid w:val="00EB4728"/>
    <w:rsid w:val="00EC06A8"/>
    <w:rsid w:val="00EC207A"/>
    <w:rsid w:val="00EC381E"/>
    <w:rsid w:val="00EC3F31"/>
    <w:rsid w:val="00EC4853"/>
    <w:rsid w:val="00ED3C91"/>
    <w:rsid w:val="00ED4112"/>
    <w:rsid w:val="00ED51DA"/>
    <w:rsid w:val="00EE1C82"/>
    <w:rsid w:val="00EF1347"/>
    <w:rsid w:val="00EF2BEB"/>
    <w:rsid w:val="00F01129"/>
    <w:rsid w:val="00F03D93"/>
    <w:rsid w:val="00F03D9E"/>
    <w:rsid w:val="00F05384"/>
    <w:rsid w:val="00F20277"/>
    <w:rsid w:val="00F227BF"/>
    <w:rsid w:val="00F30D3F"/>
    <w:rsid w:val="00F374B2"/>
    <w:rsid w:val="00F40AFC"/>
    <w:rsid w:val="00F4730E"/>
    <w:rsid w:val="00F50A92"/>
    <w:rsid w:val="00F53F24"/>
    <w:rsid w:val="00F63341"/>
    <w:rsid w:val="00F63697"/>
    <w:rsid w:val="00F7536E"/>
    <w:rsid w:val="00F81F93"/>
    <w:rsid w:val="00F86F1B"/>
    <w:rsid w:val="00F92A21"/>
    <w:rsid w:val="00F92E9B"/>
    <w:rsid w:val="00F95814"/>
    <w:rsid w:val="00F96D66"/>
    <w:rsid w:val="00FA01D9"/>
    <w:rsid w:val="00FA031C"/>
    <w:rsid w:val="00FA2A48"/>
    <w:rsid w:val="00FB13C1"/>
    <w:rsid w:val="00FB420B"/>
    <w:rsid w:val="00FC1C5F"/>
    <w:rsid w:val="00FC5C0C"/>
    <w:rsid w:val="00FC64EF"/>
    <w:rsid w:val="00FC69EB"/>
    <w:rsid w:val="00FD2673"/>
    <w:rsid w:val="00FD311A"/>
    <w:rsid w:val="00FD451F"/>
    <w:rsid w:val="00FE2A29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2" w:qFormat="1"/>
    <w:lsdException w:name="heading 2" w:uiPriority="2" w:qFormat="1"/>
    <w:lsdException w:name="heading 3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2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semiHidden="1" w:unhideWhenUsed="1" w:qFormat="1"/>
    <w:lsdException w:name="annotation reference" w:uiPriority="99"/>
    <w:lsdException w:name="List Bullet" w:uiPriority="1" w:qFormat="1"/>
    <w:lsdException w:name="Title" w:uiPriority="99" w:qFormat="1"/>
    <w:lsdException w:name="Subtitle" w:qFormat="1"/>
    <w:lsdException w:name="Hyperlink" w:uiPriority="99"/>
    <w:lsdException w:name="FollowedHyperlink" w:uiPriority="99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74EB"/>
    <w:pPr>
      <w:spacing w:before="120" w:after="120" w:line="240" w:lineRule="atLeast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DA4BA0"/>
    <w:pPr>
      <w:keepNext/>
      <w:keepLines/>
      <w:spacing w:before="360" w:line="240" w:lineRule="auto"/>
      <w:contextualSpacing/>
      <w:outlineLvl w:val="0"/>
    </w:pPr>
    <w:rPr>
      <w:rFonts w:ascii="Georgia" w:hAnsi="Georgia" w:cs="Arial"/>
      <w:bCs/>
      <w:color w:val="275D38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2465DC"/>
    <w:pPr>
      <w:keepNext/>
      <w:keepLines/>
      <w:spacing w:before="300" w:line="240" w:lineRule="auto"/>
      <w:contextualSpacing/>
      <w:outlineLvl w:val="1"/>
    </w:pPr>
    <w:rPr>
      <w:rFonts w:ascii="Georgia" w:hAnsi="Georgia" w:cs="Arial"/>
      <w:bCs/>
      <w:iCs/>
      <w:color w:val="275D38" w:themeColor="accent5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6C3622"/>
    <w:pPr>
      <w:keepNext/>
      <w:keepLines/>
      <w:spacing w:line="240" w:lineRule="auto"/>
      <w:contextualSpacing/>
      <w:outlineLvl w:val="2"/>
    </w:pPr>
    <w:rPr>
      <w:rFonts w:ascii="Georgia" w:hAnsi="Georgia" w:cs="Arial"/>
      <w:bCs/>
      <w:color w:val="275D38"/>
      <w:szCs w:val="26"/>
    </w:rPr>
  </w:style>
  <w:style w:type="paragraph" w:styleId="Heading4">
    <w:name w:val="heading 4"/>
    <w:basedOn w:val="Normal"/>
    <w:next w:val="Normal"/>
    <w:link w:val="Heading4Char"/>
    <w:uiPriority w:val="2"/>
    <w:unhideWhenUsed/>
    <w:rsid w:val="00BD7ADD"/>
    <w:pPr>
      <w:keepNext/>
      <w:keepLines/>
      <w:contextualSpacing/>
      <w:outlineLvl w:val="3"/>
    </w:pPr>
    <w:rPr>
      <w:b/>
      <w:lang w:val="en-US"/>
    </w:rPr>
  </w:style>
  <w:style w:type="paragraph" w:styleId="Heading5">
    <w:name w:val="heading 5"/>
    <w:basedOn w:val="Heading4"/>
    <w:next w:val="Normal"/>
    <w:link w:val="Heading5Char"/>
    <w:uiPriority w:val="2"/>
    <w:unhideWhenUsed/>
    <w:rsid w:val="00C916A4"/>
    <w:pPr>
      <w:outlineLvl w:val="4"/>
    </w:pPr>
    <w:rPr>
      <w:b w:val="0"/>
      <w:i/>
    </w:rPr>
  </w:style>
  <w:style w:type="paragraph" w:styleId="Heading6">
    <w:name w:val="heading 6"/>
    <w:basedOn w:val="Heading1"/>
    <w:next w:val="Normal"/>
    <w:link w:val="Heading6Char"/>
    <w:uiPriority w:val="2"/>
    <w:unhideWhenUsed/>
    <w:rsid w:val="00C916A4"/>
    <w:pPr>
      <w:spacing w:before="20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Normal"/>
    <w:link w:val="Heading7Char"/>
    <w:uiPriority w:val="2"/>
    <w:unhideWhenUsed/>
    <w:rsid w:val="00EF134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EB2B6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B76B0"/>
    <w:pPr>
      <w:tabs>
        <w:tab w:val="center" w:pos="4153"/>
        <w:tab w:val="right" w:pos="8306"/>
      </w:tabs>
      <w:spacing w:before="0" w:after="737" w:line="240" w:lineRule="auto"/>
      <w:contextualSpacing/>
    </w:pPr>
    <w:rPr>
      <w:rFonts w:ascii="Georgia" w:hAnsi="Georgia"/>
      <w:color w:val="275D38"/>
    </w:rPr>
  </w:style>
  <w:style w:type="paragraph" w:styleId="Title">
    <w:name w:val="Title"/>
    <w:basedOn w:val="Normal"/>
    <w:link w:val="TitleChar"/>
    <w:uiPriority w:val="99"/>
    <w:qFormat/>
    <w:rsid w:val="001C6104"/>
    <w:pPr>
      <w:spacing w:before="0" w:after="60" w:line="240" w:lineRule="auto"/>
      <w:contextualSpacing/>
      <w:outlineLvl w:val="0"/>
    </w:pPr>
    <w:rPr>
      <w:rFonts w:ascii="Georgia" w:hAnsi="Georgia" w:cs="Arial"/>
      <w:bCs/>
      <w:color w:val="275D38"/>
      <w:spacing w:val="-4"/>
      <w:kern w:val="36"/>
      <w:sz w:val="66"/>
      <w:szCs w:val="32"/>
    </w:rPr>
  </w:style>
  <w:style w:type="paragraph" w:styleId="ListBullet">
    <w:name w:val="List Bullet"/>
    <w:basedOn w:val="Normal"/>
    <w:uiPriority w:val="1"/>
    <w:qFormat/>
    <w:rsid w:val="00EB4728"/>
    <w:pPr>
      <w:tabs>
        <w:tab w:val="left" w:pos="170"/>
      </w:tabs>
      <w:spacing w:before="60" w:after="60"/>
    </w:pPr>
  </w:style>
  <w:style w:type="paragraph" w:styleId="Footer">
    <w:name w:val="footer"/>
    <w:basedOn w:val="Normal"/>
    <w:link w:val="FooterChar"/>
    <w:rsid w:val="006C3622"/>
    <w:pPr>
      <w:tabs>
        <w:tab w:val="right" w:pos="10433"/>
      </w:tabs>
      <w:spacing w:before="0" w:after="0" w:line="240" w:lineRule="auto"/>
    </w:pPr>
    <w:rPr>
      <w:rFonts w:ascii="Georgia" w:hAnsi="Georgia"/>
      <w:color w:val="275D38"/>
    </w:rPr>
  </w:style>
  <w:style w:type="paragraph" w:customStyle="1" w:styleId="Smalltext">
    <w:name w:val="Small text"/>
    <w:basedOn w:val="Normal"/>
    <w:rsid w:val="00D117B4"/>
    <w:pPr>
      <w:spacing w:before="60" w:after="60"/>
      <w:ind w:left="142" w:hanging="142"/>
    </w:pPr>
    <w:rPr>
      <w:sz w:val="16"/>
      <w:szCs w:val="16"/>
      <w:lang w:val="en-US"/>
    </w:rPr>
  </w:style>
  <w:style w:type="character" w:styleId="Hyperlink">
    <w:name w:val="Hyperlink"/>
    <w:basedOn w:val="DefaultParagraphFont"/>
    <w:uiPriority w:val="99"/>
    <w:rsid w:val="008131E7"/>
    <w:rPr>
      <w:b/>
      <w:color w:val="auto"/>
      <w:u w:val="none"/>
    </w:rPr>
  </w:style>
  <w:style w:type="character" w:customStyle="1" w:styleId="Heading5Char">
    <w:name w:val="Heading 5 Char"/>
    <w:basedOn w:val="DefaultParagraphFont"/>
    <w:link w:val="Heading5"/>
    <w:uiPriority w:val="2"/>
    <w:rsid w:val="00557624"/>
    <w:rPr>
      <w:rFonts w:ascii="Arial" w:hAnsi="Arial"/>
      <w:i/>
      <w:szCs w:val="24"/>
      <w:lang w:val="en-US"/>
    </w:rPr>
  </w:style>
  <w:style w:type="table" w:styleId="TableGrid">
    <w:name w:val="Table Grid"/>
    <w:basedOn w:val="TableNormal"/>
    <w:rsid w:val="00DA5460"/>
    <w:tblPr>
      <w:tblInd w:w="108" w:type="dxa"/>
      <w:tblBorders>
        <w:top w:val="single" w:sz="4" w:space="0" w:color="78BE20" w:themeColor="accent4"/>
        <w:left w:val="single" w:sz="4" w:space="0" w:color="78BE20" w:themeColor="accent4"/>
        <w:bottom w:val="single" w:sz="4" w:space="0" w:color="78BE20" w:themeColor="accent4"/>
        <w:right w:val="single" w:sz="4" w:space="0" w:color="78BE20" w:themeColor="accent4"/>
        <w:insideH w:val="single" w:sz="4" w:space="0" w:color="78BE20" w:themeColor="accent4"/>
        <w:insideV w:val="single" w:sz="4" w:space="0" w:color="78BE20" w:themeColor="accent4"/>
      </w:tblBorders>
    </w:tblPr>
    <w:tcPr>
      <w:shd w:val="clear" w:color="auto" w:fill="FFFFFF" w:themeFill="background1"/>
    </w:tcPr>
  </w:style>
  <w:style w:type="paragraph" w:styleId="FootnoteText">
    <w:name w:val="footnote text"/>
    <w:basedOn w:val="Normal"/>
    <w:link w:val="FootnoteTextChar"/>
    <w:rsid w:val="0095197E"/>
    <w:pPr>
      <w:spacing w:before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95197E"/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CB5744"/>
    <w:rPr>
      <w:vertAlign w:val="superscript"/>
    </w:rPr>
  </w:style>
  <w:style w:type="paragraph" w:customStyle="1" w:styleId="Pullouttext">
    <w:name w:val="Pullout text"/>
    <w:next w:val="Normal"/>
    <w:link w:val="PullouttextChar"/>
    <w:uiPriority w:val="3"/>
    <w:qFormat/>
    <w:rsid w:val="006C3622"/>
    <w:pPr>
      <w:spacing w:before="120" w:after="120"/>
      <w:ind w:left="397"/>
      <w:contextualSpacing/>
    </w:pPr>
    <w:rPr>
      <w:rFonts w:ascii="Georgia" w:hAnsi="Georgia" w:cs="Arial"/>
      <w:bCs/>
      <w:i/>
      <w:iCs/>
      <w:color w:val="275D3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2465DC"/>
    <w:rPr>
      <w:rFonts w:ascii="Georgia" w:hAnsi="Georgia" w:cs="Arial"/>
      <w:bCs/>
      <w:iCs/>
      <w:color w:val="275D38" w:themeColor="accent5"/>
      <w:sz w:val="32"/>
      <w:szCs w:val="28"/>
    </w:rPr>
  </w:style>
  <w:style w:type="character" w:customStyle="1" w:styleId="PullouttextChar">
    <w:name w:val="Pullout text Char"/>
    <w:basedOn w:val="Heading2Char"/>
    <w:link w:val="Pullouttext"/>
    <w:uiPriority w:val="3"/>
    <w:rsid w:val="006C3622"/>
    <w:rPr>
      <w:rFonts w:ascii="Georgia" w:hAnsi="Georgia" w:cs="Arial"/>
      <w:bCs/>
      <w:i/>
      <w:iCs/>
      <w:color w:val="275D38"/>
      <w:sz w:val="24"/>
      <w:szCs w:val="28"/>
    </w:rPr>
  </w:style>
  <w:style w:type="paragraph" w:styleId="TOC1">
    <w:name w:val="toc 1"/>
    <w:basedOn w:val="Normal"/>
    <w:next w:val="Normal"/>
    <w:autoRedefine/>
    <w:uiPriority w:val="39"/>
    <w:rsid w:val="00E923F2"/>
    <w:pPr>
      <w:spacing w:after="10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rsid w:val="00E923F2"/>
    <w:pPr>
      <w:spacing w:after="100"/>
    </w:pPr>
    <w:rPr>
      <w:noProof/>
    </w:rPr>
  </w:style>
  <w:style w:type="paragraph" w:customStyle="1" w:styleId="TableText">
    <w:name w:val="Table Text"/>
    <w:basedOn w:val="Normal"/>
    <w:uiPriority w:val="3"/>
    <w:qFormat/>
    <w:rsid w:val="005F6BD6"/>
    <w:pPr>
      <w:spacing w:before="40" w:after="40"/>
    </w:pPr>
  </w:style>
  <w:style w:type="paragraph" w:customStyle="1" w:styleId="Tablebullet">
    <w:name w:val="Table bullet"/>
    <w:basedOn w:val="TableText"/>
    <w:uiPriority w:val="3"/>
    <w:qFormat/>
    <w:rsid w:val="00F40AFC"/>
    <w:pPr>
      <w:numPr>
        <w:numId w:val="2"/>
      </w:numPr>
      <w:ind w:left="170" w:hanging="170"/>
    </w:pPr>
    <w:rPr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E923F2"/>
    <w:pPr>
      <w:spacing w:before="0" w:after="100" w:line="276" w:lineRule="auto"/>
      <w:ind w:left="442"/>
    </w:pPr>
    <w:rPr>
      <w:rFonts w:asciiTheme="minorHAnsi" w:eastAsiaTheme="minorEastAsia" w:hAnsiTheme="minorHAnsi" w:cstheme="minorBidi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7D0EF8"/>
    <w:pPr>
      <w:spacing w:before="0" w:after="100" w:line="276" w:lineRule="auto"/>
      <w:ind w:left="660"/>
    </w:pPr>
    <w:rPr>
      <w:rFonts w:asciiTheme="minorHAnsi" w:eastAsiaTheme="minorEastAsia" w:hAnsiTheme="minorHAnsi" w:cstheme="minorBid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7D0EF8"/>
    <w:pPr>
      <w:spacing w:before="0" w:after="100" w:line="276" w:lineRule="auto"/>
      <w:ind w:left="880"/>
    </w:pPr>
    <w:rPr>
      <w:rFonts w:asciiTheme="minorHAnsi" w:eastAsiaTheme="minorEastAsia" w:hAnsiTheme="minorHAnsi" w:cstheme="minorBid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7D0EF8"/>
    <w:pPr>
      <w:spacing w:before="0" w:after="100" w:line="276" w:lineRule="auto"/>
      <w:ind w:left="1100"/>
    </w:pPr>
    <w:rPr>
      <w:rFonts w:asciiTheme="minorHAnsi" w:eastAsiaTheme="minorEastAsia" w:hAnsiTheme="minorHAnsi" w:cstheme="minorBid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7D0EF8"/>
    <w:pPr>
      <w:spacing w:before="0" w:after="100" w:line="276" w:lineRule="auto"/>
      <w:ind w:left="1320"/>
    </w:pPr>
    <w:rPr>
      <w:rFonts w:asciiTheme="minorHAnsi" w:eastAsiaTheme="minorEastAsia" w:hAnsiTheme="minorHAnsi" w:cstheme="minorBid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D0EF8"/>
    <w:pPr>
      <w:spacing w:before="0" w:after="100" w:line="276" w:lineRule="auto"/>
      <w:ind w:left="1540"/>
    </w:pPr>
    <w:rPr>
      <w:rFonts w:asciiTheme="minorHAnsi" w:eastAsiaTheme="minorEastAsia" w:hAnsiTheme="minorHAnsi" w:cstheme="minorBid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D0EF8"/>
    <w:pPr>
      <w:spacing w:before="0" w:after="100" w:line="276" w:lineRule="auto"/>
      <w:ind w:left="1760"/>
    </w:pPr>
    <w:rPr>
      <w:rFonts w:asciiTheme="minorHAnsi" w:eastAsiaTheme="minorEastAsia" w:hAnsiTheme="minorHAnsi" w:cstheme="minorBidi"/>
      <w:szCs w:val="22"/>
    </w:rPr>
  </w:style>
  <w:style w:type="character" w:customStyle="1" w:styleId="Heading6Char">
    <w:name w:val="Heading 6 Char"/>
    <w:basedOn w:val="DefaultParagraphFont"/>
    <w:link w:val="Heading6"/>
    <w:uiPriority w:val="2"/>
    <w:rsid w:val="00557624"/>
    <w:rPr>
      <w:rFonts w:asciiTheme="majorHAnsi" w:eastAsiaTheme="majorEastAsia" w:hAnsiTheme="majorHAnsi" w:cstheme="majorBidi"/>
      <w:bCs/>
      <w:iCs/>
      <w:color w:val="005A70"/>
      <w:kern w:val="32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2"/>
    <w:rsid w:val="00557624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DA4BA0"/>
    <w:rPr>
      <w:rFonts w:ascii="Georgia" w:hAnsi="Georgia" w:cs="Arial"/>
      <w:bCs/>
      <w:color w:val="275D38"/>
      <w:kern w:val="32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2"/>
    <w:rsid w:val="006C3622"/>
    <w:rPr>
      <w:rFonts w:ascii="Georgia" w:hAnsi="Georgia" w:cs="Arial"/>
      <w:bCs/>
      <w:color w:val="275D38"/>
      <w:szCs w:val="26"/>
    </w:rPr>
  </w:style>
  <w:style w:type="character" w:customStyle="1" w:styleId="Heading4Char">
    <w:name w:val="Heading 4 Char"/>
    <w:basedOn w:val="DefaultParagraphFont"/>
    <w:link w:val="Heading4"/>
    <w:uiPriority w:val="2"/>
    <w:rsid w:val="00557624"/>
    <w:rPr>
      <w:rFonts w:ascii="Arial" w:hAnsi="Arial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5B76B0"/>
    <w:rPr>
      <w:rFonts w:ascii="Georgia" w:hAnsi="Georgia"/>
      <w:color w:val="275D38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1C6104"/>
    <w:rPr>
      <w:rFonts w:ascii="Georgia" w:hAnsi="Georgia" w:cs="Arial"/>
      <w:bCs/>
      <w:color w:val="275D38"/>
      <w:spacing w:val="-4"/>
      <w:kern w:val="36"/>
      <w:sz w:val="66"/>
      <w:szCs w:val="32"/>
    </w:rPr>
  </w:style>
  <w:style w:type="character" w:customStyle="1" w:styleId="FooterChar">
    <w:name w:val="Footer Char"/>
    <w:basedOn w:val="DefaultParagraphFont"/>
    <w:link w:val="Footer"/>
    <w:rsid w:val="006C3622"/>
    <w:rPr>
      <w:rFonts w:ascii="Georgia" w:hAnsi="Georgia"/>
      <w:color w:val="275D38"/>
      <w:szCs w:val="24"/>
    </w:rPr>
  </w:style>
  <w:style w:type="character" w:styleId="FollowedHyperlink">
    <w:name w:val="FollowedHyperlink"/>
    <w:basedOn w:val="DefaultParagraphFont"/>
    <w:uiPriority w:val="99"/>
    <w:unhideWhenUsed/>
    <w:rsid w:val="008131E7"/>
    <w:rPr>
      <w:b/>
      <w:color w:val="005A70"/>
      <w:u w:val="none"/>
    </w:rPr>
  </w:style>
  <w:style w:type="character" w:customStyle="1" w:styleId="Heading8Char">
    <w:name w:val="Heading 8 Char"/>
    <w:basedOn w:val="DefaultParagraphFont"/>
    <w:link w:val="Heading8"/>
    <w:uiPriority w:val="2"/>
    <w:rsid w:val="00557624"/>
    <w:rPr>
      <w:rFonts w:asciiTheme="majorHAnsi" w:eastAsiaTheme="majorEastAsia" w:hAnsiTheme="majorHAnsi" w:cstheme="majorBidi"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99"/>
    <w:qFormat/>
    <w:rsid w:val="00AB1A5B"/>
    <w:pPr>
      <w:numPr>
        <w:ilvl w:val="1"/>
      </w:numPr>
      <w:spacing w:before="0" w:after="600" w:line="240" w:lineRule="auto"/>
      <w:contextualSpacing/>
    </w:pPr>
    <w:rPr>
      <w:rFonts w:asciiTheme="majorHAnsi" w:eastAsiaTheme="majorEastAsia" w:hAnsiTheme="majorHAnsi" w:cstheme="majorBidi"/>
      <w:iCs/>
      <w:color w:val="000000" w:themeColor="text1"/>
      <w:sz w:val="32"/>
    </w:rPr>
  </w:style>
  <w:style w:type="character" w:customStyle="1" w:styleId="SubtitleChar">
    <w:name w:val="Subtitle Char"/>
    <w:basedOn w:val="DefaultParagraphFont"/>
    <w:link w:val="Subtitle"/>
    <w:uiPriority w:val="99"/>
    <w:rsid w:val="00AB1A5B"/>
    <w:rPr>
      <w:rFonts w:asciiTheme="majorHAnsi" w:eastAsiaTheme="majorEastAsia" w:hAnsiTheme="majorHAnsi" w:cstheme="majorBidi"/>
      <w:iCs/>
      <w:color w:val="000000" w:themeColor="text1"/>
      <w:sz w:val="32"/>
      <w:szCs w:val="24"/>
    </w:rPr>
  </w:style>
  <w:style w:type="paragraph" w:styleId="BalloonText">
    <w:name w:val="Balloon Text"/>
    <w:basedOn w:val="Normal"/>
    <w:link w:val="BalloonTextChar"/>
    <w:rsid w:val="005C673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673E"/>
    <w:rPr>
      <w:rFonts w:ascii="Tahoma" w:hAnsi="Tahoma" w:cs="Tahoma"/>
      <w:sz w:val="16"/>
      <w:szCs w:val="16"/>
    </w:rPr>
  </w:style>
  <w:style w:type="paragraph" w:customStyle="1" w:styleId="textboxes">
    <w:name w:val="text boxes"/>
    <w:basedOn w:val="Normal"/>
    <w:link w:val="textboxesChar"/>
    <w:qFormat/>
    <w:rsid w:val="00B33D33"/>
    <w:rPr>
      <w:sz w:val="26"/>
    </w:rPr>
  </w:style>
  <w:style w:type="paragraph" w:customStyle="1" w:styleId="PullOutText0">
    <w:name w:val="Pull Out Text"/>
    <w:basedOn w:val="Normal"/>
    <w:rsid w:val="00B33D33"/>
    <w:pPr>
      <w:shd w:val="clear" w:color="auto" w:fill="005A70" w:themeFill="accent1"/>
      <w:autoSpaceDE w:val="0"/>
      <w:autoSpaceDN w:val="0"/>
      <w:adjustRightInd w:val="0"/>
      <w:spacing w:before="0" w:after="480" w:line="360" w:lineRule="exact"/>
      <w:ind w:right="113"/>
    </w:pPr>
    <w:rPr>
      <w:rFonts w:ascii="Georgia" w:eastAsiaTheme="minorHAnsi" w:hAnsi="Georgia" w:cs="Georgia"/>
      <w:color w:val="FFFFFF"/>
      <w:sz w:val="24"/>
      <w:lang w:eastAsia="en-US"/>
    </w:rPr>
  </w:style>
  <w:style w:type="character" w:customStyle="1" w:styleId="textboxesChar">
    <w:name w:val="text boxes Char"/>
    <w:basedOn w:val="DefaultParagraphFont"/>
    <w:link w:val="textboxes"/>
    <w:rsid w:val="00B33D33"/>
    <w:rPr>
      <w:rFonts w:ascii="Arial" w:hAnsi="Arial"/>
      <w:sz w:val="26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DD48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4806"/>
    <w:pPr>
      <w:spacing w:before="0" w:after="200" w:line="240" w:lineRule="auto"/>
    </w:pPr>
    <w:rPr>
      <w:rFonts w:eastAsia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4806"/>
    <w:rPr>
      <w:rFonts w:ascii="Arial" w:eastAsiaTheme="minorHAnsi" w:hAnsi="Arial" w:cstheme="minorBidi"/>
      <w:lang w:eastAsia="en-US"/>
    </w:rPr>
  </w:style>
  <w:style w:type="paragraph" w:styleId="ListParagraph">
    <w:name w:val="List Paragraph"/>
    <w:basedOn w:val="Normal"/>
    <w:uiPriority w:val="34"/>
    <w:rsid w:val="00B550EB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9D66BA"/>
    <w:pPr>
      <w:spacing w:before="120" w:after="120"/>
    </w:pPr>
    <w:rPr>
      <w:rFonts w:eastAsia="Times New Roman" w:cs="Times New Roman"/>
      <w:b/>
      <w:bCs/>
      <w:lang w:eastAsia="en-AU"/>
    </w:rPr>
  </w:style>
  <w:style w:type="character" w:customStyle="1" w:styleId="CommentSubjectChar">
    <w:name w:val="Comment Subject Char"/>
    <w:basedOn w:val="CommentTextChar"/>
    <w:link w:val="CommentSubject"/>
    <w:rsid w:val="009D66BA"/>
    <w:rPr>
      <w:rFonts w:ascii="Arial" w:eastAsiaTheme="minorHAnsi" w:hAnsi="Arial" w:cstheme="minorBidi"/>
      <w:b/>
      <w:bCs/>
      <w:lang w:eastAsia="en-US"/>
    </w:rPr>
  </w:style>
  <w:style w:type="paragraph" w:styleId="Revision">
    <w:name w:val="Revision"/>
    <w:hidden/>
    <w:uiPriority w:val="99"/>
    <w:semiHidden/>
    <w:rsid w:val="00EC06A8"/>
    <w:rPr>
      <w:rFonts w:ascii="Arial" w:hAnsi="Arial"/>
      <w:szCs w:val="24"/>
    </w:rPr>
  </w:style>
  <w:style w:type="character" w:styleId="BookTitle">
    <w:name w:val="Book Title"/>
    <w:uiPriority w:val="33"/>
    <w:qFormat/>
    <w:rsid w:val="008D6790"/>
    <w:rPr>
      <w:i/>
      <w:iCs/>
      <w:smallCaps/>
      <w:spacing w:val="5"/>
    </w:rPr>
  </w:style>
  <w:style w:type="table" w:styleId="MediumGrid1-Accent4">
    <w:name w:val="Medium Grid 1 Accent 4"/>
    <w:basedOn w:val="TableNormal"/>
    <w:uiPriority w:val="67"/>
    <w:rsid w:val="002F1411"/>
    <w:tblPr>
      <w:tblStyleRowBandSize w:val="1"/>
      <w:tblStyleColBandSize w:val="1"/>
      <w:tblBorders>
        <w:top w:val="single" w:sz="8" w:space="0" w:color="9BDF46" w:themeColor="accent4" w:themeTint="BF"/>
        <w:left w:val="single" w:sz="8" w:space="0" w:color="9BDF46" w:themeColor="accent4" w:themeTint="BF"/>
        <w:bottom w:val="single" w:sz="8" w:space="0" w:color="9BDF46" w:themeColor="accent4" w:themeTint="BF"/>
        <w:right w:val="single" w:sz="8" w:space="0" w:color="9BDF46" w:themeColor="accent4" w:themeTint="BF"/>
        <w:insideH w:val="single" w:sz="8" w:space="0" w:color="9BDF46" w:themeColor="accent4" w:themeTint="BF"/>
        <w:insideV w:val="single" w:sz="8" w:space="0" w:color="9BDF46" w:themeColor="accent4" w:themeTint="BF"/>
      </w:tblBorders>
    </w:tblPr>
    <w:tcPr>
      <w:shd w:val="clear" w:color="auto" w:fill="DEF4C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DF4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A84" w:themeFill="accent4" w:themeFillTint="7F"/>
      </w:tcPr>
    </w:tblStylePr>
    <w:tblStylePr w:type="band1Horz">
      <w:tblPr/>
      <w:tcPr>
        <w:shd w:val="clear" w:color="auto" w:fill="BCEA84" w:themeFill="accent4" w:themeFillTint="7F"/>
      </w:tcPr>
    </w:tblStylePr>
  </w:style>
  <w:style w:type="paragraph" w:customStyle="1" w:styleId="Default">
    <w:name w:val="Default"/>
    <w:rsid w:val="00B43F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2" w:qFormat="1"/>
    <w:lsdException w:name="heading 2" w:uiPriority="2" w:qFormat="1"/>
    <w:lsdException w:name="heading 3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2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semiHidden="1" w:unhideWhenUsed="1" w:qFormat="1"/>
    <w:lsdException w:name="annotation reference" w:uiPriority="99"/>
    <w:lsdException w:name="List Bullet" w:uiPriority="1" w:qFormat="1"/>
    <w:lsdException w:name="Title" w:uiPriority="99" w:qFormat="1"/>
    <w:lsdException w:name="Subtitle" w:qFormat="1"/>
    <w:lsdException w:name="Hyperlink" w:uiPriority="99"/>
    <w:lsdException w:name="FollowedHyperlink" w:uiPriority="99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74EB"/>
    <w:pPr>
      <w:spacing w:before="120" w:after="120" w:line="240" w:lineRule="atLeast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DA4BA0"/>
    <w:pPr>
      <w:keepNext/>
      <w:keepLines/>
      <w:spacing w:before="360" w:line="240" w:lineRule="auto"/>
      <w:contextualSpacing/>
      <w:outlineLvl w:val="0"/>
    </w:pPr>
    <w:rPr>
      <w:rFonts w:ascii="Georgia" w:hAnsi="Georgia" w:cs="Arial"/>
      <w:bCs/>
      <w:color w:val="275D38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2465DC"/>
    <w:pPr>
      <w:keepNext/>
      <w:keepLines/>
      <w:spacing w:before="300" w:line="240" w:lineRule="auto"/>
      <w:contextualSpacing/>
      <w:outlineLvl w:val="1"/>
    </w:pPr>
    <w:rPr>
      <w:rFonts w:ascii="Georgia" w:hAnsi="Georgia" w:cs="Arial"/>
      <w:bCs/>
      <w:iCs/>
      <w:color w:val="275D38" w:themeColor="accent5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6C3622"/>
    <w:pPr>
      <w:keepNext/>
      <w:keepLines/>
      <w:spacing w:line="240" w:lineRule="auto"/>
      <w:contextualSpacing/>
      <w:outlineLvl w:val="2"/>
    </w:pPr>
    <w:rPr>
      <w:rFonts w:ascii="Georgia" w:hAnsi="Georgia" w:cs="Arial"/>
      <w:bCs/>
      <w:color w:val="275D38"/>
      <w:szCs w:val="26"/>
    </w:rPr>
  </w:style>
  <w:style w:type="paragraph" w:styleId="Heading4">
    <w:name w:val="heading 4"/>
    <w:basedOn w:val="Normal"/>
    <w:next w:val="Normal"/>
    <w:link w:val="Heading4Char"/>
    <w:uiPriority w:val="2"/>
    <w:unhideWhenUsed/>
    <w:rsid w:val="00BD7ADD"/>
    <w:pPr>
      <w:keepNext/>
      <w:keepLines/>
      <w:contextualSpacing/>
      <w:outlineLvl w:val="3"/>
    </w:pPr>
    <w:rPr>
      <w:b/>
      <w:lang w:val="en-US"/>
    </w:rPr>
  </w:style>
  <w:style w:type="paragraph" w:styleId="Heading5">
    <w:name w:val="heading 5"/>
    <w:basedOn w:val="Heading4"/>
    <w:next w:val="Normal"/>
    <w:link w:val="Heading5Char"/>
    <w:uiPriority w:val="2"/>
    <w:unhideWhenUsed/>
    <w:rsid w:val="00C916A4"/>
    <w:pPr>
      <w:outlineLvl w:val="4"/>
    </w:pPr>
    <w:rPr>
      <w:b w:val="0"/>
      <w:i/>
    </w:rPr>
  </w:style>
  <w:style w:type="paragraph" w:styleId="Heading6">
    <w:name w:val="heading 6"/>
    <w:basedOn w:val="Heading1"/>
    <w:next w:val="Normal"/>
    <w:link w:val="Heading6Char"/>
    <w:uiPriority w:val="2"/>
    <w:unhideWhenUsed/>
    <w:rsid w:val="00C916A4"/>
    <w:pPr>
      <w:spacing w:before="20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Normal"/>
    <w:link w:val="Heading7Char"/>
    <w:uiPriority w:val="2"/>
    <w:unhideWhenUsed/>
    <w:rsid w:val="00EF134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EB2B6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B76B0"/>
    <w:pPr>
      <w:tabs>
        <w:tab w:val="center" w:pos="4153"/>
        <w:tab w:val="right" w:pos="8306"/>
      </w:tabs>
      <w:spacing w:before="0" w:after="737" w:line="240" w:lineRule="auto"/>
      <w:contextualSpacing/>
    </w:pPr>
    <w:rPr>
      <w:rFonts w:ascii="Georgia" w:hAnsi="Georgia"/>
      <w:color w:val="275D38"/>
    </w:rPr>
  </w:style>
  <w:style w:type="paragraph" w:styleId="Title">
    <w:name w:val="Title"/>
    <w:basedOn w:val="Normal"/>
    <w:link w:val="TitleChar"/>
    <w:uiPriority w:val="99"/>
    <w:qFormat/>
    <w:rsid w:val="001C6104"/>
    <w:pPr>
      <w:spacing w:before="0" w:after="60" w:line="240" w:lineRule="auto"/>
      <w:contextualSpacing/>
      <w:outlineLvl w:val="0"/>
    </w:pPr>
    <w:rPr>
      <w:rFonts w:ascii="Georgia" w:hAnsi="Georgia" w:cs="Arial"/>
      <w:bCs/>
      <w:color w:val="275D38"/>
      <w:spacing w:val="-4"/>
      <w:kern w:val="36"/>
      <w:sz w:val="66"/>
      <w:szCs w:val="32"/>
    </w:rPr>
  </w:style>
  <w:style w:type="paragraph" w:styleId="ListBullet">
    <w:name w:val="List Bullet"/>
    <w:basedOn w:val="Normal"/>
    <w:uiPriority w:val="1"/>
    <w:qFormat/>
    <w:rsid w:val="00EB4728"/>
    <w:pPr>
      <w:tabs>
        <w:tab w:val="left" w:pos="170"/>
      </w:tabs>
      <w:spacing w:before="60" w:after="60"/>
    </w:pPr>
  </w:style>
  <w:style w:type="paragraph" w:styleId="Footer">
    <w:name w:val="footer"/>
    <w:basedOn w:val="Normal"/>
    <w:link w:val="FooterChar"/>
    <w:rsid w:val="006C3622"/>
    <w:pPr>
      <w:tabs>
        <w:tab w:val="right" w:pos="10433"/>
      </w:tabs>
      <w:spacing w:before="0" w:after="0" w:line="240" w:lineRule="auto"/>
    </w:pPr>
    <w:rPr>
      <w:rFonts w:ascii="Georgia" w:hAnsi="Georgia"/>
      <w:color w:val="275D38"/>
    </w:rPr>
  </w:style>
  <w:style w:type="paragraph" w:customStyle="1" w:styleId="Smalltext">
    <w:name w:val="Small text"/>
    <w:basedOn w:val="Normal"/>
    <w:rsid w:val="00D117B4"/>
    <w:pPr>
      <w:spacing w:before="60" w:after="60"/>
      <w:ind w:left="142" w:hanging="142"/>
    </w:pPr>
    <w:rPr>
      <w:sz w:val="16"/>
      <w:szCs w:val="16"/>
      <w:lang w:val="en-US"/>
    </w:rPr>
  </w:style>
  <w:style w:type="character" w:styleId="Hyperlink">
    <w:name w:val="Hyperlink"/>
    <w:basedOn w:val="DefaultParagraphFont"/>
    <w:uiPriority w:val="99"/>
    <w:rsid w:val="008131E7"/>
    <w:rPr>
      <w:b/>
      <w:color w:val="auto"/>
      <w:u w:val="none"/>
    </w:rPr>
  </w:style>
  <w:style w:type="character" w:customStyle="1" w:styleId="Heading5Char">
    <w:name w:val="Heading 5 Char"/>
    <w:basedOn w:val="DefaultParagraphFont"/>
    <w:link w:val="Heading5"/>
    <w:uiPriority w:val="2"/>
    <w:rsid w:val="00557624"/>
    <w:rPr>
      <w:rFonts w:ascii="Arial" w:hAnsi="Arial"/>
      <w:i/>
      <w:szCs w:val="24"/>
      <w:lang w:val="en-US"/>
    </w:rPr>
  </w:style>
  <w:style w:type="table" w:styleId="TableGrid">
    <w:name w:val="Table Grid"/>
    <w:basedOn w:val="TableNormal"/>
    <w:rsid w:val="00DA5460"/>
    <w:tblPr>
      <w:tblInd w:w="108" w:type="dxa"/>
      <w:tblBorders>
        <w:top w:val="single" w:sz="4" w:space="0" w:color="78BE20" w:themeColor="accent4"/>
        <w:left w:val="single" w:sz="4" w:space="0" w:color="78BE20" w:themeColor="accent4"/>
        <w:bottom w:val="single" w:sz="4" w:space="0" w:color="78BE20" w:themeColor="accent4"/>
        <w:right w:val="single" w:sz="4" w:space="0" w:color="78BE20" w:themeColor="accent4"/>
        <w:insideH w:val="single" w:sz="4" w:space="0" w:color="78BE20" w:themeColor="accent4"/>
        <w:insideV w:val="single" w:sz="4" w:space="0" w:color="78BE20" w:themeColor="accent4"/>
      </w:tblBorders>
    </w:tblPr>
    <w:tcPr>
      <w:shd w:val="clear" w:color="auto" w:fill="FFFFFF" w:themeFill="background1"/>
    </w:tcPr>
  </w:style>
  <w:style w:type="paragraph" w:styleId="FootnoteText">
    <w:name w:val="footnote text"/>
    <w:basedOn w:val="Normal"/>
    <w:link w:val="FootnoteTextChar"/>
    <w:rsid w:val="0095197E"/>
    <w:pPr>
      <w:spacing w:before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95197E"/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CB5744"/>
    <w:rPr>
      <w:vertAlign w:val="superscript"/>
    </w:rPr>
  </w:style>
  <w:style w:type="paragraph" w:customStyle="1" w:styleId="Pullouttext">
    <w:name w:val="Pullout text"/>
    <w:next w:val="Normal"/>
    <w:link w:val="PullouttextChar"/>
    <w:uiPriority w:val="3"/>
    <w:qFormat/>
    <w:rsid w:val="006C3622"/>
    <w:pPr>
      <w:spacing w:before="120" w:after="120"/>
      <w:ind w:left="397"/>
      <w:contextualSpacing/>
    </w:pPr>
    <w:rPr>
      <w:rFonts w:ascii="Georgia" w:hAnsi="Georgia" w:cs="Arial"/>
      <w:bCs/>
      <w:i/>
      <w:iCs/>
      <w:color w:val="275D3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2465DC"/>
    <w:rPr>
      <w:rFonts w:ascii="Georgia" w:hAnsi="Georgia" w:cs="Arial"/>
      <w:bCs/>
      <w:iCs/>
      <w:color w:val="275D38" w:themeColor="accent5"/>
      <w:sz w:val="32"/>
      <w:szCs w:val="28"/>
    </w:rPr>
  </w:style>
  <w:style w:type="character" w:customStyle="1" w:styleId="PullouttextChar">
    <w:name w:val="Pullout text Char"/>
    <w:basedOn w:val="Heading2Char"/>
    <w:link w:val="Pullouttext"/>
    <w:uiPriority w:val="3"/>
    <w:rsid w:val="006C3622"/>
    <w:rPr>
      <w:rFonts w:ascii="Georgia" w:hAnsi="Georgia" w:cs="Arial"/>
      <w:bCs/>
      <w:i/>
      <w:iCs/>
      <w:color w:val="275D38"/>
      <w:sz w:val="24"/>
      <w:szCs w:val="28"/>
    </w:rPr>
  </w:style>
  <w:style w:type="paragraph" w:styleId="TOC1">
    <w:name w:val="toc 1"/>
    <w:basedOn w:val="Normal"/>
    <w:next w:val="Normal"/>
    <w:autoRedefine/>
    <w:uiPriority w:val="39"/>
    <w:rsid w:val="00E923F2"/>
    <w:pPr>
      <w:spacing w:after="10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rsid w:val="00E923F2"/>
    <w:pPr>
      <w:spacing w:after="100"/>
    </w:pPr>
    <w:rPr>
      <w:noProof/>
    </w:rPr>
  </w:style>
  <w:style w:type="paragraph" w:customStyle="1" w:styleId="TableText">
    <w:name w:val="Table Text"/>
    <w:basedOn w:val="Normal"/>
    <w:uiPriority w:val="3"/>
    <w:qFormat/>
    <w:rsid w:val="005F6BD6"/>
    <w:pPr>
      <w:spacing w:before="40" w:after="40"/>
    </w:pPr>
  </w:style>
  <w:style w:type="paragraph" w:customStyle="1" w:styleId="Tablebullet">
    <w:name w:val="Table bullet"/>
    <w:basedOn w:val="TableText"/>
    <w:uiPriority w:val="3"/>
    <w:qFormat/>
    <w:rsid w:val="00F40AFC"/>
    <w:pPr>
      <w:numPr>
        <w:numId w:val="2"/>
      </w:numPr>
      <w:ind w:left="170" w:hanging="170"/>
    </w:pPr>
    <w:rPr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E923F2"/>
    <w:pPr>
      <w:spacing w:before="0" w:after="100" w:line="276" w:lineRule="auto"/>
      <w:ind w:left="442"/>
    </w:pPr>
    <w:rPr>
      <w:rFonts w:asciiTheme="minorHAnsi" w:eastAsiaTheme="minorEastAsia" w:hAnsiTheme="minorHAnsi" w:cstheme="minorBidi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7D0EF8"/>
    <w:pPr>
      <w:spacing w:before="0" w:after="100" w:line="276" w:lineRule="auto"/>
      <w:ind w:left="660"/>
    </w:pPr>
    <w:rPr>
      <w:rFonts w:asciiTheme="minorHAnsi" w:eastAsiaTheme="minorEastAsia" w:hAnsiTheme="minorHAnsi" w:cstheme="minorBid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7D0EF8"/>
    <w:pPr>
      <w:spacing w:before="0" w:after="100" w:line="276" w:lineRule="auto"/>
      <w:ind w:left="880"/>
    </w:pPr>
    <w:rPr>
      <w:rFonts w:asciiTheme="minorHAnsi" w:eastAsiaTheme="minorEastAsia" w:hAnsiTheme="minorHAnsi" w:cstheme="minorBid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7D0EF8"/>
    <w:pPr>
      <w:spacing w:before="0" w:after="100" w:line="276" w:lineRule="auto"/>
      <w:ind w:left="1100"/>
    </w:pPr>
    <w:rPr>
      <w:rFonts w:asciiTheme="minorHAnsi" w:eastAsiaTheme="minorEastAsia" w:hAnsiTheme="minorHAnsi" w:cstheme="minorBid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7D0EF8"/>
    <w:pPr>
      <w:spacing w:before="0" w:after="100" w:line="276" w:lineRule="auto"/>
      <w:ind w:left="1320"/>
    </w:pPr>
    <w:rPr>
      <w:rFonts w:asciiTheme="minorHAnsi" w:eastAsiaTheme="minorEastAsia" w:hAnsiTheme="minorHAnsi" w:cstheme="minorBid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D0EF8"/>
    <w:pPr>
      <w:spacing w:before="0" w:after="100" w:line="276" w:lineRule="auto"/>
      <w:ind w:left="1540"/>
    </w:pPr>
    <w:rPr>
      <w:rFonts w:asciiTheme="minorHAnsi" w:eastAsiaTheme="minorEastAsia" w:hAnsiTheme="minorHAnsi" w:cstheme="minorBid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D0EF8"/>
    <w:pPr>
      <w:spacing w:before="0" w:after="100" w:line="276" w:lineRule="auto"/>
      <w:ind w:left="1760"/>
    </w:pPr>
    <w:rPr>
      <w:rFonts w:asciiTheme="minorHAnsi" w:eastAsiaTheme="minorEastAsia" w:hAnsiTheme="minorHAnsi" w:cstheme="minorBidi"/>
      <w:szCs w:val="22"/>
    </w:rPr>
  </w:style>
  <w:style w:type="character" w:customStyle="1" w:styleId="Heading6Char">
    <w:name w:val="Heading 6 Char"/>
    <w:basedOn w:val="DefaultParagraphFont"/>
    <w:link w:val="Heading6"/>
    <w:uiPriority w:val="2"/>
    <w:rsid w:val="00557624"/>
    <w:rPr>
      <w:rFonts w:asciiTheme="majorHAnsi" w:eastAsiaTheme="majorEastAsia" w:hAnsiTheme="majorHAnsi" w:cstheme="majorBidi"/>
      <w:bCs/>
      <w:iCs/>
      <w:color w:val="005A70"/>
      <w:kern w:val="32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2"/>
    <w:rsid w:val="00557624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DA4BA0"/>
    <w:rPr>
      <w:rFonts w:ascii="Georgia" w:hAnsi="Georgia" w:cs="Arial"/>
      <w:bCs/>
      <w:color w:val="275D38"/>
      <w:kern w:val="32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2"/>
    <w:rsid w:val="006C3622"/>
    <w:rPr>
      <w:rFonts w:ascii="Georgia" w:hAnsi="Georgia" w:cs="Arial"/>
      <w:bCs/>
      <w:color w:val="275D38"/>
      <w:szCs w:val="26"/>
    </w:rPr>
  </w:style>
  <w:style w:type="character" w:customStyle="1" w:styleId="Heading4Char">
    <w:name w:val="Heading 4 Char"/>
    <w:basedOn w:val="DefaultParagraphFont"/>
    <w:link w:val="Heading4"/>
    <w:uiPriority w:val="2"/>
    <w:rsid w:val="00557624"/>
    <w:rPr>
      <w:rFonts w:ascii="Arial" w:hAnsi="Arial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5B76B0"/>
    <w:rPr>
      <w:rFonts w:ascii="Georgia" w:hAnsi="Georgia"/>
      <w:color w:val="275D38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1C6104"/>
    <w:rPr>
      <w:rFonts w:ascii="Georgia" w:hAnsi="Georgia" w:cs="Arial"/>
      <w:bCs/>
      <w:color w:val="275D38"/>
      <w:spacing w:val="-4"/>
      <w:kern w:val="36"/>
      <w:sz w:val="66"/>
      <w:szCs w:val="32"/>
    </w:rPr>
  </w:style>
  <w:style w:type="character" w:customStyle="1" w:styleId="FooterChar">
    <w:name w:val="Footer Char"/>
    <w:basedOn w:val="DefaultParagraphFont"/>
    <w:link w:val="Footer"/>
    <w:rsid w:val="006C3622"/>
    <w:rPr>
      <w:rFonts w:ascii="Georgia" w:hAnsi="Georgia"/>
      <w:color w:val="275D38"/>
      <w:szCs w:val="24"/>
    </w:rPr>
  </w:style>
  <w:style w:type="character" w:styleId="FollowedHyperlink">
    <w:name w:val="FollowedHyperlink"/>
    <w:basedOn w:val="DefaultParagraphFont"/>
    <w:uiPriority w:val="99"/>
    <w:unhideWhenUsed/>
    <w:rsid w:val="008131E7"/>
    <w:rPr>
      <w:b/>
      <w:color w:val="005A70"/>
      <w:u w:val="none"/>
    </w:rPr>
  </w:style>
  <w:style w:type="character" w:customStyle="1" w:styleId="Heading8Char">
    <w:name w:val="Heading 8 Char"/>
    <w:basedOn w:val="DefaultParagraphFont"/>
    <w:link w:val="Heading8"/>
    <w:uiPriority w:val="2"/>
    <w:rsid w:val="00557624"/>
    <w:rPr>
      <w:rFonts w:asciiTheme="majorHAnsi" w:eastAsiaTheme="majorEastAsia" w:hAnsiTheme="majorHAnsi" w:cstheme="majorBidi"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99"/>
    <w:qFormat/>
    <w:rsid w:val="00AB1A5B"/>
    <w:pPr>
      <w:numPr>
        <w:ilvl w:val="1"/>
      </w:numPr>
      <w:spacing w:before="0" w:after="600" w:line="240" w:lineRule="auto"/>
      <w:contextualSpacing/>
    </w:pPr>
    <w:rPr>
      <w:rFonts w:asciiTheme="majorHAnsi" w:eastAsiaTheme="majorEastAsia" w:hAnsiTheme="majorHAnsi" w:cstheme="majorBidi"/>
      <w:iCs/>
      <w:color w:val="000000" w:themeColor="text1"/>
      <w:sz w:val="32"/>
    </w:rPr>
  </w:style>
  <w:style w:type="character" w:customStyle="1" w:styleId="SubtitleChar">
    <w:name w:val="Subtitle Char"/>
    <w:basedOn w:val="DefaultParagraphFont"/>
    <w:link w:val="Subtitle"/>
    <w:uiPriority w:val="99"/>
    <w:rsid w:val="00AB1A5B"/>
    <w:rPr>
      <w:rFonts w:asciiTheme="majorHAnsi" w:eastAsiaTheme="majorEastAsia" w:hAnsiTheme="majorHAnsi" w:cstheme="majorBidi"/>
      <w:iCs/>
      <w:color w:val="000000" w:themeColor="text1"/>
      <w:sz w:val="32"/>
      <w:szCs w:val="24"/>
    </w:rPr>
  </w:style>
  <w:style w:type="paragraph" w:styleId="BalloonText">
    <w:name w:val="Balloon Text"/>
    <w:basedOn w:val="Normal"/>
    <w:link w:val="BalloonTextChar"/>
    <w:rsid w:val="005C673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673E"/>
    <w:rPr>
      <w:rFonts w:ascii="Tahoma" w:hAnsi="Tahoma" w:cs="Tahoma"/>
      <w:sz w:val="16"/>
      <w:szCs w:val="16"/>
    </w:rPr>
  </w:style>
  <w:style w:type="paragraph" w:customStyle="1" w:styleId="textboxes">
    <w:name w:val="text boxes"/>
    <w:basedOn w:val="Normal"/>
    <w:link w:val="textboxesChar"/>
    <w:qFormat/>
    <w:rsid w:val="00B33D33"/>
    <w:rPr>
      <w:sz w:val="26"/>
    </w:rPr>
  </w:style>
  <w:style w:type="paragraph" w:customStyle="1" w:styleId="PullOutText0">
    <w:name w:val="Pull Out Text"/>
    <w:basedOn w:val="Normal"/>
    <w:rsid w:val="00B33D33"/>
    <w:pPr>
      <w:shd w:val="clear" w:color="auto" w:fill="005A70" w:themeFill="accent1"/>
      <w:autoSpaceDE w:val="0"/>
      <w:autoSpaceDN w:val="0"/>
      <w:adjustRightInd w:val="0"/>
      <w:spacing w:before="0" w:after="480" w:line="360" w:lineRule="exact"/>
      <w:ind w:right="113"/>
    </w:pPr>
    <w:rPr>
      <w:rFonts w:ascii="Georgia" w:eastAsiaTheme="minorHAnsi" w:hAnsi="Georgia" w:cs="Georgia"/>
      <w:color w:val="FFFFFF"/>
      <w:sz w:val="24"/>
      <w:lang w:eastAsia="en-US"/>
    </w:rPr>
  </w:style>
  <w:style w:type="character" w:customStyle="1" w:styleId="textboxesChar">
    <w:name w:val="text boxes Char"/>
    <w:basedOn w:val="DefaultParagraphFont"/>
    <w:link w:val="textboxes"/>
    <w:rsid w:val="00B33D33"/>
    <w:rPr>
      <w:rFonts w:ascii="Arial" w:hAnsi="Arial"/>
      <w:sz w:val="26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DD48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4806"/>
    <w:pPr>
      <w:spacing w:before="0" w:after="200" w:line="240" w:lineRule="auto"/>
    </w:pPr>
    <w:rPr>
      <w:rFonts w:eastAsia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4806"/>
    <w:rPr>
      <w:rFonts w:ascii="Arial" w:eastAsiaTheme="minorHAnsi" w:hAnsi="Arial" w:cstheme="minorBidi"/>
      <w:lang w:eastAsia="en-US"/>
    </w:rPr>
  </w:style>
  <w:style w:type="paragraph" w:styleId="ListParagraph">
    <w:name w:val="List Paragraph"/>
    <w:basedOn w:val="Normal"/>
    <w:uiPriority w:val="34"/>
    <w:rsid w:val="00B550EB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9D66BA"/>
    <w:pPr>
      <w:spacing w:before="120" w:after="120"/>
    </w:pPr>
    <w:rPr>
      <w:rFonts w:eastAsia="Times New Roman" w:cs="Times New Roman"/>
      <w:b/>
      <w:bCs/>
      <w:lang w:eastAsia="en-AU"/>
    </w:rPr>
  </w:style>
  <w:style w:type="character" w:customStyle="1" w:styleId="CommentSubjectChar">
    <w:name w:val="Comment Subject Char"/>
    <w:basedOn w:val="CommentTextChar"/>
    <w:link w:val="CommentSubject"/>
    <w:rsid w:val="009D66BA"/>
    <w:rPr>
      <w:rFonts w:ascii="Arial" w:eastAsiaTheme="minorHAnsi" w:hAnsi="Arial" w:cstheme="minorBidi"/>
      <w:b/>
      <w:bCs/>
      <w:lang w:eastAsia="en-US"/>
    </w:rPr>
  </w:style>
  <w:style w:type="paragraph" w:styleId="Revision">
    <w:name w:val="Revision"/>
    <w:hidden/>
    <w:uiPriority w:val="99"/>
    <w:semiHidden/>
    <w:rsid w:val="00EC06A8"/>
    <w:rPr>
      <w:rFonts w:ascii="Arial" w:hAnsi="Arial"/>
      <w:szCs w:val="24"/>
    </w:rPr>
  </w:style>
  <w:style w:type="character" w:styleId="BookTitle">
    <w:name w:val="Book Title"/>
    <w:uiPriority w:val="33"/>
    <w:qFormat/>
    <w:rsid w:val="008D6790"/>
    <w:rPr>
      <w:i/>
      <w:iCs/>
      <w:smallCaps/>
      <w:spacing w:val="5"/>
    </w:rPr>
  </w:style>
  <w:style w:type="table" w:styleId="MediumGrid1-Accent4">
    <w:name w:val="Medium Grid 1 Accent 4"/>
    <w:basedOn w:val="TableNormal"/>
    <w:uiPriority w:val="67"/>
    <w:rsid w:val="002F1411"/>
    <w:tblPr>
      <w:tblStyleRowBandSize w:val="1"/>
      <w:tblStyleColBandSize w:val="1"/>
      <w:tblBorders>
        <w:top w:val="single" w:sz="8" w:space="0" w:color="9BDF46" w:themeColor="accent4" w:themeTint="BF"/>
        <w:left w:val="single" w:sz="8" w:space="0" w:color="9BDF46" w:themeColor="accent4" w:themeTint="BF"/>
        <w:bottom w:val="single" w:sz="8" w:space="0" w:color="9BDF46" w:themeColor="accent4" w:themeTint="BF"/>
        <w:right w:val="single" w:sz="8" w:space="0" w:color="9BDF46" w:themeColor="accent4" w:themeTint="BF"/>
        <w:insideH w:val="single" w:sz="8" w:space="0" w:color="9BDF46" w:themeColor="accent4" w:themeTint="BF"/>
        <w:insideV w:val="single" w:sz="8" w:space="0" w:color="9BDF46" w:themeColor="accent4" w:themeTint="BF"/>
      </w:tblBorders>
    </w:tblPr>
    <w:tcPr>
      <w:shd w:val="clear" w:color="auto" w:fill="DEF4C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DF4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A84" w:themeFill="accent4" w:themeFillTint="7F"/>
      </w:tcPr>
    </w:tblStylePr>
    <w:tblStylePr w:type="band1Horz">
      <w:tblPr/>
      <w:tcPr>
        <w:shd w:val="clear" w:color="auto" w:fill="BCEA84" w:themeFill="accent4" w:themeFillTint="7F"/>
      </w:tcPr>
    </w:tblStylePr>
  </w:style>
  <w:style w:type="paragraph" w:customStyle="1" w:styleId="Default">
    <w:name w:val="Default"/>
    <w:rsid w:val="00B43F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SS%20New%20Design\Libraries\Corporate%20Branding\Templates\Word%20Templates\Folk%20templates%20(old)\DSS_Fact%20Sheet%20template_Green.dotx" TargetMode="External"/></Relationships>
</file>

<file path=word/theme/theme1.xml><?xml version="1.0" encoding="utf-8"?>
<a:theme xmlns:a="http://schemas.openxmlformats.org/drawingml/2006/main" name="Office Theme">
  <a:themeElements>
    <a:clrScheme name="DS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5A70"/>
      </a:accent1>
      <a:accent2>
        <a:srgbClr val="00B0B9"/>
      </a:accent2>
      <a:accent3>
        <a:srgbClr val="A6192E"/>
      </a:accent3>
      <a:accent4>
        <a:srgbClr val="78BE20"/>
      </a:accent4>
      <a:accent5>
        <a:srgbClr val="275D38"/>
      </a:accent5>
      <a:accent6>
        <a:srgbClr val="500778"/>
      </a:accent6>
      <a:hlink>
        <a:srgbClr val="000000"/>
      </a:hlink>
      <a:folHlink>
        <a:srgbClr val="000000"/>
      </a:folHlink>
    </a:clrScheme>
    <a:fontScheme name="Stronger Relationships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C8908-B235-415E-ADC8-C11E8102C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DSS_Fact Sheet template_Green</Template>
  <TotalTime>4</TotalTime>
  <Pages>2</Pages>
  <Words>326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Social Services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Priority Investment Approach to Welfare – Parents</dc:title>
  <dc:subject>Australian Priority Investment Approach to Welfare – Parents</dc:subject>
  <dc:creator>Department of Social Services</dc:creator>
  <cp:keywords>Australian Priority Investment Approach to Welfare, Carers, Australian Government, Department of Social Services, Carer payment, Try, Test and Learn Fund, PriceWaterhouse Coopers, lifetime costs, Parenting Payments</cp:keywords>
  <cp:lastModifiedBy>LEGGE, Michele</cp:lastModifiedBy>
  <cp:revision>7</cp:revision>
  <cp:lastPrinted>2016-08-19T00:54:00Z</cp:lastPrinted>
  <dcterms:created xsi:type="dcterms:W3CDTF">2016-09-16T03:08:00Z</dcterms:created>
  <dcterms:modified xsi:type="dcterms:W3CDTF">2016-09-18T02:26:00Z</dcterms:modified>
  <cp:category>Fact sheet</cp:category>
</cp:coreProperties>
</file>