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4783" w14:textId="457AFB63" w:rsidR="00BA4E26" w:rsidRDefault="00862F6F" w:rsidP="00BA4E26">
      <w:pPr>
        <w:pStyle w:val="Heading1"/>
      </w:pPr>
      <w:bookmarkStart w:id="0" w:name="_GoBack"/>
      <w:bookmarkEnd w:id="0"/>
      <w:r>
        <w:rPr>
          <w:noProof/>
        </w:rPr>
        <w:drawing>
          <wp:inline distT="0" distB="0" distL="0" distR="0" wp14:anchorId="3C86751B" wp14:editId="64397C09">
            <wp:extent cx="6480810" cy="1233738"/>
            <wp:effectExtent l="0" t="0" r="0" b="5080"/>
            <wp:docPr id="2" name="Picture 2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23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4784" w14:textId="373789CA" w:rsidR="00BA4E26" w:rsidRPr="007E60D1" w:rsidRDefault="00872F09" w:rsidP="008B08BB">
      <w:pPr>
        <w:pStyle w:val="Heading1"/>
        <w:ind w:left="7920"/>
        <w:rPr>
          <w:rFonts w:ascii="Arial" w:hAnsi="Arial"/>
          <w:color w:val="500778"/>
          <w:sz w:val="20"/>
          <w:szCs w:val="20"/>
        </w:rPr>
      </w:pPr>
      <w:r>
        <w:rPr>
          <w:rFonts w:ascii="Arial" w:hAnsi="Arial"/>
          <w:color w:val="500778"/>
          <w:sz w:val="20"/>
          <w:szCs w:val="20"/>
        </w:rPr>
        <w:t>June</w:t>
      </w:r>
      <w:r w:rsidR="000B1425" w:rsidRPr="007E60D1">
        <w:rPr>
          <w:rFonts w:ascii="Arial" w:hAnsi="Arial"/>
          <w:color w:val="500778"/>
          <w:sz w:val="20"/>
          <w:szCs w:val="20"/>
        </w:rPr>
        <w:t xml:space="preserve"> </w:t>
      </w:r>
      <w:r w:rsidR="00460A7F" w:rsidRPr="007E60D1">
        <w:rPr>
          <w:rFonts w:ascii="Arial" w:hAnsi="Arial"/>
          <w:color w:val="500778"/>
          <w:sz w:val="20"/>
          <w:szCs w:val="20"/>
        </w:rPr>
        <w:t>20</w:t>
      </w:r>
      <w:r w:rsidR="00AC3A02" w:rsidRPr="007E60D1">
        <w:rPr>
          <w:rFonts w:ascii="Arial" w:hAnsi="Arial"/>
          <w:color w:val="500778"/>
          <w:sz w:val="20"/>
          <w:szCs w:val="20"/>
        </w:rPr>
        <w:t>2</w:t>
      </w:r>
      <w:r>
        <w:rPr>
          <w:rFonts w:ascii="Arial" w:hAnsi="Arial"/>
          <w:color w:val="500778"/>
          <w:sz w:val="20"/>
          <w:szCs w:val="20"/>
        </w:rPr>
        <w:t>2</w:t>
      </w:r>
    </w:p>
    <w:p w14:paraId="0DB44785" w14:textId="4141AD3C" w:rsidR="00BA4E26" w:rsidRPr="007E60D1" w:rsidRDefault="00835719" w:rsidP="003E0A49">
      <w:pPr>
        <w:pStyle w:val="Heading1"/>
        <w:spacing w:after="0"/>
        <w:rPr>
          <w:color w:val="500778"/>
          <w:sz w:val="52"/>
          <w:szCs w:val="52"/>
        </w:rPr>
      </w:pPr>
      <w:r w:rsidRPr="002F4925">
        <w:rPr>
          <w:color w:val="500778"/>
          <w:sz w:val="52"/>
          <w:szCs w:val="52"/>
        </w:rPr>
        <w:t>National Rental Affordability Scheme</w:t>
      </w:r>
      <w:r w:rsidRPr="00D406B8">
        <w:rPr>
          <w:color w:val="500778"/>
        </w:rPr>
        <w:t xml:space="preserve"> </w:t>
      </w:r>
    </w:p>
    <w:p w14:paraId="0DB44786" w14:textId="79BC40D3" w:rsidR="00BA4E26" w:rsidRPr="007E60D1" w:rsidRDefault="008B08BB" w:rsidP="003E0A49">
      <w:pPr>
        <w:pStyle w:val="Heading2"/>
        <w:spacing w:before="0" w:after="240"/>
        <w:rPr>
          <w:color w:val="auto"/>
          <w:sz w:val="36"/>
        </w:rPr>
      </w:pPr>
      <w:r w:rsidRPr="007E60D1">
        <w:rPr>
          <w:color w:val="auto"/>
          <w:sz w:val="36"/>
        </w:rPr>
        <w:t>Investor Protection</w:t>
      </w:r>
      <w:r w:rsidR="001B140F" w:rsidRPr="007E60D1">
        <w:rPr>
          <w:color w:val="auto"/>
          <w:sz w:val="36"/>
        </w:rPr>
        <w:t>s</w:t>
      </w:r>
      <w:r w:rsidRPr="007E60D1">
        <w:rPr>
          <w:color w:val="auto"/>
          <w:sz w:val="36"/>
        </w:rPr>
        <w:t xml:space="preserve"> </w:t>
      </w:r>
    </w:p>
    <w:p w14:paraId="6BC86733" w14:textId="675D2B20" w:rsidR="009D7A7F" w:rsidRPr="00091110" w:rsidRDefault="00D63958" w:rsidP="00AC3A02">
      <w:pPr>
        <w:rPr>
          <w:rFonts w:ascii="Georgia" w:eastAsia="Times New Roman" w:hAnsi="Georgia" w:cs="Arial"/>
          <w:bCs/>
          <w:iCs/>
          <w:color w:val="500778"/>
          <w:spacing w:val="4"/>
          <w:sz w:val="32"/>
          <w:szCs w:val="28"/>
          <w:lang w:eastAsia="en-AU"/>
        </w:rPr>
      </w:pPr>
      <w:r>
        <w:rPr>
          <w:rFonts w:ascii="Georgia" w:eastAsia="Times New Roman" w:hAnsi="Georgia" w:cs="Arial"/>
          <w:bCs/>
          <w:iCs/>
          <w:color w:val="500778"/>
          <w:spacing w:val="4"/>
          <w:sz w:val="32"/>
          <w:szCs w:val="28"/>
          <w:lang w:eastAsia="en-AU"/>
        </w:rPr>
        <w:t>Investor protections in the Regulations</w:t>
      </w:r>
    </w:p>
    <w:p w14:paraId="626B0D32" w14:textId="68ADD23D" w:rsidR="00496255" w:rsidRDefault="00AC3A02" w:rsidP="00AC3A02">
      <w:pPr>
        <w:rPr>
          <w:sz w:val="24"/>
          <w:szCs w:val="24"/>
          <w:lang w:eastAsia="en-AU"/>
        </w:rPr>
      </w:pPr>
      <w:r w:rsidRPr="007E60D1">
        <w:rPr>
          <w:sz w:val="24"/>
          <w:szCs w:val="24"/>
          <w:lang w:eastAsia="en-AU"/>
        </w:rPr>
        <w:t>In November 2017, the Government introdu</w:t>
      </w:r>
      <w:r w:rsidR="003E0A49">
        <w:rPr>
          <w:sz w:val="24"/>
          <w:szCs w:val="24"/>
          <w:lang w:eastAsia="en-AU"/>
        </w:rPr>
        <w:t xml:space="preserve">ced investor protections to the </w:t>
      </w:r>
      <w:r w:rsidR="000B1425" w:rsidRPr="001D4E36">
        <w:rPr>
          <w:sz w:val="24"/>
          <w:szCs w:val="24"/>
        </w:rPr>
        <w:t>National</w:t>
      </w:r>
      <w:r w:rsidR="007E60D1">
        <w:rPr>
          <w:sz w:val="24"/>
          <w:szCs w:val="24"/>
        </w:rPr>
        <w:t> </w:t>
      </w:r>
      <w:r w:rsidR="000B1425" w:rsidRPr="001D4E36">
        <w:rPr>
          <w:sz w:val="24"/>
          <w:szCs w:val="24"/>
        </w:rPr>
        <w:t>Rental</w:t>
      </w:r>
      <w:r w:rsidR="007E60D1">
        <w:rPr>
          <w:sz w:val="24"/>
          <w:szCs w:val="24"/>
        </w:rPr>
        <w:t> </w:t>
      </w:r>
      <w:r w:rsidR="000B1425" w:rsidRPr="001D4E36">
        <w:rPr>
          <w:sz w:val="24"/>
          <w:szCs w:val="24"/>
        </w:rPr>
        <w:t>Affordability Scheme (NRAS</w:t>
      </w:r>
      <w:r w:rsidR="005C32D9">
        <w:rPr>
          <w:sz w:val="24"/>
          <w:szCs w:val="24"/>
        </w:rPr>
        <w:t xml:space="preserve">, </w:t>
      </w:r>
      <w:r w:rsidR="000B1425" w:rsidRPr="001D4E36">
        <w:rPr>
          <w:sz w:val="24"/>
          <w:szCs w:val="24"/>
        </w:rPr>
        <w:t>the Scheme)</w:t>
      </w:r>
      <w:r w:rsidR="00007B94">
        <w:rPr>
          <w:sz w:val="24"/>
          <w:szCs w:val="24"/>
        </w:rPr>
        <w:t xml:space="preserve"> through amendments to the National Rental Affordability Scheme Regulations 2008 (the previous regulations)</w:t>
      </w:r>
      <w:r w:rsidRPr="007E60D1">
        <w:rPr>
          <w:sz w:val="24"/>
          <w:szCs w:val="24"/>
          <w:lang w:eastAsia="en-AU"/>
        </w:rPr>
        <w:t>.</w:t>
      </w:r>
      <w:r w:rsidR="003E0A49">
        <w:rPr>
          <w:sz w:val="24"/>
          <w:szCs w:val="24"/>
          <w:lang w:eastAsia="en-AU"/>
        </w:rPr>
        <w:t xml:space="preserve"> </w:t>
      </w:r>
      <w:r w:rsidRPr="007E60D1">
        <w:rPr>
          <w:sz w:val="24"/>
          <w:szCs w:val="24"/>
          <w:lang w:eastAsia="en-AU"/>
        </w:rPr>
        <w:t xml:space="preserve">These amendments included the right for investors to request a transfer of the allocation associated with their </w:t>
      </w:r>
      <w:r w:rsidR="00496255">
        <w:rPr>
          <w:sz w:val="24"/>
          <w:szCs w:val="24"/>
          <w:lang w:eastAsia="en-AU"/>
        </w:rPr>
        <w:t xml:space="preserve">NRAS </w:t>
      </w:r>
      <w:r w:rsidRPr="007E60D1">
        <w:rPr>
          <w:sz w:val="24"/>
          <w:szCs w:val="24"/>
          <w:lang w:eastAsia="en-AU"/>
        </w:rPr>
        <w:t xml:space="preserve">rental </w:t>
      </w:r>
      <w:r w:rsidR="00007B94">
        <w:rPr>
          <w:sz w:val="24"/>
          <w:szCs w:val="24"/>
          <w:lang w:eastAsia="en-AU"/>
        </w:rPr>
        <w:t>dwelling</w:t>
      </w:r>
      <w:r w:rsidR="00007B94" w:rsidRPr="007E60D1">
        <w:rPr>
          <w:sz w:val="24"/>
          <w:szCs w:val="24"/>
          <w:lang w:eastAsia="en-AU"/>
        </w:rPr>
        <w:t xml:space="preserve"> </w:t>
      </w:r>
      <w:r w:rsidRPr="007E60D1">
        <w:rPr>
          <w:sz w:val="24"/>
          <w:szCs w:val="24"/>
          <w:lang w:eastAsia="en-AU"/>
        </w:rPr>
        <w:t xml:space="preserve">to another approved participant </w:t>
      </w:r>
      <w:r w:rsidR="00C51ACF">
        <w:rPr>
          <w:sz w:val="24"/>
          <w:szCs w:val="24"/>
          <w:lang w:eastAsia="en-AU"/>
        </w:rPr>
        <w:t>under</w:t>
      </w:r>
      <w:r w:rsidRPr="007E60D1">
        <w:rPr>
          <w:sz w:val="24"/>
          <w:szCs w:val="24"/>
          <w:lang w:eastAsia="en-AU"/>
        </w:rPr>
        <w:t xml:space="preserve"> certain circumstances.</w:t>
      </w:r>
    </w:p>
    <w:p w14:paraId="34684C6D" w14:textId="59F44A8D" w:rsidR="00AC3A02" w:rsidRPr="007E60D1" w:rsidRDefault="000B1425" w:rsidP="00AC3A02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I</w:t>
      </w:r>
      <w:r w:rsidR="00AC3A02" w:rsidRPr="007E60D1">
        <w:rPr>
          <w:sz w:val="24"/>
          <w:szCs w:val="24"/>
          <w:lang w:eastAsia="en-AU"/>
        </w:rPr>
        <w:t>nvestor protection</w:t>
      </w:r>
      <w:r w:rsidR="003C29A2" w:rsidRPr="007E60D1">
        <w:rPr>
          <w:sz w:val="24"/>
          <w:szCs w:val="24"/>
          <w:lang w:eastAsia="en-AU"/>
        </w:rPr>
        <w:t>s</w:t>
      </w:r>
      <w:r w:rsidR="00AC3A02" w:rsidRPr="007E60D1">
        <w:rPr>
          <w:sz w:val="24"/>
          <w:szCs w:val="24"/>
          <w:lang w:eastAsia="en-AU"/>
        </w:rPr>
        <w:t xml:space="preserve"> </w:t>
      </w:r>
      <w:r w:rsidR="00420F1C">
        <w:rPr>
          <w:sz w:val="24"/>
          <w:szCs w:val="24"/>
          <w:lang w:eastAsia="en-AU"/>
        </w:rPr>
        <w:t xml:space="preserve">found in the previous regulations are </w:t>
      </w:r>
      <w:r w:rsidR="00343A51">
        <w:rPr>
          <w:sz w:val="24"/>
          <w:szCs w:val="24"/>
          <w:lang w:eastAsia="en-AU"/>
        </w:rPr>
        <w:t>preserved in</w:t>
      </w:r>
      <w:r w:rsidR="003C3AA5" w:rsidRPr="007E60D1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>the</w:t>
      </w:r>
      <w:r w:rsidR="00CE007C" w:rsidRPr="007E60D1">
        <w:rPr>
          <w:sz w:val="24"/>
          <w:szCs w:val="24"/>
          <w:lang w:eastAsia="en-AU"/>
        </w:rPr>
        <w:t xml:space="preserve"> </w:t>
      </w:r>
      <w:r w:rsidR="00343A51">
        <w:rPr>
          <w:sz w:val="24"/>
          <w:szCs w:val="24"/>
          <w:lang w:eastAsia="en-AU"/>
        </w:rPr>
        <w:br/>
      </w:r>
      <w:r w:rsidR="00CE007C" w:rsidRPr="007E60D1">
        <w:rPr>
          <w:sz w:val="24"/>
          <w:szCs w:val="24"/>
          <w:lang w:eastAsia="en-AU"/>
        </w:rPr>
        <w:t>National Rental Affordability Scheme Regulations 2020</w:t>
      </w:r>
      <w:r w:rsidR="001B6B18" w:rsidRPr="007E60D1">
        <w:rPr>
          <w:sz w:val="24"/>
          <w:szCs w:val="24"/>
          <w:lang w:eastAsia="en-AU"/>
        </w:rPr>
        <w:t xml:space="preserve"> (</w:t>
      </w:r>
      <w:r w:rsidR="000559CE">
        <w:rPr>
          <w:sz w:val="24"/>
          <w:szCs w:val="24"/>
          <w:lang w:eastAsia="en-AU"/>
        </w:rPr>
        <w:t xml:space="preserve">the </w:t>
      </w:r>
      <w:r w:rsidR="001B6B18" w:rsidRPr="007E60D1">
        <w:rPr>
          <w:sz w:val="24"/>
          <w:szCs w:val="24"/>
          <w:lang w:eastAsia="en-AU"/>
        </w:rPr>
        <w:t>Regulations)</w:t>
      </w:r>
      <w:r w:rsidR="00420F1C">
        <w:rPr>
          <w:sz w:val="24"/>
          <w:szCs w:val="24"/>
          <w:lang w:eastAsia="en-AU"/>
        </w:rPr>
        <w:t xml:space="preserve">, which commenced on 1 April 2020. The Regulations </w:t>
      </w:r>
      <w:r w:rsidR="003C29A2" w:rsidRPr="007E60D1">
        <w:rPr>
          <w:sz w:val="24"/>
          <w:szCs w:val="24"/>
          <w:lang w:eastAsia="en-AU"/>
        </w:rPr>
        <w:t>exten</w:t>
      </w:r>
      <w:r w:rsidR="00C51ACF">
        <w:rPr>
          <w:sz w:val="24"/>
          <w:szCs w:val="24"/>
          <w:lang w:eastAsia="en-AU"/>
        </w:rPr>
        <w:t>d</w:t>
      </w:r>
      <w:r w:rsidR="003C29A2" w:rsidRPr="007E60D1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 xml:space="preserve">the obligations of approved participants in relation to investors and </w:t>
      </w:r>
      <w:r w:rsidR="00420F1C" w:rsidRPr="007E60D1">
        <w:rPr>
          <w:sz w:val="24"/>
          <w:szCs w:val="24"/>
          <w:lang w:eastAsia="en-AU"/>
        </w:rPr>
        <w:t>provid</w:t>
      </w:r>
      <w:r w:rsidR="00420F1C">
        <w:rPr>
          <w:sz w:val="24"/>
          <w:szCs w:val="24"/>
          <w:lang w:eastAsia="en-AU"/>
        </w:rPr>
        <w:t>e</w:t>
      </w:r>
      <w:r w:rsidR="00420F1C" w:rsidRPr="007E60D1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 xml:space="preserve">the </w:t>
      </w:r>
      <w:r w:rsidR="00B15DCD" w:rsidRPr="007E60D1">
        <w:rPr>
          <w:sz w:val="24"/>
          <w:szCs w:val="24"/>
          <w:lang w:eastAsia="en-AU"/>
        </w:rPr>
        <w:t xml:space="preserve">Secretary of the </w:t>
      </w:r>
      <w:r w:rsidRPr="001D4E36">
        <w:rPr>
          <w:sz w:val="24"/>
          <w:szCs w:val="24"/>
          <w:lang w:eastAsia="en-AU"/>
        </w:rPr>
        <w:t>Department of</w:t>
      </w:r>
      <w:r w:rsidR="00925015">
        <w:rPr>
          <w:sz w:val="24"/>
          <w:szCs w:val="24"/>
          <w:lang w:eastAsia="en-AU"/>
        </w:rPr>
        <w:t> </w:t>
      </w:r>
      <w:r w:rsidRPr="001D4E36">
        <w:rPr>
          <w:sz w:val="24"/>
          <w:szCs w:val="24"/>
          <w:lang w:eastAsia="en-AU"/>
        </w:rPr>
        <w:t>Social Services (</w:t>
      </w:r>
      <w:r w:rsidR="00420F1C">
        <w:rPr>
          <w:sz w:val="24"/>
          <w:szCs w:val="24"/>
          <w:lang w:eastAsia="en-AU"/>
        </w:rPr>
        <w:t xml:space="preserve">the Secretary, </w:t>
      </w:r>
      <w:r w:rsidRPr="001D4E36">
        <w:rPr>
          <w:sz w:val="24"/>
          <w:szCs w:val="24"/>
          <w:lang w:eastAsia="en-AU"/>
        </w:rPr>
        <w:t xml:space="preserve">the department) </w:t>
      </w:r>
      <w:r w:rsidR="00420F1C">
        <w:rPr>
          <w:sz w:val="24"/>
          <w:szCs w:val="24"/>
          <w:lang w:eastAsia="en-AU"/>
        </w:rPr>
        <w:t xml:space="preserve">with </w:t>
      </w:r>
      <w:r w:rsidR="00AC3A02" w:rsidRPr="007E60D1">
        <w:rPr>
          <w:sz w:val="24"/>
          <w:szCs w:val="24"/>
          <w:lang w:eastAsia="en-AU"/>
        </w:rPr>
        <w:t xml:space="preserve">additional powers to assist investors when an allocation is transferred from one approved participant to another. </w:t>
      </w:r>
    </w:p>
    <w:p w14:paraId="5711E69B" w14:textId="2C2132C6" w:rsidR="00AC3A02" w:rsidRPr="006A0273" w:rsidRDefault="00AC3A02" w:rsidP="003E0A49">
      <w:pPr>
        <w:pStyle w:val="Heading3"/>
        <w:spacing w:before="120" w:after="120"/>
        <w:rPr>
          <w:color w:val="500778"/>
        </w:rPr>
      </w:pPr>
      <w:r w:rsidRPr="006A0273">
        <w:rPr>
          <w:color w:val="500778"/>
        </w:rPr>
        <w:t xml:space="preserve">Approved </w:t>
      </w:r>
      <w:r w:rsidR="003C29A2">
        <w:rPr>
          <w:color w:val="500778"/>
        </w:rPr>
        <w:t>p</w:t>
      </w:r>
      <w:r w:rsidRPr="006A0273">
        <w:rPr>
          <w:color w:val="500778"/>
        </w:rPr>
        <w:t xml:space="preserve">articipants obligations to investors </w:t>
      </w:r>
    </w:p>
    <w:p w14:paraId="64C8B720" w14:textId="16A0DBFF" w:rsidR="00AC3A02" w:rsidRPr="003E0A49" w:rsidRDefault="00AC3A02" w:rsidP="0092026F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Under </w:t>
      </w:r>
      <w:r w:rsidR="00CE79CC" w:rsidRPr="003E0A49">
        <w:rPr>
          <w:sz w:val="24"/>
          <w:szCs w:val="24"/>
          <w:lang w:eastAsia="en-AU"/>
        </w:rPr>
        <w:t xml:space="preserve">section </w:t>
      </w:r>
      <w:r w:rsidRPr="003E0A49">
        <w:rPr>
          <w:sz w:val="24"/>
          <w:szCs w:val="24"/>
          <w:lang w:eastAsia="en-AU"/>
        </w:rPr>
        <w:t xml:space="preserve">63 of the Regulations, an approved participant </w:t>
      </w:r>
      <w:r w:rsidR="00B15DCD" w:rsidRPr="003E0A49">
        <w:rPr>
          <w:sz w:val="24"/>
          <w:szCs w:val="24"/>
          <w:lang w:eastAsia="en-AU"/>
        </w:rPr>
        <w:t>has an obligation to</w:t>
      </w:r>
      <w:r w:rsidR="00925015">
        <w:rPr>
          <w:sz w:val="24"/>
          <w:szCs w:val="24"/>
          <w:lang w:eastAsia="en-AU"/>
        </w:rPr>
        <w:t> </w:t>
      </w:r>
      <w:r w:rsidRPr="003E0A49">
        <w:rPr>
          <w:sz w:val="24"/>
          <w:szCs w:val="24"/>
          <w:lang w:eastAsia="en-AU"/>
        </w:rPr>
        <w:t>pass on a</w:t>
      </w:r>
      <w:r w:rsidR="00C51ACF">
        <w:rPr>
          <w:sz w:val="24"/>
          <w:szCs w:val="24"/>
          <w:lang w:eastAsia="en-AU"/>
        </w:rPr>
        <w:t xml:space="preserve"> Commonwealth </w:t>
      </w:r>
      <w:r w:rsidRPr="003E0A49">
        <w:rPr>
          <w:sz w:val="24"/>
          <w:szCs w:val="24"/>
          <w:lang w:eastAsia="en-AU"/>
        </w:rPr>
        <w:t xml:space="preserve">incentive </w:t>
      </w:r>
      <w:r w:rsidR="00D63958">
        <w:rPr>
          <w:sz w:val="24"/>
          <w:szCs w:val="24"/>
          <w:lang w:eastAsia="en-AU"/>
        </w:rPr>
        <w:t xml:space="preserve">(incentive) </w:t>
      </w:r>
      <w:r w:rsidR="00137C2A">
        <w:rPr>
          <w:sz w:val="24"/>
          <w:szCs w:val="24"/>
          <w:lang w:eastAsia="en-AU"/>
        </w:rPr>
        <w:t xml:space="preserve">or </w:t>
      </w:r>
      <w:r w:rsidR="00420F1C">
        <w:rPr>
          <w:sz w:val="24"/>
          <w:szCs w:val="24"/>
          <w:lang w:eastAsia="en-AU"/>
        </w:rPr>
        <w:t>S</w:t>
      </w:r>
      <w:r w:rsidRPr="003E0A49">
        <w:rPr>
          <w:sz w:val="24"/>
          <w:szCs w:val="24"/>
          <w:lang w:eastAsia="en-AU"/>
        </w:rPr>
        <w:t xml:space="preserve">tate or </w:t>
      </w:r>
      <w:r w:rsidR="00420F1C">
        <w:rPr>
          <w:sz w:val="24"/>
          <w:szCs w:val="24"/>
          <w:lang w:eastAsia="en-AU"/>
        </w:rPr>
        <w:t>T</w:t>
      </w:r>
      <w:r w:rsidRPr="003E0A49">
        <w:rPr>
          <w:sz w:val="24"/>
          <w:szCs w:val="24"/>
          <w:lang w:eastAsia="en-AU"/>
        </w:rPr>
        <w:t>erritory contribution</w:t>
      </w:r>
      <w:r w:rsidR="00B15DCD" w:rsidRPr="003E0A49">
        <w:rPr>
          <w:sz w:val="24"/>
          <w:szCs w:val="24"/>
          <w:lang w:eastAsia="en-AU"/>
        </w:rPr>
        <w:t xml:space="preserve"> under the Scheme </w:t>
      </w:r>
      <w:r w:rsidRPr="003E0A49">
        <w:rPr>
          <w:sz w:val="24"/>
          <w:szCs w:val="24"/>
          <w:lang w:eastAsia="en-AU"/>
        </w:rPr>
        <w:t>to an investor if</w:t>
      </w:r>
      <w:r w:rsidR="00420F1C" w:rsidRPr="0092026F">
        <w:rPr>
          <w:sz w:val="24"/>
          <w:szCs w:val="24"/>
          <w:lang w:eastAsia="en-AU"/>
        </w:rPr>
        <w:t>, at the time when the incentive or contribution is</w:t>
      </w:r>
      <w:r w:rsidR="00925015">
        <w:rPr>
          <w:sz w:val="24"/>
          <w:szCs w:val="24"/>
          <w:lang w:eastAsia="en-AU"/>
        </w:rPr>
        <w:t> </w:t>
      </w:r>
      <w:r w:rsidR="00420F1C" w:rsidRPr="0092026F">
        <w:rPr>
          <w:sz w:val="24"/>
          <w:szCs w:val="24"/>
          <w:lang w:eastAsia="en-AU"/>
        </w:rPr>
        <w:t xml:space="preserve">given to the approved participant, </w:t>
      </w:r>
      <w:r w:rsidR="00B15DCD" w:rsidRPr="003E0A49">
        <w:rPr>
          <w:sz w:val="24"/>
          <w:szCs w:val="24"/>
          <w:lang w:eastAsia="en-AU"/>
        </w:rPr>
        <w:t>the</w:t>
      </w:r>
      <w:r w:rsidR="00137C2A">
        <w:rPr>
          <w:sz w:val="24"/>
          <w:szCs w:val="24"/>
          <w:lang w:eastAsia="en-AU"/>
        </w:rPr>
        <w:t xml:space="preserve"> approved participant has</w:t>
      </w:r>
      <w:r w:rsidR="00B15DCD" w:rsidRPr="003E0A49">
        <w:rPr>
          <w:sz w:val="24"/>
          <w:szCs w:val="24"/>
          <w:lang w:eastAsia="en-AU"/>
        </w:rPr>
        <w:t xml:space="preserve"> a </w:t>
      </w:r>
      <w:r w:rsidRPr="003E0A49">
        <w:rPr>
          <w:sz w:val="24"/>
          <w:szCs w:val="24"/>
          <w:lang w:eastAsia="en-AU"/>
        </w:rPr>
        <w:t>legal obligation to</w:t>
      </w:r>
      <w:r w:rsidR="00925015">
        <w:rPr>
          <w:sz w:val="24"/>
          <w:szCs w:val="24"/>
          <w:lang w:eastAsia="en-AU"/>
        </w:rPr>
        <w:t> </w:t>
      </w:r>
      <w:r w:rsidRPr="003E0A49">
        <w:rPr>
          <w:sz w:val="24"/>
          <w:szCs w:val="24"/>
          <w:lang w:eastAsia="en-AU"/>
        </w:rPr>
        <w:t>do so</w:t>
      </w:r>
      <w:r w:rsidR="00B15DCD" w:rsidRPr="003E0A49">
        <w:rPr>
          <w:sz w:val="24"/>
          <w:szCs w:val="24"/>
          <w:lang w:eastAsia="en-AU"/>
        </w:rPr>
        <w:t>.</w:t>
      </w:r>
    </w:p>
    <w:p w14:paraId="6C6FBC18" w14:textId="794CAFE1" w:rsidR="00AC3A02" w:rsidRPr="003E0A49" w:rsidRDefault="00AC3A02" w:rsidP="0092026F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Under </w:t>
      </w:r>
      <w:r w:rsidR="00CE79CC" w:rsidRPr="003E0A49">
        <w:rPr>
          <w:sz w:val="24"/>
          <w:szCs w:val="24"/>
          <w:lang w:eastAsia="en-AU"/>
        </w:rPr>
        <w:t xml:space="preserve">section </w:t>
      </w:r>
      <w:r w:rsidRPr="003E0A49">
        <w:rPr>
          <w:sz w:val="24"/>
          <w:szCs w:val="24"/>
          <w:lang w:eastAsia="en-AU"/>
        </w:rPr>
        <w:t xml:space="preserve">64 of the Regulations, </w:t>
      </w:r>
      <w:r w:rsidR="00420F1C">
        <w:rPr>
          <w:sz w:val="24"/>
          <w:szCs w:val="24"/>
          <w:lang w:eastAsia="en-AU"/>
        </w:rPr>
        <w:t>an</w:t>
      </w:r>
      <w:r w:rsidR="00420F1C" w:rsidRPr="003E0A49">
        <w:rPr>
          <w:sz w:val="24"/>
          <w:szCs w:val="24"/>
          <w:lang w:eastAsia="en-AU"/>
        </w:rPr>
        <w:t xml:space="preserve"> </w:t>
      </w:r>
      <w:r w:rsidRPr="003E0A49">
        <w:rPr>
          <w:sz w:val="24"/>
          <w:szCs w:val="24"/>
          <w:lang w:eastAsia="en-AU"/>
        </w:rPr>
        <w:t>approved participant must pass on</w:t>
      </w:r>
      <w:r w:rsidR="00925015">
        <w:rPr>
          <w:sz w:val="24"/>
          <w:szCs w:val="24"/>
          <w:lang w:eastAsia="en-AU"/>
        </w:rPr>
        <w:t> </w:t>
      </w:r>
      <w:r w:rsidRPr="003E0A49">
        <w:rPr>
          <w:sz w:val="24"/>
          <w:szCs w:val="24"/>
          <w:lang w:eastAsia="en-AU"/>
        </w:rPr>
        <w:t>an</w:t>
      </w:r>
      <w:r w:rsidR="00925015">
        <w:rPr>
          <w:sz w:val="24"/>
          <w:szCs w:val="24"/>
          <w:lang w:eastAsia="en-AU"/>
        </w:rPr>
        <w:t> </w:t>
      </w:r>
      <w:r w:rsidRPr="003E0A49">
        <w:rPr>
          <w:sz w:val="24"/>
          <w:szCs w:val="24"/>
          <w:lang w:eastAsia="en-AU"/>
        </w:rPr>
        <w:t>incentive or</w:t>
      </w:r>
      <w:r w:rsidR="00420F1C">
        <w:rPr>
          <w:sz w:val="24"/>
          <w:szCs w:val="24"/>
          <w:lang w:eastAsia="en-AU"/>
        </w:rPr>
        <w:t xml:space="preserve"> S</w:t>
      </w:r>
      <w:r w:rsidRPr="003E0A49">
        <w:rPr>
          <w:sz w:val="24"/>
          <w:szCs w:val="24"/>
          <w:lang w:eastAsia="en-AU"/>
        </w:rPr>
        <w:t xml:space="preserve">tate or </w:t>
      </w:r>
      <w:r w:rsidR="00420F1C">
        <w:rPr>
          <w:sz w:val="24"/>
          <w:szCs w:val="24"/>
          <w:lang w:eastAsia="en-AU"/>
        </w:rPr>
        <w:t>T</w:t>
      </w:r>
      <w:r w:rsidRPr="003E0A49">
        <w:rPr>
          <w:sz w:val="24"/>
          <w:szCs w:val="24"/>
          <w:lang w:eastAsia="en-AU"/>
        </w:rPr>
        <w:t>erritory contribution to an investor within a timely manner on</w:t>
      </w:r>
      <w:r w:rsidR="00925015">
        <w:rPr>
          <w:sz w:val="24"/>
          <w:szCs w:val="24"/>
          <w:lang w:eastAsia="en-AU"/>
        </w:rPr>
        <w:t> </w:t>
      </w:r>
      <w:r w:rsidRPr="003E0A49">
        <w:rPr>
          <w:sz w:val="24"/>
          <w:szCs w:val="24"/>
          <w:lang w:eastAsia="en-AU"/>
        </w:rPr>
        <w:t xml:space="preserve">receipt of payment, being the earliest of the following: </w:t>
      </w:r>
    </w:p>
    <w:p w14:paraId="4909A01E" w14:textId="147F185C" w:rsidR="00AC3A02" w:rsidRPr="00E253E5" w:rsidRDefault="00AC3A02" w:rsidP="00AC3A02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3E0A49">
        <w:rPr>
          <w:sz w:val="24"/>
          <w:szCs w:val="24"/>
        </w:rPr>
        <w:t>if a legal obligation</w:t>
      </w:r>
      <w:r w:rsidRPr="00E253E5">
        <w:rPr>
          <w:i/>
          <w:sz w:val="24"/>
          <w:szCs w:val="24"/>
        </w:rPr>
        <w:t xml:space="preserve"> </w:t>
      </w:r>
      <w:r w:rsidRPr="003E0A49">
        <w:rPr>
          <w:sz w:val="24"/>
          <w:szCs w:val="24"/>
        </w:rPr>
        <w:t>requires the incentive or contribution to be passed on</w:t>
      </w:r>
      <w:r w:rsidR="00925015">
        <w:rPr>
          <w:sz w:val="24"/>
          <w:szCs w:val="24"/>
        </w:rPr>
        <w:t> </w:t>
      </w:r>
      <w:r w:rsidRPr="003E0A49">
        <w:rPr>
          <w:sz w:val="24"/>
          <w:szCs w:val="24"/>
        </w:rPr>
        <w:t>within</w:t>
      </w:r>
      <w:r w:rsidRPr="00E253E5">
        <w:rPr>
          <w:i/>
          <w:sz w:val="24"/>
          <w:szCs w:val="24"/>
        </w:rPr>
        <w:t xml:space="preserve"> </w:t>
      </w:r>
      <w:r w:rsidRPr="00E253E5">
        <w:rPr>
          <w:sz w:val="24"/>
          <w:szCs w:val="24"/>
        </w:rPr>
        <w:t>a particular period</w:t>
      </w:r>
      <w:r w:rsidR="00420F1C">
        <w:rPr>
          <w:sz w:val="24"/>
          <w:szCs w:val="24"/>
        </w:rPr>
        <w:t xml:space="preserve"> – the end of that period</w:t>
      </w:r>
      <w:r w:rsidR="00FD71B9" w:rsidRPr="00E253E5">
        <w:rPr>
          <w:sz w:val="24"/>
          <w:szCs w:val="24"/>
        </w:rPr>
        <w:t>;</w:t>
      </w:r>
      <w:r w:rsidR="00C51ACF">
        <w:rPr>
          <w:sz w:val="24"/>
          <w:szCs w:val="24"/>
        </w:rPr>
        <w:t xml:space="preserve"> or</w:t>
      </w:r>
    </w:p>
    <w:p w14:paraId="11508029" w14:textId="3FC4822C" w:rsidR="00AC3A02" w:rsidRPr="00E253E5" w:rsidRDefault="00AC3A02" w:rsidP="00AC3A02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E253E5">
        <w:rPr>
          <w:sz w:val="24"/>
          <w:szCs w:val="24"/>
        </w:rPr>
        <w:t>90 days after the approved participant is given the incentive or contribution</w:t>
      </w:r>
      <w:r w:rsidR="00FD71B9" w:rsidRPr="00E253E5">
        <w:rPr>
          <w:sz w:val="24"/>
          <w:szCs w:val="24"/>
        </w:rPr>
        <w:t>.</w:t>
      </w:r>
    </w:p>
    <w:p w14:paraId="1888BA39" w14:textId="77777777" w:rsidR="003E0A49" w:rsidRDefault="003E0A49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br w:type="page"/>
      </w:r>
    </w:p>
    <w:p w14:paraId="66636A90" w14:textId="1CD952A8" w:rsidR="00FD71B9" w:rsidRPr="003E0A49" w:rsidRDefault="00FD71B9" w:rsidP="0092026F">
      <w:pPr>
        <w:rPr>
          <w:sz w:val="24"/>
          <w:szCs w:val="24"/>
          <w:lang w:eastAsia="en-AU"/>
        </w:rPr>
      </w:pPr>
      <w:r w:rsidRPr="00E253E5">
        <w:rPr>
          <w:sz w:val="24"/>
          <w:szCs w:val="24"/>
          <w:lang w:eastAsia="en-AU"/>
        </w:rPr>
        <w:lastRenderedPageBreak/>
        <w:t>Section 65</w:t>
      </w:r>
      <w:r w:rsidR="003F2BA4" w:rsidRPr="00E253E5">
        <w:rPr>
          <w:sz w:val="24"/>
          <w:szCs w:val="24"/>
          <w:lang w:eastAsia="en-AU"/>
        </w:rPr>
        <w:t xml:space="preserve"> </w:t>
      </w:r>
      <w:r w:rsidR="00000E31" w:rsidRPr="00E253E5">
        <w:rPr>
          <w:sz w:val="24"/>
          <w:szCs w:val="24"/>
          <w:lang w:eastAsia="en-AU"/>
        </w:rPr>
        <w:t xml:space="preserve">of the Regulations </w:t>
      </w:r>
      <w:r w:rsidR="00000E31" w:rsidRPr="003E0A49">
        <w:rPr>
          <w:sz w:val="24"/>
          <w:szCs w:val="24"/>
          <w:lang w:eastAsia="en-AU"/>
        </w:rPr>
        <w:t xml:space="preserve">requires </w:t>
      </w:r>
      <w:r w:rsidR="00420F1C">
        <w:rPr>
          <w:sz w:val="24"/>
          <w:szCs w:val="24"/>
          <w:lang w:eastAsia="en-AU"/>
        </w:rPr>
        <w:t>an</w:t>
      </w:r>
      <w:r w:rsidR="00420F1C" w:rsidRPr="003E0A49">
        <w:rPr>
          <w:sz w:val="24"/>
          <w:szCs w:val="24"/>
          <w:lang w:eastAsia="en-AU"/>
        </w:rPr>
        <w:t xml:space="preserve"> </w:t>
      </w:r>
      <w:r w:rsidR="00000E31" w:rsidRPr="003E0A49">
        <w:rPr>
          <w:sz w:val="24"/>
          <w:szCs w:val="24"/>
          <w:lang w:eastAsia="en-AU"/>
        </w:rPr>
        <w:t xml:space="preserve">approved participant to pass on </w:t>
      </w:r>
      <w:r w:rsidR="00137C2A">
        <w:rPr>
          <w:sz w:val="24"/>
          <w:szCs w:val="24"/>
          <w:lang w:eastAsia="en-AU"/>
        </w:rPr>
        <w:t xml:space="preserve">all or part of </w:t>
      </w:r>
      <w:r w:rsidR="00000E31" w:rsidRPr="003E0A49">
        <w:rPr>
          <w:sz w:val="24"/>
          <w:szCs w:val="24"/>
          <w:lang w:eastAsia="en-AU"/>
        </w:rPr>
        <w:t xml:space="preserve">an incentive or </w:t>
      </w:r>
      <w:r w:rsidR="0092026F">
        <w:rPr>
          <w:sz w:val="24"/>
          <w:szCs w:val="24"/>
          <w:lang w:eastAsia="en-AU"/>
        </w:rPr>
        <w:t>s</w:t>
      </w:r>
      <w:r w:rsidR="00000E31" w:rsidRPr="003E0A49">
        <w:rPr>
          <w:sz w:val="24"/>
          <w:szCs w:val="24"/>
          <w:lang w:eastAsia="en-AU"/>
        </w:rPr>
        <w:t xml:space="preserve">tate or </w:t>
      </w:r>
      <w:r w:rsidR="0092026F">
        <w:rPr>
          <w:sz w:val="24"/>
          <w:szCs w:val="24"/>
          <w:lang w:eastAsia="en-AU"/>
        </w:rPr>
        <w:t>t</w:t>
      </w:r>
      <w:r w:rsidR="00000E31" w:rsidRPr="003E0A49">
        <w:rPr>
          <w:sz w:val="24"/>
          <w:szCs w:val="24"/>
          <w:lang w:eastAsia="en-AU"/>
        </w:rPr>
        <w:t xml:space="preserve">erritory contribution </w:t>
      </w:r>
      <w:r w:rsidR="00137C2A">
        <w:rPr>
          <w:sz w:val="24"/>
          <w:szCs w:val="24"/>
          <w:lang w:eastAsia="en-AU"/>
        </w:rPr>
        <w:t xml:space="preserve">to an investor under an arrangement </w:t>
      </w:r>
      <w:r w:rsidR="00B15DCD" w:rsidRPr="003E0A49">
        <w:rPr>
          <w:sz w:val="24"/>
          <w:szCs w:val="24"/>
          <w:lang w:eastAsia="en-AU"/>
        </w:rPr>
        <w:t>even if th</w:t>
      </w:r>
      <w:r w:rsidR="00137C2A">
        <w:rPr>
          <w:sz w:val="24"/>
          <w:szCs w:val="24"/>
          <w:lang w:eastAsia="en-AU"/>
        </w:rPr>
        <w:t>e</w:t>
      </w:r>
      <w:r w:rsidR="00B15DCD" w:rsidRPr="003E0A49">
        <w:rPr>
          <w:sz w:val="24"/>
          <w:szCs w:val="24"/>
          <w:lang w:eastAsia="en-AU"/>
        </w:rPr>
        <w:t xml:space="preserve"> arrangement </w:t>
      </w:r>
      <w:r w:rsidR="00E73680" w:rsidRPr="003E0A49">
        <w:rPr>
          <w:sz w:val="24"/>
          <w:szCs w:val="24"/>
          <w:lang w:eastAsia="en-AU"/>
        </w:rPr>
        <w:t xml:space="preserve">requires the investor to use </w:t>
      </w:r>
      <w:r w:rsidR="00B15DCD" w:rsidRPr="003E0A49">
        <w:rPr>
          <w:sz w:val="24"/>
          <w:szCs w:val="24"/>
          <w:lang w:eastAsia="en-AU"/>
        </w:rPr>
        <w:t>a tenancy management service (or similar service) and the investor fails or refuses to use this service.</w:t>
      </w:r>
      <w:r w:rsidR="003E0A49" w:rsidRPr="003E0A49">
        <w:rPr>
          <w:sz w:val="24"/>
          <w:szCs w:val="24"/>
          <w:lang w:eastAsia="en-AU"/>
        </w:rPr>
        <w:t xml:space="preserve"> </w:t>
      </w:r>
      <w:r w:rsidR="0092026F">
        <w:rPr>
          <w:sz w:val="24"/>
          <w:szCs w:val="24"/>
          <w:lang w:eastAsia="en-AU"/>
        </w:rPr>
        <w:t>Under section </w:t>
      </w:r>
      <w:r w:rsidR="00137C2A">
        <w:rPr>
          <w:sz w:val="24"/>
          <w:szCs w:val="24"/>
          <w:lang w:eastAsia="en-AU"/>
        </w:rPr>
        <w:t>65 of the Regulations, an approved participant must not terminate the arrangement only because the investor fails, or refuses, to use the service.</w:t>
      </w:r>
    </w:p>
    <w:p w14:paraId="01B39E44" w14:textId="1C7DF76D" w:rsidR="00825F1F" w:rsidRPr="00091110" w:rsidRDefault="00825F1F" w:rsidP="0092026F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Section 66 </w:t>
      </w:r>
      <w:r w:rsidR="00444EFF" w:rsidRPr="003E0A49">
        <w:rPr>
          <w:sz w:val="24"/>
          <w:szCs w:val="24"/>
          <w:lang w:eastAsia="en-AU"/>
        </w:rPr>
        <w:t xml:space="preserve">of the Regulations </w:t>
      </w:r>
      <w:r w:rsidR="00137C2A" w:rsidRPr="003E0A49">
        <w:rPr>
          <w:sz w:val="24"/>
          <w:szCs w:val="24"/>
          <w:lang w:eastAsia="en-AU"/>
        </w:rPr>
        <w:t xml:space="preserve">requires the approved participant to </w:t>
      </w:r>
      <w:r w:rsidR="00137C2A">
        <w:rPr>
          <w:sz w:val="24"/>
          <w:szCs w:val="24"/>
          <w:lang w:eastAsia="en-AU"/>
        </w:rPr>
        <w:t>pass on</w:t>
      </w:r>
      <w:r w:rsidR="00925015">
        <w:rPr>
          <w:sz w:val="24"/>
          <w:szCs w:val="24"/>
          <w:lang w:eastAsia="en-AU"/>
        </w:rPr>
        <w:t> </w:t>
      </w:r>
      <w:r w:rsidR="00137C2A">
        <w:rPr>
          <w:sz w:val="24"/>
          <w:szCs w:val="24"/>
          <w:lang w:eastAsia="en-AU"/>
        </w:rPr>
        <w:t>an</w:t>
      </w:r>
      <w:r w:rsidR="00925015">
        <w:rPr>
          <w:sz w:val="24"/>
          <w:szCs w:val="24"/>
          <w:lang w:eastAsia="en-AU"/>
        </w:rPr>
        <w:t> </w:t>
      </w:r>
      <w:r w:rsidR="00137C2A">
        <w:rPr>
          <w:sz w:val="24"/>
          <w:szCs w:val="24"/>
          <w:lang w:eastAsia="en-AU"/>
        </w:rPr>
        <w:t xml:space="preserve">incentive or </w:t>
      </w:r>
      <w:r w:rsidR="0092026F">
        <w:rPr>
          <w:sz w:val="24"/>
          <w:szCs w:val="24"/>
          <w:lang w:eastAsia="en-AU"/>
        </w:rPr>
        <w:t>s</w:t>
      </w:r>
      <w:r w:rsidR="00137C2A" w:rsidRPr="003E0A49">
        <w:rPr>
          <w:sz w:val="24"/>
          <w:szCs w:val="24"/>
          <w:lang w:eastAsia="en-AU"/>
        </w:rPr>
        <w:t xml:space="preserve">tate or </w:t>
      </w:r>
      <w:r w:rsidR="0092026F">
        <w:rPr>
          <w:sz w:val="24"/>
          <w:szCs w:val="24"/>
          <w:lang w:eastAsia="en-AU"/>
        </w:rPr>
        <w:t>t</w:t>
      </w:r>
      <w:r w:rsidR="00137C2A" w:rsidRPr="003E0A49">
        <w:rPr>
          <w:sz w:val="24"/>
          <w:szCs w:val="24"/>
          <w:lang w:eastAsia="en-AU"/>
        </w:rPr>
        <w:t>erritory contribution</w:t>
      </w:r>
      <w:r w:rsidR="00137C2A">
        <w:rPr>
          <w:sz w:val="24"/>
          <w:szCs w:val="24"/>
          <w:lang w:eastAsia="en-AU"/>
        </w:rPr>
        <w:t xml:space="preserve"> to an investor</w:t>
      </w:r>
      <w:r w:rsidR="00137C2A" w:rsidRPr="003E0A49">
        <w:rPr>
          <w:sz w:val="24"/>
          <w:szCs w:val="24"/>
          <w:lang w:eastAsia="en-AU"/>
        </w:rPr>
        <w:t xml:space="preserve"> </w:t>
      </w:r>
      <w:r w:rsidR="00137C2A">
        <w:rPr>
          <w:sz w:val="24"/>
          <w:szCs w:val="24"/>
          <w:lang w:eastAsia="en-AU"/>
        </w:rPr>
        <w:t>under an arrangement where that arrangement purports to make</w:t>
      </w:r>
      <w:r w:rsidR="00351A1E">
        <w:rPr>
          <w:sz w:val="24"/>
          <w:szCs w:val="24"/>
          <w:lang w:eastAsia="en-AU"/>
        </w:rPr>
        <w:t xml:space="preserve"> the</w:t>
      </w:r>
      <w:r w:rsidR="00137C2A" w:rsidRPr="003E0A49">
        <w:rPr>
          <w:sz w:val="24"/>
          <w:szCs w:val="24"/>
          <w:lang w:eastAsia="en-AU"/>
        </w:rPr>
        <w:t xml:space="preserve"> investor use</w:t>
      </w:r>
      <w:r w:rsidR="00351A1E">
        <w:rPr>
          <w:sz w:val="24"/>
          <w:szCs w:val="24"/>
          <w:lang w:eastAsia="en-AU"/>
        </w:rPr>
        <w:t xml:space="preserve"> a particular</w:t>
      </w:r>
      <w:r w:rsidR="00137C2A">
        <w:rPr>
          <w:sz w:val="24"/>
          <w:szCs w:val="24"/>
          <w:lang w:eastAsia="en-AU"/>
        </w:rPr>
        <w:t xml:space="preserve"> service</w:t>
      </w:r>
      <w:r w:rsidR="0092026F">
        <w:rPr>
          <w:sz w:val="24"/>
          <w:szCs w:val="24"/>
          <w:lang w:eastAsia="en-AU"/>
        </w:rPr>
        <w:t xml:space="preserve"> (e.g. </w:t>
      </w:r>
      <w:r w:rsidR="00351A1E">
        <w:rPr>
          <w:sz w:val="24"/>
          <w:szCs w:val="24"/>
          <w:lang w:eastAsia="en-AU"/>
        </w:rPr>
        <w:t>property management service) or else be subject to payment of a monetary bond. Under section 66, the approved participant must not terminate the arrangement only because the investor uses an alternative service without paying the bond.</w:t>
      </w:r>
      <w:r w:rsidR="00137C2A">
        <w:rPr>
          <w:sz w:val="24"/>
          <w:szCs w:val="24"/>
          <w:lang w:eastAsia="en-AU"/>
        </w:rPr>
        <w:t xml:space="preserve"> This </w:t>
      </w:r>
      <w:r w:rsidRPr="003E0A49">
        <w:rPr>
          <w:sz w:val="24"/>
          <w:szCs w:val="24"/>
          <w:lang w:eastAsia="en-AU"/>
        </w:rPr>
        <w:t xml:space="preserve">provides </w:t>
      </w:r>
      <w:r w:rsidRPr="00091110">
        <w:rPr>
          <w:sz w:val="24"/>
          <w:szCs w:val="24"/>
          <w:lang w:eastAsia="en-AU"/>
        </w:rPr>
        <w:t xml:space="preserve">protections to investors in circumstances where an approved participant would </w:t>
      </w:r>
      <w:r w:rsidR="009D7A7F" w:rsidRPr="00091110">
        <w:rPr>
          <w:sz w:val="24"/>
          <w:szCs w:val="24"/>
          <w:lang w:eastAsia="en-AU"/>
        </w:rPr>
        <w:t xml:space="preserve">otherwise </w:t>
      </w:r>
      <w:r w:rsidRPr="00091110">
        <w:rPr>
          <w:sz w:val="24"/>
          <w:szCs w:val="24"/>
          <w:lang w:eastAsia="en-AU"/>
        </w:rPr>
        <w:t>have superior bargaining powers to force investors to</w:t>
      </w:r>
      <w:r w:rsidR="00925015">
        <w:rPr>
          <w:sz w:val="24"/>
          <w:szCs w:val="24"/>
          <w:lang w:eastAsia="en-AU"/>
        </w:rPr>
        <w:t> </w:t>
      </w:r>
      <w:r w:rsidRPr="00091110">
        <w:rPr>
          <w:sz w:val="24"/>
          <w:szCs w:val="24"/>
          <w:lang w:eastAsia="en-AU"/>
        </w:rPr>
        <w:t xml:space="preserve">pay excessive fees or charges if they do not purchase certain services from </w:t>
      </w:r>
      <w:r w:rsidR="009D7A7F" w:rsidRPr="00091110">
        <w:rPr>
          <w:sz w:val="24"/>
          <w:szCs w:val="24"/>
          <w:lang w:eastAsia="en-AU"/>
        </w:rPr>
        <w:t xml:space="preserve">specified </w:t>
      </w:r>
      <w:r w:rsidRPr="00091110">
        <w:rPr>
          <w:sz w:val="24"/>
          <w:szCs w:val="24"/>
          <w:lang w:eastAsia="en-AU"/>
        </w:rPr>
        <w:t xml:space="preserve">providers before receiving an incentive or </w:t>
      </w:r>
      <w:r w:rsidR="0092026F">
        <w:rPr>
          <w:sz w:val="24"/>
          <w:szCs w:val="24"/>
          <w:lang w:eastAsia="en-AU"/>
        </w:rPr>
        <w:t>s</w:t>
      </w:r>
      <w:r w:rsidRPr="00091110">
        <w:rPr>
          <w:sz w:val="24"/>
          <w:szCs w:val="24"/>
          <w:lang w:eastAsia="en-AU"/>
        </w:rPr>
        <w:t xml:space="preserve">tate or </w:t>
      </w:r>
      <w:r w:rsidR="0092026F">
        <w:rPr>
          <w:sz w:val="24"/>
          <w:szCs w:val="24"/>
          <w:lang w:eastAsia="en-AU"/>
        </w:rPr>
        <w:t>t</w:t>
      </w:r>
      <w:r w:rsidRPr="00091110">
        <w:rPr>
          <w:sz w:val="24"/>
          <w:szCs w:val="24"/>
          <w:lang w:eastAsia="en-AU"/>
        </w:rPr>
        <w:t>erritory contribution.</w:t>
      </w:r>
      <w:r w:rsidR="00137C2A" w:rsidRPr="00091110">
        <w:rPr>
          <w:sz w:val="24"/>
          <w:szCs w:val="24"/>
          <w:lang w:eastAsia="en-AU"/>
        </w:rPr>
        <w:t xml:space="preserve"> </w:t>
      </w:r>
      <w:r w:rsidRPr="00091110">
        <w:rPr>
          <w:sz w:val="24"/>
          <w:szCs w:val="24"/>
          <w:lang w:eastAsia="en-AU"/>
        </w:rPr>
        <w:t xml:space="preserve"> </w:t>
      </w:r>
    </w:p>
    <w:p w14:paraId="78EB053A" w14:textId="474D3577" w:rsidR="001827E4" w:rsidRDefault="00CE79CC" w:rsidP="0092026F">
      <w:pPr>
        <w:rPr>
          <w:sz w:val="24"/>
          <w:szCs w:val="24"/>
          <w:lang w:eastAsia="en-AU"/>
        </w:rPr>
      </w:pPr>
      <w:r w:rsidRPr="00091110">
        <w:rPr>
          <w:sz w:val="24"/>
          <w:szCs w:val="24"/>
          <w:lang w:eastAsia="en-AU"/>
        </w:rPr>
        <w:t xml:space="preserve">Section </w:t>
      </w:r>
      <w:r w:rsidR="00AC3A02" w:rsidRPr="00091110">
        <w:rPr>
          <w:sz w:val="24"/>
          <w:szCs w:val="24"/>
          <w:lang w:eastAsia="en-AU"/>
        </w:rPr>
        <w:t xml:space="preserve">67 of the Regulations requires the approved participant to give </w:t>
      </w:r>
      <w:r w:rsidR="00E1766B" w:rsidRPr="00091110">
        <w:rPr>
          <w:sz w:val="24"/>
          <w:szCs w:val="24"/>
          <w:lang w:eastAsia="en-AU"/>
        </w:rPr>
        <w:t xml:space="preserve">an </w:t>
      </w:r>
      <w:r w:rsidR="00AC3A02" w:rsidRPr="00091110">
        <w:rPr>
          <w:sz w:val="24"/>
          <w:szCs w:val="24"/>
          <w:lang w:eastAsia="en-AU"/>
        </w:rPr>
        <w:t>investor a</w:t>
      </w:r>
      <w:r w:rsidR="00925015">
        <w:rPr>
          <w:sz w:val="24"/>
          <w:szCs w:val="24"/>
          <w:lang w:eastAsia="en-AU"/>
        </w:rPr>
        <w:t> </w:t>
      </w:r>
      <w:r w:rsidR="00AC3A02" w:rsidRPr="00091110">
        <w:rPr>
          <w:sz w:val="24"/>
          <w:szCs w:val="24"/>
          <w:lang w:eastAsia="en-AU"/>
        </w:rPr>
        <w:t xml:space="preserve">summary of the approved participants code of conduct </w:t>
      </w:r>
      <w:r w:rsidR="00E1766B" w:rsidRPr="00091110">
        <w:rPr>
          <w:sz w:val="24"/>
          <w:szCs w:val="24"/>
          <w:lang w:eastAsia="en-AU"/>
        </w:rPr>
        <w:t xml:space="preserve">(the code of conduct) </w:t>
      </w:r>
      <w:r w:rsidR="00E73680" w:rsidRPr="00091110">
        <w:rPr>
          <w:sz w:val="24"/>
          <w:szCs w:val="24"/>
          <w:lang w:eastAsia="en-AU"/>
        </w:rPr>
        <w:t xml:space="preserve">within </w:t>
      </w:r>
      <w:r w:rsidR="00AC3A02" w:rsidRPr="00091110">
        <w:rPr>
          <w:sz w:val="24"/>
          <w:szCs w:val="24"/>
          <w:lang w:eastAsia="en-AU"/>
        </w:rPr>
        <w:t xml:space="preserve">28 days </w:t>
      </w:r>
      <w:r w:rsidR="00E73680" w:rsidRPr="00091110">
        <w:rPr>
          <w:sz w:val="24"/>
          <w:szCs w:val="24"/>
          <w:lang w:eastAsia="en-AU"/>
        </w:rPr>
        <w:t>of the</w:t>
      </w:r>
      <w:r w:rsidR="009D7A7F" w:rsidRPr="00091110">
        <w:rPr>
          <w:sz w:val="24"/>
          <w:szCs w:val="24"/>
          <w:lang w:eastAsia="en-AU"/>
        </w:rPr>
        <w:t xml:space="preserve"> investor</w:t>
      </w:r>
      <w:r w:rsidR="00AC3A02" w:rsidRPr="00091110">
        <w:rPr>
          <w:sz w:val="24"/>
          <w:szCs w:val="24"/>
          <w:lang w:eastAsia="en-AU"/>
        </w:rPr>
        <w:t xml:space="preserve"> becom</w:t>
      </w:r>
      <w:r w:rsidR="00E73680" w:rsidRPr="00091110">
        <w:rPr>
          <w:sz w:val="24"/>
          <w:szCs w:val="24"/>
          <w:lang w:eastAsia="en-AU"/>
        </w:rPr>
        <w:t xml:space="preserve">ing the </w:t>
      </w:r>
      <w:r w:rsidR="009D7A7F" w:rsidRPr="00091110">
        <w:rPr>
          <w:sz w:val="24"/>
          <w:szCs w:val="24"/>
          <w:lang w:eastAsia="en-AU"/>
        </w:rPr>
        <w:t>legal or beneficial owner of</w:t>
      </w:r>
      <w:r w:rsidR="00AC3A02" w:rsidRPr="00091110">
        <w:rPr>
          <w:sz w:val="24"/>
          <w:szCs w:val="24"/>
          <w:lang w:eastAsia="en-AU"/>
        </w:rPr>
        <w:t xml:space="preserve"> </w:t>
      </w:r>
      <w:r w:rsidR="009D7A7F" w:rsidRPr="00091110">
        <w:rPr>
          <w:sz w:val="24"/>
          <w:szCs w:val="24"/>
          <w:lang w:eastAsia="en-AU"/>
        </w:rPr>
        <w:t>an NRAS rental</w:t>
      </w:r>
      <w:r w:rsidR="00AC3A02" w:rsidRPr="00091110">
        <w:rPr>
          <w:sz w:val="24"/>
          <w:szCs w:val="24"/>
          <w:lang w:eastAsia="en-AU"/>
        </w:rPr>
        <w:t xml:space="preserve"> dwelling.</w:t>
      </w:r>
      <w:r w:rsidR="003E0A49" w:rsidRPr="00091110">
        <w:rPr>
          <w:sz w:val="24"/>
          <w:szCs w:val="24"/>
          <w:lang w:eastAsia="en-AU"/>
        </w:rPr>
        <w:t xml:space="preserve"> </w:t>
      </w:r>
      <w:r w:rsidR="00AC3A02" w:rsidRPr="00091110">
        <w:rPr>
          <w:sz w:val="24"/>
          <w:szCs w:val="24"/>
          <w:lang w:eastAsia="en-AU"/>
        </w:rPr>
        <w:t xml:space="preserve">The </w:t>
      </w:r>
      <w:hyperlink r:id="rId13" w:history="1">
        <w:r w:rsidR="00AC3A02" w:rsidRPr="00925015">
          <w:rPr>
            <w:rStyle w:val="Hyperlink"/>
            <w:sz w:val="24"/>
            <w:szCs w:val="24"/>
            <w:lang w:eastAsia="en-AU"/>
          </w:rPr>
          <w:t>code of conduct</w:t>
        </w:r>
      </w:hyperlink>
      <w:r w:rsidR="00AC3A02" w:rsidRPr="00091110">
        <w:rPr>
          <w:sz w:val="24"/>
          <w:szCs w:val="24"/>
          <w:lang w:eastAsia="en-AU"/>
        </w:rPr>
        <w:t xml:space="preserve"> </w:t>
      </w:r>
      <w:r w:rsidR="00E1766B" w:rsidRPr="00091110">
        <w:rPr>
          <w:sz w:val="24"/>
          <w:szCs w:val="24"/>
          <w:lang w:eastAsia="en-AU"/>
        </w:rPr>
        <w:t>is set out at subsection 27(2) of the Regulations</w:t>
      </w:r>
      <w:r w:rsidR="00925015">
        <w:rPr>
          <w:sz w:val="24"/>
          <w:szCs w:val="24"/>
          <w:lang w:eastAsia="en-AU"/>
        </w:rPr>
        <w:t>.</w:t>
      </w:r>
    </w:p>
    <w:p w14:paraId="4F7597C3" w14:textId="52ECD940" w:rsidR="00420F1C" w:rsidRPr="00E253E5" w:rsidRDefault="00420F1C" w:rsidP="0092026F">
      <w:pPr>
        <w:rPr>
          <w:sz w:val="24"/>
          <w:szCs w:val="24"/>
          <w:lang w:eastAsia="en-AU"/>
        </w:rPr>
      </w:pPr>
      <w:r w:rsidRPr="00E253E5">
        <w:rPr>
          <w:sz w:val="24"/>
          <w:szCs w:val="24"/>
          <w:lang w:eastAsia="en-AU"/>
        </w:rPr>
        <w:t>An approved participant’s failure to comply with</w:t>
      </w:r>
      <w:r w:rsidR="009D7A7F">
        <w:rPr>
          <w:sz w:val="24"/>
          <w:szCs w:val="24"/>
          <w:lang w:eastAsia="en-AU"/>
        </w:rPr>
        <w:t xml:space="preserve"> any of</w:t>
      </w:r>
      <w:r w:rsidRPr="00E253E5">
        <w:rPr>
          <w:sz w:val="24"/>
          <w:szCs w:val="24"/>
          <w:lang w:eastAsia="en-AU"/>
        </w:rPr>
        <w:t xml:space="preserve"> its obligations to an investor may constitute a breach under the code of conduct </w:t>
      </w:r>
      <w:r>
        <w:rPr>
          <w:sz w:val="24"/>
          <w:szCs w:val="24"/>
          <w:lang w:eastAsia="en-AU"/>
        </w:rPr>
        <w:t xml:space="preserve">under paragraphs </w:t>
      </w:r>
      <w:r w:rsidRPr="00E253E5">
        <w:rPr>
          <w:sz w:val="24"/>
          <w:szCs w:val="24"/>
          <w:lang w:eastAsia="en-AU"/>
        </w:rPr>
        <w:t>27(2)(a) and 27(2)(b) of the Regulations.</w:t>
      </w:r>
    </w:p>
    <w:p w14:paraId="0DB4479A" w14:textId="77777777" w:rsidR="007B2FEF" w:rsidRPr="007E60D1" w:rsidRDefault="007B2FEF" w:rsidP="003E0A49">
      <w:pPr>
        <w:pStyle w:val="Heading3"/>
        <w:spacing w:before="120" w:after="120"/>
        <w:rPr>
          <w:color w:val="500778"/>
        </w:rPr>
      </w:pPr>
      <w:r w:rsidRPr="007E60D1">
        <w:rPr>
          <w:color w:val="500778"/>
        </w:rPr>
        <w:t>Associated party</w:t>
      </w:r>
    </w:p>
    <w:p w14:paraId="41F373DF" w14:textId="613CC514" w:rsidR="00AC3A02" w:rsidRPr="00E253E5" w:rsidRDefault="00AC3A02" w:rsidP="00AC3A02">
      <w:pPr>
        <w:rPr>
          <w:sz w:val="24"/>
          <w:szCs w:val="24"/>
        </w:rPr>
      </w:pPr>
      <w:r w:rsidRPr="00E253E5">
        <w:rPr>
          <w:sz w:val="24"/>
          <w:szCs w:val="24"/>
          <w:lang w:eastAsia="en-AU"/>
        </w:rPr>
        <w:t>Some approved participants have commercial arrangements where another legal entity</w:t>
      </w:r>
      <w:r w:rsidR="009D7A7F">
        <w:rPr>
          <w:sz w:val="24"/>
          <w:szCs w:val="24"/>
          <w:lang w:eastAsia="en-AU"/>
        </w:rPr>
        <w:t xml:space="preserve">, </w:t>
      </w:r>
      <w:r w:rsidRPr="00E253E5">
        <w:rPr>
          <w:sz w:val="24"/>
          <w:szCs w:val="24"/>
          <w:lang w:eastAsia="en-AU"/>
        </w:rPr>
        <w:t>other</w:t>
      </w:r>
      <w:r w:rsidR="007E60D1" w:rsidRPr="00E253E5">
        <w:rPr>
          <w:sz w:val="24"/>
          <w:szCs w:val="24"/>
          <w:lang w:eastAsia="en-AU"/>
        </w:rPr>
        <w:t> </w:t>
      </w:r>
      <w:r w:rsidRPr="00E253E5">
        <w:rPr>
          <w:sz w:val="24"/>
          <w:szCs w:val="24"/>
          <w:lang w:eastAsia="en-AU"/>
        </w:rPr>
        <w:t>than the approved participant</w:t>
      </w:r>
      <w:r w:rsidR="009D7A7F">
        <w:rPr>
          <w:sz w:val="24"/>
          <w:szCs w:val="24"/>
          <w:lang w:eastAsia="en-AU"/>
        </w:rPr>
        <w:t>,</w:t>
      </w:r>
      <w:r w:rsidRPr="00E253E5">
        <w:rPr>
          <w:sz w:val="24"/>
          <w:szCs w:val="24"/>
          <w:lang w:eastAsia="en-AU"/>
        </w:rPr>
        <w:t xml:space="preserve"> </w:t>
      </w:r>
      <w:r w:rsidR="00D254A5">
        <w:rPr>
          <w:sz w:val="24"/>
          <w:szCs w:val="24"/>
          <w:lang w:eastAsia="en-AU"/>
        </w:rPr>
        <w:t>enters into a contract</w:t>
      </w:r>
      <w:r w:rsidRPr="00E253E5">
        <w:rPr>
          <w:sz w:val="24"/>
          <w:szCs w:val="24"/>
          <w:lang w:eastAsia="en-AU"/>
        </w:rPr>
        <w:t xml:space="preserve"> with the investor in</w:t>
      </w:r>
      <w:r w:rsidR="00925015">
        <w:rPr>
          <w:sz w:val="24"/>
          <w:szCs w:val="24"/>
          <w:lang w:eastAsia="en-AU"/>
        </w:rPr>
        <w:t> </w:t>
      </w:r>
      <w:r w:rsidRPr="00E253E5">
        <w:rPr>
          <w:sz w:val="24"/>
          <w:szCs w:val="24"/>
          <w:lang w:eastAsia="en-AU"/>
        </w:rPr>
        <w:t>relation to the</w:t>
      </w:r>
      <w:r w:rsidR="009D7A7F">
        <w:rPr>
          <w:sz w:val="24"/>
          <w:szCs w:val="24"/>
          <w:lang w:eastAsia="en-AU"/>
        </w:rPr>
        <w:t xml:space="preserve"> investor’s</w:t>
      </w:r>
      <w:r w:rsidR="006F419E">
        <w:rPr>
          <w:sz w:val="24"/>
          <w:szCs w:val="24"/>
          <w:lang w:eastAsia="en-AU"/>
        </w:rPr>
        <w:t xml:space="preserve"> NRAS </w:t>
      </w:r>
      <w:r w:rsidRPr="00E253E5">
        <w:rPr>
          <w:sz w:val="24"/>
          <w:szCs w:val="24"/>
        </w:rPr>
        <w:t>rental dwelling</w:t>
      </w:r>
      <w:r w:rsidR="009D7A7F">
        <w:rPr>
          <w:sz w:val="24"/>
          <w:szCs w:val="24"/>
        </w:rPr>
        <w:t xml:space="preserve"> (e.g. a property manager)</w:t>
      </w:r>
      <w:r w:rsidRPr="00E253E5">
        <w:rPr>
          <w:sz w:val="24"/>
          <w:szCs w:val="24"/>
        </w:rPr>
        <w:t xml:space="preserve">. </w:t>
      </w:r>
      <w:r w:rsidR="00E1766B">
        <w:rPr>
          <w:sz w:val="24"/>
          <w:szCs w:val="24"/>
        </w:rPr>
        <w:t xml:space="preserve">Section 5 of </w:t>
      </w:r>
      <w:r w:rsidR="009D7A7F">
        <w:rPr>
          <w:sz w:val="24"/>
          <w:szCs w:val="24"/>
        </w:rPr>
        <w:t>the Regulations</w:t>
      </w:r>
      <w:r w:rsidR="00E1766B">
        <w:rPr>
          <w:sz w:val="24"/>
          <w:szCs w:val="24"/>
        </w:rPr>
        <w:t xml:space="preserve"> provides a definition of</w:t>
      </w:r>
      <w:r w:rsidR="009D7A7F">
        <w:rPr>
          <w:sz w:val="24"/>
          <w:szCs w:val="24"/>
        </w:rPr>
        <w:t xml:space="preserve"> ‘associated party’.</w:t>
      </w:r>
    </w:p>
    <w:p w14:paraId="33B11944" w14:textId="0B8C08CF" w:rsidR="00AC3A02" w:rsidRPr="00E253E5" w:rsidRDefault="00AC3A02" w:rsidP="00AC3A02">
      <w:pPr>
        <w:rPr>
          <w:sz w:val="24"/>
          <w:szCs w:val="24"/>
          <w:lang w:eastAsia="en-AU"/>
        </w:rPr>
      </w:pPr>
      <w:r w:rsidRPr="00E253E5">
        <w:rPr>
          <w:sz w:val="24"/>
          <w:szCs w:val="24"/>
          <w:lang w:eastAsia="en-AU"/>
        </w:rPr>
        <w:t xml:space="preserve">An </w:t>
      </w:r>
      <w:r w:rsidRPr="006F419E">
        <w:rPr>
          <w:sz w:val="24"/>
          <w:szCs w:val="24"/>
        </w:rPr>
        <w:t>associated party</w:t>
      </w:r>
      <w:r w:rsidR="009D7A7F" w:rsidRPr="006F419E">
        <w:rPr>
          <w:sz w:val="24"/>
          <w:szCs w:val="24"/>
        </w:rPr>
        <w:t>,</w:t>
      </w:r>
      <w:r w:rsidR="009D7A7F">
        <w:rPr>
          <w:sz w:val="24"/>
          <w:szCs w:val="24"/>
        </w:rPr>
        <w:t xml:space="preserve"> for a </w:t>
      </w:r>
      <w:r w:rsidR="00343A51">
        <w:rPr>
          <w:sz w:val="24"/>
          <w:szCs w:val="24"/>
        </w:rPr>
        <w:t xml:space="preserve">NRAS </w:t>
      </w:r>
      <w:r w:rsidR="009D7A7F">
        <w:rPr>
          <w:sz w:val="24"/>
          <w:szCs w:val="24"/>
        </w:rPr>
        <w:t>rental dwelling covered by an allocation,</w:t>
      </w:r>
      <w:r w:rsidRPr="00E253E5">
        <w:rPr>
          <w:b/>
          <w:i/>
          <w:sz w:val="24"/>
          <w:szCs w:val="24"/>
        </w:rPr>
        <w:t xml:space="preserve"> </w:t>
      </w:r>
      <w:r w:rsidRPr="00E253E5">
        <w:rPr>
          <w:sz w:val="24"/>
          <w:szCs w:val="24"/>
        </w:rPr>
        <w:t>means a</w:t>
      </w:r>
      <w:r w:rsidR="00925015">
        <w:rPr>
          <w:sz w:val="24"/>
          <w:szCs w:val="24"/>
        </w:rPr>
        <w:t> </w:t>
      </w:r>
      <w:r w:rsidRPr="00E253E5">
        <w:rPr>
          <w:sz w:val="24"/>
          <w:szCs w:val="24"/>
        </w:rPr>
        <w:t>person, other than the approved participant or a tenant, who is a party to</w:t>
      </w:r>
      <w:r w:rsidR="00925015">
        <w:rPr>
          <w:sz w:val="24"/>
          <w:szCs w:val="24"/>
        </w:rPr>
        <w:t> </w:t>
      </w:r>
      <w:r w:rsidRPr="00E253E5">
        <w:rPr>
          <w:sz w:val="24"/>
          <w:szCs w:val="24"/>
        </w:rPr>
        <w:t>an</w:t>
      </w:r>
      <w:r w:rsidR="00925015">
        <w:rPr>
          <w:sz w:val="24"/>
          <w:szCs w:val="24"/>
        </w:rPr>
        <w:t> </w:t>
      </w:r>
      <w:r w:rsidRPr="00E253E5">
        <w:rPr>
          <w:sz w:val="24"/>
          <w:szCs w:val="24"/>
        </w:rPr>
        <w:t>arrangement that relates to the dwelling</w:t>
      </w:r>
      <w:r w:rsidR="00E1766B">
        <w:rPr>
          <w:sz w:val="24"/>
          <w:szCs w:val="24"/>
        </w:rPr>
        <w:t>;</w:t>
      </w:r>
      <w:r w:rsidRPr="00E253E5">
        <w:rPr>
          <w:sz w:val="24"/>
          <w:szCs w:val="24"/>
        </w:rPr>
        <w:t xml:space="preserve"> and under the arrangement, is</w:t>
      </w:r>
      <w:r w:rsidR="00925015">
        <w:rPr>
          <w:sz w:val="24"/>
          <w:szCs w:val="24"/>
        </w:rPr>
        <w:t> </w:t>
      </w:r>
      <w:r w:rsidRPr="00E253E5">
        <w:rPr>
          <w:sz w:val="24"/>
          <w:szCs w:val="24"/>
        </w:rPr>
        <w:t>required to pass on any payment or benefit (including rent) relating to the dwelling</w:t>
      </w:r>
      <w:r w:rsidR="00E1766B">
        <w:rPr>
          <w:sz w:val="24"/>
          <w:szCs w:val="24"/>
        </w:rPr>
        <w:t>.</w:t>
      </w:r>
      <w:r w:rsidR="003E0A49">
        <w:rPr>
          <w:sz w:val="24"/>
          <w:szCs w:val="24"/>
        </w:rPr>
        <w:t xml:space="preserve"> </w:t>
      </w:r>
      <w:r w:rsidR="00E1766B">
        <w:rPr>
          <w:sz w:val="24"/>
          <w:szCs w:val="24"/>
        </w:rPr>
        <w:t xml:space="preserve">Paragraphs </w:t>
      </w:r>
      <w:r w:rsidR="00E1766B" w:rsidRPr="00E253E5">
        <w:rPr>
          <w:bCs/>
          <w:iCs/>
          <w:sz w:val="24"/>
          <w:szCs w:val="24"/>
        </w:rPr>
        <w:t xml:space="preserve">27(2)(l) and </w:t>
      </w:r>
      <w:r w:rsidR="00E1766B" w:rsidRPr="00E253E5">
        <w:rPr>
          <w:sz w:val="24"/>
          <w:szCs w:val="24"/>
        </w:rPr>
        <w:t>27(2)(m) of the Regulations</w:t>
      </w:r>
      <w:r w:rsidR="00E1766B">
        <w:rPr>
          <w:sz w:val="24"/>
          <w:szCs w:val="24"/>
        </w:rPr>
        <w:t xml:space="preserve"> set out the obligations of</w:t>
      </w:r>
      <w:r w:rsidR="00925015">
        <w:rPr>
          <w:sz w:val="24"/>
          <w:szCs w:val="24"/>
        </w:rPr>
        <w:t> </w:t>
      </w:r>
      <w:r w:rsidR="00E1766B">
        <w:rPr>
          <w:sz w:val="24"/>
          <w:szCs w:val="24"/>
        </w:rPr>
        <w:t>an</w:t>
      </w:r>
      <w:r w:rsidR="00925015">
        <w:rPr>
          <w:sz w:val="24"/>
          <w:szCs w:val="24"/>
        </w:rPr>
        <w:t> </w:t>
      </w:r>
      <w:r w:rsidR="00E1766B">
        <w:rPr>
          <w:sz w:val="24"/>
          <w:szCs w:val="24"/>
        </w:rPr>
        <w:t>approved participant</w:t>
      </w:r>
      <w:r w:rsidR="00411139">
        <w:rPr>
          <w:sz w:val="24"/>
          <w:szCs w:val="24"/>
        </w:rPr>
        <w:t xml:space="preserve"> when there are</w:t>
      </w:r>
      <w:r w:rsidR="00E1766B">
        <w:rPr>
          <w:sz w:val="24"/>
          <w:szCs w:val="24"/>
        </w:rPr>
        <w:t xml:space="preserve"> arrangements between an asso</w:t>
      </w:r>
      <w:r w:rsidR="00411139">
        <w:rPr>
          <w:sz w:val="24"/>
          <w:szCs w:val="24"/>
        </w:rPr>
        <w:t>ciated party and an investor</w:t>
      </w:r>
      <w:r w:rsidR="00E1766B">
        <w:rPr>
          <w:sz w:val="24"/>
          <w:szCs w:val="24"/>
        </w:rPr>
        <w:t>.</w:t>
      </w:r>
    </w:p>
    <w:p w14:paraId="2C2304B8" w14:textId="28499099" w:rsidR="00AC3A02" w:rsidRPr="00E253E5" w:rsidRDefault="00AC3A02" w:rsidP="00AC3A02">
      <w:pPr>
        <w:rPr>
          <w:sz w:val="24"/>
          <w:szCs w:val="24"/>
        </w:rPr>
      </w:pPr>
      <w:r w:rsidRPr="00E253E5">
        <w:rPr>
          <w:sz w:val="24"/>
          <w:szCs w:val="24"/>
          <w:lang w:eastAsia="en-AU"/>
        </w:rPr>
        <w:t xml:space="preserve">The Regulations extend investor protections by holding an approved participant accountable for </w:t>
      </w:r>
      <w:r w:rsidR="005C0C38" w:rsidRPr="00E253E5">
        <w:rPr>
          <w:sz w:val="24"/>
          <w:szCs w:val="24"/>
          <w:lang w:eastAsia="en-AU"/>
        </w:rPr>
        <w:t xml:space="preserve">an </w:t>
      </w:r>
      <w:r w:rsidRPr="00E253E5">
        <w:rPr>
          <w:sz w:val="24"/>
          <w:szCs w:val="24"/>
          <w:lang w:eastAsia="en-AU"/>
        </w:rPr>
        <w:t>associated party</w:t>
      </w:r>
      <w:r w:rsidR="005C0C38" w:rsidRPr="00E253E5">
        <w:rPr>
          <w:sz w:val="24"/>
          <w:szCs w:val="24"/>
          <w:lang w:eastAsia="en-AU"/>
        </w:rPr>
        <w:t>’s</w:t>
      </w:r>
      <w:r w:rsidRPr="00E253E5">
        <w:rPr>
          <w:sz w:val="24"/>
          <w:szCs w:val="24"/>
          <w:lang w:eastAsia="en-AU"/>
        </w:rPr>
        <w:t xml:space="preserve"> obligations to the investor of a </w:t>
      </w:r>
      <w:r w:rsidR="00343A51">
        <w:rPr>
          <w:sz w:val="24"/>
          <w:szCs w:val="24"/>
          <w:lang w:eastAsia="en-AU"/>
        </w:rPr>
        <w:t xml:space="preserve">NRAS </w:t>
      </w:r>
      <w:r w:rsidRPr="00E253E5">
        <w:rPr>
          <w:sz w:val="24"/>
          <w:szCs w:val="24"/>
          <w:lang w:eastAsia="en-AU"/>
        </w:rPr>
        <w:t>rental dwelling.</w:t>
      </w:r>
      <w:r w:rsidR="003E0A49">
        <w:rPr>
          <w:sz w:val="24"/>
          <w:szCs w:val="24"/>
          <w:lang w:eastAsia="en-AU"/>
        </w:rPr>
        <w:t xml:space="preserve"> </w:t>
      </w:r>
      <w:r w:rsidR="00E1766B">
        <w:rPr>
          <w:bCs/>
          <w:iCs/>
          <w:sz w:val="24"/>
          <w:szCs w:val="24"/>
        </w:rPr>
        <w:t>If</w:t>
      </w:r>
      <w:r w:rsidR="00E1766B" w:rsidRPr="00E253E5">
        <w:rPr>
          <w:bCs/>
          <w:iCs/>
          <w:sz w:val="24"/>
          <w:szCs w:val="24"/>
        </w:rPr>
        <w:t> </w:t>
      </w:r>
      <w:r w:rsidRPr="00E253E5">
        <w:rPr>
          <w:bCs/>
          <w:iCs/>
          <w:sz w:val="24"/>
          <w:szCs w:val="24"/>
        </w:rPr>
        <w:t>an</w:t>
      </w:r>
      <w:r w:rsidR="007E60D1" w:rsidRPr="00E253E5">
        <w:rPr>
          <w:bCs/>
          <w:iCs/>
          <w:sz w:val="24"/>
          <w:szCs w:val="24"/>
        </w:rPr>
        <w:t> </w:t>
      </w:r>
      <w:r w:rsidRPr="00E253E5">
        <w:rPr>
          <w:bCs/>
          <w:iCs/>
          <w:sz w:val="24"/>
          <w:szCs w:val="24"/>
        </w:rPr>
        <w:t xml:space="preserve">associated party does not meet its requirements to an investor, </w:t>
      </w:r>
      <w:r w:rsidRPr="00E253E5">
        <w:rPr>
          <w:bCs/>
          <w:iCs/>
          <w:sz w:val="24"/>
          <w:szCs w:val="24"/>
        </w:rPr>
        <w:lastRenderedPageBreak/>
        <w:t>the</w:t>
      </w:r>
      <w:r w:rsidR="00925015">
        <w:rPr>
          <w:bCs/>
          <w:iCs/>
          <w:sz w:val="24"/>
          <w:szCs w:val="24"/>
        </w:rPr>
        <w:t> </w:t>
      </w:r>
      <w:r w:rsidRPr="00E253E5">
        <w:rPr>
          <w:sz w:val="24"/>
          <w:szCs w:val="24"/>
        </w:rPr>
        <w:t>Secretary</w:t>
      </w:r>
      <w:r w:rsidRPr="00E253E5">
        <w:rPr>
          <w:bCs/>
          <w:iCs/>
          <w:sz w:val="24"/>
          <w:szCs w:val="24"/>
        </w:rPr>
        <w:t xml:space="preserve"> may determine a breach of the</w:t>
      </w:r>
      <w:r w:rsidRPr="00E253E5">
        <w:rPr>
          <w:sz w:val="24"/>
          <w:szCs w:val="24"/>
        </w:rPr>
        <w:t xml:space="preserve"> code of conduct against the</w:t>
      </w:r>
      <w:r w:rsidRPr="00E253E5">
        <w:rPr>
          <w:bCs/>
          <w:iCs/>
          <w:sz w:val="24"/>
          <w:szCs w:val="24"/>
        </w:rPr>
        <w:t xml:space="preserve"> approved participant under </w:t>
      </w:r>
      <w:r w:rsidR="00CE79CC" w:rsidRPr="00E253E5">
        <w:rPr>
          <w:bCs/>
          <w:iCs/>
          <w:sz w:val="24"/>
          <w:szCs w:val="24"/>
        </w:rPr>
        <w:t>paragraph</w:t>
      </w:r>
      <w:r w:rsidR="005C0C38" w:rsidRPr="00E253E5">
        <w:rPr>
          <w:bCs/>
          <w:iCs/>
          <w:sz w:val="24"/>
          <w:szCs w:val="24"/>
        </w:rPr>
        <w:t xml:space="preserve">s 27(2)(l) and </w:t>
      </w:r>
      <w:r w:rsidRPr="00E253E5">
        <w:rPr>
          <w:sz w:val="24"/>
          <w:szCs w:val="24"/>
        </w:rPr>
        <w:t>27(2)(</w:t>
      </w:r>
      <w:r w:rsidR="00CE79CC" w:rsidRPr="00E253E5">
        <w:rPr>
          <w:sz w:val="24"/>
          <w:szCs w:val="24"/>
        </w:rPr>
        <w:t>m</w:t>
      </w:r>
      <w:r w:rsidRPr="00E253E5">
        <w:rPr>
          <w:sz w:val="24"/>
          <w:szCs w:val="24"/>
        </w:rPr>
        <w:t>) of the Regulations.</w:t>
      </w:r>
    </w:p>
    <w:p w14:paraId="0F77B586" w14:textId="5C38069A" w:rsidR="00AC3A02" w:rsidRPr="007E60D1" w:rsidRDefault="00AC3A02" w:rsidP="003E0A49">
      <w:pPr>
        <w:pStyle w:val="Heading3"/>
        <w:spacing w:before="120" w:after="120"/>
        <w:rPr>
          <w:color w:val="500778"/>
        </w:rPr>
      </w:pPr>
      <w:r w:rsidRPr="007E60D1">
        <w:rPr>
          <w:color w:val="500778"/>
        </w:rPr>
        <w:t>Investors to request a transfer to another approved participant</w:t>
      </w:r>
      <w:r w:rsidR="00D63958">
        <w:rPr>
          <w:color w:val="500778"/>
        </w:rPr>
        <w:t xml:space="preserve"> because of breach</w:t>
      </w:r>
    </w:p>
    <w:p w14:paraId="7E7B9D9B" w14:textId="405C705C" w:rsidR="00AC3A02" w:rsidRPr="007E60D1" w:rsidRDefault="00CE79CC" w:rsidP="00AC3A02">
      <w:pPr>
        <w:rPr>
          <w:sz w:val="24"/>
          <w:szCs w:val="24"/>
        </w:rPr>
      </w:pPr>
      <w:r w:rsidRPr="007E60D1">
        <w:rPr>
          <w:sz w:val="24"/>
          <w:szCs w:val="24"/>
          <w:lang w:eastAsia="en-AU"/>
        </w:rPr>
        <w:t>Section</w:t>
      </w:r>
      <w:r w:rsidR="00AC3A02" w:rsidRPr="007E60D1">
        <w:rPr>
          <w:sz w:val="24"/>
          <w:szCs w:val="24"/>
          <w:lang w:eastAsia="en-AU"/>
        </w:rPr>
        <w:t xml:space="preserve"> 29 of the Regulations allows an investor to make a written request to the </w:t>
      </w:r>
      <w:r w:rsidR="00AC3A02" w:rsidRPr="007E60D1">
        <w:rPr>
          <w:sz w:val="24"/>
          <w:szCs w:val="24"/>
        </w:rPr>
        <w:t>Secretary to transfer the</w:t>
      </w:r>
      <w:r w:rsidR="00AC3A02" w:rsidRPr="007E60D1">
        <w:rPr>
          <w:sz w:val="24"/>
          <w:szCs w:val="24"/>
          <w:lang w:eastAsia="en-AU"/>
        </w:rPr>
        <w:t xml:space="preserve"> allocation </w:t>
      </w:r>
      <w:r w:rsidR="00411139">
        <w:rPr>
          <w:sz w:val="24"/>
          <w:szCs w:val="24"/>
          <w:lang w:eastAsia="en-AU"/>
        </w:rPr>
        <w:t>covering</w:t>
      </w:r>
      <w:r w:rsidR="00AC3A02" w:rsidRPr="007E60D1">
        <w:rPr>
          <w:sz w:val="24"/>
          <w:szCs w:val="24"/>
          <w:lang w:eastAsia="en-AU"/>
        </w:rPr>
        <w:t xml:space="preserve"> their </w:t>
      </w:r>
      <w:r w:rsidR="006F419E">
        <w:rPr>
          <w:sz w:val="24"/>
          <w:szCs w:val="24"/>
          <w:lang w:eastAsia="en-AU"/>
        </w:rPr>
        <w:t xml:space="preserve">NRAS </w:t>
      </w:r>
      <w:r w:rsidR="00AC3A02" w:rsidRPr="007E60D1">
        <w:rPr>
          <w:sz w:val="24"/>
          <w:szCs w:val="24"/>
          <w:lang w:eastAsia="en-AU"/>
        </w:rPr>
        <w:t>rental dwelling to another approved</w:t>
      </w:r>
      <w:r w:rsidR="007E60D1">
        <w:rPr>
          <w:sz w:val="24"/>
          <w:szCs w:val="24"/>
          <w:lang w:eastAsia="en-AU"/>
        </w:rPr>
        <w:t> </w:t>
      </w:r>
      <w:r w:rsidR="00AC3A02" w:rsidRPr="007E60D1">
        <w:rPr>
          <w:sz w:val="24"/>
          <w:szCs w:val="24"/>
          <w:lang w:eastAsia="en-AU"/>
        </w:rPr>
        <w:t xml:space="preserve">participant, </w:t>
      </w:r>
      <w:r w:rsidR="00411139">
        <w:rPr>
          <w:sz w:val="24"/>
          <w:szCs w:val="24"/>
          <w:lang w:eastAsia="en-AU"/>
        </w:rPr>
        <w:t>if</w:t>
      </w:r>
      <w:r w:rsidR="00411139" w:rsidRPr="007E60D1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>the investor believes the approved participant</w:t>
      </w:r>
      <w:r w:rsidR="007E60D1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>or</w:t>
      </w:r>
      <w:r w:rsidR="00925015">
        <w:rPr>
          <w:sz w:val="24"/>
          <w:szCs w:val="24"/>
          <w:lang w:eastAsia="en-AU"/>
        </w:rPr>
        <w:t> </w:t>
      </w:r>
      <w:r w:rsidR="00AC3A02" w:rsidRPr="007E60D1">
        <w:rPr>
          <w:sz w:val="24"/>
          <w:szCs w:val="24"/>
          <w:lang w:eastAsia="en-AU"/>
        </w:rPr>
        <w:t>an</w:t>
      </w:r>
      <w:r w:rsidR="00925015">
        <w:rPr>
          <w:sz w:val="24"/>
          <w:szCs w:val="24"/>
          <w:lang w:eastAsia="en-AU"/>
        </w:rPr>
        <w:t> </w:t>
      </w:r>
      <w:r w:rsidR="00AC3A02" w:rsidRPr="007E60D1">
        <w:rPr>
          <w:sz w:val="24"/>
          <w:szCs w:val="24"/>
          <w:lang w:eastAsia="en-AU"/>
        </w:rPr>
        <w:t>associate</w:t>
      </w:r>
      <w:r w:rsidR="005C0C38" w:rsidRPr="007E60D1">
        <w:rPr>
          <w:sz w:val="24"/>
          <w:szCs w:val="24"/>
          <w:lang w:eastAsia="en-AU"/>
        </w:rPr>
        <w:t>d</w:t>
      </w:r>
      <w:r w:rsidR="007E60D1">
        <w:rPr>
          <w:sz w:val="24"/>
          <w:szCs w:val="24"/>
          <w:lang w:eastAsia="en-AU"/>
        </w:rPr>
        <w:t> </w:t>
      </w:r>
      <w:r w:rsidR="00AC3A02" w:rsidRPr="007E60D1">
        <w:rPr>
          <w:sz w:val="24"/>
          <w:szCs w:val="24"/>
          <w:lang w:eastAsia="en-AU"/>
        </w:rPr>
        <w:t>party has breached the Regulations, including the code of conduct.</w:t>
      </w:r>
      <w:r w:rsidR="003E0A49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>The</w:t>
      </w:r>
      <w:r w:rsidR="007E60D1">
        <w:rPr>
          <w:sz w:val="24"/>
          <w:szCs w:val="24"/>
          <w:lang w:eastAsia="en-AU"/>
        </w:rPr>
        <w:t> </w:t>
      </w:r>
      <w:r w:rsidR="00E44752">
        <w:rPr>
          <w:sz w:val="24"/>
          <w:szCs w:val="24"/>
          <w:lang w:eastAsia="en-AU"/>
        </w:rPr>
        <w:t xml:space="preserve">transfer </w:t>
      </w:r>
      <w:r w:rsidR="00AC3A02" w:rsidRPr="007E60D1">
        <w:rPr>
          <w:sz w:val="24"/>
          <w:szCs w:val="24"/>
          <w:lang w:eastAsia="en-AU"/>
        </w:rPr>
        <w:t>request must be in a form approved by the Secretary,</w:t>
      </w:r>
      <w:r w:rsidR="00E44752">
        <w:rPr>
          <w:sz w:val="24"/>
          <w:szCs w:val="24"/>
          <w:lang w:eastAsia="en-AU"/>
        </w:rPr>
        <w:t xml:space="preserve"> must</w:t>
      </w:r>
      <w:r w:rsidR="00AC3A02" w:rsidRPr="007E60D1">
        <w:rPr>
          <w:sz w:val="24"/>
          <w:szCs w:val="24"/>
          <w:lang w:eastAsia="en-AU"/>
        </w:rPr>
        <w:t xml:space="preserve"> include details of </w:t>
      </w:r>
      <w:r w:rsidR="00AC3A02" w:rsidRPr="007E60D1">
        <w:rPr>
          <w:sz w:val="24"/>
          <w:szCs w:val="24"/>
        </w:rPr>
        <w:t>the alleged breach and</w:t>
      </w:r>
      <w:r w:rsidR="00E44752">
        <w:rPr>
          <w:sz w:val="24"/>
          <w:szCs w:val="24"/>
        </w:rPr>
        <w:t xml:space="preserve"> must</w:t>
      </w:r>
      <w:r w:rsidR="00AC3A02" w:rsidRPr="007E60D1">
        <w:rPr>
          <w:sz w:val="24"/>
          <w:szCs w:val="24"/>
        </w:rPr>
        <w:t xml:space="preserve"> include proof of ownership and investor identification.</w:t>
      </w:r>
    </w:p>
    <w:p w14:paraId="675A51E5" w14:textId="226ED006" w:rsidR="00AC3A02" w:rsidRPr="007E60D1" w:rsidRDefault="00AD1FA3" w:rsidP="00AC3A0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AC3A02" w:rsidRPr="007E60D1">
        <w:rPr>
          <w:sz w:val="24"/>
          <w:szCs w:val="24"/>
        </w:rPr>
        <w:t xml:space="preserve">n investor must not make a transfer request unless </w:t>
      </w:r>
      <w:r>
        <w:rPr>
          <w:sz w:val="24"/>
          <w:szCs w:val="24"/>
        </w:rPr>
        <w:t>all</w:t>
      </w:r>
      <w:r w:rsidR="00AC3A02" w:rsidRPr="007E60D1">
        <w:rPr>
          <w:sz w:val="24"/>
          <w:szCs w:val="24"/>
        </w:rPr>
        <w:t xml:space="preserve"> of the </w:t>
      </w:r>
      <w:r>
        <w:rPr>
          <w:sz w:val="24"/>
          <w:szCs w:val="24"/>
        </w:rPr>
        <w:t>following things have</w:t>
      </w:r>
      <w:r w:rsidR="00AC3A02" w:rsidRPr="007E60D1">
        <w:rPr>
          <w:sz w:val="24"/>
          <w:szCs w:val="24"/>
        </w:rPr>
        <w:t xml:space="preserve"> </w:t>
      </w:r>
      <w:r>
        <w:rPr>
          <w:sz w:val="24"/>
          <w:szCs w:val="24"/>
        </w:rPr>
        <w:t>happened</w:t>
      </w:r>
      <w:r w:rsidR="00AC3A02" w:rsidRPr="007E60D1">
        <w:rPr>
          <w:sz w:val="24"/>
          <w:szCs w:val="24"/>
        </w:rPr>
        <w:t>:</w:t>
      </w:r>
    </w:p>
    <w:p w14:paraId="0FCEC2D9" w14:textId="5DEF3733" w:rsidR="00AD1FA3" w:rsidRDefault="00AC3A02" w:rsidP="00AC3A0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E60D1">
        <w:rPr>
          <w:sz w:val="24"/>
          <w:szCs w:val="24"/>
          <w:lang w:eastAsia="en-AU"/>
        </w:rPr>
        <w:t xml:space="preserve">the investor has given the approved participant </w:t>
      </w:r>
      <w:r w:rsidRPr="007E60D1">
        <w:rPr>
          <w:sz w:val="24"/>
          <w:szCs w:val="24"/>
        </w:rPr>
        <w:t xml:space="preserve">written notice of </w:t>
      </w:r>
      <w:r w:rsidR="004C0D77" w:rsidRPr="007E60D1">
        <w:rPr>
          <w:sz w:val="24"/>
          <w:szCs w:val="24"/>
        </w:rPr>
        <w:t>the alleged breach</w:t>
      </w:r>
      <w:r w:rsidR="00AD1FA3">
        <w:rPr>
          <w:sz w:val="24"/>
          <w:szCs w:val="24"/>
        </w:rPr>
        <w:t>;</w:t>
      </w:r>
      <w:r w:rsidR="004C0D77" w:rsidRPr="007E60D1">
        <w:rPr>
          <w:sz w:val="24"/>
          <w:szCs w:val="24"/>
        </w:rPr>
        <w:t xml:space="preserve"> an</w:t>
      </w:r>
      <w:r w:rsidR="00E44752">
        <w:rPr>
          <w:sz w:val="24"/>
          <w:szCs w:val="24"/>
        </w:rPr>
        <w:t>d</w:t>
      </w:r>
      <w:r w:rsidR="004C0D77" w:rsidRPr="007E60D1">
        <w:rPr>
          <w:sz w:val="24"/>
          <w:szCs w:val="24"/>
        </w:rPr>
        <w:t xml:space="preserve"> </w:t>
      </w:r>
    </w:p>
    <w:p w14:paraId="2C3F4974" w14:textId="77777777" w:rsidR="00AD1FA3" w:rsidRDefault="00AC3A02" w:rsidP="00AC3A0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E60D1">
        <w:rPr>
          <w:sz w:val="24"/>
          <w:szCs w:val="24"/>
        </w:rPr>
        <w:t>90 days have passed since the notice was given</w:t>
      </w:r>
      <w:r w:rsidR="00AD1FA3">
        <w:rPr>
          <w:sz w:val="24"/>
          <w:szCs w:val="24"/>
        </w:rPr>
        <w:t>;</w:t>
      </w:r>
      <w:r w:rsidRPr="007E60D1">
        <w:rPr>
          <w:sz w:val="24"/>
          <w:szCs w:val="24"/>
          <w:lang w:eastAsia="en-AU"/>
        </w:rPr>
        <w:t xml:space="preserve"> and </w:t>
      </w:r>
    </w:p>
    <w:p w14:paraId="3066C069" w14:textId="6F674F6A" w:rsidR="00AD1FA3" w:rsidRDefault="00AC3A02" w:rsidP="00EB2DAF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E60D1">
        <w:rPr>
          <w:sz w:val="24"/>
          <w:szCs w:val="24"/>
        </w:rPr>
        <w:t>the investor is satisfied the approved participant has not taken</w:t>
      </w:r>
      <w:r w:rsidR="00AD1FA3">
        <w:rPr>
          <w:sz w:val="24"/>
          <w:szCs w:val="24"/>
        </w:rPr>
        <w:t xml:space="preserve"> </w:t>
      </w:r>
      <w:r w:rsidRPr="007E60D1">
        <w:rPr>
          <w:sz w:val="24"/>
          <w:szCs w:val="24"/>
        </w:rPr>
        <w:t>appropriate action in relation to the alleged breach</w:t>
      </w:r>
      <w:r w:rsidR="00AD1FA3">
        <w:rPr>
          <w:sz w:val="24"/>
          <w:szCs w:val="24"/>
        </w:rPr>
        <w:t>.</w:t>
      </w:r>
    </w:p>
    <w:p w14:paraId="27606C67" w14:textId="52B1011D" w:rsidR="00AD1FA3" w:rsidRPr="006F419E" w:rsidRDefault="005D3BB0" w:rsidP="006F419E">
      <w:pPr>
        <w:rPr>
          <w:sz w:val="24"/>
          <w:szCs w:val="24"/>
        </w:rPr>
      </w:pPr>
      <w:r>
        <w:rPr>
          <w:sz w:val="24"/>
          <w:szCs w:val="24"/>
        </w:rPr>
        <w:t>However, t</w:t>
      </w:r>
      <w:r w:rsidR="00AD1FA3">
        <w:rPr>
          <w:sz w:val="24"/>
          <w:szCs w:val="24"/>
        </w:rPr>
        <w:t xml:space="preserve">he investor does not have to comply with the </w:t>
      </w:r>
      <w:r>
        <w:rPr>
          <w:sz w:val="24"/>
          <w:szCs w:val="24"/>
        </w:rPr>
        <w:t xml:space="preserve">usual </w:t>
      </w:r>
      <w:r w:rsidR="00AD1FA3">
        <w:rPr>
          <w:sz w:val="24"/>
          <w:szCs w:val="24"/>
        </w:rPr>
        <w:t>requirements of</w:t>
      </w:r>
      <w:r w:rsidR="00925015">
        <w:rPr>
          <w:sz w:val="24"/>
          <w:szCs w:val="24"/>
        </w:rPr>
        <w:t> </w:t>
      </w:r>
      <w:r w:rsidR="00AD1FA3">
        <w:rPr>
          <w:sz w:val="24"/>
          <w:szCs w:val="24"/>
        </w:rPr>
        <w:t>a</w:t>
      </w:r>
      <w:r w:rsidR="00925015">
        <w:rPr>
          <w:sz w:val="24"/>
          <w:szCs w:val="24"/>
        </w:rPr>
        <w:t> </w:t>
      </w:r>
      <w:r w:rsidR="00AD1FA3">
        <w:rPr>
          <w:sz w:val="24"/>
          <w:szCs w:val="24"/>
        </w:rPr>
        <w:t>transfer request, if:</w:t>
      </w:r>
    </w:p>
    <w:p w14:paraId="421A909C" w14:textId="38955EDF" w:rsidR="00AC3A02" w:rsidRPr="007E60D1" w:rsidRDefault="00AC3A02" w:rsidP="00AC3A0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E60D1">
        <w:rPr>
          <w:sz w:val="24"/>
          <w:szCs w:val="24"/>
        </w:rPr>
        <w:t>the approved participant is allegedly the subject of an insolvency event</w:t>
      </w:r>
      <w:r w:rsidR="00B15DCD" w:rsidRPr="007E60D1">
        <w:rPr>
          <w:sz w:val="24"/>
          <w:szCs w:val="24"/>
        </w:rPr>
        <w:t>; or</w:t>
      </w:r>
    </w:p>
    <w:p w14:paraId="102A75FC" w14:textId="6668065F" w:rsidR="00AC3A02" w:rsidRPr="007E60D1" w:rsidRDefault="00AC3A02" w:rsidP="00AC3A0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7E60D1">
        <w:rPr>
          <w:sz w:val="24"/>
          <w:szCs w:val="24"/>
        </w:rPr>
        <w:t xml:space="preserve">a determination of </w:t>
      </w:r>
      <w:r w:rsidR="005D3BB0">
        <w:rPr>
          <w:sz w:val="24"/>
          <w:szCs w:val="24"/>
        </w:rPr>
        <w:t xml:space="preserve">a </w:t>
      </w:r>
      <w:r w:rsidRPr="007E60D1">
        <w:rPr>
          <w:sz w:val="24"/>
          <w:szCs w:val="24"/>
        </w:rPr>
        <w:t>breach has already been made</w:t>
      </w:r>
      <w:r w:rsidR="00B15DCD" w:rsidRPr="007E60D1">
        <w:rPr>
          <w:sz w:val="24"/>
          <w:szCs w:val="24"/>
        </w:rPr>
        <w:t>.</w:t>
      </w:r>
    </w:p>
    <w:p w14:paraId="47FCF8B2" w14:textId="5C34A470" w:rsidR="00AC3A02" w:rsidRPr="007E60D1" w:rsidRDefault="00AC3A02" w:rsidP="00AC3A02">
      <w:pPr>
        <w:pStyle w:val="Heading4"/>
        <w:rPr>
          <w:i w:val="0"/>
          <w:sz w:val="24"/>
          <w:szCs w:val="24"/>
        </w:rPr>
      </w:pPr>
      <w:r w:rsidRPr="00D63958">
        <w:rPr>
          <w:rFonts w:ascii="Georgia" w:eastAsia="Times New Roman" w:hAnsi="Georgia" w:cs="Arial"/>
          <w:b w:val="0"/>
          <w:i w:val="0"/>
          <w:color w:val="500778"/>
          <w:spacing w:val="4"/>
          <w:sz w:val="32"/>
          <w:szCs w:val="28"/>
          <w:lang w:eastAsia="en-AU"/>
        </w:rPr>
        <w:t>Transfer because of breach</w:t>
      </w:r>
    </w:p>
    <w:p w14:paraId="460D625B" w14:textId="620CE159" w:rsidR="005D3BB0" w:rsidRDefault="00D63958" w:rsidP="00AC3A02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Under s</w:t>
      </w:r>
      <w:r w:rsidRPr="007E60D1">
        <w:rPr>
          <w:sz w:val="24"/>
          <w:szCs w:val="24"/>
          <w:lang w:eastAsia="en-AU"/>
        </w:rPr>
        <w:t xml:space="preserve">ection 32 of the Regulations </w:t>
      </w:r>
      <w:r>
        <w:rPr>
          <w:sz w:val="24"/>
          <w:szCs w:val="24"/>
          <w:lang w:eastAsia="en-AU"/>
        </w:rPr>
        <w:t>a</w:t>
      </w:r>
      <w:r w:rsidR="00AC3A02" w:rsidRPr="007E60D1">
        <w:rPr>
          <w:sz w:val="24"/>
          <w:szCs w:val="24"/>
          <w:lang w:eastAsia="en-AU"/>
        </w:rPr>
        <w:t xml:space="preserve"> transfer of an allocation </w:t>
      </w:r>
      <w:r w:rsidR="005D3BB0">
        <w:rPr>
          <w:sz w:val="24"/>
          <w:szCs w:val="24"/>
          <w:lang w:eastAsia="en-AU"/>
        </w:rPr>
        <w:t>covering</w:t>
      </w:r>
      <w:r w:rsidR="00AC3A02" w:rsidRPr="007E60D1">
        <w:rPr>
          <w:sz w:val="24"/>
          <w:szCs w:val="24"/>
          <w:lang w:eastAsia="en-AU"/>
        </w:rPr>
        <w:t xml:space="preserve"> an investor</w:t>
      </w:r>
      <w:r w:rsidR="005C0C38" w:rsidRPr="007E60D1">
        <w:rPr>
          <w:sz w:val="24"/>
          <w:szCs w:val="24"/>
          <w:lang w:eastAsia="en-AU"/>
        </w:rPr>
        <w:t>’</w:t>
      </w:r>
      <w:r w:rsidR="00AC3A02" w:rsidRPr="007E60D1">
        <w:rPr>
          <w:sz w:val="24"/>
          <w:szCs w:val="24"/>
          <w:lang w:eastAsia="en-AU"/>
        </w:rPr>
        <w:t xml:space="preserve">s </w:t>
      </w:r>
      <w:r w:rsidR="006F419E">
        <w:rPr>
          <w:sz w:val="24"/>
          <w:szCs w:val="24"/>
          <w:lang w:eastAsia="en-AU"/>
        </w:rPr>
        <w:t xml:space="preserve">NRAS </w:t>
      </w:r>
      <w:r w:rsidR="00AC3A02" w:rsidRPr="007E60D1">
        <w:rPr>
          <w:sz w:val="24"/>
          <w:szCs w:val="24"/>
          <w:lang w:eastAsia="en-AU"/>
        </w:rPr>
        <w:t>rental dwelling cannot occur until a breach determination has been made.</w:t>
      </w:r>
      <w:r w:rsidR="003E0A49">
        <w:rPr>
          <w:sz w:val="24"/>
          <w:szCs w:val="24"/>
          <w:lang w:eastAsia="en-AU"/>
        </w:rPr>
        <w:t xml:space="preserve"> </w:t>
      </w:r>
      <w:r w:rsidR="00AC3A02" w:rsidRPr="007E60D1">
        <w:rPr>
          <w:sz w:val="24"/>
          <w:szCs w:val="24"/>
          <w:lang w:eastAsia="en-AU"/>
        </w:rPr>
        <w:t>A</w:t>
      </w:r>
      <w:r w:rsidR="00925015">
        <w:rPr>
          <w:sz w:val="24"/>
          <w:szCs w:val="24"/>
          <w:lang w:eastAsia="en-AU"/>
        </w:rPr>
        <w:t> </w:t>
      </w:r>
      <w:r w:rsidR="00AC3A02" w:rsidRPr="007E60D1">
        <w:rPr>
          <w:sz w:val="24"/>
          <w:szCs w:val="24"/>
          <w:lang w:eastAsia="en-AU"/>
        </w:rPr>
        <w:t xml:space="preserve">determination comes into effect after </w:t>
      </w:r>
      <w:r w:rsidR="005D3BB0">
        <w:rPr>
          <w:sz w:val="24"/>
          <w:szCs w:val="24"/>
          <w:lang w:eastAsia="en-AU"/>
        </w:rPr>
        <w:t>the earlier of the following:</w:t>
      </w:r>
    </w:p>
    <w:p w14:paraId="7C73729A" w14:textId="406D3E51" w:rsidR="005D3BB0" w:rsidRDefault="006F1439" w:rsidP="006F419E">
      <w:pPr>
        <w:pStyle w:val="ListParagraph"/>
        <w:numPr>
          <w:ilvl w:val="0"/>
          <w:numId w:val="39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if </w:t>
      </w:r>
      <w:r w:rsidRPr="00CA3459">
        <w:rPr>
          <w:sz w:val="24"/>
          <w:szCs w:val="24"/>
          <w:lang w:eastAsia="en-AU"/>
        </w:rPr>
        <w:t>a</w:t>
      </w:r>
      <w:r>
        <w:rPr>
          <w:sz w:val="24"/>
          <w:szCs w:val="24"/>
          <w:lang w:eastAsia="en-AU"/>
        </w:rPr>
        <w:t>n a</w:t>
      </w:r>
      <w:r w:rsidRPr="00CA3459">
        <w:rPr>
          <w:sz w:val="24"/>
          <w:szCs w:val="24"/>
          <w:lang w:eastAsia="en-AU"/>
        </w:rPr>
        <w:t xml:space="preserve">pplication for review </w:t>
      </w:r>
      <w:r>
        <w:rPr>
          <w:sz w:val="24"/>
          <w:szCs w:val="24"/>
          <w:lang w:eastAsia="en-AU"/>
        </w:rPr>
        <w:t xml:space="preserve">of the </w:t>
      </w:r>
      <w:r w:rsidRPr="00A175BC">
        <w:rPr>
          <w:sz w:val="24"/>
          <w:szCs w:val="24"/>
          <w:lang w:eastAsia="en-AU"/>
        </w:rPr>
        <w:t xml:space="preserve">Secretary’s </w:t>
      </w:r>
      <w:r>
        <w:rPr>
          <w:sz w:val="24"/>
          <w:szCs w:val="24"/>
          <w:lang w:eastAsia="en-AU"/>
        </w:rPr>
        <w:t xml:space="preserve">determination is made to the </w:t>
      </w:r>
      <w:r w:rsidR="00AC3A02" w:rsidRPr="006F419E">
        <w:rPr>
          <w:sz w:val="24"/>
          <w:szCs w:val="24"/>
          <w:lang w:eastAsia="en-AU"/>
        </w:rPr>
        <w:t>Administrative Appeals Tribunal (AAT)</w:t>
      </w:r>
      <w:r>
        <w:rPr>
          <w:sz w:val="24"/>
          <w:szCs w:val="24"/>
          <w:lang w:eastAsia="en-AU"/>
        </w:rPr>
        <w:t xml:space="preserve">, after </w:t>
      </w:r>
      <w:r w:rsidRPr="004220A0">
        <w:rPr>
          <w:sz w:val="24"/>
          <w:szCs w:val="24"/>
          <w:lang w:eastAsia="en-AU"/>
        </w:rPr>
        <w:t xml:space="preserve">the </w:t>
      </w:r>
      <w:r>
        <w:rPr>
          <w:sz w:val="24"/>
          <w:szCs w:val="24"/>
          <w:lang w:eastAsia="en-AU"/>
        </w:rPr>
        <w:t xml:space="preserve">AAT </w:t>
      </w:r>
      <w:r w:rsidR="00AC3A02" w:rsidRPr="006F419E">
        <w:rPr>
          <w:sz w:val="24"/>
          <w:szCs w:val="24"/>
          <w:lang w:eastAsia="en-AU"/>
        </w:rPr>
        <w:t>has confirmed the determination</w:t>
      </w:r>
      <w:r w:rsidR="005D3BB0">
        <w:rPr>
          <w:sz w:val="24"/>
          <w:szCs w:val="24"/>
          <w:lang w:eastAsia="en-AU"/>
        </w:rPr>
        <w:t xml:space="preserve">; </w:t>
      </w:r>
      <w:r w:rsidR="00AC3A02" w:rsidRPr="006F419E">
        <w:rPr>
          <w:sz w:val="24"/>
          <w:szCs w:val="24"/>
          <w:lang w:eastAsia="en-AU"/>
        </w:rPr>
        <w:t xml:space="preserve">or </w:t>
      </w:r>
    </w:p>
    <w:p w14:paraId="2983709A" w14:textId="74A8235E" w:rsidR="00AC3A02" w:rsidRPr="00D63958" w:rsidRDefault="005D3BB0" w:rsidP="00D63958">
      <w:pPr>
        <w:pStyle w:val="ListParagraph"/>
        <w:numPr>
          <w:ilvl w:val="0"/>
          <w:numId w:val="39"/>
        </w:num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if </w:t>
      </w:r>
      <w:r w:rsidR="006F1439">
        <w:rPr>
          <w:sz w:val="24"/>
          <w:szCs w:val="24"/>
          <w:lang w:eastAsia="en-AU"/>
        </w:rPr>
        <w:t xml:space="preserve">there is </w:t>
      </w:r>
      <w:r w:rsidRPr="00CA3459">
        <w:rPr>
          <w:sz w:val="24"/>
          <w:szCs w:val="24"/>
          <w:lang w:eastAsia="en-AU"/>
        </w:rPr>
        <w:t xml:space="preserve">no application for review </w:t>
      </w:r>
      <w:r>
        <w:rPr>
          <w:sz w:val="24"/>
          <w:szCs w:val="24"/>
          <w:lang w:eastAsia="en-AU"/>
        </w:rPr>
        <w:t>made,</w:t>
      </w:r>
      <w:r w:rsidRPr="001975F8">
        <w:rPr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 xml:space="preserve">at the end of </w:t>
      </w:r>
      <w:r w:rsidR="00AC3A02" w:rsidRPr="006F419E">
        <w:rPr>
          <w:sz w:val="24"/>
          <w:szCs w:val="24"/>
          <w:lang w:eastAsia="en-AU"/>
        </w:rPr>
        <w:t>the</w:t>
      </w:r>
      <w:r w:rsidRPr="006F419E">
        <w:rPr>
          <w:sz w:val="24"/>
          <w:szCs w:val="24"/>
          <w:lang w:eastAsia="en-AU"/>
        </w:rPr>
        <w:t xml:space="preserve"> 28-day</w:t>
      </w:r>
      <w:r w:rsidR="00AC3A02" w:rsidRPr="006F419E">
        <w:rPr>
          <w:sz w:val="24"/>
          <w:szCs w:val="24"/>
          <w:lang w:eastAsia="en-AU"/>
        </w:rPr>
        <w:t xml:space="preserve"> period for making an application </w:t>
      </w:r>
      <w:r w:rsidRPr="006F419E">
        <w:rPr>
          <w:sz w:val="24"/>
          <w:szCs w:val="24"/>
          <w:lang w:eastAsia="en-AU"/>
        </w:rPr>
        <w:t>f</w:t>
      </w:r>
      <w:r w:rsidR="006F1439" w:rsidRPr="00EB2DAF">
        <w:rPr>
          <w:sz w:val="24"/>
          <w:szCs w:val="24"/>
          <w:lang w:eastAsia="en-AU"/>
        </w:rPr>
        <w:t xml:space="preserve">or </w:t>
      </w:r>
      <w:r w:rsidRPr="006F419E">
        <w:rPr>
          <w:sz w:val="24"/>
          <w:szCs w:val="24"/>
          <w:lang w:eastAsia="en-AU"/>
        </w:rPr>
        <w:t>review</w:t>
      </w:r>
      <w:r w:rsidR="00AC3A02" w:rsidRPr="006F419E">
        <w:rPr>
          <w:sz w:val="24"/>
          <w:szCs w:val="24"/>
          <w:lang w:eastAsia="en-AU"/>
        </w:rPr>
        <w:t xml:space="preserve">. </w:t>
      </w:r>
    </w:p>
    <w:p w14:paraId="3283958B" w14:textId="2211E757" w:rsidR="00AC3A02" w:rsidRPr="007E60D1" w:rsidRDefault="00B15DCD" w:rsidP="00AC3A02">
      <w:pPr>
        <w:rPr>
          <w:sz w:val="24"/>
          <w:szCs w:val="24"/>
        </w:rPr>
      </w:pPr>
      <w:r w:rsidRPr="007E60D1">
        <w:rPr>
          <w:sz w:val="24"/>
          <w:szCs w:val="24"/>
          <w:lang w:eastAsia="en-AU"/>
        </w:rPr>
        <w:t>The</w:t>
      </w:r>
      <w:r w:rsidR="00AC3A02" w:rsidRPr="007E60D1">
        <w:rPr>
          <w:sz w:val="24"/>
          <w:szCs w:val="24"/>
          <w:lang w:eastAsia="en-AU"/>
        </w:rPr>
        <w:t xml:space="preserve"> Regulations </w:t>
      </w:r>
      <w:r w:rsidRPr="007E60D1">
        <w:rPr>
          <w:sz w:val="24"/>
          <w:szCs w:val="24"/>
          <w:lang w:eastAsia="en-AU"/>
        </w:rPr>
        <w:t xml:space="preserve">include </w:t>
      </w:r>
      <w:r w:rsidR="00AC3A02" w:rsidRPr="007E60D1">
        <w:rPr>
          <w:sz w:val="24"/>
          <w:szCs w:val="24"/>
          <w:lang w:eastAsia="en-AU"/>
        </w:rPr>
        <w:t xml:space="preserve">three </w:t>
      </w:r>
      <w:r w:rsidR="00AC3A02" w:rsidRPr="007E60D1">
        <w:rPr>
          <w:sz w:val="24"/>
          <w:szCs w:val="24"/>
        </w:rPr>
        <w:t xml:space="preserve">breach types </w:t>
      </w:r>
      <w:r w:rsidR="006F1439">
        <w:rPr>
          <w:sz w:val="24"/>
          <w:szCs w:val="24"/>
        </w:rPr>
        <w:t>with</w:t>
      </w:r>
      <w:r w:rsidR="00AC3A02" w:rsidRPr="007E60D1">
        <w:rPr>
          <w:sz w:val="24"/>
          <w:szCs w:val="24"/>
        </w:rPr>
        <w:t xml:space="preserve"> </w:t>
      </w:r>
      <w:r w:rsidR="006F1439" w:rsidRPr="007E60D1">
        <w:rPr>
          <w:sz w:val="24"/>
          <w:szCs w:val="24"/>
        </w:rPr>
        <w:t xml:space="preserve">graduated </w:t>
      </w:r>
      <w:r w:rsidR="00AC3A02" w:rsidRPr="007E60D1">
        <w:rPr>
          <w:sz w:val="24"/>
          <w:szCs w:val="24"/>
        </w:rPr>
        <w:t>consequence</w:t>
      </w:r>
      <w:r w:rsidR="006F1439">
        <w:rPr>
          <w:sz w:val="24"/>
          <w:szCs w:val="24"/>
        </w:rPr>
        <w:t>s</w:t>
      </w:r>
      <w:r w:rsidR="006F1439" w:rsidRPr="006F1439">
        <w:rPr>
          <w:sz w:val="24"/>
          <w:szCs w:val="24"/>
        </w:rPr>
        <w:t xml:space="preserve"> </w:t>
      </w:r>
      <w:r w:rsidR="006F1439">
        <w:rPr>
          <w:sz w:val="24"/>
          <w:szCs w:val="24"/>
        </w:rPr>
        <w:t>according to the seriousness of the breach: individual or compliance breaches, serious breaches, or disqualifying breaches. The requirements for the Secretary making a</w:t>
      </w:r>
      <w:r w:rsidR="00925015">
        <w:rPr>
          <w:sz w:val="24"/>
          <w:szCs w:val="24"/>
        </w:rPr>
        <w:t> </w:t>
      </w:r>
      <w:r w:rsidR="006F1439">
        <w:rPr>
          <w:sz w:val="24"/>
          <w:szCs w:val="24"/>
        </w:rPr>
        <w:t>determination of a breach are set out at sections 24 to 26 of the Regulations.</w:t>
      </w:r>
    </w:p>
    <w:p w14:paraId="26847970" w14:textId="2017CA1F" w:rsidR="002B2E1A" w:rsidRDefault="002B2E1A" w:rsidP="00AC3A02">
      <w:r w:rsidRPr="007E60D1">
        <w:rPr>
          <w:sz w:val="24"/>
          <w:szCs w:val="24"/>
        </w:rPr>
        <w:t xml:space="preserve">Under </w:t>
      </w:r>
      <w:r w:rsidR="007E60D1">
        <w:rPr>
          <w:sz w:val="24"/>
          <w:szCs w:val="24"/>
        </w:rPr>
        <w:t>s</w:t>
      </w:r>
      <w:r w:rsidRPr="007E60D1">
        <w:rPr>
          <w:sz w:val="24"/>
          <w:szCs w:val="24"/>
        </w:rPr>
        <w:t xml:space="preserve">ection 30 of the Regulations, prior to determining an approved participant committed </w:t>
      </w:r>
      <w:r w:rsidR="00D63958">
        <w:rPr>
          <w:sz w:val="24"/>
          <w:szCs w:val="24"/>
        </w:rPr>
        <w:t xml:space="preserve">a </w:t>
      </w:r>
      <w:r w:rsidRPr="007E60D1">
        <w:rPr>
          <w:sz w:val="24"/>
          <w:szCs w:val="24"/>
        </w:rPr>
        <w:t xml:space="preserve">breach, the Secretary must give written notice of the proposed </w:t>
      </w:r>
      <w:r w:rsidRPr="007E60D1">
        <w:rPr>
          <w:sz w:val="24"/>
          <w:szCs w:val="24"/>
        </w:rPr>
        <w:lastRenderedPageBreak/>
        <w:t>determination to the approved par</w:t>
      </w:r>
      <w:r w:rsidR="00D63958">
        <w:rPr>
          <w:sz w:val="24"/>
          <w:szCs w:val="24"/>
        </w:rPr>
        <w:t>ticipant, and where an investor</w:t>
      </w:r>
      <w:r w:rsidRPr="007E60D1">
        <w:rPr>
          <w:sz w:val="24"/>
          <w:szCs w:val="24"/>
        </w:rPr>
        <w:t xml:space="preserve"> has made a written request – the investor.</w:t>
      </w:r>
      <w:r w:rsidR="003E0A49">
        <w:rPr>
          <w:sz w:val="24"/>
          <w:szCs w:val="24"/>
        </w:rPr>
        <w:t xml:space="preserve"> </w:t>
      </w:r>
      <w:r w:rsidRPr="007E60D1">
        <w:rPr>
          <w:sz w:val="24"/>
          <w:szCs w:val="24"/>
        </w:rPr>
        <w:t>The notice must state the Secretary proposes to determine the approved participant has committed the breach and invite the approved participant (and the investor as the case requires) to make a</w:t>
      </w:r>
      <w:r w:rsidR="00925015">
        <w:rPr>
          <w:sz w:val="24"/>
          <w:szCs w:val="24"/>
        </w:rPr>
        <w:t> </w:t>
      </w:r>
      <w:r w:rsidRPr="007E60D1">
        <w:rPr>
          <w:sz w:val="24"/>
          <w:szCs w:val="24"/>
        </w:rPr>
        <w:t>written submission to the Secretary about the proposed determination no later than 14 days after the day the Secretary gives the notice.</w:t>
      </w:r>
      <w:r w:rsidR="003E0A49">
        <w:rPr>
          <w:sz w:val="24"/>
          <w:szCs w:val="24"/>
        </w:rPr>
        <w:t xml:space="preserve"> </w:t>
      </w:r>
      <w:r w:rsidRPr="007E60D1">
        <w:rPr>
          <w:sz w:val="24"/>
          <w:szCs w:val="24"/>
        </w:rPr>
        <w:t>The Secretary must have regard to any submissions made and the interests of investors, including the need to</w:t>
      </w:r>
      <w:r w:rsidR="00925015">
        <w:rPr>
          <w:sz w:val="24"/>
          <w:szCs w:val="24"/>
        </w:rPr>
        <w:t> </w:t>
      </w:r>
      <w:r w:rsidRPr="007E60D1">
        <w:rPr>
          <w:sz w:val="24"/>
          <w:szCs w:val="24"/>
        </w:rPr>
        <w:t>ensure investors maintain confidence in the Scheme.</w:t>
      </w:r>
    </w:p>
    <w:p w14:paraId="7D0CC7EA" w14:textId="058682E9" w:rsidR="00AC3A02" w:rsidRPr="007E60D1" w:rsidRDefault="00AC3A02" w:rsidP="00AC3A02">
      <w:pPr>
        <w:pStyle w:val="Heading4"/>
        <w:rPr>
          <w:sz w:val="24"/>
          <w:szCs w:val="24"/>
        </w:rPr>
      </w:pPr>
      <w:r w:rsidRPr="007E60D1">
        <w:rPr>
          <w:sz w:val="24"/>
          <w:szCs w:val="24"/>
        </w:rPr>
        <w:t>Individual breach (</w:t>
      </w:r>
      <w:r w:rsidR="007E60D1">
        <w:rPr>
          <w:sz w:val="24"/>
          <w:szCs w:val="24"/>
        </w:rPr>
        <w:t>s</w:t>
      </w:r>
      <w:r w:rsidR="00CE79CC" w:rsidRPr="007E60D1">
        <w:rPr>
          <w:sz w:val="24"/>
          <w:szCs w:val="24"/>
        </w:rPr>
        <w:t>ection</w:t>
      </w:r>
      <w:r w:rsidRPr="007E60D1">
        <w:rPr>
          <w:sz w:val="24"/>
          <w:szCs w:val="24"/>
        </w:rPr>
        <w:t xml:space="preserve"> 24</w:t>
      </w:r>
      <w:r w:rsidR="00FF2B50">
        <w:rPr>
          <w:sz w:val="24"/>
          <w:szCs w:val="24"/>
        </w:rPr>
        <w:t xml:space="preserve"> of the Regulations</w:t>
      </w:r>
      <w:r w:rsidRPr="007E60D1">
        <w:rPr>
          <w:sz w:val="24"/>
          <w:szCs w:val="24"/>
        </w:rPr>
        <w:t>)</w:t>
      </w:r>
    </w:p>
    <w:p w14:paraId="1F926C63" w14:textId="4BB1CCF2" w:rsidR="005C0C38" w:rsidRPr="007E60D1" w:rsidRDefault="005C0C38" w:rsidP="00AC3A02">
      <w:pPr>
        <w:rPr>
          <w:sz w:val="24"/>
          <w:szCs w:val="24"/>
        </w:rPr>
      </w:pPr>
      <w:r w:rsidRPr="007E60D1">
        <w:rPr>
          <w:sz w:val="24"/>
          <w:szCs w:val="24"/>
        </w:rPr>
        <w:t xml:space="preserve">The Secretary </w:t>
      </w:r>
      <w:r w:rsidR="00D5795C" w:rsidRPr="007E60D1">
        <w:rPr>
          <w:sz w:val="24"/>
          <w:szCs w:val="24"/>
        </w:rPr>
        <w:t>may</w:t>
      </w:r>
      <w:r w:rsidRPr="007E60D1">
        <w:rPr>
          <w:sz w:val="24"/>
          <w:szCs w:val="24"/>
        </w:rPr>
        <w:t xml:space="preserve"> determine an approved participant</w:t>
      </w:r>
      <w:r w:rsidR="006F1439">
        <w:rPr>
          <w:sz w:val="24"/>
          <w:szCs w:val="24"/>
        </w:rPr>
        <w:t xml:space="preserve"> for a </w:t>
      </w:r>
      <w:r w:rsidR="006F419E">
        <w:rPr>
          <w:sz w:val="24"/>
          <w:szCs w:val="24"/>
        </w:rPr>
        <w:t xml:space="preserve">NRAS </w:t>
      </w:r>
      <w:r w:rsidR="006F1439">
        <w:rPr>
          <w:sz w:val="24"/>
          <w:szCs w:val="24"/>
        </w:rPr>
        <w:t>rental dwelling covered by an allocation</w:t>
      </w:r>
      <w:r w:rsidRPr="007E60D1">
        <w:rPr>
          <w:sz w:val="24"/>
          <w:szCs w:val="24"/>
        </w:rPr>
        <w:t xml:space="preserve"> has committed an individual breach if the approved participant is subject to an insolvency event, </w:t>
      </w:r>
      <w:r w:rsidR="006F1439">
        <w:rPr>
          <w:sz w:val="24"/>
          <w:szCs w:val="24"/>
        </w:rPr>
        <w:t xml:space="preserve">if they have </w:t>
      </w:r>
      <w:r w:rsidRPr="007E60D1">
        <w:rPr>
          <w:sz w:val="24"/>
          <w:szCs w:val="24"/>
        </w:rPr>
        <w:t>breached the code of</w:t>
      </w:r>
      <w:r w:rsidR="00925015">
        <w:rPr>
          <w:sz w:val="24"/>
          <w:szCs w:val="24"/>
        </w:rPr>
        <w:t> </w:t>
      </w:r>
      <w:r w:rsidRPr="007E60D1">
        <w:rPr>
          <w:sz w:val="24"/>
          <w:szCs w:val="24"/>
        </w:rPr>
        <w:t xml:space="preserve">conduct in relation to the dwelling or </w:t>
      </w:r>
      <w:r w:rsidR="006F1439">
        <w:rPr>
          <w:sz w:val="24"/>
          <w:szCs w:val="24"/>
        </w:rPr>
        <w:t xml:space="preserve">if they have </w:t>
      </w:r>
      <w:r w:rsidRPr="007E60D1">
        <w:rPr>
          <w:sz w:val="24"/>
          <w:szCs w:val="24"/>
        </w:rPr>
        <w:t>committed a compliance breach in relation to the dwelling.</w:t>
      </w:r>
      <w:r w:rsidR="003E0A49">
        <w:rPr>
          <w:sz w:val="24"/>
          <w:szCs w:val="24"/>
        </w:rPr>
        <w:t xml:space="preserve"> </w:t>
      </w:r>
      <w:r w:rsidR="002B4B7D">
        <w:rPr>
          <w:sz w:val="24"/>
          <w:szCs w:val="24"/>
        </w:rPr>
        <w:t xml:space="preserve">A </w:t>
      </w:r>
      <w:r w:rsidR="00521BD8">
        <w:rPr>
          <w:sz w:val="24"/>
          <w:szCs w:val="24"/>
        </w:rPr>
        <w:t xml:space="preserve">compliance breach </w:t>
      </w:r>
      <w:r w:rsidR="00FF2B50">
        <w:rPr>
          <w:sz w:val="24"/>
          <w:szCs w:val="24"/>
        </w:rPr>
        <w:t>is defined by subsection 24(3) of the Regulations</w:t>
      </w:r>
      <w:r w:rsidR="00210683">
        <w:rPr>
          <w:sz w:val="24"/>
          <w:szCs w:val="24"/>
        </w:rPr>
        <w:t>. A compliance breach occurs if an</w:t>
      </w:r>
      <w:r w:rsidR="009A2282">
        <w:rPr>
          <w:sz w:val="24"/>
          <w:szCs w:val="24"/>
        </w:rPr>
        <w:t xml:space="preserve"> approved participant fails </w:t>
      </w:r>
      <w:r w:rsidRPr="007E60D1">
        <w:rPr>
          <w:sz w:val="24"/>
          <w:szCs w:val="24"/>
        </w:rPr>
        <w:t xml:space="preserve">to comply with the </w:t>
      </w:r>
      <w:r w:rsidRPr="007E60D1">
        <w:rPr>
          <w:i/>
          <w:sz w:val="24"/>
          <w:szCs w:val="24"/>
        </w:rPr>
        <w:t>National Rental Affordability Scheme Act 2008 (</w:t>
      </w:r>
      <w:r w:rsidRPr="007E60D1">
        <w:rPr>
          <w:sz w:val="24"/>
          <w:szCs w:val="24"/>
        </w:rPr>
        <w:t xml:space="preserve">NRAS Act) or </w:t>
      </w:r>
      <w:r w:rsidR="00496255">
        <w:rPr>
          <w:sz w:val="24"/>
          <w:szCs w:val="24"/>
        </w:rPr>
        <w:t>the</w:t>
      </w:r>
      <w:r w:rsidRPr="007E60D1">
        <w:rPr>
          <w:sz w:val="24"/>
          <w:szCs w:val="24"/>
        </w:rPr>
        <w:t xml:space="preserve"> Regulations</w:t>
      </w:r>
      <w:r w:rsidR="00521BD8">
        <w:rPr>
          <w:sz w:val="24"/>
          <w:szCs w:val="24"/>
        </w:rPr>
        <w:t xml:space="preserve"> (other than the approved participants code of conduct)</w:t>
      </w:r>
      <w:r w:rsidRPr="007E60D1">
        <w:rPr>
          <w:sz w:val="24"/>
          <w:szCs w:val="24"/>
        </w:rPr>
        <w:t>, or</w:t>
      </w:r>
      <w:r w:rsidR="00925015">
        <w:rPr>
          <w:sz w:val="24"/>
          <w:szCs w:val="24"/>
        </w:rPr>
        <w:t> </w:t>
      </w:r>
      <w:r w:rsidR="00210683">
        <w:rPr>
          <w:sz w:val="24"/>
          <w:szCs w:val="24"/>
        </w:rPr>
        <w:t>if</w:t>
      </w:r>
      <w:r w:rsidR="00925015">
        <w:rPr>
          <w:sz w:val="24"/>
          <w:szCs w:val="24"/>
        </w:rPr>
        <w:t> </w:t>
      </w:r>
      <w:r w:rsidR="00210683">
        <w:rPr>
          <w:sz w:val="24"/>
          <w:szCs w:val="24"/>
        </w:rPr>
        <w:t>an</w:t>
      </w:r>
      <w:r w:rsidR="00925015">
        <w:rPr>
          <w:sz w:val="24"/>
          <w:szCs w:val="24"/>
        </w:rPr>
        <w:t> </w:t>
      </w:r>
      <w:r w:rsidR="00210683">
        <w:rPr>
          <w:sz w:val="24"/>
          <w:szCs w:val="24"/>
        </w:rPr>
        <w:t xml:space="preserve">approved participant </w:t>
      </w:r>
      <w:r w:rsidR="009A2282">
        <w:rPr>
          <w:sz w:val="24"/>
          <w:szCs w:val="24"/>
        </w:rPr>
        <w:t>contravenes</w:t>
      </w:r>
      <w:r w:rsidRPr="007E60D1">
        <w:rPr>
          <w:sz w:val="24"/>
          <w:szCs w:val="24"/>
        </w:rPr>
        <w:t xml:space="preserve"> a condition of the allocation</w:t>
      </w:r>
      <w:r w:rsidR="006F1439">
        <w:rPr>
          <w:sz w:val="24"/>
          <w:szCs w:val="24"/>
        </w:rPr>
        <w:t xml:space="preserve"> for the dwelling</w:t>
      </w:r>
      <w:r w:rsidRPr="007E60D1">
        <w:rPr>
          <w:sz w:val="24"/>
          <w:szCs w:val="24"/>
        </w:rPr>
        <w:t>.</w:t>
      </w:r>
    </w:p>
    <w:p w14:paraId="1F66C223" w14:textId="7F1036E7" w:rsidR="00D5795C" w:rsidRPr="007E60D1" w:rsidRDefault="00D5795C" w:rsidP="00AC3A02">
      <w:pPr>
        <w:rPr>
          <w:sz w:val="24"/>
          <w:szCs w:val="24"/>
        </w:rPr>
      </w:pPr>
      <w:r w:rsidRPr="007E60D1">
        <w:rPr>
          <w:sz w:val="24"/>
          <w:szCs w:val="24"/>
        </w:rPr>
        <w:t xml:space="preserve">Under subsections 32(2) and 32(3) of the Regulations, where an individual breach determination is made against an approved participant, the </w:t>
      </w:r>
      <w:r w:rsidR="005C32D9" w:rsidRPr="007E60D1">
        <w:rPr>
          <w:sz w:val="24"/>
          <w:szCs w:val="24"/>
        </w:rPr>
        <w:t>allocations, which</w:t>
      </w:r>
      <w:r w:rsidRPr="007E60D1">
        <w:rPr>
          <w:sz w:val="24"/>
          <w:szCs w:val="24"/>
        </w:rPr>
        <w:t xml:space="preserve"> relate to the breach can be transferred.</w:t>
      </w:r>
    </w:p>
    <w:p w14:paraId="6E5E54B7" w14:textId="2C1737B3" w:rsidR="00AC3A02" w:rsidRPr="007E60D1" w:rsidRDefault="00FF2B50" w:rsidP="00AC3A0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7E60D1">
        <w:rPr>
          <w:sz w:val="24"/>
          <w:szCs w:val="24"/>
        </w:rPr>
        <w:t xml:space="preserve">ubsection 32(2) of the Regulations </w:t>
      </w:r>
      <w:r>
        <w:rPr>
          <w:sz w:val="24"/>
          <w:szCs w:val="24"/>
        </w:rPr>
        <w:t>provides t</w:t>
      </w:r>
      <w:r w:rsidR="00AC3A02" w:rsidRPr="007E60D1">
        <w:rPr>
          <w:sz w:val="24"/>
          <w:szCs w:val="24"/>
        </w:rPr>
        <w:t xml:space="preserve">he Secretary </w:t>
      </w:r>
      <w:r w:rsidRPr="00EE6C15">
        <w:rPr>
          <w:sz w:val="24"/>
          <w:szCs w:val="24"/>
          <w:u w:val="single"/>
        </w:rPr>
        <w:t>must</w:t>
      </w:r>
      <w:r w:rsidRPr="00EE6C15">
        <w:rPr>
          <w:sz w:val="24"/>
          <w:szCs w:val="24"/>
        </w:rPr>
        <w:t xml:space="preserve"> </w:t>
      </w:r>
      <w:r w:rsidR="00AC3A02" w:rsidRPr="007E60D1">
        <w:rPr>
          <w:sz w:val="24"/>
          <w:szCs w:val="24"/>
        </w:rPr>
        <w:t>transfer or</w:t>
      </w:r>
      <w:r w:rsidR="00925015">
        <w:rPr>
          <w:sz w:val="24"/>
          <w:szCs w:val="24"/>
        </w:rPr>
        <w:t> </w:t>
      </w:r>
      <w:r w:rsidR="00AC3A02" w:rsidRPr="007E60D1">
        <w:rPr>
          <w:sz w:val="24"/>
          <w:szCs w:val="24"/>
        </w:rPr>
        <w:t xml:space="preserve">revoke </w:t>
      </w:r>
      <w:r w:rsidR="00200F71" w:rsidRPr="007E60D1">
        <w:rPr>
          <w:sz w:val="24"/>
          <w:szCs w:val="24"/>
        </w:rPr>
        <w:t xml:space="preserve">an </w:t>
      </w:r>
      <w:r w:rsidR="00AC3A02" w:rsidRPr="007E60D1">
        <w:rPr>
          <w:sz w:val="24"/>
          <w:szCs w:val="24"/>
        </w:rPr>
        <w:t xml:space="preserve">allocation covering the </w:t>
      </w:r>
      <w:r w:rsidR="00877818" w:rsidRPr="007E60D1">
        <w:rPr>
          <w:sz w:val="24"/>
          <w:szCs w:val="24"/>
        </w:rPr>
        <w:t xml:space="preserve">affected </w:t>
      </w:r>
      <w:r w:rsidR="00AC3A02" w:rsidRPr="007E60D1">
        <w:rPr>
          <w:sz w:val="24"/>
          <w:szCs w:val="24"/>
        </w:rPr>
        <w:t>dwelling to another person if</w:t>
      </w:r>
      <w:r w:rsidR="00925015">
        <w:rPr>
          <w:sz w:val="24"/>
          <w:szCs w:val="24"/>
        </w:rPr>
        <w:t> </w:t>
      </w:r>
      <w:r w:rsidR="00AC3A02" w:rsidRPr="007E60D1">
        <w:rPr>
          <w:sz w:val="24"/>
          <w:szCs w:val="24"/>
        </w:rPr>
        <w:t>an</w:t>
      </w:r>
      <w:r w:rsidR="00925015">
        <w:rPr>
          <w:sz w:val="24"/>
          <w:szCs w:val="24"/>
        </w:rPr>
        <w:t> </w:t>
      </w:r>
      <w:r w:rsidR="00AC3A02" w:rsidRPr="007E60D1">
        <w:rPr>
          <w:sz w:val="24"/>
          <w:szCs w:val="24"/>
        </w:rPr>
        <w:t>individual breach determination has been made and an investor for the related dwelling has request</w:t>
      </w:r>
      <w:r w:rsidR="00877818" w:rsidRPr="007E60D1">
        <w:rPr>
          <w:sz w:val="24"/>
          <w:szCs w:val="24"/>
        </w:rPr>
        <w:t>ed</w:t>
      </w:r>
      <w:r w:rsidR="00AC3A02" w:rsidRPr="007E60D1">
        <w:rPr>
          <w:sz w:val="24"/>
          <w:szCs w:val="24"/>
        </w:rPr>
        <w:t xml:space="preserve"> a </w:t>
      </w:r>
      <w:r w:rsidR="003E0A49">
        <w:rPr>
          <w:sz w:val="24"/>
          <w:szCs w:val="24"/>
        </w:rPr>
        <w:t xml:space="preserve">transfer (unless the request is </w:t>
      </w:r>
      <w:r w:rsidR="00AC3A02" w:rsidRPr="007E60D1">
        <w:rPr>
          <w:sz w:val="24"/>
          <w:szCs w:val="24"/>
        </w:rPr>
        <w:t>withdrawn).</w:t>
      </w:r>
    </w:p>
    <w:p w14:paraId="6ECA5426" w14:textId="24788777" w:rsidR="00AC3A02" w:rsidRPr="007E60D1" w:rsidRDefault="00FF2B50" w:rsidP="00AC3A02">
      <w:pPr>
        <w:rPr>
          <w:sz w:val="24"/>
          <w:szCs w:val="24"/>
        </w:rPr>
      </w:pPr>
      <w:r>
        <w:rPr>
          <w:sz w:val="24"/>
          <w:szCs w:val="24"/>
        </w:rPr>
        <w:t xml:space="preserve">However, under </w:t>
      </w:r>
      <w:r w:rsidRPr="007E60D1">
        <w:rPr>
          <w:sz w:val="24"/>
          <w:szCs w:val="24"/>
        </w:rPr>
        <w:t>subsection 32(3)</w:t>
      </w:r>
      <w:r>
        <w:rPr>
          <w:sz w:val="24"/>
          <w:szCs w:val="24"/>
        </w:rPr>
        <w:t xml:space="preserve"> of the </w:t>
      </w:r>
      <w:r w:rsidRPr="007E60D1">
        <w:rPr>
          <w:sz w:val="24"/>
          <w:szCs w:val="24"/>
        </w:rPr>
        <w:t>Regulations</w:t>
      </w:r>
      <w:r>
        <w:rPr>
          <w:sz w:val="24"/>
          <w:szCs w:val="24"/>
        </w:rPr>
        <w:t>,</w:t>
      </w:r>
      <w:r w:rsidRPr="007E60D1">
        <w:rPr>
          <w:sz w:val="24"/>
          <w:szCs w:val="24"/>
        </w:rPr>
        <w:t xml:space="preserve"> </w:t>
      </w:r>
      <w:r>
        <w:rPr>
          <w:sz w:val="24"/>
          <w:szCs w:val="24"/>
        </w:rPr>
        <w:t>if the</w:t>
      </w:r>
      <w:r w:rsidRPr="007E60D1">
        <w:rPr>
          <w:sz w:val="24"/>
          <w:szCs w:val="24"/>
        </w:rPr>
        <w:t xml:space="preserve"> i</w:t>
      </w:r>
      <w:r>
        <w:rPr>
          <w:sz w:val="24"/>
          <w:szCs w:val="24"/>
        </w:rPr>
        <w:t>ndividual breach determination w</w:t>
      </w:r>
      <w:r w:rsidRPr="007E60D1">
        <w:rPr>
          <w:sz w:val="24"/>
          <w:szCs w:val="24"/>
        </w:rPr>
        <w:t>as made on the Secretary’s own initiative (</w:t>
      </w:r>
      <w:r>
        <w:rPr>
          <w:sz w:val="24"/>
          <w:szCs w:val="24"/>
        </w:rPr>
        <w:t>that is, where</w:t>
      </w:r>
      <w:r w:rsidRPr="007E60D1">
        <w:rPr>
          <w:sz w:val="24"/>
          <w:szCs w:val="24"/>
        </w:rPr>
        <w:t xml:space="preserve"> the investor has not made a </w:t>
      </w:r>
      <w:r>
        <w:rPr>
          <w:sz w:val="24"/>
          <w:szCs w:val="24"/>
        </w:rPr>
        <w:t xml:space="preserve">transfer </w:t>
      </w:r>
      <w:r w:rsidRPr="007E60D1">
        <w:rPr>
          <w:sz w:val="24"/>
          <w:szCs w:val="24"/>
        </w:rPr>
        <w:t>request or has wit</w:t>
      </w:r>
      <w:r>
        <w:rPr>
          <w:sz w:val="24"/>
          <w:szCs w:val="24"/>
        </w:rPr>
        <w:t>hdrawn the transfer request) t</w:t>
      </w:r>
      <w:r w:rsidR="00AC3A02" w:rsidRPr="007E60D1">
        <w:rPr>
          <w:sz w:val="24"/>
          <w:szCs w:val="24"/>
        </w:rPr>
        <w:t xml:space="preserve">he Secretary </w:t>
      </w:r>
      <w:r w:rsidR="00AC3A02" w:rsidRPr="007E60D1">
        <w:rPr>
          <w:sz w:val="24"/>
          <w:szCs w:val="24"/>
          <w:u w:val="single"/>
        </w:rPr>
        <w:t>may</w:t>
      </w:r>
      <w:r w:rsidR="00AC3A02" w:rsidRPr="007E60D1">
        <w:rPr>
          <w:sz w:val="24"/>
          <w:szCs w:val="24"/>
        </w:rPr>
        <w:t xml:space="preserve"> transfer or revoke </w:t>
      </w:r>
      <w:r w:rsidR="00200F71" w:rsidRPr="007E60D1">
        <w:rPr>
          <w:sz w:val="24"/>
          <w:szCs w:val="24"/>
        </w:rPr>
        <w:t>an</w:t>
      </w:r>
      <w:r w:rsidR="00AC3A02" w:rsidRPr="007E60D1">
        <w:rPr>
          <w:sz w:val="24"/>
          <w:szCs w:val="24"/>
        </w:rPr>
        <w:t xml:space="preserve"> allocation covering the </w:t>
      </w:r>
      <w:r w:rsidR="00D5795C" w:rsidRPr="007E60D1">
        <w:rPr>
          <w:sz w:val="24"/>
          <w:szCs w:val="24"/>
        </w:rPr>
        <w:t xml:space="preserve">affected </w:t>
      </w:r>
      <w:r w:rsidR="00AC3A02" w:rsidRPr="007E60D1">
        <w:rPr>
          <w:sz w:val="24"/>
          <w:szCs w:val="24"/>
        </w:rPr>
        <w:t>dwelling to another person</w:t>
      </w:r>
      <w:r>
        <w:rPr>
          <w:sz w:val="24"/>
          <w:szCs w:val="24"/>
        </w:rPr>
        <w:t xml:space="preserve"> but is not required to do so.</w:t>
      </w:r>
    </w:p>
    <w:p w14:paraId="630B2E23" w14:textId="3EF1A8D6" w:rsidR="00AC3A02" w:rsidRPr="007E60D1" w:rsidRDefault="00AC3A02" w:rsidP="00AC3A02">
      <w:pPr>
        <w:pStyle w:val="Heading4"/>
        <w:rPr>
          <w:sz w:val="24"/>
          <w:szCs w:val="24"/>
        </w:rPr>
      </w:pPr>
      <w:r w:rsidRPr="007E60D1">
        <w:rPr>
          <w:sz w:val="24"/>
          <w:szCs w:val="24"/>
        </w:rPr>
        <w:t>Serious breach (</w:t>
      </w:r>
      <w:r w:rsidR="00CE79CC" w:rsidRPr="007E60D1">
        <w:rPr>
          <w:sz w:val="24"/>
          <w:szCs w:val="24"/>
        </w:rPr>
        <w:t>section</w:t>
      </w:r>
      <w:r w:rsidRPr="007E60D1">
        <w:rPr>
          <w:sz w:val="24"/>
          <w:szCs w:val="24"/>
        </w:rPr>
        <w:t xml:space="preserve"> 25</w:t>
      </w:r>
      <w:r w:rsidR="00FF2B50">
        <w:rPr>
          <w:sz w:val="24"/>
          <w:szCs w:val="24"/>
        </w:rPr>
        <w:t xml:space="preserve"> of the Regulations</w:t>
      </w:r>
      <w:r w:rsidRPr="007E60D1">
        <w:rPr>
          <w:sz w:val="24"/>
          <w:szCs w:val="24"/>
        </w:rPr>
        <w:t>)</w:t>
      </w:r>
    </w:p>
    <w:p w14:paraId="113DD484" w14:textId="7115C082" w:rsidR="00D5795C" w:rsidRPr="007E60D1" w:rsidRDefault="00877818" w:rsidP="00AC3A02">
      <w:pPr>
        <w:rPr>
          <w:sz w:val="24"/>
          <w:szCs w:val="24"/>
        </w:rPr>
      </w:pPr>
      <w:r w:rsidRPr="007E60D1">
        <w:rPr>
          <w:sz w:val="24"/>
          <w:szCs w:val="24"/>
        </w:rPr>
        <w:t xml:space="preserve">The Secretary may determine </w:t>
      </w:r>
      <w:r w:rsidR="00FF2B50" w:rsidRPr="007E60D1">
        <w:rPr>
          <w:sz w:val="24"/>
          <w:szCs w:val="24"/>
        </w:rPr>
        <w:t>an approved participant</w:t>
      </w:r>
      <w:r w:rsidR="00FF2B50">
        <w:rPr>
          <w:sz w:val="24"/>
          <w:szCs w:val="24"/>
        </w:rPr>
        <w:t xml:space="preserve"> for a </w:t>
      </w:r>
      <w:r w:rsidR="00343A51">
        <w:rPr>
          <w:sz w:val="24"/>
          <w:szCs w:val="24"/>
        </w:rPr>
        <w:t xml:space="preserve">NRAS </w:t>
      </w:r>
      <w:r w:rsidR="00FF2B50">
        <w:rPr>
          <w:sz w:val="24"/>
          <w:szCs w:val="24"/>
        </w:rPr>
        <w:t>rental dwelling covered by an allocation</w:t>
      </w:r>
      <w:r w:rsidR="00FF2B50" w:rsidRPr="007E60D1">
        <w:rPr>
          <w:sz w:val="24"/>
          <w:szCs w:val="24"/>
        </w:rPr>
        <w:t xml:space="preserve"> has committed </w:t>
      </w:r>
      <w:r w:rsidRPr="007E60D1">
        <w:rPr>
          <w:sz w:val="24"/>
          <w:szCs w:val="24"/>
        </w:rPr>
        <w:t>a serious breach if</w:t>
      </w:r>
      <w:r w:rsidR="00D5795C" w:rsidRPr="007E60D1">
        <w:rPr>
          <w:sz w:val="24"/>
          <w:szCs w:val="24"/>
        </w:rPr>
        <w:t xml:space="preserve"> the approved participant:</w:t>
      </w:r>
    </w:p>
    <w:p w14:paraId="1D1A2161" w14:textId="65107CCE" w:rsidR="00D5795C" w:rsidRPr="007E60D1" w:rsidRDefault="00877818" w:rsidP="00200F71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E60D1">
        <w:rPr>
          <w:sz w:val="24"/>
          <w:szCs w:val="24"/>
        </w:rPr>
        <w:t xml:space="preserve">has breached the code of conduct in </w:t>
      </w:r>
      <w:r w:rsidR="00A02931" w:rsidRPr="007E60D1">
        <w:rPr>
          <w:sz w:val="24"/>
          <w:szCs w:val="24"/>
        </w:rPr>
        <w:t>relation</w:t>
      </w:r>
      <w:r w:rsidRPr="007E60D1">
        <w:rPr>
          <w:sz w:val="24"/>
          <w:szCs w:val="24"/>
        </w:rPr>
        <w:t xml:space="preserve"> to three or more investors</w:t>
      </w:r>
      <w:r w:rsidR="00D5795C" w:rsidRPr="007E60D1">
        <w:rPr>
          <w:sz w:val="24"/>
          <w:szCs w:val="24"/>
        </w:rPr>
        <w:t xml:space="preserve"> within a period of six months</w:t>
      </w:r>
      <w:r w:rsidR="00C51ACF">
        <w:rPr>
          <w:sz w:val="24"/>
          <w:szCs w:val="24"/>
        </w:rPr>
        <w:t>;</w:t>
      </w:r>
      <w:r w:rsidR="00FF2B50">
        <w:rPr>
          <w:sz w:val="24"/>
          <w:szCs w:val="24"/>
        </w:rPr>
        <w:t xml:space="preserve"> or</w:t>
      </w:r>
    </w:p>
    <w:p w14:paraId="78ACFA40" w14:textId="3BF7F937" w:rsidR="000A4841" w:rsidRPr="000A4841" w:rsidRDefault="00877818" w:rsidP="00200F71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7E60D1">
        <w:rPr>
          <w:sz w:val="24"/>
          <w:szCs w:val="24"/>
        </w:rPr>
        <w:t xml:space="preserve">has </w:t>
      </w:r>
      <w:r w:rsidRPr="000A4841">
        <w:rPr>
          <w:sz w:val="24"/>
          <w:szCs w:val="24"/>
        </w:rPr>
        <w:t xml:space="preserve">committed a compliance breach </w:t>
      </w:r>
      <w:r w:rsidR="00FF2B50" w:rsidRPr="000A4841">
        <w:rPr>
          <w:sz w:val="24"/>
          <w:szCs w:val="24"/>
        </w:rPr>
        <w:t>that involves one o</w:t>
      </w:r>
      <w:r w:rsidR="000A4841" w:rsidRPr="000A4841">
        <w:rPr>
          <w:sz w:val="24"/>
          <w:szCs w:val="24"/>
        </w:rPr>
        <w:t>r more of the following:</w:t>
      </w:r>
    </w:p>
    <w:p w14:paraId="4307C002" w14:textId="617F1977" w:rsidR="000A4841" w:rsidRDefault="000A4841" w:rsidP="006F419E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A4841">
        <w:rPr>
          <w:sz w:val="24"/>
          <w:szCs w:val="24"/>
        </w:rPr>
        <w:t>providing false or misleading information to the Secretary or the Department in relation to the Scheme;</w:t>
      </w:r>
    </w:p>
    <w:p w14:paraId="35BD8FF5" w14:textId="120D2E83" w:rsidR="000A4841" w:rsidRDefault="00EE6C15" w:rsidP="00EE6C1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E6C15">
        <w:rPr>
          <w:sz w:val="24"/>
          <w:szCs w:val="24"/>
        </w:rPr>
        <w:lastRenderedPageBreak/>
        <w:t xml:space="preserve">failing </w:t>
      </w:r>
      <w:r w:rsidR="000A4841" w:rsidRPr="00EE6C15">
        <w:rPr>
          <w:sz w:val="24"/>
          <w:szCs w:val="24"/>
        </w:rPr>
        <w:t>to comply with th</w:t>
      </w:r>
      <w:r w:rsidR="00925015">
        <w:rPr>
          <w:sz w:val="24"/>
          <w:szCs w:val="24"/>
        </w:rPr>
        <w:t>e law of the Commonwealth or a s</w:t>
      </w:r>
      <w:r w:rsidR="000A4841" w:rsidRPr="00EE6C15">
        <w:rPr>
          <w:sz w:val="24"/>
          <w:szCs w:val="24"/>
        </w:rPr>
        <w:t>tate or</w:t>
      </w:r>
      <w:r w:rsidR="00925015">
        <w:rPr>
          <w:sz w:val="24"/>
          <w:szCs w:val="24"/>
        </w:rPr>
        <w:t> t</w:t>
      </w:r>
      <w:r w:rsidR="000A4841" w:rsidRPr="00EE6C15">
        <w:rPr>
          <w:sz w:val="24"/>
          <w:szCs w:val="24"/>
        </w:rPr>
        <w:t>erritory in relation to the dwelling or any other aspect of the Scheme;</w:t>
      </w:r>
    </w:p>
    <w:p w14:paraId="11BA918B" w14:textId="11C0AA91" w:rsidR="00EE6C15" w:rsidRDefault="00EE6C15" w:rsidP="00EE6C1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claiming </w:t>
      </w:r>
      <w:r w:rsidRPr="000A4841">
        <w:rPr>
          <w:sz w:val="24"/>
          <w:szCs w:val="24"/>
        </w:rPr>
        <w:t>a tax offset the approved participant is not entitled to claim;</w:t>
      </w:r>
    </w:p>
    <w:p w14:paraId="35ED5AB5" w14:textId="46321134" w:rsidR="00EE6C15" w:rsidRDefault="00EE6C15" w:rsidP="00EE6C1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A4841">
        <w:rPr>
          <w:sz w:val="24"/>
          <w:szCs w:val="24"/>
        </w:rPr>
        <w:t>passing on a tax offset to a person who is not entitled to claim the tax offset; or</w:t>
      </w:r>
    </w:p>
    <w:p w14:paraId="206C644A" w14:textId="635E1BD5" w:rsidR="00200F71" w:rsidRPr="00EE6C15" w:rsidRDefault="00EE6C15" w:rsidP="00EE6C15">
      <w:pPr>
        <w:pStyle w:val="ListParagraph"/>
        <w:numPr>
          <w:ilvl w:val="0"/>
          <w:numId w:val="40"/>
        </w:numPr>
        <w:rPr>
          <w:rFonts w:cs="Arial"/>
          <w:sz w:val="24"/>
          <w:szCs w:val="24"/>
        </w:rPr>
      </w:pPr>
      <w:r w:rsidRPr="000A4841">
        <w:rPr>
          <w:sz w:val="24"/>
          <w:szCs w:val="24"/>
        </w:rPr>
        <w:t>has breached the approved participants code of conduct or committed a</w:t>
      </w:r>
      <w:r w:rsidR="00925015">
        <w:rPr>
          <w:sz w:val="24"/>
          <w:szCs w:val="24"/>
        </w:rPr>
        <w:t> </w:t>
      </w:r>
      <w:r w:rsidRPr="000A4841">
        <w:rPr>
          <w:sz w:val="24"/>
          <w:szCs w:val="24"/>
        </w:rPr>
        <w:t>compliance breach and has failed to take action within 28 days of receiving written notification</w:t>
      </w:r>
      <w:r w:rsidRPr="000A4841">
        <w:rPr>
          <w:rFonts w:cs="Arial"/>
          <w:sz w:val="24"/>
          <w:szCs w:val="24"/>
        </w:rPr>
        <w:t xml:space="preserve"> from the Secretary which required remedial action to</w:t>
      </w:r>
      <w:r w:rsidR="00925015">
        <w:rPr>
          <w:rFonts w:cs="Arial"/>
          <w:sz w:val="24"/>
          <w:szCs w:val="24"/>
        </w:rPr>
        <w:t> </w:t>
      </w:r>
      <w:r w:rsidRPr="000A4841">
        <w:rPr>
          <w:rFonts w:cs="Arial"/>
          <w:sz w:val="24"/>
          <w:szCs w:val="24"/>
        </w:rPr>
        <w:t>be</w:t>
      </w:r>
      <w:r w:rsidR="00925015">
        <w:rPr>
          <w:rFonts w:cs="Arial"/>
          <w:sz w:val="24"/>
          <w:szCs w:val="24"/>
        </w:rPr>
        <w:t> </w:t>
      </w:r>
      <w:r w:rsidRPr="000A4841">
        <w:rPr>
          <w:rFonts w:cs="Arial"/>
          <w:sz w:val="24"/>
          <w:szCs w:val="24"/>
        </w:rPr>
        <w:t>taken in relation to that breach</w:t>
      </w:r>
      <w:r>
        <w:rPr>
          <w:rFonts w:cs="Arial"/>
          <w:sz w:val="24"/>
          <w:szCs w:val="24"/>
        </w:rPr>
        <w:t>; or</w:t>
      </w:r>
    </w:p>
    <w:p w14:paraId="3F08CDBF" w14:textId="0F954DFC" w:rsidR="00877818" w:rsidRPr="007E60D1" w:rsidRDefault="005C0D44" w:rsidP="00200F7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has</w:t>
      </w:r>
      <w:r w:rsidRPr="005C0D44">
        <w:rPr>
          <w:rFonts w:cs="Arial"/>
          <w:sz w:val="24"/>
          <w:szCs w:val="24"/>
        </w:rPr>
        <w:t xml:space="preserve"> </w:t>
      </w:r>
      <w:r w:rsidRPr="007E7DAC">
        <w:rPr>
          <w:rFonts w:cs="Arial"/>
          <w:sz w:val="24"/>
          <w:szCs w:val="24"/>
        </w:rPr>
        <w:t>breached the approved participants code of conduct or committed a</w:t>
      </w:r>
      <w:r w:rsidR="00925015">
        <w:rPr>
          <w:rFonts w:cs="Arial"/>
          <w:sz w:val="24"/>
          <w:szCs w:val="24"/>
        </w:rPr>
        <w:t> </w:t>
      </w:r>
      <w:r w:rsidRPr="007E7DAC">
        <w:rPr>
          <w:rFonts w:cs="Arial"/>
          <w:sz w:val="24"/>
          <w:szCs w:val="24"/>
        </w:rPr>
        <w:t>compliance breach</w:t>
      </w:r>
      <w:r>
        <w:rPr>
          <w:rFonts w:cs="Arial"/>
          <w:sz w:val="24"/>
          <w:szCs w:val="24"/>
        </w:rPr>
        <w:t>, the Secretary has given the approved participant written notice in relation to the breach and</w:t>
      </w:r>
      <w:r w:rsidR="00200F71" w:rsidRPr="007E60D1">
        <w:rPr>
          <w:sz w:val="24"/>
          <w:szCs w:val="24"/>
        </w:rPr>
        <w:t xml:space="preserve"> within 12 months </w:t>
      </w:r>
      <w:r w:rsidR="00A02931" w:rsidRPr="007E60D1">
        <w:rPr>
          <w:sz w:val="24"/>
          <w:szCs w:val="24"/>
        </w:rPr>
        <w:t xml:space="preserve">after </w:t>
      </w:r>
      <w:r>
        <w:rPr>
          <w:sz w:val="24"/>
          <w:szCs w:val="24"/>
        </w:rPr>
        <w:t>being given the</w:t>
      </w:r>
      <w:r w:rsidR="00A02931" w:rsidRPr="007E60D1">
        <w:rPr>
          <w:sz w:val="24"/>
          <w:szCs w:val="24"/>
        </w:rPr>
        <w:t xml:space="preserve"> warning</w:t>
      </w:r>
      <w:r>
        <w:rPr>
          <w:sz w:val="24"/>
          <w:szCs w:val="24"/>
        </w:rPr>
        <w:t>, commits a</w:t>
      </w:r>
      <w:r w:rsidR="00A02931" w:rsidRPr="007E60D1">
        <w:rPr>
          <w:sz w:val="24"/>
          <w:szCs w:val="24"/>
        </w:rPr>
        <w:t xml:space="preserve"> </w:t>
      </w:r>
      <w:r w:rsidR="00200F71" w:rsidRPr="007E60D1">
        <w:rPr>
          <w:sz w:val="24"/>
          <w:szCs w:val="24"/>
        </w:rPr>
        <w:t xml:space="preserve">similar </w:t>
      </w:r>
      <w:r w:rsidR="00A02931" w:rsidRPr="007E60D1">
        <w:rPr>
          <w:sz w:val="24"/>
          <w:szCs w:val="24"/>
        </w:rPr>
        <w:t>breach</w:t>
      </w:r>
      <w:r>
        <w:rPr>
          <w:sz w:val="24"/>
          <w:szCs w:val="24"/>
        </w:rPr>
        <w:t xml:space="preserve"> (whether in relation to the same or another allocation)</w:t>
      </w:r>
      <w:r w:rsidR="00A02931" w:rsidRPr="007E60D1">
        <w:rPr>
          <w:sz w:val="24"/>
          <w:szCs w:val="24"/>
        </w:rPr>
        <w:t>.</w:t>
      </w:r>
    </w:p>
    <w:p w14:paraId="3EF5EA21" w14:textId="062EE12D" w:rsidR="00AC3A02" w:rsidRPr="007E60D1" w:rsidRDefault="004A4E21" w:rsidP="00AC3A02">
      <w:pPr>
        <w:rPr>
          <w:sz w:val="24"/>
          <w:szCs w:val="24"/>
        </w:rPr>
      </w:pPr>
      <w:r>
        <w:rPr>
          <w:sz w:val="24"/>
          <w:szCs w:val="24"/>
        </w:rPr>
        <w:t>Under section 31 of the Regulations, w</w:t>
      </w:r>
      <w:r w:rsidR="00AC3A02" w:rsidRPr="007E60D1">
        <w:rPr>
          <w:sz w:val="24"/>
          <w:szCs w:val="24"/>
        </w:rPr>
        <w:t>here a serious breach determination is made</w:t>
      </w:r>
      <w:r>
        <w:rPr>
          <w:sz w:val="24"/>
          <w:szCs w:val="24"/>
        </w:rPr>
        <w:t>,</w:t>
      </w:r>
      <w:r w:rsidR="00AC3A02" w:rsidRPr="007E60D1">
        <w:rPr>
          <w:sz w:val="24"/>
          <w:szCs w:val="24"/>
        </w:rPr>
        <w:t xml:space="preserve"> the Secretary may publish notice of the breach on the </w:t>
      </w:r>
      <w:r w:rsidR="001860A3">
        <w:rPr>
          <w:sz w:val="24"/>
          <w:szCs w:val="24"/>
        </w:rPr>
        <w:t>d</w:t>
      </w:r>
      <w:r w:rsidR="00AC3A02" w:rsidRPr="007E60D1">
        <w:rPr>
          <w:sz w:val="24"/>
          <w:szCs w:val="24"/>
        </w:rPr>
        <w:t>epartment’s website</w:t>
      </w:r>
      <w:r>
        <w:rPr>
          <w:sz w:val="24"/>
          <w:szCs w:val="24"/>
        </w:rPr>
        <w:t>. The</w:t>
      </w:r>
      <w:r w:rsidR="00925015">
        <w:rPr>
          <w:sz w:val="24"/>
          <w:szCs w:val="24"/>
        </w:rPr>
        <w:t> </w:t>
      </w:r>
      <w:r>
        <w:rPr>
          <w:sz w:val="24"/>
          <w:szCs w:val="24"/>
        </w:rPr>
        <w:t xml:space="preserve">purpose of this is to alert affected </w:t>
      </w:r>
      <w:r w:rsidR="00AC3A02" w:rsidRPr="007E60D1">
        <w:rPr>
          <w:sz w:val="24"/>
          <w:szCs w:val="24"/>
        </w:rPr>
        <w:t xml:space="preserve">investors who </w:t>
      </w:r>
      <w:r>
        <w:rPr>
          <w:sz w:val="24"/>
          <w:szCs w:val="24"/>
        </w:rPr>
        <w:t xml:space="preserve">may </w:t>
      </w:r>
      <w:r w:rsidR="00AC3A02" w:rsidRPr="007E60D1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a </w:t>
      </w:r>
      <w:r w:rsidR="00343A51">
        <w:rPr>
          <w:sz w:val="24"/>
          <w:szCs w:val="24"/>
        </w:rPr>
        <w:t xml:space="preserve">NRAS </w:t>
      </w:r>
      <w:r w:rsidRPr="007E60D1">
        <w:rPr>
          <w:sz w:val="24"/>
          <w:szCs w:val="24"/>
        </w:rPr>
        <w:t xml:space="preserve">rental dwelling </w:t>
      </w:r>
      <w:r>
        <w:rPr>
          <w:sz w:val="24"/>
          <w:szCs w:val="24"/>
        </w:rPr>
        <w:t>covered by an</w:t>
      </w:r>
      <w:r w:rsidRPr="007E60D1">
        <w:rPr>
          <w:sz w:val="24"/>
          <w:szCs w:val="24"/>
        </w:rPr>
        <w:t xml:space="preserve"> </w:t>
      </w:r>
      <w:r w:rsidR="00AC3A02" w:rsidRPr="007E60D1">
        <w:rPr>
          <w:sz w:val="24"/>
          <w:szCs w:val="24"/>
        </w:rPr>
        <w:t>allocation held by the approved participant to submit a</w:t>
      </w:r>
      <w:r w:rsidR="00925015">
        <w:rPr>
          <w:sz w:val="24"/>
          <w:szCs w:val="24"/>
        </w:rPr>
        <w:t> </w:t>
      </w:r>
      <w:r w:rsidR="00AC3A02" w:rsidRPr="007E60D1">
        <w:rPr>
          <w:sz w:val="24"/>
          <w:szCs w:val="24"/>
        </w:rPr>
        <w:t>transfer</w:t>
      </w:r>
      <w:r>
        <w:rPr>
          <w:sz w:val="24"/>
          <w:szCs w:val="24"/>
        </w:rPr>
        <w:t xml:space="preserve"> request</w:t>
      </w:r>
      <w:r w:rsidR="00AC3A02" w:rsidRPr="007E60D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have the allocation transferred to</w:t>
      </w:r>
      <w:r w:rsidR="00AC3A02" w:rsidRPr="007E60D1">
        <w:rPr>
          <w:sz w:val="24"/>
          <w:szCs w:val="24"/>
        </w:rPr>
        <w:t xml:space="preserve"> another approved participant.</w:t>
      </w:r>
    </w:p>
    <w:p w14:paraId="5B433F5D" w14:textId="78D4AAA5" w:rsidR="00200F71" w:rsidRPr="007E60D1" w:rsidRDefault="00200F71" w:rsidP="00AC3A02">
      <w:pPr>
        <w:rPr>
          <w:sz w:val="24"/>
          <w:szCs w:val="24"/>
        </w:rPr>
      </w:pPr>
      <w:r w:rsidRPr="007E60D1">
        <w:rPr>
          <w:sz w:val="24"/>
          <w:szCs w:val="24"/>
        </w:rPr>
        <w:t>Under subsections 32(4) and 32(5)</w:t>
      </w:r>
      <w:r w:rsidR="004A4E21">
        <w:rPr>
          <w:sz w:val="24"/>
          <w:szCs w:val="24"/>
        </w:rPr>
        <w:t xml:space="preserve"> of the Regulations</w:t>
      </w:r>
      <w:r w:rsidRPr="007E60D1">
        <w:rPr>
          <w:sz w:val="24"/>
          <w:szCs w:val="24"/>
        </w:rPr>
        <w:t xml:space="preserve">, where a serious breach determination is made against an approved participant, </w:t>
      </w:r>
      <w:r w:rsidRPr="00EE6C15">
        <w:rPr>
          <w:sz w:val="24"/>
          <w:szCs w:val="24"/>
          <w:u w:val="single"/>
        </w:rPr>
        <w:t>any</w:t>
      </w:r>
      <w:r w:rsidRPr="007E60D1">
        <w:rPr>
          <w:sz w:val="24"/>
          <w:szCs w:val="24"/>
        </w:rPr>
        <w:t xml:space="preserve"> allocation held by that approved participant can be transferred</w:t>
      </w:r>
      <w:r w:rsidR="004A4E21">
        <w:rPr>
          <w:sz w:val="24"/>
          <w:szCs w:val="24"/>
        </w:rPr>
        <w:t>, regardless of whether or not the allocation/s being transferred was the subject of the breach determination.</w:t>
      </w:r>
      <w:r w:rsidR="005C0D44">
        <w:rPr>
          <w:sz w:val="24"/>
          <w:szCs w:val="24"/>
        </w:rPr>
        <w:t xml:space="preserve"> As with individual breaches, however, if an investor has previously requested a transfer of</w:t>
      </w:r>
      <w:r w:rsidR="00925015">
        <w:rPr>
          <w:sz w:val="24"/>
          <w:szCs w:val="24"/>
        </w:rPr>
        <w:t> </w:t>
      </w:r>
      <w:r w:rsidR="005C0D44">
        <w:rPr>
          <w:sz w:val="24"/>
          <w:szCs w:val="24"/>
        </w:rPr>
        <w:t>an</w:t>
      </w:r>
      <w:r w:rsidR="00925015">
        <w:rPr>
          <w:sz w:val="24"/>
          <w:szCs w:val="24"/>
        </w:rPr>
        <w:t> </w:t>
      </w:r>
      <w:r w:rsidR="005C0D44">
        <w:rPr>
          <w:sz w:val="24"/>
          <w:szCs w:val="24"/>
        </w:rPr>
        <w:t xml:space="preserve">allocation, this will be relevant to any subsequent transfer decision. </w:t>
      </w:r>
    </w:p>
    <w:p w14:paraId="7B23BFAA" w14:textId="275C3CAB" w:rsidR="00AC3A02" w:rsidRPr="007E60D1" w:rsidRDefault="004A4E21" w:rsidP="00AC3A02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7E60D1">
        <w:rPr>
          <w:sz w:val="24"/>
          <w:szCs w:val="24"/>
        </w:rPr>
        <w:t>ubsection</w:t>
      </w:r>
      <w:r>
        <w:rPr>
          <w:sz w:val="24"/>
          <w:szCs w:val="24"/>
        </w:rPr>
        <w:t xml:space="preserve"> 32(4</w:t>
      </w:r>
      <w:r w:rsidRPr="007E60D1">
        <w:rPr>
          <w:sz w:val="24"/>
          <w:szCs w:val="24"/>
        </w:rPr>
        <w:t>)</w:t>
      </w:r>
      <w:r>
        <w:rPr>
          <w:sz w:val="24"/>
          <w:szCs w:val="24"/>
        </w:rPr>
        <w:t xml:space="preserve"> of the Regulations provides t</w:t>
      </w:r>
      <w:r w:rsidR="00AC3A02" w:rsidRPr="007E60D1">
        <w:rPr>
          <w:sz w:val="24"/>
          <w:szCs w:val="24"/>
        </w:rPr>
        <w:t xml:space="preserve">he Secretary </w:t>
      </w:r>
      <w:r w:rsidR="00AC3A02" w:rsidRPr="007E60D1">
        <w:rPr>
          <w:sz w:val="24"/>
          <w:szCs w:val="24"/>
          <w:u w:val="single"/>
        </w:rPr>
        <w:t>must</w:t>
      </w:r>
      <w:r w:rsidR="00AC3A02" w:rsidRPr="007E60D1">
        <w:rPr>
          <w:sz w:val="24"/>
          <w:szCs w:val="24"/>
        </w:rPr>
        <w:t xml:space="preserve"> transfer or</w:t>
      </w:r>
      <w:r w:rsidR="00925015">
        <w:rPr>
          <w:sz w:val="24"/>
          <w:szCs w:val="24"/>
        </w:rPr>
        <w:t> </w:t>
      </w:r>
      <w:r w:rsidR="00AC3A02" w:rsidRPr="007E60D1">
        <w:rPr>
          <w:sz w:val="24"/>
          <w:szCs w:val="24"/>
        </w:rPr>
        <w:t xml:space="preserve">revoke </w:t>
      </w:r>
      <w:r w:rsidR="00200F71" w:rsidRPr="007E60D1">
        <w:rPr>
          <w:sz w:val="24"/>
          <w:szCs w:val="24"/>
        </w:rPr>
        <w:t>an</w:t>
      </w:r>
      <w:r w:rsidR="00AC3A02" w:rsidRPr="007E60D1">
        <w:rPr>
          <w:sz w:val="24"/>
          <w:szCs w:val="24"/>
        </w:rPr>
        <w:t xml:space="preserve"> allocation to another person if a serious breach determination has been made and an investor</w:t>
      </w:r>
      <w:r w:rsidR="00200F71" w:rsidRPr="007E60D1">
        <w:rPr>
          <w:sz w:val="24"/>
          <w:szCs w:val="24"/>
        </w:rPr>
        <w:t xml:space="preserve"> </w:t>
      </w:r>
      <w:r w:rsidR="00AC3A02" w:rsidRPr="007E60D1">
        <w:rPr>
          <w:sz w:val="24"/>
          <w:szCs w:val="24"/>
        </w:rPr>
        <w:t>has request</w:t>
      </w:r>
      <w:r w:rsidR="00200F71" w:rsidRPr="007E60D1">
        <w:rPr>
          <w:sz w:val="24"/>
          <w:szCs w:val="24"/>
        </w:rPr>
        <w:t>ed</w:t>
      </w:r>
      <w:r w:rsidR="00AC3A02" w:rsidRPr="007E60D1">
        <w:rPr>
          <w:sz w:val="24"/>
          <w:szCs w:val="24"/>
        </w:rPr>
        <w:t xml:space="preserve"> a transfer (un</w:t>
      </w:r>
      <w:r w:rsidR="003E0A49">
        <w:rPr>
          <w:sz w:val="24"/>
          <w:szCs w:val="24"/>
        </w:rPr>
        <w:t xml:space="preserve">less the request </w:t>
      </w:r>
      <w:r w:rsidR="005C0D44">
        <w:rPr>
          <w:sz w:val="24"/>
          <w:szCs w:val="24"/>
        </w:rPr>
        <w:t>was</w:t>
      </w:r>
      <w:r w:rsidR="003E0A49">
        <w:rPr>
          <w:sz w:val="24"/>
          <w:szCs w:val="24"/>
        </w:rPr>
        <w:t xml:space="preserve"> withdrawn)</w:t>
      </w:r>
      <w:r>
        <w:rPr>
          <w:sz w:val="24"/>
          <w:szCs w:val="24"/>
        </w:rPr>
        <w:t>.</w:t>
      </w:r>
    </w:p>
    <w:p w14:paraId="257CC822" w14:textId="1890243F" w:rsidR="00AC3A02" w:rsidRPr="007E60D1" w:rsidRDefault="005C0D44" w:rsidP="00AC3A02">
      <w:pPr>
        <w:rPr>
          <w:sz w:val="24"/>
          <w:szCs w:val="24"/>
        </w:rPr>
      </w:pPr>
      <w:r>
        <w:rPr>
          <w:sz w:val="24"/>
          <w:szCs w:val="24"/>
        </w:rPr>
        <w:t>However, s</w:t>
      </w:r>
      <w:r w:rsidRPr="007E60D1">
        <w:rPr>
          <w:sz w:val="24"/>
          <w:szCs w:val="24"/>
        </w:rPr>
        <w:t>ubsection</w:t>
      </w:r>
      <w:r>
        <w:rPr>
          <w:sz w:val="24"/>
          <w:szCs w:val="24"/>
        </w:rPr>
        <w:t xml:space="preserve"> 32(5</w:t>
      </w:r>
      <w:r w:rsidRPr="007E60D1">
        <w:rPr>
          <w:sz w:val="24"/>
          <w:szCs w:val="24"/>
        </w:rPr>
        <w:t>)</w:t>
      </w:r>
      <w:r>
        <w:rPr>
          <w:sz w:val="24"/>
          <w:szCs w:val="24"/>
        </w:rPr>
        <w:t xml:space="preserve"> of the Regulations provides t</w:t>
      </w:r>
      <w:r w:rsidR="00AC3A02" w:rsidRPr="007E60D1">
        <w:rPr>
          <w:sz w:val="24"/>
          <w:szCs w:val="24"/>
        </w:rPr>
        <w:t xml:space="preserve">he Secretary </w:t>
      </w:r>
      <w:r w:rsidR="00AC3A02" w:rsidRPr="007E60D1">
        <w:rPr>
          <w:sz w:val="24"/>
          <w:szCs w:val="24"/>
          <w:u w:val="single"/>
        </w:rPr>
        <w:t>may</w:t>
      </w:r>
      <w:r w:rsidR="00AC3A02" w:rsidRPr="007E60D1">
        <w:rPr>
          <w:sz w:val="24"/>
          <w:szCs w:val="24"/>
        </w:rPr>
        <w:t xml:space="preserve"> transfer or revoke </w:t>
      </w:r>
      <w:r w:rsidR="00200F71" w:rsidRPr="007E60D1">
        <w:rPr>
          <w:sz w:val="24"/>
          <w:szCs w:val="24"/>
        </w:rPr>
        <w:t xml:space="preserve">an </w:t>
      </w:r>
      <w:r w:rsidR="00AC3A02" w:rsidRPr="007E60D1">
        <w:rPr>
          <w:sz w:val="24"/>
          <w:szCs w:val="24"/>
        </w:rPr>
        <w:t>allocation to another person if a serious breach determination has been made and the determination was made on the Secretary’s own initiative (where the investor has not made a request or has withdrawn the request)</w:t>
      </w:r>
      <w:r>
        <w:rPr>
          <w:sz w:val="24"/>
          <w:szCs w:val="24"/>
        </w:rPr>
        <w:t>.</w:t>
      </w:r>
      <w:r w:rsidR="003E0A49">
        <w:rPr>
          <w:sz w:val="24"/>
          <w:szCs w:val="24"/>
        </w:rPr>
        <w:t xml:space="preserve"> </w:t>
      </w:r>
    </w:p>
    <w:p w14:paraId="3F167F11" w14:textId="1665BBE4" w:rsidR="00AC3A02" w:rsidRPr="007E60D1" w:rsidRDefault="00AC3A02" w:rsidP="00AC3A02">
      <w:pPr>
        <w:pStyle w:val="Heading4"/>
        <w:rPr>
          <w:sz w:val="24"/>
          <w:szCs w:val="24"/>
        </w:rPr>
      </w:pPr>
      <w:r w:rsidRPr="007E60D1">
        <w:rPr>
          <w:sz w:val="24"/>
          <w:szCs w:val="24"/>
        </w:rPr>
        <w:t>Disqualifying breach (</w:t>
      </w:r>
      <w:r w:rsidR="007E60D1">
        <w:rPr>
          <w:sz w:val="24"/>
          <w:szCs w:val="24"/>
        </w:rPr>
        <w:t>s</w:t>
      </w:r>
      <w:r w:rsidR="00CE79CC" w:rsidRPr="007E60D1">
        <w:rPr>
          <w:sz w:val="24"/>
          <w:szCs w:val="24"/>
        </w:rPr>
        <w:t>ection</w:t>
      </w:r>
      <w:r w:rsidRPr="007E60D1">
        <w:rPr>
          <w:sz w:val="24"/>
          <w:szCs w:val="24"/>
        </w:rPr>
        <w:t xml:space="preserve"> 26</w:t>
      </w:r>
      <w:r w:rsidR="005C0D44">
        <w:rPr>
          <w:sz w:val="24"/>
          <w:szCs w:val="24"/>
        </w:rPr>
        <w:t xml:space="preserve"> of the Regulations</w:t>
      </w:r>
      <w:r w:rsidRPr="007E60D1">
        <w:rPr>
          <w:sz w:val="24"/>
          <w:szCs w:val="24"/>
        </w:rPr>
        <w:t>)</w:t>
      </w:r>
    </w:p>
    <w:p w14:paraId="362401A2" w14:textId="6CCB3A3C" w:rsidR="00200F71" w:rsidRPr="007E60D1" w:rsidRDefault="00200F71" w:rsidP="00AC3A02">
      <w:pPr>
        <w:rPr>
          <w:sz w:val="24"/>
          <w:szCs w:val="24"/>
        </w:rPr>
      </w:pPr>
      <w:r w:rsidRPr="007E60D1">
        <w:rPr>
          <w:sz w:val="24"/>
          <w:szCs w:val="24"/>
        </w:rPr>
        <w:t>The Secretary may determine an approved participant committed a disqualifying breach if:</w:t>
      </w:r>
    </w:p>
    <w:p w14:paraId="2A322E11" w14:textId="4B85F639" w:rsidR="00200F71" w:rsidRPr="007E60D1" w:rsidRDefault="00200F71" w:rsidP="002B2E1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7E60D1">
        <w:rPr>
          <w:sz w:val="24"/>
          <w:szCs w:val="24"/>
        </w:rPr>
        <w:t xml:space="preserve">the </w:t>
      </w:r>
      <w:r w:rsidR="006C3BFD">
        <w:rPr>
          <w:sz w:val="24"/>
          <w:szCs w:val="24"/>
        </w:rPr>
        <w:t xml:space="preserve">Secretary is satisfied the </w:t>
      </w:r>
      <w:r w:rsidRPr="007E60D1">
        <w:rPr>
          <w:sz w:val="24"/>
          <w:szCs w:val="24"/>
        </w:rPr>
        <w:t>approved participant is subject to</w:t>
      </w:r>
      <w:r w:rsidR="00925015">
        <w:rPr>
          <w:sz w:val="24"/>
          <w:szCs w:val="24"/>
        </w:rPr>
        <w:t> </w:t>
      </w:r>
      <w:r w:rsidRPr="007E60D1">
        <w:rPr>
          <w:sz w:val="24"/>
          <w:szCs w:val="24"/>
        </w:rPr>
        <w:t>an</w:t>
      </w:r>
      <w:r w:rsidR="00925015">
        <w:rPr>
          <w:sz w:val="24"/>
          <w:szCs w:val="24"/>
        </w:rPr>
        <w:t> </w:t>
      </w:r>
      <w:r w:rsidRPr="007E60D1">
        <w:rPr>
          <w:sz w:val="24"/>
          <w:szCs w:val="24"/>
        </w:rPr>
        <w:t>insolvency event</w:t>
      </w:r>
      <w:r w:rsidR="006C3BFD">
        <w:rPr>
          <w:sz w:val="24"/>
          <w:szCs w:val="24"/>
        </w:rPr>
        <w:t>; or</w:t>
      </w:r>
    </w:p>
    <w:p w14:paraId="6CF8F1F2" w14:textId="6D43CE3C" w:rsidR="00200F71" w:rsidRPr="007E60D1" w:rsidRDefault="00200F71" w:rsidP="002B2E1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7E60D1">
        <w:rPr>
          <w:sz w:val="24"/>
          <w:szCs w:val="24"/>
        </w:rPr>
        <w:t>a serious breach determination has been made against the approved participant and the Secre</w:t>
      </w:r>
      <w:r w:rsidR="002B2E1A" w:rsidRPr="007E60D1">
        <w:rPr>
          <w:sz w:val="24"/>
          <w:szCs w:val="24"/>
        </w:rPr>
        <w:t>t</w:t>
      </w:r>
      <w:r w:rsidRPr="007E60D1">
        <w:rPr>
          <w:sz w:val="24"/>
          <w:szCs w:val="24"/>
        </w:rPr>
        <w:t>ary is satisfied</w:t>
      </w:r>
      <w:r w:rsidR="006C3BFD">
        <w:rPr>
          <w:sz w:val="24"/>
          <w:szCs w:val="24"/>
        </w:rPr>
        <w:t xml:space="preserve"> that,</w:t>
      </w:r>
      <w:r w:rsidRPr="007E60D1">
        <w:rPr>
          <w:sz w:val="24"/>
          <w:szCs w:val="24"/>
        </w:rPr>
        <w:t xml:space="preserve"> within 12 months</w:t>
      </w:r>
      <w:r w:rsidR="006C3BFD">
        <w:rPr>
          <w:sz w:val="24"/>
          <w:szCs w:val="24"/>
        </w:rPr>
        <w:t xml:space="preserve"> after making </w:t>
      </w:r>
      <w:r w:rsidR="006C3BFD">
        <w:rPr>
          <w:sz w:val="24"/>
          <w:szCs w:val="24"/>
        </w:rPr>
        <w:lastRenderedPageBreak/>
        <w:t>that determination,</w:t>
      </w:r>
      <w:r w:rsidRPr="007E60D1">
        <w:rPr>
          <w:sz w:val="24"/>
          <w:szCs w:val="24"/>
        </w:rPr>
        <w:t xml:space="preserve"> </w:t>
      </w:r>
      <w:r w:rsidR="002B2E1A" w:rsidRPr="007E60D1">
        <w:rPr>
          <w:sz w:val="24"/>
          <w:szCs w:val="24"/>
        </w:rPr>
        <w:t>the Secretary</w:t>
      </w:r>
      <w:r w:rsidRPr="007E60D1">
        <w:rPr>
          <w:sz w:val="24"/>
          <w:szCs w:val="24"/>
        </w:rPr>
        <w:t xml:space="preserve"> </w:t>
      </w:r>
      <w:r w:rsidR="002B2E1A" w:rsidRPr="007E60D1">
        <w:rPr>
          <w:sz w:val="24"/>
          <w:szCs w:val="24"/>
        </w:rPr>
        <w:t>will be likely</w:t>
      </w:r>
      <w:r w:rsidR="006C3BFD">
        <w:rPr>
          <w:sz w:val="24"/>
          <w:szCs w:val="24"/>
        </w:rPr>
        <w:t xml:space="preserve"> be able</w:t>
      </w:r>
      <w:r w:rsidR="002B2E1A" w:rsidRPr="007E60D1">
        <w:rPr>
          <w:sz w:val="24"/>
          <w:szCs w:val="24"/>
        </w:rPr>
        <w:t xml:space="preserve"> to determine </w:t>
      </w:r>
      <w:r w:rsidR="006C3BFD">
        <w:rPr>
          <w:sz w:val="24"/>
          <w:szCs w:val="24"/>
        </w:rPr>
        <w:t xml:space="preserve">the approved participant has committed </w:t>
      </w:r>
      <w:r w:rsidR="002B2E1A" w:rsidRPr="007E60D1">
        <w:rPr>
          <w:sz w:val="24"/>
          <w:szCs w:val="24"/>
        </w:rPr>
        <w:t>another serious breach</w:t>
      </w:r>
      <w:r w:rsidR="006C3BFD">
        <w:rPr>
          <w:sz w:val="24"/>
          <w:szCs w:val="24"/>
        </w:rPr>
        <w:t>; or</w:t>
      </w:r>
      <w:r w:rsidR="002B2E1A" w:rsidRPr="007E60D1">
        <w:rPr>
          <w:sz w:val="24"/>
          <w:szCs w:val="24"/>
        </w:rPr>
        <w:t xml:space="preserve"> </w:t>
      </w:r>
    </w:p>
    <w:p w14:paraId="6E6FB1B3" w14:textId="1C066477" w:rsidR="00200F71" w:rsidRPr="003E0A49" w:rsidRDefault="002B2E1A" w:rsidP="002B2E1A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7E60D1">
        <w:rPr>
          <w:sz w:val="24"/>
          <w:szCs w:val="24"/>
        </w:rPr>
        <w:t>the approved participant</w:t>
      </w:r>
      <w:r w:rsidR="00AD5C62">
        <w:rPr>
          <w:sz w:val="24"/>
          <w:szCs w:val="24"/>
        </w:rPr>
        <w:t>,</w:t>
      </w:r>
      <w:r w:rsidRPr="007E60D1">
        <w:rPr>
          <w:sz w:val="24"/>
          <w:szCs w:val="24"/>
        </w:rPr>
        <w:t xml:space="preserve"> or a director of the approved participant</w:t>
      </w:r>
      <w:r w:rsidR="00AD5C62">
        <w:rPr>
          <w:sz w:val="24"/>
          <w:szCs w:val="24"/>
        </w:rPr>
        <w:t>,</w:t>
      </w:r>
      <w:r w:rsidRPr="007E60D1">
        <w:rPr>
          <w:sz w:val="24"/>
          <w:szCs w:val="24"/>
        </w:rPr>
        <w:t xml:space="preserve"> has been convicted </w:t>
      </w:r>
      <w:r w:rsidRPr="003E0A49">
        <w:rPr>
          <w:sz w:val="24"/>
          <w:szCs w:val="24"/>
        </w:rPr>
        <w:t>of an offence against the law of the Commonwealth</w:t>
      </w:r>
      <w:r w:rsidR="00AD5C62">
        <w:rPr>
          <w:sz w:val="24"/>
          <w:szCs w:val="24"/>
        </w:rPr>
        <w:t>,</w:t>
      </w:r>
      <w:r w:rsidRPr="003E0A49">
        <w:rPr>
          <w:sz w:val="24"/>
          <w:szCs w:val="24"/>
        </w:rPr>
        <w:t xml:space="preserve"> or </w:t>
      </w:r>
      <w:r w:rsidR="00925015">
        <w:rPr>
          <w:sz w:val="24"/>
          <w:szCs w:val="24"/>
        </w:rPr>
        <w:t>of a s</w:t>
      </w:r>
      <w:r w:rsidRPr="003E0A49">
        <w:rPr>
          <w:sz w:val="24"/>
          <w:szCs w:val="24"/>
        </w:rPr>
        <w:t>tate or</w:t>
      </w:r>
      <w:r w:rsidR="00925015">
        <w:rPr>
          <w:sz w:val="24"/>
          <w:szCs w:val="24"/>
        </w:rPr>
        <w:t> t</w:t>
      </w:r>
      <w:r w:rsidRPr="003E0A49">
        <w:rPr>
          <w:sz w:val="24"/>
          <w:szCs w:val="24"/>
        </w:rPr>
        <w:t>erritory</w:t>
      </w:r>
      <w:r w:rsidR="00AD5C62">
        <w:rPr>
          <w:sz w:val="24"/>
          <w:szCs w:val="24"/>
        </w:rPr>
        <w:t>,</w:t>
      </w:r>
      <w:r w:rsidRPr="003E0A49">
        <w:rPr>
          <w:sz w:val="24"/>
          <w:szCs w:val="24"/>
        </w:rPr>
        <w:t xml:space="preserve"> involving fraud, dishonesty, bribery or corruption.</w:t>
      </w:r>
    </w:p>
    <w:p w14:paraId="1E670DEE" w14:textId="0D3AAE9E" w:rsidR="00AC3A02" w:rsidRPr="003E0A49" w:rsidRDefault="002B2E1A" w:rsidP="00AC3A02">
      <w:pPr>
        <w:rPr>
          <w:sz w:val="24"/>
          <w:szCs w:val="24"/>
        </w:rPr>
      </w:pPr>
      <w:r w:rsidRPr="003E0A49">
        <w:rPr>
          <w:sz w:val="24"/>
          <w:szCs w:val="24"/>
        </w:rPr>
        <w:t>Under subsection 32(6)</w:t>
      </w:r>
      <w:r w:rsidR="00AD5C62">
        <w:rPr>
          <w:sz w:val="24"/>
          <w:szCs w:val="24"/>
        </w:rPr>
        <w:t xml:space="preserve"> of the Regulations</w:t>
      </w:r>
      <w:r w:rsidRPr="003E0A49">
        <w:rPr>
          <w:sz w:val="24"/>
          <w:szCs w:val="24"/>
        </w:rPr>
        <w:t>, where a disqualifying breach determination is made, t</w:t>
      </w:r>
      <w:r w:rsidR="00AC3A02" w:rsidRPr="003E0A49">
        <w:rPr>
          <w:sz w:val="24"/>
          <w:szCs w:val="24"/>
        </w:rPr>
        <w:t xml:space="preserve">he Secretary </w:t>
      </w:r>
      <w:r w:rsidR="00AC3A02" w:rsidRPr="003E0A49">
        <w:rPr>
          <w:sz w:val="24"/>
          <w:szCs w:val="24"/>
          <w:u w:val="single"/>
        </w:rPr>
        <w:t>must</w:t>
      </w:r>
      <w:r w:rsidR="00AC3A02" w:rsidRPr="003E0A49">
        <w:rPr>
          <w:sz w:val="24"/>
          <w:szCs w:val="24"/>
        </w:rPr>
        <w:t xml:space="preserve"> endeavour to transfer all of the approved participant’s</w:t>
      </w:r>
      <w:r w:rsidR="00AD5C62">
        <w:rPr>
          <w:sz w:val="24"/>
          <w:szCs w:val="24"/>
        </w:rPr>
        <w:t xml:space="preserve"> allocations</w:t>
      </w:r>
      <w:r w:rsidR="00AC3A02" w:rsidRPr="003E0A49">
        <w:rPr>
          <w:sz w:val="24"/>
          <w:szCs w:val="24"/>
        </w:rPr>
        <w:t xml:space="preserve"> </w:t>
      </w:r>
      <w:r w:rsidR="00AD5C62">
        <w:rPr>
          <w:sz w:val="24"/>
          <w:szCs w:val="24"/>
        </w:rPr>
        <w:t xml:space="preserve">to other persons </w:t>
      </w:r>
      <w:r w:rsidRPr="003E0A49">
        <w:rPr>
          <w:sz w:val="24"/>
          <w:szCs w:val="24"/>
        </w:rPr>
        <w:t>within six</w:t>
      </w:r>
      <w:r w:rsidR="00AC3A02" w:rsidRPr="003E0A49">
        <w:rPr>
          <w:sz w:val="24"/>
          <w:szCs w:val="24"/>
        </w:rPr>
        <w:t xml:space="preserve"> months </w:t>
      </w:r>
      <w:r w:rsidRPr="003E0A49">
        <w:rPr>
          <w:sz w:val="24"/>
          <w:szCs w:val="24"/>
        </w:rPr>
        <w:t>of</w:t>
      </w:r>
      <w:r w:rsidR="00AC3A02" w:rsidRPr="003E0A49">
        <w:rPr>
          <w:sz w:val="24"/>
          <w:szCs w:val="24"/>
        </w:rPr>
        <w:t xml:space="preserve"> </w:t>
      </w:r>
      <w:r w:rsidR="00AD5C62">
        <w:rPr>
          <w:sz w:val="24"/>
          <w:szCs w:val="24"/>
        </w:rPr>
        <w:t xml:space="preserve">the </w:t>
      </w:r>
      <w:r w:rsidR="00AC3A02" w:rsidRPr="003E0A49">
        <w:rPr>
          <w:sz w:val="24"/>
          <w:szCs w:val="24"/>
        </w:rPr>
        <w:t>determination</w:t>
      </w:r>
      <w:r w:rsidR="00AD5C62">
        <w:rPr>
          <w:sz w:val="24"/>
          <w:szCs w:val="24"/>
        </w:rPr>
        <w:t xml:space="preserve"> being made</w:t>
      </w:r>
      <w:r w:rsidR="00AC3A02" w:rsidRPr="003E0A49">
        <w:rPr>
          <w:sz w:val="24"/>
          <w:szCs w:val="24"/>
        </w:rPr>
        <w:t>.</w:t>
      </w:r>
      <w:r w:rsidR="003E0A49">
        <w:rPr>
          <w:sz w:val="24"/>
          <w:szCs w:val="24"/>
        </w:rPr>
        <w:t xml:space="preserve"> </w:t>
      </w:r>
      <w:r w:rsidR="00AC3A02" w:rsidRPr="003E0A49">
        <w:rPr>
          <w:sz w:val="24"/>
          <w:szCs w:val="24"/>
        </w:rPr>
        <w:t xml:space="preserve">At the end of </w:t>
      </w:r>
      <w:r w:rsidR="00AD5C62" w:rsidRPr="003E0A49">
        <w:rPr>
          <w:sz w:val="24"/>
          <w:szCs w:val="24"/>
        </w:rPr>
        <w:t>th</w:t>
      </w:r>
      <w:r w:rsidR="00AD5C62">
        <w:rPr>
          <w:sz w:val="24"/>
          <w:szCs w:val="24"/>
        </w:rPr>
        <w:t>e</w:t>
      </w:r>
      <w:r w:rsidR="00AD5C62" w:rsidRPr="003E0A49">
        <w:rPr>
          <w:sz w:val="24"/>
          <w:szCs w:val="24"/>
        </w:rPr>
        <w:t xml:space="preserve"> </w:t>
      </w:r>
      <w:r w:rsidRPr="003E0A49">
        <w:rPr>
          <w:sz w:val="24"/>
          <w:szCs w:val="24"/>
        </w:rPr>
        <w:t>six</w:t>
      </w:r>
      <w:r w:rsidR="00AD5C62">
        <w:rPr>
          <w:sz w:val="24"/>
          <w:szCs w:val="24"/>
        </w:rPr>
        <w:t>-</w:t>
      </w:r>
      <w:r w:rsidR="00AC3A02" w:rsidRPr="003E0A49">
        <w:rPr>
          <w:sz w:val="24"/>
          <w:szCs w:val="24"/>
        </w:rPr>
        <w:t>month</w:t>
      </w:r>
      <w:r w:rsidRPr="003E0A49">
        <w:rPr>
          <w:sz w:val="24"/>
          <w:szCs w:val="24"/>
        </w:rPr>
        <w:t xml:space="preserve"> period</w:t>
      </w:r>
      <w:r w:rsidR="00AC3A02" w:rsidRPr="003E0A49">
        <w:rPr>
          <w:sz w:val="24"/>
          <w:szCs w:val="24"/>
        </w:rPr>
        <w:t xml:space="preserve">, any allocations not transferred will </w:t>
      </w:r>
      <w:r w:rsidRPr="003E0A49">
        <w:rPr>
          <w:sz w:val="24"/>
          <w:szCs w:val="24"/>
        </w:rPr>
        <w:t xml:space="preserve">automatically </w:t>
      </w:r>
      <w:r w:rsidR="00AC3A02" w:rsidRPr="003E0A49">
        <w:rPr>
          <w:sz w:val="24"/>
          <w:szCs w:val="24"/>
        </w:rPr>
        <w:t>be revoked.</w:t>
      </w:r>
    </w:p>
    <w:p w14:paraId="192DDDD4" w14:textId="09ECFF85" w:rsidR="002C7EC3" w:rsidRPr="003E0A49" w:rsidRDefault="006052C5" w:rsidP="002B2E1A">
      <w:pPr>
        <w:rPr>
          <w:sz w:val="24"/>
          <w:szCs w:val="24"/>
        </w:rPr>
      </w:pPr>
      <w:r w:rsidRPr="003E0A49">
        <w:rPr>
          <w:sz w:val="24"/>
          <w:szCs w:val="24"/>
        </w:rPr>
        <w:t xml:space="preserve">For transfers of allocations under </w:t>
      </w:r>
      <w:r w:rsidR="007E60D1">
        <w:rPr>
          <w:sz w:val="24"/>
          <w:szCs w:val="24"/>
        </w:rPr>
        <w:t>s</w:t>
      </w:r>
      <w:r w:rsidRPr="003E0A49">
        <w:rPr>
          <w:sz w:val="24"/>
          <w:szCs w:val="24"/>
        </w:rPr>
        <w:t>ection</w:t>
      </w:r>
      <w:r w:rsidR="001860A3">
        <w:rPr>
          <w:sz w:val="24"/>
          <w:szCs w:val="24"/>
        </w:rPr>
        <w:t>s</w:t>
      </w:r>
      <w:r w:rsidRPr="003E0A49">
        <w:rPr>
          <w:sz w:val="24"/>
          <w:szCs w:val="24"/>
        </w:rPr>
        <w:t xml:space="preserve"> 21, 22, 23 and 32</w:t>
      </w:r>
      <w:r w:rsidR="00AD5C62">
        <w:rPr>
          <w:sz w:val="24"/>
          <w:szCs w:val="24"/>
        </w:rPr>
        <w:t xml:space="preserve"> of the Regulations</w:t>
      </w:r>
      <w:r w:rsidRPr="003E0A49">
        <w:rPr>
          <w:sz w:val="24"/>
          <w:szCs w:val="24"/>
        </w:rPr>
        <w:t>, the gaining approved participant cannot be a disqualified person</w:t>
      </w:r>
      <w:r w:rsidR="00AD5C62">
        <w:rPr>
          <w:sz w:val="24"/>
          <w:szCs w:val="24"/>
        </w:rPr>
        <w:t xml:space="preserve">. A ‘disqualified person’ is defined in the Regulations as </w:t>
      </w:r>
      <w:r w:rsidRPr="003E0A49">
        <w:rPr>
          <w:sz w:val="24"/>
          <w:szCs w:val="24"/>
        </w:rPr>
        <w:t>an approved participant who is subject to</w:t>
      </w:r>
      <w:r w:rsidR="00925015">
        <w:rPr>
          <w:sz w:val="24"/>
          <w:szCs w:val="24"/>
        </w:rPr>
        <w:t> </w:t>
      </w:r>
      <w:r w:rsidRPr="003E0A49">
        <w:rPr>
          <w:sz w:val="24"/>
          <w:szCs w:val="24"/>
        </w:rPr>
        <w:t>a</w:t>
      </w:r>
      <w:r w:rsidR="00925015">
        <w:rPr>
          <w:sz w:val="24"/>
          <w:szCs w:val="24"/>
        </w:rPr>
        <w:t> </w:t>
      </w:r>
      <w:r w:rsidRPr="003E0A49">
        <w:rPr>
          <w:sz w:val="24"/>
          <w:szCs w:val="24"/>
        </w:rPr>
        <w:t>disqualifying breach determination.</w:t>
      </w:r>
      <w:r w:rsidR="003E0A49">
        <w:rPr>
          <w:sz w:val="24"/>
          <w:szCs w:val="24"/>
        </w:rPr>
        <w:t xml:space="preserve"> </w:t>
      </w:r>
      <w:r w:rsidRPr="003E0A49">
        <w:rPr>
          <w:sz w:val="24"/>
          <w:szCs w:val="24"/>
        </w:rPr>
        <w:t>This ensures disqualified approved participants cannot receive any further allocations.</w:t>
      </w:r>
    </w:p>
    <w:p w14:paraId="45F9A623" w14:textId="77777777" w:rsidR="002C7EC3" w:rsidRPr="003E0A49" w:rsidRDefault="002C7EC3" w:rsidP="002C7EC3">
      <w:pPr>
        <w:rPr>
          <w:sz w:val="24"/>
          <w:szCs w:val="24"/>
        </w:rPr>
      </w:pPr>
      <w:r w:rsidRPr="003E0A49">
        <w:rPr>
          <w:sz w:val="24"/>
          <w:szCs w:val="24"/>
        </w:rPr>
        <w:t>Where a disqualifying breach determination is made the Secretary may publish notice of the breach on the Department’s website (section 31).</w:t>
      </w:r>
    </w:p>
    <w:p w14:paraId="2FF7B18C" w14:textId="77777777" w:rsidR="00AC3A02" w:rsidRPr="003E0A49" w:rsidRDefault="00AC3A02" w:rsidP="003E0A49">
      <w:pPr>
        <w:pStyle w:val="Heading3"/>
        <w:spacing w:before="120" w:after="120"/>
        <w:rPr>
          <w:color w:val="7030A0"/>
        </w:rPr>
      </w:pPr>
      <w:r w:rsidRPr="003E0A49">
        <w:rPr>
          <w:color w:val="7030A0"/>
        </w:rPr>
        <w:t xml:space="preserve">Redirection of an incentive for current and past NRAS years </w:t>
      </w:r>
    </w:p>
    <w:p w14:paraId="4C631962" w14:textId="12199CD5" w:rsidR="00AC3A02" w:rsidRPr="003E0A49" w:rsidRDefault="00AC3A02" w:rsidP="00AC3A02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>Under Division 3 of the Regulations, where the Secretary has decided to transfer an</w:t>
      </w:r>
      <w:r w:rsidR="00925015">
        <w:rPr>
          <w:sz w:val="24"/>
          <w:szCs w:val="24"/>
          <w:lang w:eastAsia="en-AU"/>
        </w:rPr>
        <w:t> </w:t>
      </w:r>
      <w:r w:rsidRPr="003E0A49">
        <w:rPr>
          <w:sz w:val="24"/>
          <w:szCs w:val="24"/>
          <w:lang w:eastAsia="en-AU"/>
        </w:rPr>
        <w:t xml:space="preserve">allocation, </w:t>
      </w:r>
      <w:r w:rsidR="00D254A5">
        <w:rPr>
          <w:sz w:val="24"/>
          <w:szCs w:val="24"/>
          <w:lang w:eastAsia="en-AU"/>
        </w:rPr>
        <w:t>under</w:t>
      </w:r>
      <w:r w:rsidRPr="003E0A49">
        <w:rPr>
          <w:sz w:val="24"/>
          <w:szCs w:val="24"/>
          <w:lang w:eastAsia="en-AU"/>
        </w:rPr>
        <w:t xml:space="preserve"> certain circumstances the Secretary may </w:t>
      </w:r>
      <w:r w:rsidR="001860A3">
        <w:rPr>
          <w:sz w:val="24"/>
          <w:szCs w:val="24"/>
          <w:lang w:eastAsia="en-AU"/>
        </w:rPr>
        <w:t>‘</w:t>
      </w:r>
      <w:r w:rsidRPr="003E0A49">
        <w:rPr>
          <w:sz w:val="24"/>
          <w:szCs w:val="24"/>
          <w:lang w:eastAsia="en-AU"/>
        </w:rPr>
        <w:t>redirect</w:t>
      </w:r>
      <w:r w:rsidR="001860A3">
        <w:rPr>
          <w:sz w:val="24"/>
          <w:szCs w:val="24"/>
          <w:lang w:eastAsia="en-AU"/>
        </w:rPr>
        <w:t>’</w:t>
      </w:r>
      <w:r w:rsidRPr="003E0A49">
        <w:rPr>
          <w:sz w:val="24"/>
          <w:szCs w:val="24"/>
          <w:lang w:eastAsia="en-AU"/>
        </w:rPr>
        <w:t xml:space="preserve"> the incentive payable for the allocation for the current NRAS year and for a past NRAS year (where the incentive has not already been issued to the original approved participant</w:t>
      </w:r>
      <w:r w:rsidR="00ED413C" w:rsidRPr="003E0A49">
        <w:rPr>
          <w:sz w:val="24"/>
          <w:szCs w:val="24"/>
          <w:lang w:eastAsia="en-AU"/>
        </w:rPr>
        <w:t>)</w:t>
      </w:r>
      <w:r w:rsidRPr="003E0A49">
        <w:rPr>
          <w:sz w:val="24"/>
          <w:szCs w:val="24"/>
          <w:lang w:eastAsia="en-AU"/>
        </w:rPr>
        <w:t>.</w:t>
      </w:r>
      <w:r w:rsidR="003E0A49">
        <w:rPr>
          <w:sz w:val="24"/>
          <w:szCs w:val="24"/>
          <w:lang w:eastAsia="en-AU"/>
        </w:rPr>
        <w:t xml:space="preserve"> </w:t>
      </w:r>
      <w:r w:rsidRPr="003E0A49">
        <w:rPr>
          <w:sz w:val="24"/>
          <w:szCs w:val="24"/>
          <w:lang w:eastAsia="en-AU"/>
        </w:rPr>
        <w:t xml:space="preserve">Where an incentive is redirected, it is issued to the gaining approved participant </w:t>
      </w:r>
      <w:r w:rsidR="00F0100D">
        <w:rPr>
          <w:sz w:val="24"/>
          <w:szCs w:val="24"/>
          <w:lang w:eastAsia="en-AU"/>
        </w:rPr>
        <w:t xml:space="preserve">(in whole or in part, depending on the circumstances) </w:t>
      </w:r>
      <w:r w:rsidRPr="003E0A49">
        <w:rPr>
          <w:sz w:val="24"/>
          <w:szCs w:val="24"/>
          <w:lang w:eastAsia="en-AU"/>
        </w:rPr>
        <w:t>rather than to the original approved participant</w:t>
      </w:r>
      <w:r w:rsidR="00F2028F" w:rsidRPr="003E0A49">
        <w:rPr>
          <w:sz w:val="24"/>
          <w:szCs w:val="24"/>
          <w:lang w:eastAsia="en-AU"/>
        </w:rPr>
        <w:t xml:space="preserve">, </w:t>
      </w:r>
      <w:r w:rsidR="00ED413C" w:rsidRPr="003E0A49">
        <w:rPr>
          <w:sz w:val="24"/>
          <w:szCs w:val="24"/>
          <w:lang w:eastAsia="en-AU"/>
        </w:rPr>
        <w:t xml:space="preserve">and </w:t>
      </w:r>
      <w:r w:rsidR="00F2028F" w:rsidRPr="003E0A49">
        <w:rPr>
          <w:sz w:val="24"/>
          <w:szCs w:val="24"/>
          <w:lang w:eastAsia="en-AU"/>
        </w:rPr>
        <w:t xml:space="preserve">the gaining approved participant has an obligation to pass on the incentive to </w:t>
      </w:r>
      <w:r w:rsidR="00ED413C" w:rsidRPr="003E0A49">
        <w:rPr>
          <w:sz w:val="24"/>
          <w:szCs w:val="24"/>
          <w:lang w:eastAsia="en-AU"/>
        </w:rPr>
        <w:t xml:space="preserve">the </w:t>
      </w:r>
      <w:r w:rsidR="00F2028F" w:rsidRPr="003E0A49">
        <w:rPr>
          <w:sz w:val="24"/>
          <w:szCs w:val="24"/>
          <w:lang w:eastAsia="en-AU"/>
        </w:rPr>
        <w:t>investor</w:t>
      </w:r>
      <w:r w:rsidRPr="003E0A49">
        <w:rPr>
          <w:sz w:val="24"/>
          <w:szCs w:val="24"/>
          <w:lang w:eastAsia="en-AU"/>
        </w:rPr>
        <w:t>.</w:t>
      </w:r>
      <w:r w:rsidR="003E0A49">
        <w:rPr>
          <w:sz w:val="24"/>
          <w:szCs w:val="24"/>
          <w:lang w:eastAsia="en-AU"/>
        </w:rPr>
        <w:t xml:space="preserve"> </w:t>
      </w:r>
    </w:p>
    <w:p w14:paraId="10D1900F" w14:textId="3B787F27" w:rsidR="00AC3A02" w:rsidRPr="003E0A49" w:rsidRDefault="00AC3A02" w:rsidP="00AC3A02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Before redirecting an incentive, the Secretary must give written notice of the proposed redirection to the </w:t>
      </w:r>
      <w:r w:rsidR="00ED413C" w:rsidRPr="003E0A49">
        <w:rPr>
          <w:sz w:val="24"/>
          <w:szCs w:val="24"/>
          <w:lang w:eastAsia="en-AU"/>
        </w:rPr>
        <w:t xml:space="preserve">original </w:t>
      </w:r>
      <w:r w:rsidRPr="003E0A49">
        <w:rPr>
          <w:sz w:val="24"/>
          <w:szCs w:val="24"/>
          <w:lang w:eastAsia="en-AU"/>
        </w:rPr>
        <w:t xml:space="preserve">approved participant and the investor </w:t>
      </w:r>
      <w:r w:rsidR="003E0A49">
        <w:rPr>
          <w:sz w:val="24"/>
          <w:szCs w:val="24"/>
          <w:lang w:eastAsia="en-AU"/>
        </w:rPr>
        <w:t xml:space="preserve">under </w:t>
      </w:r>
      <w:r w:rsidR="00CE79CC" w:rsidRPr="003E0A49">
        <w:rPr>
          <w:sz w:val="24"/>
          <w:szCs w:val="24"/>
          <w:lang w:eastAsia="en-AU"/>
        </w:rPr>
        <w:t>section</w:t>
      </w:r>
      <w:r w:rsidR="003E0A49">
        <w:rPr>
          <w:sz w:val="24"/>
          <w:szCs w:val="24"/>
          <w:lang w:eastAsia="en-AU"/>
        </w:rPr>
        <w:t xml:space="preserve"> 61</w:t>
      </w:r>
      <w:r w:rsidR="00F0100D">
        <w:rPr>
          <w:sz w:val="24"/>
          <w:szCs w:val="24"/>
          <w:lang w:eastAsia="en-AU"/>
        </w:rPr>
        <w:t xml:space="preserve"> of the Regulations</w:t>
      </w:r>
      <w:r w:rsidRPr="003E0A49">
        <w:rPr>
          <w:sz w:val="24"/>
          <w:szCs w:val="24"/>
          <w:lang w:eastAsia="en-AU"/>
        </w:rPr>
        <w:t xml:space="preserve">. </w:t>
      </w:r>
    </w:p>
    <w:p w14:paraId="52903F8D" w14:textId="252C4A6A" w:rsidR="00AC3A02" w:rsidRPr="003E0A49" w:rsidRDefault="00AC3A02" w:rsidP="00AC3A02">
      <w:pPr>
        <w:rPr>
          <w:rFonts w:ascii="Georgia" w:eastAsia="Times New Roman" w:hAnsi="Georgia" w:cs="Arial"/>
          <w:bCs/>
          <w:iCs/>
          <w:color w:val="005A70"/>
          <w:spacing w:val="4"/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>If the Secretary redirects an incentive</w:t>
      </w:r>
      <w:r w:rsidR="00F063F2">
        <w:rPr>
          <w:sz w:val="24"/>
          <w:szCs w:val="24"/>
          <w:lang w:eastAsia="en-AU"/>
        </w:rPr>
        <w:t xml:space="preserve"> for an allocation</w:t>
      </w:r>
      <w:r w:rsidRPr="003E0A49">
        <w:rPr>
          <w:sz w:val="24"/>
          <w:szCs w:val="24"/>
          <w:lang w:eastAsia="en-AU"/>
        </w:rPr>
        <w:t>, the gaining approved participant must pass on the incentive</w:t>
      </w:r>
      <w:r w:rsidR="00F063F2">
        <w:rPr>
          <w:sz w:val="24"/>
          <w:szCs w:val="24"/>
          <w:lang w:eastAsia="en-AU"/>
        </w:rPr>
        <w:t xml:space="preserve"> or State or Territory contribution for the allocation</w:t>
      </w:r>
      <w:r w:rsidRPr="003E0A49">
        <w:rPr>
          <w:sz w:val="24"/>
          <w:szCs w:val="24"/>
          <w:lang w:eastAsia="en-AU"/>
        </w:rPr>
        <w:t xml:space="preserve"> to the investor </w:t>
      </w:r>
      <w:r w:rsidR="00F0100D">
        <w:rPr>
          <w:sz w:val="24"/>
          <w:szCs w:val="24"/>
          <w:lang w:eastAsia="en-AU"/>
        </w:rPr>
        <w:t>before the earliest of the following: (a) if a legal obligation requires the incentive or contribution to be passed on</w:t>
      </w:r>
      <w:r w:rsidR="00F0100D" w:rsidRPr="003E0A49">
        <w:rPr>
          <w:sz w:val="24"/>
          <w:szCs w:val="24"/>
          <w:lang w:eastAsia="en-AU"/>
        </w:rPr>
        <w:t xml:space="preserve"> </w:t>
      </w:r>
      <w:r w:rsidRPr="003E0A49">
        <w:rPr>
          <w:sz w:val="24"/>
          <w:szCs w:val="24"/>
          <w:lang w:eastAsia="en-AU"/>
        </w:rPr>
        <w:t xml:space="preserve">within </w:t>
      </w:r>
      <w:r w:rsidR="00F0100D">
        <w:rPr>
          <w:sz w:val="24"/>
          <w:szCs w:val="24"/>
          <w:lang w:eastAsia="en-AU"/>
        </w:rPr>
        <w:t>a particular period –</w:t>
      </w:r>
      <w:r w:rsidR="00925015">
        <w:rPr>
          <w:sz w:val="24"/>
          <w:szCs w:val="24"/>
          <w:lang w:eastAsia="en-AU"/>
        </w:rPr>
        <w:t> </w:t>
      </w:r>
      <w:r w:rsidR="00F0100D">
        <w:rPr>
          <w:sz w:val="24"/>
          <w:szCs w:val="24"/>
          <w:lang w:eastAsia="en-AU"/>
        </w:rPr>
        <w:t>by</w:t>
      </w:r>
      <w:r w:rsidR="00925015">
        <w:rPr>
          <w:sz w:val="24"/>
          <w:szCs w:val="24"/>
          <w:lang w:eastAsia="en-AU"/>
        </w:rPr>
        <w:t> </w:t>
      </w:r>
      <w:r w:rsidR="00F0100D">
        <w:rPr>
          <w:sz w:val="24"/>
          <w:szCs w:val="24"/>
          <w:lang w:eastAsia="en-AU"/>
        </w:rPr>
        <w:t xml:space="preserve">the end of that </w:t>
      </w:r>
      <w:r w:rsidR="00ED413C" w:rsidRPr="003E0A49">
        <w:rPr>
          <w:sz w:val="24"/>
          <w:szCs w:val="24"/>
          <w:lang w:eastAsia="en-AU"/>
        </w:rPr>
        <w:t>timeframe</w:t>
      </w:r>
      <w:r w:rsidR="00F0100D">
        <w:rPr>
          <w:sz w:val="24"/>
          <w:szCs w:val="24"/>
          <w:lang w:eastAsia="en-AU"/>
        </w:rPr>
        <w:t>;</w:t>
      </w:r>
      <w:r w:rsidR="00ED413C" w:rsidRPr="003E0A49">
        <w:rPr>
          <w:sz w:val="24"/>
          <w:szCs w:val="24"/>
          <w:lang w:eastAsia="en-AU"/>
        </w:rPr>
        <w:t xml:space="preserve"> or </w:t>
      </w:r>
      <w:r w:rsidR="00F0100D">
        <w:rPr>
          <w:sz w:val="24"/>
          <w:szCs w:val="24"/>
          <w:lang w:eastAsia="en-AU"/>
        </w:rPr>
        <w:t xml:space="preserve">(b) </w:t>
      </w:r>
      <w:r w:rsidR="00ED413C" w:rsidRPr="003E0A49">
        <w:rPr>
          <w:sz w:val="24"/>
          <w:szCs w:val="24"/>
          <w:lang w:eastAsia="en-AU"/>
        </w:rPr>
        <w:t xml:space="preserve">within </w:t>
      </w:r>
      <w:r w:rsidRPr="003E0A49">
        <w:rPr>
          <w:sz w:val="24"/>
          <w:szCs w:val="24"/>
          <w:lang w:eastAsia="en-AU"/>
        </w:rPr>
        <w:t xml:space="preserve">90 days of </w:t>
      </w:r>
      <w:r w:rsidR="00F0100D">
        <w:rPr>
          <w:sz w:val="24"/>
          <w:szCs w:val="24"/>
          <w:lang w:eastAsia="en-AU"/>
        </w:rPr>
        <w:t>the incentive or contribution being given to the approved participant (s</w:t>
      </w:r>
      <w:r w:rsidR="00ED413C" w:rsidRPr="003E0A49">
        <w:rPr>
          <w:sz w:val="24"/>
          <w:szCs w:val="24"/>
          <w:lang w:eastAsia="en-AU"/>
        </w:rPr>
        <w:t xml:space="preserve">ee </w:t>
      </w:r>
      <w:r w:rsidR="007E60D1">
        <w:rPr>
          <w:sz w:val="24"/>
          <w:szCs w:val="24"/>
          <w:lang w:eastAsia="en-AU"/>
        </w:rPr>
        <w:t>s</w:t>
      </w:r>
      <w:r w:rsidR="00ED413C" w:rsidRPr="003E0A49">
        <w:rPr>
          <w:sz w:val="24"/>
          <w:szCs w:val="24"/>
          <w:lang w:eastAsia="en-AU"/>
        </w:rPr>
        <w:t>ections 58, 63 and 64</w:t>
      </w:r>
      <w:r w:rsidR="00F0100D">
        <w:rPr>
          <w:sz w:val="24"/>
          <w:szCs w:val="24"/>
          <w:lang w:eastAsia="en-AU"/>
        </w:rPr>
        <w:t xml:space="preserve"> of the Regulations)</w:t>
      </w:r>
      <w:r w:rsidR="00ED413C" w:rsidRPr="003E0A49">
        <w:rPr>
          <w:sz w:val="24"/>
          <w:szCs w:val="24"/>
          <w:lang w:eastAsia="en-AU"/>
        </w:rPr>
        <w:t>.</w:t>
      </w:r>
      <w:r w:rsidRPr="003E0A49">
        <w:rPr>
          <w:sz w:val="24"/>
          <w:szCs w:val="24"/>
          <w:lang w:eastAsia="en-AU"/>
        </w:rPr>
        <w:t xml:space="preserve"> </w:t>
      </w:r>
    </w:p>
    <w:p w14:paraId="2655CBFB" w14:textId="77777777" w:rsidR="002B1D1C" w:rsidRDefault="002B1D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B447A4" w14:textId="44F68AC5" w:rsidR="00986EEF" w:rsidRPr="003E0A49" w:rsidRDefault="00ED413C">
      <w:pPr>
        <w:rPr>
          <w:rFonts w:ascii="Georgia" w:eastAsia="Times New Roman" w:hAnsi="Georgia" w:cs="Arial"/>
          <w:bCs/>
          <w:iCs/>
          <w:color w:val="005A70"/>
          <w:spacing w:val="4"/>
          <w:sz w:val="24"/>
          <w:szCs w:val="24"/>
          <w:lang w:eastAsia="en-AU"/>
        </w:rPr>
      </w:pPr>
      <w:r w:rsidRPr="003E0A49">
        <w:rPr>
          <w:sz w:val="24"/>
          <w:szCs w:val="24"/>
        </w:rPr>
        <w:lastRenderedPageBreak/>
        <w:t xml:space="preserve">Under </w:t>
      </w:r>
      <w:r w:rsidR="007E60D1">
        <w:rPr>
          <w:sz w:val="24"/>
          <w:szCs w:val="24"/>
        </w:rPr>
        <w:t>s</w:t>
      </w:r>
      <w:r w:rsidR="007C5063" w:rsidRPr="003E0A49">
        <w:rPr>
          <w:sz w:val="24"/>
          <w:szCs w:val="24"/>
        </w:rPr>
        <w:t>ection 62 of the Regulations</w:t>
      </w:r>
      <w:r w:rsidR="00EB2DAF">
        <w:rPr>
          <w:sz w:val="24"/>
          <w:szCs w:val="24"/>
        </w:rPr>
        <w:t>,</w:t>
      </w:r>
      <w:r w:rsidR="007C5063" w:rsidRPr="003E0A49">
        <w:rPr>
          <w:sz w:val="24"/>
          <w:szCs w:val="24"/>
        </w:rPr>
        <w:t xml:space="preserve"> the Secretary must take into account the interests of investors</w:t>
      </w:r>
      <w:r w:rsidRPr="003E0A49">
        <w:rPr>
          <w:sz w:val="24"/>
          <w:szCs w:val="24"/>
        </w:rPr>
        <w:t xml:space="preserve"> in deciding whether to redirect an incentive</w:t>
      </w:r>
      <w:r w:rsidR="007C5063" w:rsidRPr="003E0A49">
        <w:rPr>
          <w:sz w:val="24"/>
          <w:szCs w:val="24"/>
        </w:rPr>
        <w:t>.</w:t>
      </w:r>
      <w:r w:rsidR="003E0A49">
        <w:rPr>
          <w:sz w:val="24"/>
          <w:szCs w:val="24"/>
        </w:rPr>
        <w:t xml:space="preserve"> </w:t>
      </w:r>
      <w:r w:rsidR="007C5063" w:rsidRPr="003E0A49">
        <w:rPr>
          <w:sz w:val="24"/>
          <w:szCs w:val="24"/>
        </w:rPr>
        <w:t>This ensure</w:t>
      </w:r>
      <w:r w:rsidR="00660A46" w:rsidRPr="003E0A49">
        <w:rPr>
          <w:sz w:val="24"/>
          <w:szCs w:val="24"/>
        </w:rPr>
        <w:t>s</w:t>
      </w:r>
      <w:r w:rsidR="007C5063" w:rsidRPr="003E0A49">
        <w:rPr>
          <w:sz w:val="24"/>
          <w:szCs w:val="24"/>
        </w:rPr>
        <w:t xml:space="preserve"> the interests of any investors who may be affected by a redirection decision are considered prior to the Secretary conducting the redirection</w:t>
      </w:r>
      <w:r w:rsidR="00660A46" w:rsidRPr="003E0A49">
        <w:rPr>
          <w:sz w:val="24"/>
          <w:szCs w:val="24"/>
        </w:rPr>
        <w:t>.</w:t>
      </w:r>
    </w:p>
    <w:p w14:paraId="37223021" w14:textId="77777777" w:rsidR="00AC3A02" w:rsidRPr="003E0A49" w:rsidRDefault="00AC3A02" w:rsidP="003E0A49">
      <w:pPr>
        <w:pStyle w:val="Heading3"/>
        <w:spacing w:before="120" w:after="120"/>
        <w:rPr>
          <w:color w:val="7030A0"/>
        </w:rPr>
      </w:pPr>
      <w:r w:rsidRPr="003E0A49">
        <w:rPr>
          <w:color w:val="7030A0"/>
        </w:rPr>
        <w:t>Legal arrangements do not prevent transfers</w:t>
      </w:r>
    </w:p>
    <w:p w14:paraId="4AC61B39" w14:textId="5D4BB25B" w:rsidR="00AE021F" w:rsidRPr="003E0A49" w:rsidRDefault="00AC3A02" w:rsidP="00AC3A02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Under </w:t>
      </w:r>
      <w:r w:rsidR="007E60D1">
        <w:rPr>
          <w:sz w:val="24"/>
          <w:szCs w:val="24"/>
          <w:lang w:eastAsia="en-AU"/>
        </w:rPr>
        <w:t>s</w:t>
      </w:r>
      <w:r w:rsidR="00CE79CC" w:rsidRPr="003E0A49">
        <w:rPr>
          <w:sz w:val="24"/>
          <w:szCs w:val="24"/>
          <w:lang w:eastAsia="en-AU"/>
        </w:rPr>
        <w:t>ection</w:t>
      </w:r>
      <w:r w:rsidRPr="003E0A49">
        <w:rPr>
          <w:sz w:val="24"/>
          <w:szCs w:val="24"/>
          <w:lang w:eastAsia="en-AU"/>
        </w:rPr>
        <w:t xml:space="preserve"> 33 of the Regulations</w:t>
      </w:r>
      <w:r w:rsidR="00EB2DAF">
        <w:rPr>
          <w:sz w:val="24"/>
          <w:szCs w:val="24"/>
          <w:lang w:eastAsia="en-AU"/>
        </w:rPr>
        <w:t>,</w:t>
      </w:r>
      <w:r w:rsidRPr="003E0A49">
        <w:rPr>
          <w:sz w:val="24"/>
          <w:szCs w:val="24"/>
          <w:lang w:eastAsia="en-AU"/>
        </w:rPr>
        <w:t xml:space="preserve"> a</w:t>
      </w:r>
      <w:r w:rsidR="00ED413C" w:rsidRPr="003E0A49">
        <w:rPr>
          <w:sz w:val="24"/>
          <w:szCs w:val="24"/>
        </w:rPr>
        <w:t xml:space="preserve"> legal </w:t>
      </w:r>
      <w:r w:rsidRPr="003E0A49">
        <w:rPr>
          <w:sz w:val="24"/>
          <w:szCs w:val="24"/>
        </w:rPr>
        <w:t xml:space="preserve">arrangement has no effect to the extent the arrangement prohibits or prevents an investor from, or penalises an investor for </w:t>
      </w:r>
      <w:r w:rsidR="00877818" w:rsidRPr="003E0A49">
        <w:rPr>
          <w:sz w:val="24"/>
          <w:szCs w:val="24"/>
        </w:rPr>
        <w:t>making a transfer request, or assisting or supporting a transfer request</w:t>
      </w:r>
      <w:r w:rsidRPr="003E0A49">
        <w:rPr>
          <w:sz w:val="24"/>
          <w:szCs w:val="24"/>
          <w:lang w:eastAsia="en-AU"/>
        </w:rPr>
        <w:t>.</w:t>
      </w:r>
      <w:r w:rsidR="00EB2DAF">
        <w:rPr>
          <w:sz w:val="24"/>
          <w:szCs w:val="24"/>
          <w:lang w:eastAsia="en-AU"/>
        </w:rPr>
        <w:t xml:space="preserve"> </w:t>
      </w:r>
      <w:r w:rsidR="00EB2DAF" w:rsidRPr="003E0A49">
        <w:rPr>
          <w:sz w:val="24"/>
          <w:szCs w:val="24"/>
        </w:rPr>
        <w:t>This ensures the interests of any investors who may be affected by a redirection decision are considered prior to the Secretary conducting the redirection.</w:t>
      </w:r>
    </w:p>
    <w:p w14:paraId="5B7DBFEE" w14:textId="77777777" w:rsidR="00AC3A02" w:rsidRPr="003E0A49" w:rsidRDefault="00AC3A02" w:rsidP="003E0A49">
      <w:pPr>
        <w:pStyle w:val="Heading3"/>
        <w:spacing w:before="120" w:after="120"/>
        <w:rPr>
          <w:bCs w:val="0"/>
          <w:iCs w:val="0"/>
          <w:color w:val="7030A0"/>
        </w:rPr>
      </w:pPr>
      <w:r w:rsidRPr="003E0A49">
        <w:rPr>
          <w:color w:val="7030A0"/>
        </w:rPr>
        <w:t>Obligations of the original approved participants when allocations are transferred</w:t>
      </w:r>
    </w:p>
    <w:p w14:paraId="0238E727" w14:textId="251F8CCE" w:rsidR="00AC3A02" w:rsidRPr="003E0A49" w:rsidRDefault="006A4B1C" w:rsidP="00AC3A02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Under </w:t>
      </w:r>
      <w:r w:rsidR="007E60D1">
        <w:rPr>
          <w:sz w:val="24"/>
          <w:szCs w:val="24"/>
          <w:lang w:eastAsia="en-AU"/>
        </w:rPr>
        <w:t>s</w:t>
      </w:r>
      <w:r w:rsidRPr="003E0A49">
        <w:rPr>
          <w:sz w:val="24"/>
          <w:szCs w:val="24"/>
          <w:lang w:eastAsia="en-AU"/>
        </w:rPr>
        <w:t>ection 34 of the Regulations, w</w:t>
      </w:r>
      <w:r w:rsidR="00AC3A02" w:rsidRPr="003E0A49">
        <w:rPr>
          <w:sz w:val="24"/>
          <w:szCs w:val="24"/>
          <w:lang w:eastAsia="en-AU"/>
        </w:rPr>
        <w:t xml:space="preserve">here the Secretary transfers an allocation from one approved participant to another approved participant, the original approved participant must provide </w:t>
      </w:r>
      <w:r w:rsidRPr="003E0A49">
        <w:rPr>
          <w:sz w:val="24"/>
          <w:szCs w:val="24"/>
          <w:lang w:eastAsia="en-AU"/>
        </w:rPr>
        <w:t>any information requested by the Secretary and relevant to</w:t>
      </w:r>
      <w:r w:rsidR="00925015">
        <w:rPr>
          <w:sz w:val="24"/>
          <w:szCs w:val="24"/>
          <w:lang w:eastAsia="en-AU"/>
        </w:rPr>
        <w:t> </w:t>
      </w:r>
      <w:r w:rsidR="00AC3A02" w:rsidRPr="003E0A49">
        <w:rPr>
          <w:sz w:val="24"/>
          <w:szCs w:val="24"/>
          <w:lang w:eastAsia="en-AU"/>
        </w:rPr>
        <w:t xml:space="preserve">information relevant to </w:t>
      </w:r>
      <w:r w:rsidRPr="003E0A49">
        <w:rPr>
          <w:sz w:val="24"/>
          <w:szCs w:val="24"/>
          <w:lang w:eastAsia="en-AU"/>
        </w:rPr>
        <w:t xml:space="preserve">the administration of the Scheme to the gaining approved participant </w:t>
      </w:r>
      <w:r w:rsidR="00AC3A02" w:rsidRPr="003E0A49">
        <w:rPr>
          <w:sz w:val="24"/>
          <w:szCs w:val="24"/>
          <w:lang w:eastAsia="en-AU"/>
        </w:rPr>
        <w:t>with 21 days.</w:t>
      </w:r>
      <w:r w:rsidR="003E0A49">
        <w:rPr>
          <w:sz w:val="24"/>
          <w:szCs w:val="24"/>
          <w:lang w:eastAsia="en-AU"/>
        </w:rPr>
        <w:t xml:space="preserve"> </w:t>
      </w:r>
      <w:r w:rsidR="00AC3A02" w:rsidRPr="003E0A49">
        <w:rPr>
          <w:sz w:val="24"/>
          <w:szCs w:val="24"/>
          <w:lang w:eastAsia="en-AU"/>
        </w:rPr>
        <w:t>This assist</w:t>
      </w:r>
      <w:r w:rsidRPr="003E0A49">
        <w:rPr>
          <w:sz w:val="24"/>
          <w:szCs w:val="24"/>
          <w:lang w:eastAsia="en-AU"/>
        </w:rPr>
        <w:t>s</w:t>
      </w:r>
      <w:r w:rsidR="00AC3A02" w:rsidRPr="003E0A49">
        <w:rPr>
          <w:sz w:val="24"/>
          <w:szCs w:val="24"/>
          <w:lang w:eastAsia="en-AU"/>
        </w:rPr>
        <w:t xml:space="preserve"> the gaining approved participant to obtain</w:t>
      </w:r>
      <w:r w:rsidR="002B4B7D">
        <w:rPr>
          <w:sz w:val="24"/>
          <w:szCs w:val="24"/>
          <w:lang w:eastAsia="en-AU"/>
        </w:rPr>
        <w:t xml:space="preserve"> the</w:t>
      </w:r>
      <w:r w:rsidR="00AC3A02" w:rsidRPr="003E0A49">
        <w:rPr>
          <w:sz w:val="24"/>
          <w:szCs w:val="24"/>
          <w:lang w:eastAsia="en-AU"/>
        </w:rPr>
        <w:t xml:space="preserve"> information necessary for </w:t>
      </w:r>
      <w:r w:rsidR="002B4B7D">
        <w:rPr>
          <w:sz w:val="24"/>
          <w:szCs w:val="24"/>
          <w:lang w:eastAsia="en-AU"/>
        </w:rPr>
        <w:t>them</w:t>
      </w:r>
      <w:r w:rsidR="002B4B7D" w:rsidRPr="003E0A49">
        <w:rPr>
          <w:sz w:val="24"/>
          <w:szCs w:val="24"/>
          <w:lang w:eastAsia="en-AU"/>
        </w:rPr>
        <w:t xml:space="preserve"> </w:t>
      </w:r>
      <w:r w:rsidR="00AC3A02" w:rsidRPr="003E0A49">
        <w:rPr>
          <w:sz w:val="24"/>
          <w:szCs w:val="24"/>
          <w:lang w:eastAsia="en-AU"/>
        </w:rPr>
        <w:t xml:space="preserve">to properly manage the compliance of the transferred allocation. </w:t>
      </w:r>
    </w:p>
    <w:p w14:paraId="5C0886E7" w14:textId="77777777" w:rsidR="00AC3A02" w:rsidRPr="003E0A49" w:rsidRDefault="00AC3A02" w:rsidP="003E0A49">
      <w:pPr>
        <w:pStyle w:val="Heading3"/>
        <w:spacing w:before="120" w:after="120"/>
        <w:rPr>
          <w:bCs w:val="0"/>
          <w:iCs w:val="0"/>
          <w:color w:val="7030A0"/>
        </w:rPr>
      </w:pPr>
      <w:r w:rsidRPr="003E0A49">
        <w:rPr>
          <w:color w:val="7030A0"/>
        </w:rPr>
        <w:t>Obligations of gaining approved participants when allocations are transferred</w:t>
      </w:r>
    </w:p>
    <w:p w14:paraId="4E2C2D8D" w14:textId="392A0C2F" w:rsidR="00AC3A02" w:rsidRPr="003E0A49" w:rsidRDefault="002B4B7D" w:rsidP="00AC3A02">
      <w:pPr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>U</w:t>
      </w:r>
      <w:r w:rsidRPr="003E0A49">
        <w:rPr>
          <w:sz w:val="24"/>
          <w:szCs w:val="24"/>
          <w:lang w:eastAsia="en-AU"/>
        </w:rPr>
        <w:t xml:space="preserve">nder section 35 of the Regulations, </w:t>
      </w:r>
      <w:r>
        <w:rPr>
          <w:sz w:val="24"/>
          <w:szCs w:val="24"/>
          <w:lang w:eastAsia="en-AU"/>
        </w:rPr>
        <w:t>w</w:t>
      </w:r>
      <w:r w:rsidR="00AC3A02" w:rsidRPr="003E0A49">
        <w:rPr>
          <w:sz w:val="24"/>
          <w:szCs w:val="24"/>
          <w:lang w:eastAsia="en-AU"/>
        </w:rPr>
        <w:t>here the Secretary transfers an allocation f</w:t>
      </w:r>
      <w:r>
        <w:rPr>
          <w:sz w:val="24"/>
          <w:szCs w:val="24"/>
          <w:lang w:eastAsia="en-AU"/>
        </w:rPr>
        <w:t xml:space="preserve">or a </w:t>
      </w:r>
      <w:r w:rsidR="00496255">
        <w:rPr>
          <w:sz w:val="24"/>
          <w:szCs w:val="24"/>
          <w:lang w:eastAsia="en-AU"/>
        </w:rPr>
        <w:t xml:space="preserve">NRAS </w:t>
      </w:r>
      <w:r>
        <w:rPr>
          <w:sz w:val="24"/>
          <w:szCs w:val="24"/>
          <w:lang w:eastAsia="en-AU"/>
        </w:rPr>
        <w:t>rental dwelling f</w:t>
      </w:r>
      <w:r w:rsidR="00AC3A02" w:rsidRPr="003E0A49">
        <w:rPr>
          <w:sz w:val="24"/>
          <w:szCs w:val="24"/>
          <w:lang w:eastAsia="en-AU"/>
        </w:rPr>
        <w:t>rom one approved participant to another approved participant, the Secretary</w:t>
      </w:r>
      <w:r w:rsidR="00AC3A02" w:rsidRPr="003E0A49">
        <w:rPr>
          <w:sz w:val="24"/>
          <w:szCs w:val="24"/>
        </w:rPr>
        <w:t xml:space="preserve"> may require the gaining approved participant to lodge a</w:t>
      </w:r>
      <w:r w:rsidR="00925015">
        <w:rPr>
          <w:sz w:val="24"/>
          <w:szCs w:val="24"/>
        </w:rPr>
        <w:t> </w:t>
      </w:r>
      <w:r w:rsidR="00AC3A02" w:rsidRPr="003E0A49">
        <w:rPr>
          <w:sz w:val="24"/>
          <w:szCs w:val="24"/>
        </w:rPr>
        <w:t xml:space="preserve">statement of compliance for the dwelling that includes statements and details for either </w:t>
      </w:r>
      <w:r>
        <w:rPr>
          <w:sz w:val="24"/>
          <w:szCs w:val="24"/>
        </w:rPr>
        <w:t>(</w:t>
      </w:r>
      <w:r w:rsidR="00AC3A02" w:rsidRPr="003E0A49">
        <w:rPr>
          <w:sz w:val="24"/>
          <w:szCs w:val="24"/>
        </w:rPr>
        <w:t xml:space="preserve">or both </w:t>
      </w:r>
      <w:r>
        <w:rPr>
          <w:sz w:val="24"/>
          <w:szCs w:val="24"/>
        </w:rPr>
        <w:t xml:space="preserve">of) </w:t>
      </w:r>
      <w:r w:rsidR="00AC3A02" w:rsidRPr="003E0A49">
        <w:rPr>
          <w:sz w:val="24"/>
          <w:szCs w:val="24"/>
        </w:rPr>
        <w:t xml:space="preserve">the </w:t>
      </w:r>
      <w:r w:rsidR="006A4B1C" w:rsidRPr="003E0A49">
        <w:rPr>
          <w:sz w:val="24"/>
          <w:szCs w:val="24"/>
        </w:rPr>
        <w:t xml:space="preserve">current </w:t>
      </w:r>
      <w:r w:rsidR="00AC3A02" w:rsidRPr="003E0A49">
        <w:rPr>
          <w:sz w:val="24"/>
          <w:szCs w:val="24"/>
        </w:rPr>
        <w:t xml:space="preserve">NRAS year and the previous NRAS year. </w:t>
      </w:r>
    </w:p>
    <w:p w14:paraId="0DB447A9" w14:textId="77777777" w:rsidR="00B137CE" w:rsidRPr="003E0A49" w:rsidRDefault="00B137CE" w:rsidP="003E0A49">
      <w:pPr>
        <w:pStyle w:val="Heading3"/>
        <w:spacing w:before="120" w:after="120"/>
        <w:rPr>
          <w:color w:val="7030A0"/>
        </w:rPr>
      </w:pPr>
      <w:r w:rsidRPr="003E0A49">
        <w:rPr>
          <w:color w:val="7030A0"/>
        </w:rPr>
        <w:t>Review rights</w:t>
      </w:r>
    </w:p>
    <w:p w14:paraId="50D8030D" w14:textId="0AC71F36" w:rsidR="00AC3A02" w:rsidRPr="0092026F" w:rsidRDefault="00AC3A02" w:rsidP="00AC3A02">
      <w:pPr>
        <w:spacing w:after="120"/>
        <w:rPr>
          <w:sz w:val="24"/>
          <w:szCs w:val="24"/>
          <w:lang w:eastAsia="en-AU"/>
        </w:rPr>
      </w:pPr>
      <w:r w:rsidRPr="003E0A49">
        <w:rPr>
          <w:sz w:val="24"/>
          <w:szCs w:val="24"/>
        </w:rPr>
        <w:t>If the Secretary makes a determination that an approved participant committed an</w:t>
      </w:r>
      <w:r w:rsidR="00925015">
        <w:rPr>
          <w:sz w:val="24"/>
          <w:szCs w:val="24"/>
        </w:rPr>
        <w:t> </w:t>
      </w:r>
      <w:r w:rsidRPr="003E0A49">
        <w:rPr>
          <w:sz w:val="24"/>
          <w:szCs w:val="24"/>
        </w:rPr>
        <w:t>individual breach, a serious breach or a disqualifying breach, the approved participant has a 28</w:t>
      </w:r>
      <w:r w:rsidR="002B4B7D">
        <w:rPr>
          <w:sz w:val="24"/>
          <w:szCs w:val="24"/>
        </w:rPr>
        <w:t>-</w:t>
      </w:r>
      <w:r w:rsidRPr="003E0A49">
        <w:rPr>
          <w:sz w:val="24"/>
          <w:szCs w:val="24"/>
        </w:rPr>
        <w:t xml:space="preserve">day period in which </w:t>
      </w:r>
      <w:r w:rsidR="002B4B7D">
        <w:rPr>
          <w:sz w:val="24"/>
          <w:szCs w:val="24"/>
        </w:rPr>
        <w:t>they</w:t>
      </w:r>
      <w:r w:rsidRPr="003E0A49">
        <w:rPr>
          <w:sz w:val="24"/>
          <w:szCs w:val="24"/>
        </w:rPr>
        <w:t xml:space="preserve"> may make an appeal to </w:t>
      </w:r>
      <w:r w:rsidR="005C110E">
        <w:rPr>
          <w:sz w:val="24"/>
          <w:szCs w:val="24"/>
        </w:rPr>
        <w:t xml:space="preserve">the </w:t>
      </w:r>
      <w:r w:rsidRPr="003E0A49">
        <w:rPr>
          <w:sz w:val="24"/>
          <w:szCs w:val="24"/>
        </w:rPr>
        <w:t xml:space="preserve">AAT </w:t>
      </w:r>
      <w:r w:rsidR="002B1D1C">
        <w:rPr>
          <w:sz w:val="24"/>
          <w:szCs w:val="24"/>
        </w:rPr>
        <w:t xml:space="preserve">under </w:t>
      </w:r>
      <w:r w:rsidR="002B4B7D">
        <w:rPr>
          <w:sz w:val="24"/>
          <w:szCs w:val="24"/>
        </w:rPr>
        <w:t xml:space="preserve">paragraph </w:t>
      </w:r>
      <w:r w:rsidRPr="003E0A49">
        <w:rPr>
          <w:sz w:val="24"/>
          <w:szCs w:val="24"/>
        </w:rPr>
        <w:t>71(e)</w:t>
      </w:r>
      <w:r w:rsidR="002B4B7D">
        <w:rPr>
          <w:sz w:val="24"/>
          <w:szCs w:val="24"/>
        </w:rPr>
        <w:t xml:space="preserve"> of the Regulations</w:t>
      </w:r>
      <w:r w:rsidRPr="003E0A49">
        <w:rPr>
          <w:sz w:val="24"/>
          <w:szCs w:val="24"/>
        </w:rPr>
        <w:t xml:space="preserve">. </w:t>
      </w:r>
      <w:r w:rsidRPr="003E0A49">
        <w:rPr>
          <w:sz w:val="24"/>
          <w:szCs w:val="24"/>
          <w:lang w:eastAsia="en-AU"/>
        </w:rPr>
        <w:t xml:space="preserve">Information about the AAT is available on the AAT’s website: </w:t>
      </w:r>
      <w:hyperlink r:id="rId14" w:tooltip="Administrative Appeals Tribunal" w:history="1">
        <w:r w:rsidRPr="0092026F">
          <w:rPr>
            <w:rStyle w:val="Hyperlink"/>
            <w:b/>
            <w:color w:val="auto"/>
            <w:sz w:val="24"/>
            <w:szCs w:val="24"/>
            <w:lang w:eastAsia="en-AU"/>
          </w:rPr>
          <w:t>www.aat.gov.au</w:t>
        </w:r>
      </w:hyperlink>
      <w:r w:rsidR="0092026F">
        <w:rPr>
          <w:sz w:val="24"/>
          <w:szCs w:val="24"/>
          <w:lang w:eastAsia="en-AU"/>
        </w:rPr>
        <w:t>.</w:t>
      </w:r>
    </w:p>
    <w:p w14:paraId="0DB447AB" w14:textId="77777777" w:rsidR="00BA4E26" w:rsidRPr="003E0A49" w:rsidRDefault="00BA4E26" w:rsidP="003E0A49">
      <w:pPr>
        <w:pStyle w:val="Heading3"/>
        <w:spacing w:before="120" w:after="120"/>
        <w:rPr>
          <w:color w:val="7030A0"/>
        </w:rPr>
      </w:pPr>
      <w:r w:rsidRPr="003E0A49">
        <w:rPr>
          <w:color w:val="7030A0"/>
        </w:rPr>
        <w:t>Further information</w:t>
      </w:r>
    </w:p>
    <w:p w14:paraId="218D6C8E" w14:textId="6FF178BD" w:rsidR="00DE31FA" w:rsidRPr="0092026F" w:rsidRDefault="00BA4E26" w:rsidP="0092026F">
      <w:pPr>
        <w:rPr>
          <w:sz w:val="24"/>
          <w:szCs w:val="24"/>
          <w:lang w:eastAsia="en-AU"/>
        </w:rPr>
      </w:pPr>
      <w:r w:rsidRPr="003E0A49">
        <w:rPr>
          <w:sz w:val="24"/>
          <w:szCs w:val="24"/>
          <w:lang w:eastAsia="en-AU"/>
        </w:rPr>
        <w:t xml:space="preserve">Further enquiries on </w:t>
      </w:r>
      <w:r w:rsidR="00AC3A02" w:rsidRPr="003E0A49">
        <w:rPr>
          <w:sz w:val="24"/>
          <w:szCs w:val="24"/>
          <w:lang w:eastAsia="en-AU"/>
        </w:rPr>
        <w:t xml:space="preserve">investor protection </w:t>
      </w:r>
      <w:r w:rsidRPr="003E0A49">
        <w:rPr>
          <w:sz w:val="24"/>
          <w:szCs w:val="24"/>
          <w:lang w:eastAsia="en-AU"/>
        </w:rPr>
        <w:t xml:space="preserve">can be sent to </w:t>
      </w:r>
      <w:hyperlink r:id="rId15" w:history="1">
        <w:r w:rsidR="00F01610" w:rsidRPr="003E0A49">
          <w:rPr>
            <w:rStyle w:val="Hyperlink"/>
            <w:b/>
            <w:color w:val="auto"/>
            <w:sz w:val="24"/>
            <w:szCs w:val="24"/>
            <w:lang w:eastAsia="en-AU"/>
          </w:rPr>
          <w:t>nras@dss.gov.au</w:t>
        </w:r>
      </w:hyperlink>
      <w:r w:rsidR="00986EEF" w:rsidRPr="003E0A49">
        <w:rPr>
          <w:rStyle w:val="CommentReference"/>
          <w:sz w:val="24"/>
          <w:szCs w:val="24"/>
        </w:rPr>
        <w:t>.</w:t>
      </w:r>
    </w:p>
    <w:sectPr w:rsidR="00DE31FA" w:rsidRPr="0092026F" w:rsidSect="003E0A49"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0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E61F" w14:textId="77777777" w:rsidR="002772D8" w:rsidRDefault="002772D8">
      <w:pPr>
        <w:spacing w:after="0" w:line="240" w:lineRule="auto"/>
      </w:pPr>
      <w:r>
        <w:separator/>
      </w:r>
    </w:p>
  </w:endnote>
  <w:endnote w:type="continuationSeparator" w:id="0">
    <w:p w14:paraId="1C443806" w14:textId="77777777" w:rsidR="002772D8" w:rsidRDefault="0027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04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447B4" w14:textId="02E44DB0" w:rsidR="00F0100D" w:rsidRDefault="00F01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447B5" w14:textId="77777777" w:rsidR="00F0100D" w:rsidRDefault="00F01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51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447B7" w14:textId="25D34D02" w:rsidR="00F0100D" w:rsidRDefault="00F01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447B8" w14:textId="77777777" w:rsidR="00F0100D" w:rsidRDefault="00F0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44057" w14:textId="77777777" w:rsidR="002772D8" w:rsidRDefault="002772D8">
      <w:pPr>
        <w:spacing w:after="0" w:line="240" w:lineRule="auto"/>
      </w:pPr>
      <w:r>
        <w:separator/>
      </w:r>
    </w:p>
  </w:footnote>
  <w:footnote w:type="continuationSeparator" w:id="0">
    <w:p w14:paraId="384BAC92" w14:textId="77777777" w:rsidR="002772D8" w:rsidRDefault="0027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47B6" w14:textId="77777777" w:rsidR="00F0100D" w:rsidRDefault="00F01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A76"/>
    <w:multiLevelType w:val="hybridMultilevel"/>
    <w:tmpl w:val="889A04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F7C"/>
    <w:multiLevelType w:val="hybridMultilevel"/>
    <w:tmpl w:val="B99A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72B4"/>
    <w:multiLevelType w:val="hybridMultilevel"/>
    <w:tmpl w:val="33104E88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A80"/>
    <w:multiLevelType w:val="hybridMultilevel"/>
    <w:tmpl w:val="C2385AE2"/>
    <w:lvl w:ilvl="0" w:tplc="3766A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55E7"/>
    <w:multiLevelType w:val="hybridMultilevel"/>
    <w:tmpl w:val="7FA2C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B3864"/>
    <w:multiLevelType w:val="hybridMultilevel"/>
    <w:tmpl w:val="32B6E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756"/>
    <w:multiLevelType w:val="hybridMultilevel"/>
    <w:tmpl w:val="1756B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646"/>
    <w:multiLevelType w:val="hybridMultilevel"/>
    <w:tmpl w:val="2F74FFA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057F6C"/>
    <w:multiLevelType w:val="hybridMultilevel"/>
    <w:tmpl w:val="2C5627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059DF"/>
    <w:multiLevelType w:val="hybridMultilevel"/>
    <w:tmpl w:val="2A10F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1E46"/>
    <w:multiLevelType w:val="hybridMultilevel"/>
    <w:tmpl w:val="40709A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35487"/>
    <w:multiLevelType w:val="hybridMultilevel"/>
    <w:tmpl w:val="2200A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43B28"/>
    <w:multiLevelType w:val="hybridMultilevel"/>
    <w:tmpl w:val="A462B2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132"/>
    <w:multiLevelType w:val="hybridMultilevel"/>
    <w:tmpl w:val="C030A644"/>
    <w:lvl w:ilvl="0" w:tplc="C1FEE2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674CA"/>
    <w:multiLevelType w:val="hybridMultilevel"/>
    <w:tmpl w:val="9AC28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A6F01"/>
    <w:multiLevelType w:val="hybridMultilevel"/>
    <w:tmpl w:val="99F6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B6DF6"/>
    <w:multiLevelType w:val="hybridMultilevel"/>
    <w:tmpl w:val="BF26B2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E05FE">
      <w:start w:val="1"/>
      <w:numFmt w:val="lowerLetter"/>
      <w:lvlText w:val="(%2)"/>
      <w:lvlJc w:val="left"/>
      <w:pPr>
        <w:ind w:left="1530" w:hanging="450"/>
      </w:p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64DD7"/>
    <w:multiLevelType w:val="hybridMultilevel"/>
    <w:tmpl w:val="398E7760"/>
    <w:lvl w:ilvl="0" w:tplc="0C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3934"/>
    <w:multiLevelType w:val="hybridMultilevel"/>
    <w:tmpl w:val="61823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512A3"/>
    <w:multiLevelType w:val="hybridMultilevel"/>
    <w:tmpl w:val="64349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6329A"/>
    <w:multiLevelType w:val="hybridMultilevel"/>
    <w:tmpl w:val="11A8D724"/>
    <w:lvl w:ilvl="0" w:tplc="73C60A94">
      <w:numFmt w:val="bullet"/>
      <w:lvlText w:val="•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8203AB1"/>
    <w:multiLevelType w:val="hybridMultilevel"/>
    <w:tmpl w:val="C2E69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BE4"/>
    <w:multiLevelType w:val="hybridMultilevel"/>
    <w:tmpl w:val="21028FB6"/>
    <w:lvl w:ilvl="0" w:tplc="1666899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1122"/>
    <w:multiLevelType w:val="hybridMultilevel"/>
    <w:tmpl w:val="E5162CE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E684425"/>
    <w:multiLevelType w:val="hybridMultilevel"/>
    <w:tmpl w:val="52AE6478"/>
    <w:lvl w:ilvl="0" w:tplc="3766AC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F1A10B6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A392F"/>
    <w:multiLevelType w:val="hybridMultilevel"/>
    <w:tmpl w:val="1D4082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761DD5"/>
    <w:multiLevelType w:val="hybridMultilevel"/>
    <w:tmpl w:val="A03A7E92"/>
    <w:lvl w:ilvl="0" w:tplc="4BD0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35DEE"/>
    <w:multiLevelType w:val="hybridMultilevel"/>
    <w:tmpl w:val="1BD06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73A8D"/>
    <w:multiLevelType w:val="hybridMultilevel"/>
    <w:tmpl w:val="EDA43C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E1A3A"/>
    <w:multiLevelType w:val="hybridMultilevel"/>
    <w:tmpl w:val="21028FB6"/>
    <w:lvl w:ilvl="0" w:tplc="16668992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F6B82"/>
    <w:multiLevelType w:val="hybridMultilevel"/>
    <w:tmpl w:val="5BF8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94B33"/>
    <w:multiLevelType w:val="hybridMultilevel"/>
    <w:tmpl w:val="DF06A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B642F"/>
    <w:multiLevelType w:val="hybridMultilevel"/>
    <w:tmpl w:val="6678617A"/>
    <w:lvl w:ilvl="0" w:tplc="C1FEE26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122"/>
    <w:multiLevelType w:val="hybridMultilevel"/>
    <w:tmpl w:val="5868F0CE"/>
    <w:lvl w:ilvl="0" w:tplc="C1FEE26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1E086A"/>
    <w:multiLevelType w:val="hybridMultilevel"/>
    <w:tmpl w:val="F1A03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85D68"/>
    <w:multiLevelType w:val="hybridMultilevel"/>
    <w:tmpl w:val="ADA07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E15C9"/>
    <w:multiLevelType w:val="hybridMultilevel"/>
    <w:tmpl w:val="6AE65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03510"/>
    <w:multiLevelType w:val="hybridMultilevel"/>
    <w:tmpl w:val="DBE0DFC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77A2"/>
    <w:multiLevelType w:val="hybridMultilevel"/>
    <w:tmpl w:val="44E0D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71C9C"/>
    <w:multiLevelType w:val="hybridMultilevel"/>
    <w:tmpl w:val="93489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34B4"/>
    <w:multiLevelType w:val="hybridMultilevel"/>
    <w:tmpl w:val="2E8E42CA"/>
    <w:lvl w:ilvl="0" w:tplc="73C60A9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</w:num>
  <w:num w:numId="3">
    <w:abstractNumId w:val="31"/>
  </w:num>
  <w:num w:numId="4">
    <w:abstractNumId w:val="16"/>
  </w:num>
  <w:num w:numId="5">
    <w:abstractNumId w:val="38"/>
  </w:num>
  <w:num w:numId="6">
    <w:abstractNumId w:val="2"/>
  </w:num>
  <w:num w:numId="7">
    <w:abstractNumId w:val="2"/>
  </w:num>
  <w:num w:numId="8">
    <w:abstractNumId w:val="19"/>
  </w:num>
  <w:num w:numId="9">
    <w:abstractNumId w:val="20"/>
  </w:num>
  <w:num w:numId="10">
    <w:abstractNumId w:val="40"/>
  </w:num>
  <w:num w:numId="11">
    <w:abstractNumId w:val="21"/>
  </w:num>
  <w:num w:numId="12">
    <w:abstractNumId w:val="15"/>
  </w:num>
  <w:num w:numId="13">
    <w:abstractNumId w:val="9"/>
  </w:num>
  <w:num w:numId="14">
    <w:abstractNumId w:val="3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9"/>
  </w:num>
  <w:num w:numId="19">
    <w:abstractNumId w:val="24"/>
  </w:num>
  <w:num w:numId="20">
    <w:abstractNumId w:val="7"/>
  </w:num>
  <w:num w:numId="21">
    <w:abstractNumId w:val="22"/>
  </w:num>
  <w:num w:numId="22">
    <w:abstractNumId w:val="3"/>
  </w:num>
  <w:num w:numId="23">
    <w:abstractNumId w:val="27"/>
  </w:num>
  <w:num w:numId="24">
    <w:abstractNumId w:val="26"/>
  </w:num>
  <w:num w:numId="25">
    <w:abstractNumId w:val="0"/>
  </w:num>
  <w:num w:numId="26">
    <w:abstractNumId w:val="28"/>
  </w:num>
  <w:num w:numId="27">
    <w:abstractNumId w:val="10"/>
  </w:num>
  <w:num w:numId="28">
    <w:abstractNumId w:val="35"/>
  </w:num>
  <w:num w:numId="29">
    <w:abstractNumId w:val="11"/>
  </w:num>
  <w:num w:numId="30">
    <w:abstractNumId w:val="1"/>
  </w:num>
  <w:num w:numId="31">
    <w:abstractNumId w:val="23"/>
  </w:num>
  <w:num w:numId="32">
    <w:abstractNumId w:val="8"/>
  </w:num>
  <w:num w:numId="33">
    <w:abstractNumId w:val="25"/>
  </w:num>
  <w:num w:numId="34">
    <w:abstractNumId w:val="14"/>
  </w:num>
  <w:num w:numId="35">
    <w:abstractNumId w:val="6"/>
  </w:num>
  <w:num w:numId="36">
    <w:abstractNumId w:val="17"/>
  </w:num>
  <w:num w:numId="37">
    <w:abstractNumId w:val="4"/>
  </w:num>
  <w:num w:numId="38">
    <w:abstractNumId w:val="5"/>
  </w:num>
  <w:num w:numId="39">
    <w:abstractNumId w:val="18"/>
  </w:num>
  <w:num w:numId="40">
    <w:abstractNumId w:val="12"/>
  </w:num>
  <w:num w:numId="41">
    <w:abstractNumId w:val="36"/>
  </w:num>
  <w:num w:numId="42">
    <w:abstractNumId w:val="13"/>
  </w:num>
  <w:num w:numId="43">
    <w:abstractNumId w:val="3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E"/>
    <w:rsid w:val="00000E31"/>
    <w:rsid w:val="00007B94"/>
    <w:rsid w:val="00014398"/>
    <w:rsid w:val="000365A7"/>
    <w:rsid w:val="00036AB4"/>
    <w:rsid w:val="00046397"/>
    <w:rsid w:val="00051250"/>
    <w:rsid w:val="000552C1"/>
    <w:rsid w:val="000558CA"/>
    <w:rsid w:val="000559CE"/>
    <w:rsid w:val="00055D74"/>
    <w:rsid w:val="0005632B"/>
    <w:rsid w:val="00057D3C"/>
    <w:rsid w:val="0006416F"/>
    <w:rsid w:val="000719C2"/>
    <w:rsid w:val="000802D7"/>
    <w:rsid w:val="00087F15"/>
    <w:rsid w:val="00091110"/>
    <w:rsid w:val="000A4841"/>
    <w:rsid w:val="000B1425"/>
    <w:rsid w:val="000C591D"/>
    <w:rsid w:val="000D1DC9"/>
    <w:rsid w:val="000D79DA"/>
    <w:rsid w:val="000E31D2"/>
    <w:rsid w:val="000F46BC"/>
    <w:rsid w:val="00104346"/>
    <w:rsid w:val="00111190"/>
    <w:rsid w:val="0011748E"/>
    <w:rsid w:val="00122B3D"/>
    <w:rsid w:val="00137C2A"/>
    <w:rsid w:val="00156D26"/>
    <w:rsid w:val="001645F4"/>
    <w:rsid w:val="0016778E"/>
    <w:rsid w:val="0017027C"/>
    <w:rsid w:val="00171799"/>
    <w:rsid w:val="00171A22"/>
    <w:rsid w:val="00172529"/>
    <w:rsid w:val="001827E4"/>
    <w:rsid w:val="00185663"/>
    <w:rsid w:val="001860A3"/>
    <w:rsid w:val="00192580"/>
    <w:rsid w:val="001A6D9F"/>
    <w:rsid w:val="001B140F"/>
    <w:rsid w:val="001B4655"/>
    <w:rsid w:val="001B6B18"/>
    <w:rsid w:val="001E0D5B"/>
    <w:rsid w:val="001E466F"/>
    <w:rsid w:val="001E58A0"/>
    <w:rsid w:val="001E630D"/>
    <w:rsid w:val="001F16D6"/>
    <w:rsid w:val="00200F71"/>
    <w:rsid w:val="00210683"/>
    <w:rsid w:val="00214D6E"/>
    <w:rsid w:val="002467BF"/>
    <w:rsid w:val="002565FB"/>
    <w:rsid w:val="0026093C"/>
    <w:rsid w:val="00262AE4"/>
    <w:rsid w:val="00263BBC"/>
    <w:rsid w:val="002659FC"/>
    <w:rsid w:val="00265E3B"/>
    <w:rsid w:val="002703DF"/>
    <w:rsid w:val="002772D8"/>
    <w:rsid w:val="00283520"/>
    <w:rsid w:val="002926E9"/>
    <w:rsid w:val="002B1D1C"/>
    <w:rsid w:val="002B24B9"/>
    <w:rsid w:val="002B2E1A"/>
    <w:rsid w:val="002B4B7D"/>
    <w:rsid w:val="002C419F"/>
    <w:rsid w:val="002C7EC3"/>
    <w:rsid w:val="002D512A"/>
    <w:rsid w:val="002E5764"/>
    <w:rsid w:val="00310142"/>
    <w:rsid w:val="003108A6"/>
    <w:rsid w:val="00316B7E"/>
    <w:rsid w:val="00317EA4"/>
    <w:rsid w:val="00326386"/>
    <w:rsid w:val="00327A67"/>
    <w:rsid w:val="00340AEC"/>
    <w:rsid w:val="00343A51"/>
    <w:rsid w:val="00350180"/>
    <w:rsid w:val="00351A1E"/>
    <w:rsid w:val="00352A0B"/>
    <w:rsid w:val="00376914"/>
    <w:rsid w:val="003A00DA"/>
    <w:rsid w:val="003B2BB8"/>
    <w:rsid w:val="003C29A2"/>
    <w:rsid w:val="003C3AA5"/>
    <w:rsid w:val="003D34FF"/>
    <w:rsid w:val="003E0A49"/>
    <w:rsid w:val="003F2672"/>
    <w:rsid w:val="003F2BA4"/>
    <w:rsid w:val="00401682"/>
    <w:rsid w:val="0040232D"/>
    <w:rsid w:val="004103FA"/>
    <w:rsid w:val="00411139"/>
    <w:rsid w:val="00413C63"/>
    <w:rsid w:val="0041659A"/>
    <w:rsid w:val="00420F1C"/>
    <w:rsid w:val="00423015"/>
    <w:rsid w:val="004322AA"/>
    <w:rsid w:val="004338B6"/>
    <w:rsid w:val="00436033"/>
    <w:rsid w:val="0044300D"/>
    <w:rsid w:val="004431BC"/>
    <w:rsid w:val="00443961"/>
    <w:rsid w:val="00443B2E"/>
    <w:rsid w:val="00444EFF"/>
    <w:rsid w:val="00454BCB"/>
    <w:rsid w:val="00460A7F"/>
    <w:rsid w:val="0047740D"/>
    <w:rsid w:val="0048058C"/>
    <w:rsid w:val="00480A19"/>
    <w:rsid w:val="00482F6B"/>
    <w:rsid w:val="00492BD2"/>
    <w:rsid w:val="00496255"/>
    <w:rsid w:val="00496FFA"/>
    <w:rsid w:val="004A4E21"/>
    <w:rsid w:val="004B1107"/>
    <w:rsid w:val="004B54CA"/>
    <w:rsid w:val="004C0D77"/>
    <w:rsid w:val="004C2829"/>
    <w:rsid w:val="004D614C"/>
    <w:rsid w:val="004E5CBF"/>
    <w:rsid w:val="004F7F96"/>
    <w:rsid w:val="0050228C"/>
    <w:rsid w:val="00503B2A"/>
    <w:rsid w:val="00507245"/>
    <w:rsid w:val="005103AE"/>
    <w:rsid w:val="00521BD8"/>
    <w:rsid w:val="0053612B"/>
    <w:rsid w:val="005420DD"/>
    <w:rsid w:val="00546690"/>
    <w:rsid w:val="00547F11"/>
    <w:rsid w:val="00551467"/>
    <w:rsid w:val="005610EC"/>
    <w:rsid w:val="005624F3"/>
    <w:rsid w:val="0056534E"/>
    <w:rsid w:val="00574741"/>
    <w:rsid w:val="00577433"/>
    <w:rsid w:val="005821C9"/>
    <w:rsid w:val="005A4CB3"/>
    <w:rsid w:val="005A51FF"/>
    <w:rsid w:val="005B20E9"/>
    <w:rsid w:val="005C0C38"/>
    <w:rsid w:val="005C0D44"/>
    <w:rsid w:val="005C110E"/>
    <w:rsid w:val="005C32D9"/>
    <w:rsid w:val="005C3AA9"/>
    <w:rsid w:val="005D0D7C"/>
    <w:rsid w:val="005D3BB0"/>
    <w:rsid w:val="005E0F7C"/>
    <w:rsid w:val="005F1C81"/>
    <w:rsid w:val="005F1FB7"/>
    <w:rsid w:val="005F44EF"/>
    <w:rsid w:val="00602B92"/>
    <w:rsid w:val="006052C5"/>
    <w:rsid w:val="0060562F"/>
    <w:rsid w:val="00605DE9"/>
    <w:rsid w:val="00611B3E"/>
    <w:rsid w:val="00640D3E"/>
    <w:rsid w:val="00643604"/>
    <w:rsid w:val="00654F91"/>
    <w:rsid w:val="00655A0E"/>
    <w:rsid w:val="00660A46"/>
    <w:rsid w:val="00664794"/>
    <w:rsid w:val="00676CE4"/>
    <w:rsid w:val="00682A3A"/>
    <w:rsid w:val="00691698"/>
    <w:rsid w:val="006A0273"/>
    <w:rsid w:val="006A2DE9"/>
    <w:rsid w:val="006A4B1C"/>
    <w:rsid w:val="006A4CE7"/>
    <w:rsid w:val="006B087B"/>
    <w:rsid w:val="006C3BFD"/>
    <w:rsid w:val="006D4A88"/>
    <w:rsid w:val="006E56C1"/>
    <w:rsid w:val="006F1439"/>
    <w:rsid w:val="006F419E"/>
    <w:rsid w:val="007129CC"/>
    <w:rsid w:val="00727873"/>
    <w:rsid w:val="00727A2D"/>
    <w:rsid w:val="007333BE"/>
    <w:rsid w:val="00736BB0"/>
    <w:rsid w:val="0073788B"/>
    <w:rsid w:val="00754B4C"/>
    <w:rsid w:val="00754C06"/>
    <w:rsid w:val="00772655"/>
    <w:rsid w:val="007739CC"/>
    <w:rsid w:val="00781DE6"/>
    <w:rsid w:val="00783E2F"/>
    <w:rsid w:val="00785261"/>
    <w:rsid w:val="007B0256"/>
    <w:rsid w:val="007B2FEF"/>
    <w:rsid w:val="007C0B2B"/>
    <w:rsid w:val="007C183D"/>
    <w:rsid w:val="007C5063"/>
    <w:rsid w:val="007E37D3"/>
    <w:rsid w:val="007E5C8E"/>
    <w:rsid w:val="007E60D1"/>
    <w:rsid w:val="007E743D"/>
    <w:rsid w:val="00800444"/>
    <w:rsid w:val="00800F78"/>
    <w:rsid w:val="008038E1"/>
    <w:rsid w:val="00825F1F"/>
    <w:rsid w:val="00835719"/>
    <w:rsid w:val="00840251"/>
    <w:rsid w:val="008428AB"/>
    <w:rsid w:val="00845283"/>
    <w:rsid w:val="00856B20"/>
    <w:rsid w:val="00857E90"/>
    <w:rsid w:val="00862F6F"/>
    <w:rsid w:val="008673E6"/>
    <w:rsid w:val="00872F09"/>
    <w:rsid w:val="00877818"/>
    <w:rsid w:val="00893110"/>
    <w:rsid w:val="008A7757"/>
    <w:rsid w:val="008B06C9"/>
    <w:rsid w:val="008B08BB"/>
    <w:rsid w:val="008B3B1C"/>
    <w:rsid w:val="008B6FC3"/>
    <w:rsid w:val="008D2732"/>
    <w:rsid w:val="008D503F"/>
    <w:rsid w:val="008E5694"/>
    <w:rsid w:val="008E78A7"/>
    <w:rsid w:val="008F0BD6"/>
    <w:rsid w:val="008F3AF3"/>
    <w:rsid w:val="00905005"/>
    <w:rsid w:val="00906CB6"/>
    <w:rsid w:val="00906DFB"/>
    <w:rsid w:val="0091246F"/>
    <w:rsid w:val="0091708B"/>
    <w:rsid w:val="0092026F"/>
    <w:rsid w:val="009225F0"/>
    <w:rsid w:val="009236B7"/>
    <w:rsid w:val="00925015"/>
    <w:rsid w:val="00927F15"/>
    <w:rsid w:val="009410D2"/>
    <w:rsid w:val="00954081"/>
    <w:rsid w:val="00960B99"/>
    <w:rsid w:val="00962C9A"/>
    <w:rsid w:val="00965074"/>
    <w:rsid w:val="00965D8C"/>
    <w:rsid w:val="00977DCA"/>
    <w:rsid w:val="0098110F"/>
    <w:rsid w:val="00986BF2"/>
    <w:rsid w:val="00986DBE"/>
    <w:rsid w:val="00986EEF"/>
    <w:rsid w:val="00993953"/>
    <w:rsid w:val="009A2282"/>
    <w:rsid w:val="009D2347"/>
    <w:rsid w:val="009D7A7F"/>
    <w:rsid w:val="00A02931"/>
    <w:rsid w:val="00A11632"/>
    <w:rsid w:val="00A11A3C"/>
    <w:rsid w:val="00A21A16"/>
    <w:rsid w:val="00A23645"/>
    <w:rsid w:val="00A2442E"/>
    <w:rsid w:val="00A37FB7"/>
    <w:rsid w:val="00A508D8"/>
    <w:rsid w:val="00A53D80"/>
    <w:rsid w:val="00A62363"/>
    <w:rsid w:val="00A67B63"/>
    <w:rsid w:val="00A75E58"/>
    <w:rsid w:val="00A92853"/>
    <w:rsid w:val="00AA22DF"/>
    <w:rsid w:val="00AA2CD1"/>
    <w:rsid w:val="00AA3293"/>
    <w:rsid w:val="00AA3B0B"/>
    <w:rsid w:val="00AB6016"/>
    <w:rsid w:val="00AC3A02"/>
    <w:rsid w:val="00AC6CEF"/>
    <w:rsid w:val="00AD1FA3"/>
    <w:rsid w:val="00AD2162"/>
    <w:rsid w:val="00AD57B1"/>
    <w:rsid w:val="00AD5C62"/>
    <w:rsid w:val="00AE021F"/>
    <w:rsid w:val="00AF1386"/>
    <w:rsid w:val="00AF2F5C"/>
    <w:rsid w:val="00B137CE"/>
    <w:rsid w:val="00B15DCD"/>
    <w:rsid w:val="00B16DC1"/>
    <w:rsid w:val="00B25B26"/>
    <w:rsid w:val="00B2647F"/>
    <w:rsid w:val="00B27CF0"/>
    <w:rsid w:val="00B40043"/>
    <w:rsid w:val="00B543C2"/>
    <w:rsid w:val="00B60BD3"/>
    <w:rsid w:val="00B61F38"/>
    <w:rsid w:val="00B81396"/>
    <w:rsid w:val="00BA2DB9"/>
    <w:rsid w:val="00BA444A"/>
    <w:rsid w:val="00BA4E26"/>
    <w:rsid w:val="00BB5A15"/>
    <w:rsid w:val="00BC6F0C"/>
    <w:rsid w:val="00BD039A"/>
    <w:rsid w:val="00BD13E8"/>
    <w:rsid w:val="00BE017D"/>
    <w:rsid w:val="00BE7148"/>
    <w:rsid w:val="00C0377B"/>
    <w:rsid w:val="00C11462"/>
    <w:rsid w:val="00C164C4"/>
    <w:rsid w:val="00C25451"/>
    <w:rsid w:val="00C25F7B"/>
    <w:rsid w:val="00C416AD"/>
    <w:rsid w:val="00C51ACF"/>
    <w:rsid w:val="00C5455A"/>
    <w:rsid w:val="00C55DAB"/>
    <w:rsid w:val="00C624AF"/>
    <w:rsid w:val="00C673B3"/>
    <w:rsid w:val="00C70C03"/>
    <w:rsid w:val="00C76548"/>
    <w:rsid w:val="00C9144A"/>
    <w:rsid w:val="00C929A7"/>
    <w:rsid w:val="00CA52F6"/>
    <w:rsid w:val="00CE007C"/>
    <w:rsid w:val="00CE66E8"/>
    <w:rsid w:val="00CE79CC"/>
    <w:rsid w:val="00CF7C83"/>
    <w:rsid w:val="00D04E79"/>
    <w:rsid w:val="00D17C93"/>
    <w:rsid w:val="00D22671"/>
    <w:rsid w:val="00D254A5"/>
    <w:rsid w:val="00D25715"/>
    <w:rsid w:val="00D26C21"/>
    <w:rsid w:val="00D5595E"/>
    <w:rsid w:val="00D5795C"/>
    <w:rsid w:val="00D6255D"/>
    <w:rsid w:val="00D62E3C"/>
    <w:rsid w:val="00D63958"/>
    <w:rsid w:val="00D7113E"/>
    <w:rsid w:val="00D73730"/>
    <w:rsid w:val="00D77ABB"/>
    <w:rsid w:val="00D8030F"/>
    <w:rsid w:val="00D8045C"/>
    <w:rsid w:val="00D8493B"/>
    <w:rsid w:val="00D9052D"/>
    <w:rsid w:val="00D966BF"/>
    <w:rsid w:val="00DB2C50"/>
    <w:rsid w:val="00DD39C7"/>
    <w:rsid w:val="00DE31FA"/>
    <w:rsid w:val="00E06C29"/>
    <w:rsid w:val="00E14899"/>
    <w:rsid w:val="00E1766B"/>
    <w:rsid w:val="00E253E5"/>
    <w:rsid w:val="00E357D1"/>
    <w:rsid w:val="00E37712"/>
    <w:rsid w:val="00E43B86"/>
    <w:rsid w:val="00E44311"/>
    <w:rsid w:val="00E44752"/>
    <w:rsid w:val="00E657F8"/>
    <w:rsid w:val="00E6622C"/>
    <w:rsid w:val="00E73680"/>
    <w:rsid w:val="00E74DA4"/>
    <w:rsid w:val="00E77D07"/>
    <w:rsid w:val="00E82FD7"/>
    <w:rsid w:val="00E9674E"/>
    <w:rsid w:val="00EB1DE3"/>
    <w:rsid w:val="00EB2DAF"/>
    <w:rsid w:val="00EB4E94"/>
    <w:rsid w:val="00EC1E6C"/>
    <w:rsid w:val="00EC6C38"/>
    <w:rsid w:val="00ED399D"/>
    <w:rsid w:val="00ED413C"/>
    <w:rsid w:val="00EE436C"/>
    <w:rsid w:val="00EE6C15"/>
    <w:rsid w:val="00EE710F"/>
    <w:rsid w:val="00EF090D"/>
    <w:rsid w:val="00EF32C9"/>
    <w:rsid w:val="00EF374C"/>
    <w:rsid w:val="00F0100D"/>
    <w:rsid w:val="00F01610"/>
    <w:rsid w:val="00F01852"/>
    <w:rsid w:val="00F03E52"/>
    <w:rsid w:val="00F063F2"/>
    <w:rsid w:val="00F068FE"/>
    <w:rsid w:val="00F16FCB"/>
    <w:rsid w:val="00F2028F"/>
    <w:rsid w:val="00F25414"/>
    <w:rsid w:val="00F430DD"/>
    <w:rsid w:val="00F61A43"/>
    <w:rsid w:val="00F6351B"/>
    <w:rsid w:val="00F67393"/>
    <w:rsid w:val="00F84DEA"/>
    <w:rsid w:val="00FB1EEB"/>
    <w:rsid w:val="00FB530D"/>
    <w:rsid w:val="00FC5721"/>
    <w:rsid w:val="00FD316F"/>
    <w:rsid w:val="00FD6F33"/>
    <w:rsid w:val="00FD71B9"/>
    <w:rsid w:val="00FE0129"/>
    <w:rsid w:val="00FE0CB0"/>
    <w:rsid w:val="00FF051D"/>
    <w:rsid w:val="00FF2B50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B44783"/>
  <w15:docId w15:val="{9C767C74-300D-446B-86D7-44ACD30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E2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672"/>
    <w:pPr>
      <w:spacing w:before="240" w:after="360" w:line="240" w:lineRule="auto"/>
      <w:contextualSpacing/>
      <w:outlineLvl w:val="0"/>
    </w:pPr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672"/>
    <w:pPr>
      <w:spacing w:before="360" w:after="180" w:line="280" w:lineRule="atLeast"/>
      <w:outlineLvl w:val="1"/>
    </w:pPr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672"/>
    <w:pPr>
      <w:keepNext/>
      <w:keepLines/>
      <w:spacing w:before="240" w:after="180" w:line="240" w:lineRule="auto"/>
      <w:contextualSpacing/>
      <w:outlineLvl w:val="2"/>
    </w:pPr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72"/>
    <w:rPr>
      <w:rFonts w:ascii="Georgia" w:eastAsia="Times New Roman" w:hAnsi="Georgia" w:cs="Arial"/>
      <w:bCs/>
      <w:color w:val="005A70"/>
      <w:kern w:val="28"/>
      <w:sz w:val="7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F2672"/>
    <w:rPr>
      <w:rFonts w:ascii="Georgia" w:eastAsia="Times New Roman" w:hAnsi="Georgia" w:cs="Times New Roman"/>
      <w:color w:val="215868" w:themeColor="accent5" w:themeShade="80"/>
      <w:spacing w:val="4"/>
      <w:sz w:val="40"/>
      <w:szCs w:val="3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2672"/>
    <w:rPr>
      <w:rFonts w:ascii="Georgia" w:eastAsia="Times New Roman" w:hAnsi="Georgia" w:cs="Arial"/>
      <w:bCs/>
      <w:iCs/>
      <w:color w:val="005A70"/>
      <w:spacing w:val="4"/>
      <w:sz w:val="32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0Bullet,Bullet point,CV text,Dot pt,F5 List Paragraph,FooterText,L,List Paragraph1,List Paragraph11,List Paragraph111,List Paragraph2,Medium Grid 1 - Accent 21,NFP GP Bulleted List,Numbered Paragraph,Recommendation,Table text,numbered,列出段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rsid w:val="0011748E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pacing w:val="4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11748E"/>
    <w:rPr>
      <w:rFonts w:ascii="Arial" w:eastAsia="Times New Roman" w:hAnsi="Arial" w:cs="Times New Roman"/>
      <w:spacing w:val="4"/>
      <w:sz w:val="24"/>
      <w:szCs w:val="24"/>
      <w:lang w:eastAsia="en-AU"/>
    </w:rPr>
  </w:style>
  <w:style w:type="table" w:styleId="TableGrid">
    <w:name w:val="Table Grid"/>
    <w:basedOn w:val="TableNormal"/>
    <w:rsid w:val="0011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2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3D"/>
    <w:rPr>
      <w:rFonts w:ascii="Arial" w:hAnsi="Arial"/>
    </w:rPr>
  </w:style>
  <w:style w:type="paragraph" w:styleId="NormalWeb">
    <w:name w:val="Normal (Web)"/>
    <w:basedOn w:val="Normal"/>
    <w:uiPriority w:val="99"/>
    <w:rsid w:val="00F8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6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4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416AD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005"/>
    <w:rPr>
      <w:color w:val="0000FF" w:themeColor="hyperlink"/>
      <w:u w:val="single"/>
    </w:rPr>
  </w:style>
  <w:style w:type="character" w:customStyle="1" w:styleId="ListParagraphChar">
    <w:name w:val="List Paragraph Char"/>
    <w:aliases w:val="0Bullet Char,Bullet point Char,CV text Char,Dot pt Char,F5 List Paragraph Char,FooterText Char,L Char,List Paragraph1 Char,List Paragraph11 Char,List Paragraph111 Char,List Paragraph2 Char,Medium Grid 1 - Accent 21 Char,numbered Char"/>
    <w:link w:val="ListParagraph"/>
    <w:uiPriority w:val="34"/>
    <w:locked/>
    <w:rsid w:val="00BA4E26"/>
    <w:rPr>
      <w:rFonts w:ascii="Arial" w:hAnsi="Arial"/>
    </w:rPr>
  </w:style>
  <w:style w:type="paragraph" w:styleId="Revision">
    <w:name w:val="Revision"/>
    <w:hidden/>
    <w:uiPriority w:val="99"/>
    <w:semiHidden/>
    <w:rsid w:val="00A23645"/>
    <w:pPr>
      <w:spacing w:after="0" w:line="240" w:lineRule="auto"/>
    </w:pPr>
    <w:rPr>
      <w:rFonts w:ascii="Arial" w:hAnsi="Arial"/>
    </w:rPr>
  </w:style>
  <w:style w:type="paragraph" w:customStyle="1" w:styleId="ESExplanationText">
    <w:name w:val="ES Explanation Text"/>
    <w:basedOn w:val="Normal"/>
    <w:qFormat/>
    <w:rsid w:val="00B137CE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FF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3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76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2675">
                                  <w:marLeft w:val="-6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44453">
                                      <w:marLeft w:val="42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48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2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5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8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ss.gov.au/housing-support-programs-services-housing-national-rental-affordability-scheme-regulator-performance-framework-annual-self-assessment-report-2015-2016/approved-participants-code-of-conduc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ras@dss.gov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at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906c5a57-8f5c-4de1-a895-399cda7859bc">
      <UserInfo>
        <DisplayName>TENN, Jessica</DisplayName>
        <AccountId>986</AccountId>
        <AccountType/>
      </UserInfo>
      <UserInfo>
        <DisplayName>GRACIK-ANCZEWSKA, Lavinia</DisplayName>
        <AccountId>1879</AccountId>
        <AccountType/>
      </UserInfo>
      <UserInfo>
        <DisplayName>RIPPON, Emma</DisplayName>
        <AccountId>2212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8144A633C940BB39A129AC7045CA" ma:contentTypeVersion="2" ma:contentTypeDescription="Create a new document." ma:contentTypeScope="" ma:versionID="b347594513771d0e102bffc12e3e8d03">
  <xsd:schema xmlns:xsd="http://www.w3.org/2001/XMLSchema" xmlns:xs="http://www.w3.org/2001/XMLSchema" xmlns:p="http://schemas.microsoft.com/office/2006/metadata/properties" xmlns:ns1="http://schemas.microsoft.com/sharepoint/v3" xmlns:ns2="da13057a-72c5-49de-bee4-ff261e81e83e" xmlns:ns3="906c5a57-8f5c-4de1-a895-399cda7859bc" targetNamespace="http://schemas.microsoft.com/office/2006/metadata/properties" ma:root="true" ma:fieldsID="b89191b118b87722a4d30ef9aa3c1c09" ns1:_="" ns2:_="" ns3:_="">
    <xsd:import namespace="http://schemas.microsoft.com/sharepoint/v3"/>
    <xsd:import namespace="da13057a-72c5-49de-bee4-ff261e81e83e"/>
    <xsd:import namespace="906c5a57-8f5c-4de1-a895-399cda7859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057a-72c5-49de-bee4-ff261e81e8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c5a57-8f5c-4de1-a895-399cda785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927C-5CAC-40C1-B54B-C37F99C2D8FC}">
  <ds:schemaRefs>
    <ds:schemaRef ds:uri="http://purl.org/dc/elements/1.1/"/>
    <ds:schemaRef ds:uri="http://schemas.microsoft.com/office/2006/metadata/properties"/>
    <ds:schemaRef ds:uri="da13057a-72c5-49de-bee4-ff261e81e83e"/>
    <ds:schemaRef ds:uri="http://schemas.microsoft.com/sharepoint/v3"/>
    <ds:schemaRef ds:uri="http://schemas.openxmlformats.org/package/2006/metadata/core-properties"/>
    <ds:schemaRef ds:uri="http://purl.org/dc/terms/"/>
    <ds:schemaRef ds:uri="906c5a57-8f5c-4de1-a895-399cda7859b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F30031-6F2B-42AE-8F14-0C5CD53F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13057a-72c5-49de-bee4-ff261e81e83e"/>
    <ds:schemaRef ds:uri="906c5a57-8f5c-4de1-a895-399cda785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3C5F3-9433-4320-BF11-959CF19F0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0FF40-4600-4A3E-BF2F-B722706809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77E9C1-BD91-4FF8-88EA-5A911821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2681</Words>
  <Characters>14695</Characters>
  <Application>Microsoft Office Word</Application>
  <DocSecurity>0</DocSecurity>
  <Lines>256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HARREX, Sarah</dc:creator>
  <cp:keywords>[SEC=OFFICIAL]</cp:keywords>
  <cp:lastModifiedBy>ASCENCIO NAVARRO, David</cp:lastModifiedBy>
  <cp:revision>5</cp:revision>
  <cp:lastPrinted>2018-05-23T03:05:00Z</cp:lastPrinted>
  <dcterms:created xsi:type="dcterms:W3CDTF">2022-03-07T04:50:00Z</dcterms:created>
  <dcterms:modified xsi:type="dcterms:W3CDTF">2022-07-13T21:33:00Z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0x0101000C448144A633C940BB39A129AC7045CA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InsertionValue">
    <vt:lpwstr>OFFICIAL</vt:lpwstr>
  </property>
  <property fmtid="{D5CDD505-2E9C-101B-9397-08002B2CF9AE}" pid="9" name="PM_Originating_FileId">
    <vt:lpwstr>7F44F46674A44F0382953A454376EBBD</vt:lpwstr>
  </property>
  <property fmtid="{D5CDD505-2E9C-101B-9397-08002B2CF9AE}" pid="10" name="PM_ProtectiveMarkingValue_Footer">
    <vt:lpwstr>OFFICIAL</vt:lpwstr>
  </property>
  <property fmtid="{D5CDD505-2E9C-101B-9397-08002B2CF9AE}" pid="11" name="PM_Originator_Hash_SHA1">
    <vt:lpwstr>2472B23DD73C4C4AA3AFF8BAA407407A5E72F7DA</vt:lpwstr>
  </property>
  <property fmtid="{D5CDD505-2E9C-101B-9397-08002B2CF9AE}" pid="12" name="PM_OriginationTimeStamp">
    <vt:lpwstr>2022-07-13T21:33:28Z</vt:lpwstr>
  </property>
  <property fmtid="{D5CDD505-2E9C-101B-9397-08002B2CF9AE}" pid="13" name="PM_ProtectiveMarkingValue_Header">
    <vt:lpwstr>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Display">
    <vt:lpwstr>OFFICIAL</vt:lpwstr>
  </property>
  <property fmtid="{D5CDD505-2E9C-101B-9397-08002B2CF9AE}" pid="20" name="PM_Hash_Version">
    <vt:lpwstr>2018.0</vt:lpwstr>
  </property>
  <property fmtid="{D5CDD505-2E9C-101B-9397-08002B2CF9AE}" pid="21" name="PM_Hash_Salt_Prev">
    <vt:lpwstr>83EF1760D1566E8F33DD655EE2F3F1B7</vt:lpwstr>
  </property>
  <property fmtid="{D5CDD505-2E9C-101B-9397-08002B2CF9AE}" pid="22" name="PM_Hash_Salt">
    <vt:lpwstr>A3AE50D44173D90C69E4821F1C237DAC</vt:lpwstr>
  </property>
  <property fmtid="{D5CDD505-2E9C-101B-9397-08002B2CF9AE}" pid="23" name="PM_Hash_SHA1">
    <vt:lpwstr>824B488B9BEC4876B95405646E0DF55874130F04</vt:lpwstr>
  </property>
  <property fmtid="{D5CDD505-2E9C-101B-9397-08002B2CF9AE}" pid="24" name="PM_OriginatorUserAccountName_SHA256">
    <vt:lpwstr>60A01F387B52F7E04CD45DC01F9778E294265ACB0335A7A53D7AB6032A0BDF38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