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E8AF50" w14:textId="533CC622" w:rsidR="009A0351" w:rsidRPr="009A0351" w:rsidRDefault="0052049F" w:rsidP="009A0351">
      <w:pPr>
        <w:spacing w:before="0" w:after="0"/>
        <w:ind w:left="-850"/>
      </w:pPr>
      <w:bookmarkStart w:id="0" w:name="_GoBack"/>
      <w:bookmarkEnd w:id="0"/>
      <w:r>
        <w:rPr>
          <w:noProof/>
        </w:rPr>
        <w:drawing>
          <wp:inline distT="0" distB="0" distL="0" distR="0" wp14:anchorId="5D89E1FD" wp14:editId="31008AA5">
            <wp:extent cx="6954074" cy="1323833"/>
            <wp:effectExtent l="0" t="0" r="0" b="0"/>
            <wp:docPr id="1" name="Picture 1" descr="Australian Government, Department of Social Services logo with purple coloured people and buildings." title="Department of Social Servic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S Portrait Factsheet h orange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7217" cy="1335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E8AF51" w14:textId="27750203" w:rsidR="009A0351" w:rsidRPr="00462888" w:rsidRDefault="00237EB0" w:rsidP="009A0351">
      <w:pPr>
        <w:spacing w:before="0" w:after="240" w:line="240" w:lineRule="auto"/>
        <w:ind w:left="142" w:right="-427" w:hanging="142"/>
        <w:jc w:val="right"/>
        <w:rPr>
          <w:color w:val="7030A0"/>
          <w:sz w:val="20"/>
          <w:szCs w:val="20"/>
          <w:lang w:val="en-US"/>
        </w:rPr>
      </w:pPr>
      <w:r>
        <w:rPr>
          <w:color w:val="7030A0"/>
          <w:sz w:val="20"/>
          <w:szCs w:val="20"/>
          <w:lang w:val="en-US"/>
        </w:rPr>
        <w:t>April</w:t>
      </w:r>
      <w:r w:rsidR="006C0D2D" w:rsidRPr="00462888">
        <w:rPr>
          <w:color w:val="7030A0"/>
          <w:sz w:val="20"/>
          <w:szCs w:val="20"/>
          <w:lang w:val="en-US"/>
        </w:rPr>
        <w:t xml:space="preserve"> 2020</w:t>
      </w:r>
    </w:p>
    <w:p w14:paraId="2BE8AF52" w14:textId="2D8C5249" w:rsidR="009A0351" w:rsidRPr="0052049F" w:rsidRDefault="00500742" w:rsidP="00500742">
      <w:pPr>
        <w:spacing w:after="240" w:line="240" w:lineRule="auto"/>
        <w:outlineLvl w:val="0"/>
        <w:rPr>
          <w:rFonts w:ascii="Georgia" w:hAnsi="Georgia" w:cs="Arial"/>
          <w:bCs/>
          <w:color w:val="500778"/>
          <w:spacing w:val="0"/>
          <w:kern w:val="28"/>
          <w:sz w:val="36"/>
          <w:szCs w:val="36"/>
        </w:rPr>
      </w:pPr>
      <w:r w:rsidRPr="00500742">
        <w:rPr>
          <w:rFonts w:ascii="Georgia" w:hAnsi="Georgia" w:cs="Arial"/>
          <w:bCs/>
          <w:color w:val="500778"/>
          <w:spacing w:val="0"/>
          <w:kern w:val="28"/>
          <w:sz w:val="52"/>
          <w:szCs w:val="52"/>
        </w:rPr>
        <w:t>National Rental Affordability Scheme</w:t>
      </w:r>
      <w:r w:rsidR="009A0351" w:rsidRPr="0052049F">
        <w:rPr>
          <w:rFonts w:ascii="Georgia" w:hAnsi="Georgia" w:cs="Arial"/>
          <w:bCs/>
          <w:color w:val="500778"/>
          <w:spacing w:val="0"/>
          <w:kern w:val="28"/>
          <w:sz w:val="52"/>
          <w:szCs w:val="52"/>
        </w:rPr>
        <w:br/>
      </w:r>
      <w:r w:rsidR="009A0351" w:rsidRPr="0066750B">
        <w:rPr>
          <w:rFonts w:ascii="Georgia" w:hAnsi="Georgia"/>
          <w:sz w:val="36"/>
          <w:szCs w:val="36"/>
        </w:rPr>
        <w:t>Approved participants code of conduct</w:t>
      </w:r>
      <w:r w:rsidR="009A0351" w:rsidRPr="0052049F">
        <w:rPr>
          <w:rFonts w:ascii="Georgia" w:hAnsi="Georgia" w:cs="Arial"/>
          <w:bCs/>
          <w:color w:val="500778"/>
          <w:spacing w:val="0"/>
          <w:kern w:val="28"/>
          <w:sz w:val="36"/>
          <w:szCs w:val="36"/>
        </w:rPr>
        <w:t xml:space="preserve"> </w:t>
      </w:r>
    </w:p>
    <w:p w14:paraId="2BE8AF54" w14:textId="6B58F2B9" w:rsidR="009A0351" w:rsidRDefault="00F123E8" w:rsidP="009A0351">
      <w:r>
        <w:t xml:space="preserve">The purpose of this information sheet is to inform National Affordability Rental Scheme (NRAS) approved participants and investors of the approved </w:t>
      </w:r>
      <w:proofErr w:type="gramStart"/>
      <w:r>
        <w:t>participants</w:t>
      </w:r>
      <w:proofErr w:type="gramEnd"/>
      <w:r>
        <w:t xml:space="preserve"> code of conduct, which </w:t>
      </w:r>
      <w:r w:rsidR="00676F16">
        <w:t>is set out under s</w:t>
      </w:r>
      <w:r w:rsidR="00385E1D">
        <w:t xml:space="preserve">ection 27 of the </w:t>
      </w:r>
      <w:r w:rsidR="009A0351">
        <w:t xml:space="preserve">National Rental Affordability Scheme </w:t>
      </w:r>
      <w:r w:rsidR="00952096">
        <w:t xml:space="preserve">Regulations 2020 </w:t>
      </w:r>
      <w:r w:rsidR="00500742">
        <w:t>(</w:t>
      </w:r>
      <w:r w:rsidR="005D2747">
        <w:t xml:space="preserve">the </w:t>
      </w:r>
      <w:r w:rsidR="00930C77">
        <w:t>Regulations)</w:t>
      </w:r>
      <w:r w:rsidR="00676F16">
        <w:t>.</w:t>
      </w:r>
      <w:r w:rsidR="00930C77">
        <w:t xml:space="preserve"> </w:t>
      </w:r>
      <w:r w:rsidR="00676F16">
        <w:t>The code of conduct</w:t>
      </w:r>
      <w:r w:rsidR="00C5050B">
        <w:t xml:space="preserve"> lists the legal </w:t>
      </w:r>
      <w:r w:rsidR="00930C77" w:rsidRPr="009A0351">
        <w:t xml:space="preserve">obligations </w:t>
      </w:r>
      <w:r w:rsidR="00C5050B">
        <w:t>that</w:t>
      </w:r>
      <w:r w:rsidR="00C5050B" w:rsidRPr="009A0351">
        <w:t xml:space="preserve"> </w:t>
      </w:r>
      <w:r w:rsidR="00930C77" w:rsidRPr="009A0351">
        <w:t>approved participants</w:t>
      </w:r>
      <w:r w:rsidR="00C5050B">
        <w:t xml:space="preserve"> </w:t>
      </w:r>
      <w:r w:rsidR="00A4318B">
        <w:t>have to meet</w:t>
      </w:r>
      <w:r w:rsidR="00C5050B">
        <w:t xml:space="preserve"> when their </w:t>
      </w:r>
      <w:r>
        <w:t xml:space="preserve">NRAS </w:t>
      </w:r>
      <w:r w:rsidR="00C5050B">
        <w:t xml:space="preserve">allocations cover </w:t>
      </w:r>
      <w:r w:rsidR="00A4318B">
        <w:t xml:space="preserve">rental </w:t>
      </w:r>
      <w:r w:rsidR="00C5050B">
        <w:t>dwellings owned by investors</w:t>
      </w:r>
      <w:r w:rsidR="005729CB">
        <w:t>.</w:t>
      </w:r>
    </w:p>
    <w:p w14:paraId="47235D7F" w14:textId="4670DCAB" w:rsidR="002663F0" w:rsidRDefault="00C5050B" w:rsidP="009A0351">
      <w:r>
        <w:t>Under section 67 of the </w:t>
      </w:r>
      <w:r w:rsidRPr="009A0351">
        <w:t>Regulations</w:t>
      </w:r>
      <w:r>
        <w:t>, a</w:t>
      </w:r>
      <w:r w:rsidR="000F2EC9">
        <w:t xml:space="preserve">ll approved </w:t>
      </w:r>
      <w:r w:rsidR="009A0351" w:rsidRPr="009A0351">
        <w:t xml:space="preserve">participants must provide </w:t>
      </w:r>
      <w:r w:rsidR="000F2EC9">
        <w:t xml:space="preserve">investors with </w:t>
      </w:r>
      <w:r>
        <w:t xml:space="preserve">a summary of </w:t>
      </w:r>
      <w:r w:rsidR="000F2EC9">
        <w:t>the code of conduct</w:t>
      </w:r>
      <w:r>
        <w:t xml:space="preserve"> </w:t>
      </w:r>
      <w:r w:rsidR="00500742">
        <w:t>within 28 </w:t>
      </w:r>
      <w:r w:rsidR="000F2EC9">
        <w:t xml:space="preserve">days </w:t>
      </w:r>
      <w:r w:rsidR="005D2747">
        <w:t>after the investor becomes an investor for the dwelling</w:t>
      </w:r>
      <w:r>
        <w:t>.</w:t>
      </w:r>
    </w:p>
    <w:p w14:paraId="7D6EF1F1" w14:textId="77777777" w:rsidR="00313E61" w:rsidRDefault="00676F16" w:rsidP="00313E61">
      <w:r>
        <w:t>The code of conduct, as outlined in s</w:t>
      </w:r>
      <w:r w:rsidR="002663F0">
        <w:t>ection 27 of the Regulations</w:t>
      </w:r>
      <w:r>
        <w:t>,</w:t>
      </w:r>
      <w:r w:rsidR="002663F0">
        <w:t xml:space="preserve"> </w:t>
      </w:r>
      <w:r w:rsidR="001F34DC">
        <w:t>is set out in full below</w:t>
      </w:r>
      <w:r w:rsidR="002663F0">
        <w:t>.</w:t>
      </w:r>
    </w:p>
    <w:p w14:paraId="2BE8AF56" w14:textId="0EEB8C38" w:rsidR="00385E1D" w:rsidRPr="00313E61" w:rsidRDefault="00385E1D" w:rsidP="00313E61">
      <w:r w:rsidRPr="00500742">
        <w:rPr>
          <w:rFonts w:ascii="Georgia" w:hAnsi="Georgia" w:cs="Arial"/>
          <w:iCs/>
          <w:color w:val="500778"/>
          <w:sz w:val="32"/>
          <w:szCs w:val="28"/>
        </w:rPr>
        <w:t>Code of conduct</w:t>
      </w:r>
    </w:p>
    <w:p w14:paraId="2BE8AF57" w14:textId="77777777" w:rsidR="009A0351" w:rsidRPr="009A0351" w:rsidRDefault="009A0351" w:rsidP="009A0351">
      <w:pPr>
        <w:rPr>
          <w:rFonts w:cs="Arial"/>
          <w:szCs w:val="22"/>
        </w:rPr>
      </w:pPr>
      <w:r w:rsidRPr="009A0351">
        <w:rPr>
          <w:rFonts w:cs="Arial"/>
          <w:szCs w:val="22"/>
        </w:rPr>
        <w:t>The approved participant for a rental dwelling:</w:t>
      </w:r>
    </w:p>
    <w:p w14:paraId="2BE8AF58" w14:textId="77777777" w:rsidR="009A0351" w:rsidRPr="009A0351" w:rsidRDefault="009A0351" w:rsidP="009A0351">
      <w:pPr>
        <w:numPr>
          <w:ilvl w:val="0"/>
          <w:numId w:val="2"/>
        </w:numPr>
        <w:spacing w:line="360" w:lineRule="auto"/>
        <w:contextualSpacing/>
        <w:rPr>
          <w:rFonts w:cs="Arial"/>
          <w:szCs w:val="22"/>
        </w:rPr>
      </w:pPr>
      <w:r w:rsidRPr="009A0351">
        <w:rPr>
          <w:rFonts w:cs="Arial"/>
          <w:szCs w:val="22"/>
        </w:rPr>
        <w:t>must comply with legal obligations relating to investors in a timely manner; and</w:t>
      </w:r>
    </w:p>
    <w:p w14:paraId="2BE8AF59" w14:textId="6D0A3FB8" w:rsidR="009A0351" w:rsidRPr="009A0351" w:rsidRDefault="009A0351" w:rsidP="009A0351">
      <w:pPr>
        <w:numPr>
          <w:ilvl w:val="0"/>
          <w:numId w:val="2"/>
        </w:numPr>
        <w:spacing w:line="360" w:lineRule="auto"/>
        <w:contextualSpacing/>
        <w:rPr>
          <w:rFonts w:cs="Arial"/>
          <w:szCs w:val="22"/>
        </w:rPr>
      </w:pPr>
      <w:r w:rsidRPr="009A0351">
        <w:rPr>
          <w:rFonts w:cs="Arial"/>
          <w:szCs w:val="22"/>
        </w:rPr>
        <w:t xml:space="preserve">must comply with the Scheme, and with any other law of the Commonwealth or of a </w:t>
      </w:r>
      <w:r w:rsidR="00462888">
        <w:rPr>
          <w:rFonts w:cs="Arial"/>
          <w:szCs w:val="22"/>
        </w:rPr>
        <w:t>state or t</w:t>
      </w:r>
      <w:r w:rsidRPr="009A0351">
        <w:rPr>
          <w:rFonts w:cs="Arial"/>
          <w:szCs w:val="22"/>
        </w:rPr>
        <w:t>erritory that relates to dealings with investors and tenants; and</w:t>
      </w:r>
    </w:p>
    <w:p w14:paraId="2BE8AF5A" w14:textId="77777777" w:rsidR="009A0351" w:rsidRPr="009A0351" w:rsidRDefault="009A0351" w:rsidP="009A0351">
      <w:pPr>
        <w:numPr>
          <w:ilvl w:val="0"/>
          <w:numId w:val="2"/>
        </w:numPr>
        <w:spacing w:line="360" w:lineRule="auto"/>
        <w:contextualSpacing/>
        <w:rPr>
          <w:rFonts w:cs="Arial"/>
          <w:szCs w:val="22"/>
        </w:rPr>
      </w:pPr>
      <w:r w:rsidRPr="009A0351">
        <w:rPr>
          <w:rFonts w:cs="Arial"/>
          <w:szCs w:val="22"/>
        </w:rPr>
        <w:t>must lodge an annual Statement of Compliance in relation to the dwelling; and</w:t>
      </w:r>
    </w:p>
    <w:p w14:paraId="2BE8AF5B" w14:textId="77777777" w:rsidR="009A0351" w:rsidRPr="009A0351" w:rsidRDefault="009A0351" w:rsidP="009A0351">
      <w:pPr>
        <w:numPr>
          <w:ilvl w:val="0"/>
          <w:numId w:val="2"/>
        </w:numPr>
        <w:spacing w:line="360" w:lineRule="auto"/>
        <w:contextualSpacing/>
        <w:rPr>
          <w:rFonts w:cs="Arial"/>
          <w:szCs w:val="22"/>
        </w:rPr>
      </w:pPr>
      <w:r w:rsidRPr="009A0351">
        <w:rPr>
          <w:rFonts w:cs="Arial"/>
          <w:szCs w:val="22"/>
        </w:rPr>
        <w:t>must respond to a communication from an investor within 30 days, unless the approved participant has a reasonable excuse; and</w:t>
      </w:r>
    </w:p>
    <w:p w14:paraId="2BE8AF5C" w14:textId="3D3B5EAB" w:rsidR="009A0351" w:rsidRPr="009A0351" w:rsidRDefault="009A0351" w:rsidP="009A0351">
      <w:pPr>
        <w:numPr>
          <w:ilvl w:val="0"/>
          <w:numId w:val="2"/>
        </w:numPr>
        <w:spacing w:line="360" w:lineRule="auto"/>
        <w:contextualSpacing/>
        <w:rPr>
          <w:rFonts w:cs="Arial"/>
          <w:szCs w:val="22"/>
        </w:rPr>
      </w:pPr>
      <w:r w:rsidRPr="009A0351">
        <w:rPr>
          <w:rFonts w:cs="Arial"/>
          <w:szCs w:val="22"/>
        </w:rPr>
        <w:t>must have an internal or external dispute resolution</w:t>
      </w:r>
      <w:bookmarkStart w:id="1" w:name="BK_S3P26L1C58"/>
      <w:bookmarkEnd w:id="1"/>
      <w:r w:rsidRPr="009A0351">
        <w:rPr>
          <w:rFonts w:cs="Arial"/>
          <w:szCs w:val="22"/>
        </w:rPr>
        <w:t xml:space="preserve"> mechanism for use </w:t>
      </w:r>
      <w:r w:rsidR="00462888">
        <w:rPr>
          <w:rFonts w:cs="Arial"/>
          <w:szCs w:val="22"/>
        </w:rPr>
        <w:br/>
      </w:r>
      <w:r w:rsidRPr="009A0351">
        <w:rPr>
          <w:rFonts w:cs="Arial"/>
          <w:szCs w:val="22"/>
        </w:rPr>
        <w:t>by investors; and</w:t>
      </w:r>
    </w:p>
    <w:p w14:paraId="2BE8AF5D" w14:textId="77777777" w:rsidR="009A0351" w:rsidRPr="009A0351" w:rsidRDefault="009A0351" w:rsidP="009A0351">
      <w:pPr>
        <w:numPr>
          <w:ilvl w:val="0"/>
          <w:numId w:val="2"/>
        </w:numPr>
        <w:spacing w:line="360" w:lineRule="auto"/>
        <w:contextualSpacing/>
        <w:rPr>
          <w:rFonts w:cs="Arial"/>
          <w:szCs w:val="22"/>
        </w:rPr>
      </w:pPr>
      <w:r w:rsidRPr="009A0351">
        <w:rPr>
          <w:rFonts w:cs="Arial"/>
          <w:szCs w:val="22"/>
        </w:rPr>
        <w:t>must not enforce, seek to enforce, or threaten to enforce, an unfair arrangement; and</w:t>
      </w:r>
    </w:p>
    <w:p w14:paraId="2BE8AF5E" w14:textId="77777777" w:rsidR="009A0351" w:rsidRPr="009A0351" w:rsidRDefault="009A0351" w:rsidP="009A0351">
      <w:pPr>
        <w:numPr>
          <w:ilvl w:val="0"/>
          <w:numId w:val="2"/>
        </w:numPr>
        <w:spacing w:line="360" w:lineRule="auto"/>
        <w:contextualSpacing/>
        <w:rPr>
          <w:rFonts w:cs="Arial"/>
          <w:szCs w:val="22"/>
        </w:rPr>
      </w:pPr>
      <w:r w:rsidRPr="009A0351">
        <w:rPr>
          <w:rFonts w:cs="Arial"/>
          <w:szCs w:val="22"/>
        </w:rPr>
        <w:t>must not make a misrepresentation to an investor; and</w:t>
      </w:r>
    </w:p>
    <w:p w14:paraId="2BE8AF5F" w14:textId="77777777" w:rsidR="009A0351" w:rsidRPr="009A0351" w:rsidRDefault="009A0351" w:rsidP="009A0351">
      <w:pPr>
        <w:numPr>
          <w:ilvl w:val="0"/>
          <w:numId w:val="2"/>
        </w:numPr>
        <w:spacing w:line="360" w:lineRule="auto"/>
        <w:contextualSpacing/>
        <w:rPr>
          <w:rFonts w:cs="Arial"/>
          <w:szCs w:val="22"/>
        </w:rPr>
      </w:pPr>
      <w:r w:rsidRPr="009A0351">
        <w:rPr>
          <w:rFonts w:cs="Arial"/>
          <w:szCs w:val="22"/>
        </w:rPr>
        <w:t>must not engage in misleading or deceptive conduct in relation to an investor; and</w:t>
      </w:r>
    </w:p>
    <w:p w14:paraId="2BE8AF60" w14:textId="77777777" w:rsidR="009A0351" w:rsidRPr="009A0351" w:rsidRDefault="009A0351" w:rsidP="009A0351">
      <w:pPr>
        <w:numPr>
          <w:ilvl w:val="0"/>
          <w:numId w:val="2"/>
        </w:numPr>
        <w:spacing w:line="360" w:lineRule="auto"/>
        <w:contextualSpacing/>
        <w:rPr>
          <w:rFonts w:cs="Arial"/>
          <w:szCs w:val="22"/>
        </w:rPr>
      </w:pPr>
      <w:r w:rsidRPr="009A0351">
        <w:rPr>
          <w:rFonts w:cs="Arial"/>
          <w:szCs w:val="22"/>
        </w:rPr>
        <w:lastRenderedPageBreak/>
        <w:t>must not threaten or coerce an investor to take an action the investor is not required to take under an arrangement; and</w:t>
      </w:r>
    </w:p>
    <w:p w14:paraId="2BE8AF61" w14:textId="77777777" w:rsidR="009A0351" w:rsidRPr="009A0351" w:rsidRDefault="009A0351" w:rsidP="009A0351">
      <w:pPr>
        <w:numPr>
          <w:ilvl w:val="0"/>
          <w:numId w:val="2"/>
        </w:numPr>
        <w:spacing w:line="360" w:lineRule="auto"/>
        <w:contextualSpacing/>
        <w:rPr>
          <w:rFonts w:cs="Arial"/>
          <w:szCs w:val="22"/>
        </w:rPr>
      </w:pPr>
      <w:r w:rsidRPr="009A0351">
        <w:rPr>
          <w:rFonts w:cs="Arial"/>
          <w:szCs w:val="22"/>
        </w:rPr>
        <w:t>must not prevent an investor from entering into an arrangement with a suitably qualified and experienced person in relation to the dwelling; and</w:t>
      </w:r>
    </w:p>
    <w:p w14:paraId="2BE8AF62" w14:textId="77777777" w:rsidR="009A0351" w:rsidRPr="009A0351" w:rsidRDefault="009A0351" w:rsidP="009A0351">
      <w:pPr>
        <w:numPr>
          <w:ilvl w:val="0"/>
          <w:numId w:val="2"/>
        </w:numPr>
        <w:spacing w:line="360" w:lineRule="auto"/>
        <w:contextualSpacing/>
        <w:rPr>
          <w:rFonts w:cs="Arial"/>
          <w:szCs w:val="22"/>
        </w:rPr>
      </w:pPr>
      <w:r w:rsidRPr="009A0351">
        <w:rPr>
          <w:rFonts w:cs="Arial"/>
          <w:szCs w:val="22"/>
        </w:rPr>
        <w:t>must not threaten to take action that would result in an investor not receiving incentive to which the investor is entitled under law; and</w:t>
      </w:r>
    </w:p>
    <w:p w14:paraId="2BE8AF63" w14:textId="77777777" w:rsidR="009A0351" w:rsidRPr="009A0351" w:rsidRDefault="009A0351" w:rsidP="009A0351">
      <w:pPr>
        <w:numPr>
          <w:ilvl w:val="0"/>
          <w:numId w:val="2"/>
        </w:numPr>
        <w:spacing w:line="360" w:lineRule="auto"/>
        <w:contextualSpacing/>
        <w:rPr>
          <w:rFonts w:cs="Arial"/>
          <w:szCs w:val="22"/>
        </w:rPr>
      </w:pPr>
      <w:r w:rsidRPr="009A0351">
        <w:rPr>
          <w:rFonts w:cs="Arial"/>
          <w:szCs w:val="22"/>
        </w:rPr>
        <w:t>must not require an investor to enter into an arrangement with another person in relation to the dwelling, unless the arrangement relates to a property management service provider and the approved participant is able to ensure that the provider:</w:t>
      </w:r>
    </w:p>
    <w:p w14:paraId="2BE8AF64" w14:textId="77777777" w:rsidR="009A0351" w:rsidRPr="009A0351" w:rsidRDefault="009A0351" w:rsidP="009A0351">
      <w:pPr>
        <w:numPr>
          <w:ilvl w:val="0"/>
          <w:numId w:val="3"/>
        </w:numPr>
        <w:spacing w:line="360" w:lineRule="auto"/>
        <w:contextualSpacing/>
        <w:rPr>
          <w:rFonts w:cs="Arial"/>
          <w:szCs w:val="22"/>
        </w:rPr>
      </w:pPr>
      <w:r w:rsidRPr="009A0351">
        <w:rPr>
          <w:rFonts w:cs="Arial"/>
          <w:szCs w:val="22"/>
        </w:rPr>
        <w:t>complies with the arrangement between the provider and the investor; and</w:t>
      </w:r>
    </w:p>
    <w:p w14:paraId="2BE8AF65" w14:textId="77777777" w:rsidR="009A0351" w:rsidRPr="009A0351" w:rsidRDefault="009A0351" w:rsidP="009A0351">
      <w:pPr>
        <w:numPr>
          <w:ilvl w:val="0"/>
          <w:numId w:val="3"/>
        </w:numPr>
        <w:spacing w:before="0" w:after="0" w:line="360" w:lineRule="auto"/>
        <w:contextualSpacing/>
        <w:rPr>
          <w:rFonts w:cs="Arial"/>
          <w:szCs w:val="22"/>
        </w:rPr>
      </w:pPr>
      <w:r w:rsidRPr="009A0351">
        <w:rPr>
          <w:rFonts w:cs="Arial"/>
          <w:szCs w:val="22"/>
        </w:rPr>
        <w:t>complies with legal obligations relating to the investor in a timely manner; and</w:t>
      </w:r>
    </w:p>
    <w:p w14:paraId="2BE8AF66" w14:textId="0E3DCA02" w:rsidR="009A0351" w:rsidRPr="009A0351" w:rsidRDefault="00462888" w:rsidP="00462888">
      <w:pPr>
        <w:numPr>
          <w:ilvl w:val="0"/>
          <w:numId w:val="3"/>
        </w:numPr>
        <w:spacing w:before="0" w:after="0" w:line="360" w:lineRule="auto"/>
        <w:contextualSpacing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9A0351" w:rsidRPr="009A0351">
        <w:rPr>
          <w:rFonts w:cs="Arial"/>
          <w:szCs w:val="22"/>
        </w:rPr>
        <w:t xml:space="preserve">complies with the laws of the Commonwealth and the </w:t>
      </w:r>
      <w:r>
        <w:rPr>
          <w:rFonts w:cs="Arial"/>
          <w:szCs w:val="22"/>
        </w:rPr>
        <w:t>s</w:t>
      </w:r>
      <w:r w:rsidR="009A0351" w:rsidRPr="009A0351">
        <w:rPr>
          <w:rFonts w:cs="Arial"/>
          <w:szCs w:val="22"/>
        </w:rPr>
        <w:t xml:space="preserve">tates and </w:t>
      </w:r>
      <w:r>
        <w:rPr>
          <w:rFonts w:cs="Arial"/>
          <w:szCs w:val="22"/>
        </w:rPr>
        <w:t>t</w:t>
      </w:r>
      <w:r w:rsidR="009A0351" w:rsidRPr="009A0351">
        <w:rPr>
          <w:rFonts w:cs="Arial"/>
          <w:szCs w:val="22"/>
        </w:rPr>
        <w:t>erritories in relation to dealings with investors and tenants; and</w:t>
      </w:r>
    </w:p>
    <w:p w14:paraId="2BE8AF67" w14:textId="737B6C51" w:rsidR="009A0351" w:rsidRPr="009A0351" w:rsidRDefault="00462888" w:rsidP="009A0351">
      <w:pPr>
        <w:numPr>
          <w:ilvl w:val="0"/>
          <w:numId w:val="3"/>
        </w:numPr>
        <w:spacing w:before="0" w:after="0" w:line="360" w:lineRule="auto"/>
        <w:contextualSpacing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9A0351" w:rsidRPr="009A0351">
        <w:rPr>
          <w:rFonts w:cs="Arial"/>
          <w:szCs w:val="22"/>
        </w:rPr>
        <w:t>does not enforce, seek to enforce, or threaten to enforce, an unfair arrangement with an investor; and</w:t>
      </w:r>
    </w:p>
    <w:p w14:paraId="2BE8AF68" w14:textId="77777777" w:rsidR="009A0351" w:rsidRPr="009A0351" w:rsidRDefault="009A0351" w:rsidP="009A0351">
      <w:pPr>
        <w:numPr>
          <w:ilvl w:val="0"/>
          <w:numId w:val="3"/>
        </w:numPr>
        <w:spacing w:before="0" w:after="0" w:line="360" w:lineRule="auto"/>
        <w:contextualSpacing/>
        <w:rPr>
          <w:rFonts w:cs="Arial"/>
          <w:szCs w:val="22"/>
        </w:rPr>
      </w:pPr>
      <w:r w:rsidRPr="009A0351">
        <w:rPr>
          <w:rFonts w:cs="Arial"/>
          <w:szCs w:val="22"/>
        </w:rPr>
        <w:t>does not make a misrepresentation to an investor; and</w:t>
      </w:r>
    </w:p>
    <w:p w14:paraId="2BE8AF69" w14:textId="16400B8C" w:rsidR="009A0351" w:rsidRPr="009A0351" w:rsidRDefault="00462888" w:rsidP="009A0351">
      <w:pPr>
        <w:numPr>
          <w:ilvl w:val="0"/>
          <w:numId w:val="3"/>
        </w:numPr>
        <w:spacing w:before="0" w:after="0" w:line="360" w:lineRule="auto"/>
        <w:contextualSpacing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9A0351" w:rsidRPr="009A0351">
        <w:rPr>
          <w:rFonts w:cs="Arial"/>
          <w:szCs w:val="22"/>
        </w:rPr>
        <w:t xml:space="preserve">does not engage in misleading or deceptive conduct in relation </w:t>
      </w:r>
      <w:r>
        <w:rPr>
          <w:rFonts w:cs="Arial"/>
          <w:szCs w:val="22"/>
        </w:rPr>
        <w:br/>
      </w:r>
      <w:r w:rsidR="009A0351" w:rsidRPr="009A0351">
        <w:rPr>
          <w:rFonts w:cs="Arial"/>
          <w:szCs w:val="22"/>
        </w:rPr>
        <w:t>to an investor; and</w:t>
      </w:r>
    </w:p>
    <w:p w14:paraId="2BE8AF6A" w14:textId="77777777" w:rsidR="009A0351" w:rsidRPr="009A0351" w:rsidRDefault="009A0351" w:rsidP="009A0351">
      <w:pPr>
        <w:autoSpaceDE w:val="0"/>
        <w:autoSpaceDN w:val="0"/>
        <w:adjustRightInd w:val="0"/>
        <w:spacing w:before="0" w:after="0" w:line="360" w:lineRule="auto"/>
        <w:ind w:left="360"/>
        <w:rPr>
          <w:rFonts w:cs="Arial"/>
          <w:color w:val="000000"/>
          <w:spacing w:val="0"/>
          <w:szCs w:val="22"/>
        </w:rPr>
      </w:pPr>
      <w:r w:rsidRPr="009A0351">
        <w:rPr>
          <w:rFonts w:cs="Arial"/>
          <w:color w:val="000000"/>
          <w:spacing w:val="0"/>
          <w:szCs w:val="22"/>
        </w:rPr>
        <w:t xml:space="preserve">(vii) </w:t>
      </w:r>
      <w:proofErr w:type="gramStart"/>
      <w:r w:rsidRPr="009A0351">
        <w:rPr>
          <w:rFonts w:cs="Arial"/>
          <w:color w:val="000000"/>
          <w:spacing w:val="0"/>
          <w:szCs w:val="22"/>
        </w:rPr>
        <w:t>does</w:t>
      </w:r>
      <w:proofErr w:type="gramEnd"/>
      <w:r w:rsidRPr="009A0351">
        <w:rPr>
          <w:rFonts w:cs="Arial"/>
          <w:color w:val="000000"/>
          <w:spacing w:val="0"/>
          <w:szCs w:val="22"/>
        </w:rPr>
        <w:t xml:space="preserve"> not threaten or coerce an investor to take action the investor is not required to take under contract; and </w:t>
      </w:r>
    </w:p>
    <w:p w14:paraId="69A21C50" w14:textId="5D747012" w:rsidR="005D2747" w:rsidRPr="00313E61" w:rsidRDefault="009A0351" w:rsidP="00313E61">
      <w:pPr>
        <w:numPr>
          <w:ilvl w:val="0"/>
          <w:numId w:val="2"/>
        </w:numPr>
        <w:spacing w:line="360" w:lineRule="auto"/>
        <w:contextualSpacing/>
        <w:rPr>
          <w:rFonts w:cs="Arial"/>
          <w:szCs w:val="22"/>
        </w:rPr>
      </w:pPr>
      <w:r w:rsidRPr="009A0351">
        <w:rPr>
          <w:rFonts w:cs="Arial"/>
          <w:szCs w:val="22"/>
        </w:rPr>
        <w:t xml:space="preserve"> </w:t>
      </w:r>
      <w:proofErr w:type="gramStart"/>
      <w:r w:rsidRPr="009A0351">
        <w:rPr>
          <w:rFonts w:cs="Arial"/>
          <w:szCs w:val="22"/>
        </w:rPr>
        <w:t>if</w:t>
      </w:r>
      <w:proofErr w:type="gramEnd"/>
      <w:r w:rsidRPr="009A0351">
        <w:rPr>
          <w:rFonts w:cs="Arial"/>
          <w:szCs w:val="22"/>
        </w:rPr>
        <w:t xml:space="preserve"> the approved participant requires the investor to enter into an arrangement as mentioned in paragraph (l)—must ensure</w:t>
      </w:r>
      <w:r w:rsidRPr="009A0351">
        <w:rPr>
          <w:szCs w:val="22"/>
        </w:rPr>
        <w:t xml:space="preserve"> </w:t>
      </w:r>
      <w:r w:rsidRPr="009A0351">
        <w:rPr>
          <w:rFonts w:cs="Arial"/>
          <w:szCs w:val="22"/>
        </w:rPr>
        <w:t>that the property management service provider acts in accordance with subparagraphs (l)(</w:t>
      </w:r>
      <w:proofErr w:type="spellStart"/>
      <w:r w:rsidRPr="009A0351">
        <w:rPr>
          <w:rFonts w:cs="Arial"/>
          <w:szCs w:val="22"/>
        </w:rPr>
        <w:t>i</w:t>
      </w:r>
      <w:proofErr w:type="spellEnd"/>
      <w:r w:rsidRPr="009A0351">
        <w:rPr>
          <w:rFonts w:cs="Arial"/>
          <w:szCs w:val="22"/>
        </w:rPr>
        <w:t>) to (vii).</w:t>
      </w:r>
    </w:p>
    <w:sectPr w:rsidR="005D2747" w:rsidRPr="00313E61" w:rsidSect="0074677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993925" w14:textId="77777777" w:rsidR="008D1006" w:rsidRDefault="008D1006" w:rsidP="00B04ED8">
      <w:pPr>
        <w:spacing w:after="0" w:line="240" w:lineRule="auto"/>
      </w:pPr>
      <w:r>
        <w:separator/>
      </w:r>
    </w:p>
  </w:endnote>
  <w:endnote w:type="continuationSeparator" w:id="0">
    <w:p w14:paraId="2EEEEC7F" w14:textId="77777777" w:rsidR="008D1006" w:rsidRDefault="008D1006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8AF75" w14:textId="77777777" w:rsidR="00B04ED8" w:rsidRDefault="00B04E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8AF76" w14:textId="77777777" w:rsidR="00B04ED8" w:rsidRDefault="00B04E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8AF78" w14:textId="77777777" w:rsidR="00B04ED8" w:rsidRDefault="00B04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7573FC" w14:textId="77777777" w:rsidR="008D1006" w:rsidRDefault="008D1006" w:rsidP="00B04ED8">
      <w:pPr>
        <w:spacing w:after="0" w:line="240" w:lineRule="auto"/>
      </w:pPr>
      <w:r>
        <w:separator/>
      </w:r>
    </w:p>
  </w:footnote>
  <w:footnote w:type="continuationSeparator" w:id="0">
    <w:p w14:paraId="7401A3A7" w14:textId="77777777" w:rsidR="008D1006" w:rsidRDefault="008D1006" w:rsidP="00B0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8AF73" w14:textId="77777777" w:rsidR="00B04ED8" w:rsidRDefault="00B04E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8AF74" w14:textId="77777777" w:rsidR="00B04ED8" w:rsidRDefault="00B04E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8AF77" w14:textId="77777777" w:rsidR="00B04ED8" w:rsidRDefault="00B04E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40119"/>
    <w:multiLevelType w:val="hybridMultilevel"/>
    <w:tmpl w:val="9FA2A2B0"/>
    <w:lvl w:ilvl="0" w:tplc="D3948E5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E5AF3"/>
    <w:multiLevelType w:val="hybridMultilevel"/>
    <w:tmpl w:val="3E8E5CB2"/>
    <w:lvl w:ilvl="0" w:tplc="28EEA96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35566"/>
    <w:multiLevelType w:val="hybridMultilevel"/>
    <w:tmpl w:val="5DBEA8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C60DD0"/>
    <w:multiLevelType w:val="hybridMultilevel"/>
    <w:tmpl w:val="0ABAE618"/>
    <w:lvl w:ilvl="0" w:tplc="86BE8F90">
      <w:start w:val="1"/>
      <w:numFmt w:val="lowerLetter"/>
      <w:lvlText w:val="(%1)"/>
      <w:lvlJc w:val="left"/>
      <w:pPr>
        <w:ind w:left="360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351"/>
    <w:rsid w:val="00005633"/>
    <w:rsid w:val="00034B4C"/>
    <w:rsid w:val="000F2EC9"/>
    <w:rsid w:val="00106DA6"/>
    <w:rsid w:val="001E630D"/>
    <w:rsid w:val="001F34DC"/>
    <w:rsid w:val="00237EB0"/>
    <w:rsid w:val="00260A6D"/>
    <w:rsid w:val="00261A47"/>
    <w:rsid w:val="002663F0"/>
    <w:rsid w:val="00284DC9"/>
    <w:rsid w:val="002C177A"/>
    <w:rsid w:val="00313E61"/>
    <w:rsid w:val="00385E1D"/>
    <w:rsid w:val="003B2BB8"/>
    <w:rsid w:val="003D34FF"/>
    <w:rsid w:val="00462888"/>
    <w:rsid w:val="00483E3F"/>
    <w:rsid w:val="004B54CA"/>
    <w:rsid w:val="004E5CBF"/>
    <w:rsid w:val="00500742"/>
    <w:rsid w:val="0052049F"/>
    <w:rsid w:val="005729CB"/>
    <w:rsid w:val="005C3AA9"/>
    <w:rsid w:val="005D2747"/>
    <w:rsid w:val="00621FC5"/>
    <w:rsid w:val="00637B02"/>
    <w:rsid w:val="0066750B"/>
    <w:rsid w:val="00676F16"/>
    <w:rsid w:val="00683A84"/>
    <w:rsid w:val="006A4CE7"/>
    <w:rsid w:val="006C0D2D"/>
    <w:rsid w:val="006E1142"/>
    <w:rsid w:val="0074677D"/>
    <w:rsid w:val="00757072"/>
    <w:rsid w:val="00785261"/>
    <w:rsid w:val="007B0256"/>
    <w:rsid w:val="0083177B"/>
    <w:rsid w:val="008D1006"/>
    <w:rsid w:val="008F1AA8"/>
    <w:rsid w:val="009225F0"/>
    <w:rsid w:val="00930C77"/>
    <w:rsid w:val="0093462C"/>
    <w:rsid w:val="00952096"/>
    <w:rsid w:val="00953795"/>
    <w:rsid w:val="009563C7"/>
    <w:rsid w:val="00974189"/>
    <w:rsid w:val="009A0351"/>
    <w:rsid w:val="009F23D4"/>
    <w:rsid w:val="00A4318B"/>
    <w:rsid w:val="00B04ED8"/>
    <w:rsid w:val="00B91E3E"/>
    <w:rsid w:val="00BA2DB9"/>
    <w:rsid w:val="00BE7148"/>
    <w:rsid w:val="00C3423E"/>
    <w:rsid w:val="00C5050B"/>
    <w:rsid w:val="00C84DD7"/>
    <w:rsid w:val="00CB5863"/>
    <w:rsid w:val="00CF642B"/>
    <w:rsid w:val="00D30730"/>
    <w:rsid w:val="00D31755"/>
    <w:rsid w:val="00DA243A"/>
    <w:rsid w:val="00E273E4"/>
    <w:rsid w:val="00E90623"/>
    <w:rsid w:val="00EC3B9D"/>
    <w:rsid w:val="00F123E8"/>
    <w:rsid w:val="00F30AFE"/>
    <w:rsid w:val="00F7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BE8AF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351"/>
    <w:pPr>
      <w:spacing w:before="120" w:after="180" w:line="280" w:lineRule="atLeast"/>
    </w:pPr>
    <w:rPr>
      <w:rFonts w:ascii="Arial" w:eastAsia="Times New Roman" w:hAnsi="Arial" w:cs="Times New Roman"/>
      <w:spacing w:val="4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2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99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paragraph" w:customStyle="1" w:styleId="Smalltext">
    <w:name w:val="Small text"/>
    <w:basedOn w:val="Normal"/>
    <w:rsid w:val="009A0351"/>
    <w:pPr>
      <w:spacing w:before="0" w:after="240" w:line="240" w:lineRule="auto"/>
      <w:ind w:left="142" w:hanging="142"/>
      <w:jc w:val="right"/>
    </w:pPr>
    <w:rPr>
      <w:sz w:val="12"/>
      <w:szCs w:val="16"/>
      <w:lang w:val="en-US"/>
    </w:rPr>
  </w:style>
  <w:style w:type="character" w:styleId="Hyperlink">
    <w:name w:val="Hyperlink"/>
    <w:basedOn w:val="DefaultParagraphFont"/>
    <w:uiPriority w:val="99"/>
    <w:rsid w:val="009A0351"/>
    <w:rPr>
      <w:rFonts w:ascii="Arial" w:hAnsi="Arial"/>
      <w:b w:val="0"/>
      <w:color w:val="0000FF"/>
      <w:u w:val="single"/>
    </w:rPr>
  </w:style>
  <w:style w:type="paragraph" w:customStyle="1" w:styleId="Default">
    <w:name w:val="Default"/>
    <w:rsid w:val="009A03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C505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5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50B"/>
    <w:rPr>
      <w:rFonts w:ascii="Arial" w:eastAsia="Times New Roman" w:hAnsi="Arial" w:cs="Times New Roman"/>
      <w:spacing w:val="4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05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050B"/>
    <w:rPr>
      <w:rFonts w:ascii="Arial" w:eastAsia="Times New Roman" w:hAnsi="Arial" w:cs="Times New Roman"/>
      <w:b/>
      <w:bCs/>
      <w:spacing w:val="4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50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50B"/>
    <w:rPr>
      <w:rFonts w:ascii="Segoe UI" w:eastAsia="Times New Roman" w:hAnsi="Segoe UI" w:cs="Segoe UI"/>
      <w:spacing w:val="4"/>
      <w:sz w:val="18"/>
      <w:szCs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9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448144A633C940BB39A129AC7045CA" ma:contentTypeVersion="2" ma:contentTypeDescription="Create a new document." ma:contentTypeScope="" ma:versionID="b347594513771d0e102bffc12e3e8d03">
  <xsd:schema xmlns:xsd="http://www.w3.org/2001/XMLSchema" xmlns:xs="http://www.w3.org/2001/XMLSchema" xmlns:p="http://schemas.microsoft.com/office/2006/metadata/properties" xmlns:ns1="http://schemas.microsoft.com/sharepoint/v3" xmlns:ns2="da13057a-72c5-49de-bee4-ff261e81e83e" xmlns:ns3="906c5a57-8f5c-4de1-a895-399cda7859bc" targetNamespace="http://schemas.microsoft.com/office/2006/metadata/properties" ma:root="true" ma:fieldsID="b89191b118b87722a4d30ef9aa3c1c09" ns1:_="" ns2:_="" ns3:_="">
    <xsd:import namespace="http://schemas.microsoft.com/sharepoint/v3"/>
    <xsd:import namespace="da13057a-72c5-49de-bee4-ff261e81e83e"/>
    <xsd:import namespace="906c5a57-8f5c-4de1-a895-399cda7859b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3057a-72c5-49de-bee4-ff261e81e83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c5a57-8f5c-4de1-a895-399cda7859b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DB7B0-251A-4558-8F54-3355202FF8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904073-8CAF-4BE1-860C-F0DC5C3CA683}">
  <ds:schemaRefs>
    <ds:schemaRef ds:uri="http://purl.org/dc/elements/1.1/"/>
    <ds:schemaRef ds:uri="http://schemas.microsoft.com/office/2006/metadata/properties"/>
    <ds:schemaRef ds:uri="da13057a-72c5-49de-bee4-ff261e81e83e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06c5a57-8f5c-4de1-a895-399cda7859b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56C01E7-61BA-4A40-87C6-A2B2437B24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a13057a-72c5-49de-bee4-ff261e81e83e"/>
    <ds:schemaRef ds:uri="906c5a57-8f5c-4de1-a895-399cda7859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86C8C6-E81F-47B7-8A49-87297552D00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708F7E9-29BD-4AF8-B092-11291FF86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2711</Characters>
  <Application>Microsoft Office Word</Application>
  <DocSecurity>0</DocSecurity>
  <Lines>55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2022-03-07T04:38:00Z</dcterms:created>
  <dcterms:modified xsi:type="dcterms:W3CDTF">2022-07-13T21:31:00Z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0x0101000C448144A633C940BB39A129AC7045CA</vt:lpwstr>
  </property>
  <property fmtid="{D5CDD505-2E9C-101B-9397-08002B2CF9AE}" pid="3" name="PM_ProtectiveMarkingImage_Header">
    <vt:lpwstr>C:\Program Files (x86)\Common Files\janusNET Shared\janusSEAL\Images\DocumentSlashBlue.png</vt:lpwstr>
  </property>
  <property fmtid="{D5CDD505-2E9C-101B-9397-08002B2CF9AE}" pid="4" name="PM_Caveats_Count">
    <vt:lpwstr>0</vt:lpwstr>
  </property>
  <property fmtid="{D5CDD505-2E9C-101B-9397-08002B2CF9AE}" pid="5" name="PM_DisplayValueSecClassificationWithQualifier">
    <vt:lpwstr>OFFICIAL</vt:lpwstr>
  </property>
  <property fmtid="{D5CDD505-2E9C-101B-9397-08002B2CF9AE}" pid="6" name="PM_Qualifier">
    <vt:lpwstr/>
  </property>
  <property fmtid="{D5CDD505-2E9C-101B-9397-08002B2CF9AE}" pid="7" name="PM_SecurityClassification">
    <vt:lpwstr>OFFICIAL</vt:lpwstr>
  </property>
  <property fmtid="{D5CDD505-2E9C-101B-9397-08002B2CF9AE}" pid="8" name="PM_InsertionValue">
    <vt:lpwstr>OFFICIAL</vt:lpwstr>
  </property>
  <property fmtid="{D5CDD505-2E9C-101B-9397-08002B2CF9AE}" pid="9" name="PM_Originating_FileId">
    <vt:lpwstr>9C6B00BD066C49C6A7AEC25892F308EB</vt:lpwstr>
  </property>
  <property fmtid="{D5CDD505-2E9C-101B-9397-08002B2CF9AE}" pid="10" name="PM_ProtectiveMarkingValue_Footer">
    <vt:lpwstr>OFFICIAL</vt:lpwstr>
  </property>
  <property fmtid="{D5CDD505-2E9C-101B-9397-08002B2CF9AE}" pid="11" name="PM_Originator_Hash_SHA1">
    <vt:lpwstr>2472B23DD73C4C4AA3AFF8BAA407407A5E72F7DA</vt:lpwstr>
  </property>
  <property fmtid="{D5CDD505-2E9C-101B-9397-08002B2CF9AE}" pid="12" name="PM_OriginationTimeStamp">
    <vt:lpwstr>2022-07-13T21:31:26Z</vt:lpwstr>
  </property>
  <property fmtid="{D5CDD505-2E9C-101B-9397-08002B2CF9AE}" pid="13" name="PM_ProtectiveMarkingValue_Header">
    <vt:lpwstr>OFFICIAL</vt:lpwstr>
  </property>
  <property fmtid="{D5CDD505-2E9C-101B-9397-08002B2CF9AE}" pid="14" name="PM_ProtectiveMarkingImage_Footer">
    <vt:lpwstr>C:\Program Files (x86)\Common Files\janusNET Shared\janusSEAL\Images\DocumentSlashBlue.png</vt:lpwstr>
  </property>
  <property fmtid="{D5CDD505-2E9C-101B-9397-08002B2CF9AE}" pid="15" name="PM_Namespace">
    <vt:lpwstr>gov.au</vt:lpwstr>
  </property>
  <property fmtid="{D5CDD505-2E9C-101B-9397-08002B2CF9AE}" pid="16" name="PM_Version">
    <vt:lpwstr>2018.4</vt:lpwstr>
  </property>
  <property fmtid="{D5CDD505-2E9C-101B-9397-08002B2CF9AE}" pid="17" name="PM_Note">
    <vt:lpwstr/>
  </property>
  <property fmtid="{D5CDD505-2E9C-101B-9397-08002B2CF9AE}" pid="18" name="PM_Markers">
    <vt:lpwstr/>
  </property>
  <property fmtid="{D5CDD505-2E9C-101B-9397-08002B2CF9AE}" pid="19" name="PM_Display">
    <vt:lpwstr>OFFICIAL</vt:lpwstr>
  </property>
  <property fmtid="{D5CDD505-2E9C-101B-9397-08002B2CF9AE}" pid="20" name="PM_Hash_Version">
    <vt:lpwstr>2018.0</vt:lpwstr>
  </property>
  <property fmtid="{D5CDD505-2E9C-101B-9397-08002B2CF9AE}" pid="21" name="PM_Hash_Salt_Prev">
    <vt:lpwstr>81910C6DBE738873A0079A2104911D82</vt:lpwstr>
  </property>
  <property fmtid="{D5CDD505-2E9C-101B-9397-08002B2CF9AE}" pid="22" name="PM_Hash_Salt">
    <vt:lpwstr>549F76FD0ABADED4243B1C72BB61E600</vt:lpwstr>
  </property>
  <property fmtid="{D5CDD505-2E9C-101B-9397-08002B2CF9AE}" pid="23" name="PM_Hash_SHA1">
    <vt:lpwstr>4C2800CDCE06052480F20D31A50CE90F8FDF7F13</vt:lpwstr>
  </property>
  <property fmtid="{D5CDD505-2E9C-101B-9397-08002B2CF9AE}" pid="24" name="PM_OriginatorUserAccountName_SHA256">
    <vt:lpwstr>60A01F387B52F7E04CD45DC01F9778E294265ACB0335A7A53D7AB6032A0BDF38</vt:lpwstr>
  </property>
  <property fmtid="{D5CDD505-2E9C-101B-9397-08002B2CF9AE}" pid="25" name="PM_OriginatorDomainName_SHA256">
    <vt:lpwstr>E83A2A66C4061446A7E3732E8D44762184B6B377D962B96C83DC624302585857</vt:lpwstr>
  </property>
  <property fmtid="{D5CDD505-2E9C-101B-9397-08002B2CF9AE}" pid="26" name="PM_SecurityClassification_Prev">
    <vt:lpwstr>OFFICIAL</vt:lpwstr>
  </property>
  <property fmtid="{D5CDD505-2E9C-101B-9397-08002B2CF9AE}" pid="27" name="PM_Qualifier_Prev">
    <vt:lpwstr/>
  </property>
</Properties>
</file>