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56E2" w14:textId="5FA16308" w:rsidR="006529AF" w:rsidRPr="006249D9" w:rsidRDefault="008A421C" w:rsidP="006249D9">
      <w:pPr>
        <w:pStyle w:val="Heading1"/>
        <w:spacing w:before="0" w:after="240" w:line="240" w:lineRule="atLeast"/>
        <w:jc w:val="right"/>
        <w:rPr>
          <w:rFonts w:ascii="Arial" w:hAnsi="Arial"/>
          <w:color w:val="7030A0"/>
          <w:sz w:val="20"/>
          <w:szCs w:val="20"/>
        </w:rPr>
      </w:pPr>
      <w:bookmarkStart w:id="0" w:name="_GoBack"/>
      <w:bookmarkEnd w:id="0"/>
      <w:r>
        <w:rPr>
          <w:noProof/>
        </w:rPr>
        <w:drawing>
          <wp:inline distT="0" distB="0" distL="0" distR="0" wp14:anchorId="4A222CE7" wp14:editId="1C216AB2">
            <wp:extent cx="6480810" cy="1233738"/>
            <wp:effectExtent l="0" t="0" r="0" b="5080"/>
            <wp:docPr id="2" name="Picture 2"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810" cy="1233738"/>
                    </a:xfrm>
                    <a:prstGeom prst="rect">
                      <a:avLst/>
                    </a:prstGeom>
                  </pic:spPr>
                </pic:pic>
              </a:graphicData>
            </a:graphic>
          </wp:inline>
        </w:drawing>
      </w:r>
      <w:r w:rsidR="00F674AC">
        <w:rPr>
          <w:rFonts w:ascii="Arial" w:hAnsi="Arial"/>
          <w:color w:val="7030A0"/>
          <w:sz w:val="20"/>
          <w:szCs w:val="20"/>
        </w:rPr>
        <w:t>June</w:t>
      </w:r>
      <w:r w:rsidR="006529AF" w:rsidRPr="006249D9">
        <w:rPr>
          <w:rFonts w:ascii="Arial" w:hAnsi="Arial"/>
          <w:color w:val="7030A0"/>
          <w:sz w:val="20"/>
          <w:szCs w:val="20"/>
        </w:rPr>
        <w:t xml:space="preserve"> 202</w:t>
      </w:r>
      <w:r w:rsidR="00F674AC">
        <w:rPr>
          <w:rFonts w:ascii="Arial" w:hAnsi="Arial"/>
          <w:color w:val="7030A0"/>
          <w:sz w:val="20"/>
          <w:szCs w:val="20"/>
        </w:rPr>
        <w:t>2</w:t>
      </w:r>
    </w:p>
    <w:p w14:paraId="706A6224" w14:textId="77777777" w:rsidR="00D449BA" w:rsidRDefault="00E574D6" w:rsidP="006249D9">
      <w:pPr>
        <w:pStyle w:val="Heading1"/>
        <w:spacing w:before="0" w:after="60"/>
        <w:rPr>
          <w:color w:val="500778"/>
          <w:sz w:val="52"/>
          <w:szCs w:val="52"/>
        </w:rPr>
      </w:pPr>
      <w:r w:rsidRPr="008A421C">
        <w:rPr>
          <w:color w:val="500778"/>
          <w:sz w:val="52"/>
          <w:szCs w:val="52"/>
        </w:rPr>
        <w:t>National Rental Affordability Scheme</w:t>
      </w:r>
      <w:r w:rsidR="00B0102B">
        <w:rPr>
          <w:color w:val="500778"/>
          <w:sz w:val="52"/>
          <w:szCs w:val="52"/>
        </w:rPr>
        <w:t xml:space="preserve"> </w:t>
      </w:r>
    </w:p>
    <w:p w14:paraId="1480631E" w14:textId="091DAE59" w:rsidR="00BA4E26" w:rsidRPr="00D449BA" w:rsidRDefault="004B7BD6" w:rsidP="006249D9">
      <w:pPr>
        <w:pStyle w:val="Heading1"/>
        <w:spacing w:before="0" w:after="600"/>
        <w:rPr>
          <w:color w:val="auto"/>
          <w:sz w:val="36"/>
          <w:szCs w:val="36"/>
        </w:rPr>
      </w:pPr>
      <w:r>
        <w:rPr>
          <w:color w:val="auto"/>
          <w:sz w:val="36"/>
          <w:szCs w:val="36"/>
        </w:rPr>
        <w:t>National Rental Affordability Scheme Regulations 2020</w:t>
      </w:r>
      <w:r w:rsidR="00F3079F">
        <w:rPr>
          <w:color w:val="auto"/>
          <w:sz w:val="36"/>
          <w:szCs w:val="36"/>
        </w:rPr>
        <w:t xml:space="preserve"> </w:t>
      </w:r>
      <w:r w:rsidR="006000C6">
        <w:rPr>
          <w:color w:val="auto"/>
          <w:sz w:val="36"/>
          <w:szCs w:val="36"/>
        </w:rPr>
        <w:t>Summary of Changes</w:t>
      </w:r>
    </w:p>
    <w:p w14:paraId="3E18291F" w14:textId="2013C75B" w:rsidR="00532362" w:rsidRPr="006249D9" w:rsidRDefault="004B7BD6" w:rsidP="006249D9">
      <w:pPr>
        <w:spacing w:before="120" w:after="120" w:line="240" w:lineRule="atLeast"/>
        <w:rPr>
          <w:rStyle w:val="BookTitle"/>
          <w:rFonts w:cs="Arial"/>
          <w:i w:val="0"/>
          <w:iCs w:val="0"/>
          <w:smallCaps w:val="0"/>
          <w:spacing w:val="0"/>
          <w:sz w:val="24"/>
          <w:szCs w:val="24"/>
        </w:rPr>
      </w:pPr>
      <w:r w:rsidRPr="006249D9">
        <w:rPr>
          <w:sz w:val="24"/>
          <w:szCs w:val="24"/>
        </w:rPr>
        <w:t>On 1 April 2020</w:t>
      </w:r>
      <w:r w:rsidR="00F674AC">
        <w:rPr>
          <w:sz w:val="24"/>
          <w:szCs w:val="24"/>
        </w:rPr>
        <w:t>,</w:t>
      </w:r>
      <w:r w:rsidRPr="006249D9">
        <w:rPr>
          <w:sz w:val="24"/>
          <w:szCs w:val="24"/>
        </w:rPr>
        <w:t xml:space="preserve"> the National Rental Affordability Scheme Regulations 2020 (2020 Regulations) </w:t>
      </w:r>
      <w:r w:rsidR="006000C6" w:rsidRPr="006249D9">
        <w:rPr>
          <w:sz w:val="24"/>
          <w:szCs w:val="24"/>
        </w:rPr>
        <w:t>came</w:t>
      </w:r>
      <w:r w:rsidRPr="006249D9">
        <w:rPr>
          <w:sz w:val="24"/>
          <w:szCs w:val="24"/>
        </w:rPr>
        <w:t xml:space="preserve"> into effect</w:t>
      </w:r>
      <w:r w:rsidR="006000C6" w:rsidRPr="006249D9">
        <w:rPr>
          <w:sz w:val="24"/>
          <w:szCs w:val="24"/>
        </w:rPr>
        <w:t xml:space="preserve"> and replaced</w:t>
      </w:r>
      <w:r w:rsidRPr="006249D9">
        <w:rPr>
          <w:sz w:val="24"/>
          <w:szCs w:val="24"/>
        </w:rPr>
        <w:t xml:space="preserve"> the </w:t>
      </w:r>
      <w:r w:rsidR="006000C6" w:rsidRPr="006249D9">
        <w:rPr>
          <w:sz w:val="24"/>
          <w:szCs w:val="24"/>
        </w:rPr>
        <w:t xml:space="preserve">National Rental Affordability Scheme Regulations </w:t>
      </w:r>
      <w:r w:rsidR="00532362" w:rsidRPr="006249D9">
        <w:rPr>
          <w:rFonts w:cs="Arial"/>
          <w:sz w:val="24"/>
          <w:szCs w:val="24"/>
        </w:rPr>
        <w:t>2008</w:t>
      </w:r>
      <w:r w:rsidR="00E53FBD">
        <w:rPr>
          <w:rFonts w:cs="Arial"/>
          <w:sz w:val="24"/>
          <w:szCs w:val="24"/>
        </w:rPr>
        <w:t xml:space="preserve"> (2008 </w:t>
      </w:r>
      <w:r w:rsidR="006000C6" w:rsidRPr="006249D9">
        <w:rPr>
          <w:rFonts w:cs="Arial"/>
          <w:sz w:val="24"/>
          <w:szCs w:val="24"/>
        </w:rPr>
        <w:t>Regulations)</w:t>
      </w:r>
      <w:r w:rsidR="00532362" w:rsidRPr="006249D9">
        <w:rPr>
          <w:rFonts w:cs="Arial"/>
          <w:sz w:val="24"/>
          <w:szCs w:val="24"/>
        </w:rPr>
        <w:t xml:space="preserve"> </w:t>
      </w:r>
      <w:r w:rsidRPr="006249D9">
        <w:rPr>
          <w:rFonts w:cs="Arial"/>
          <w:sz w:val="24"/>
          <w:szCs w:val="24"/>
        </w:rPr>
        <w:t xml:space="preserve">that </w:t>
      </w:r>
      <w:r w:rsidR="00532362" w:rsidRPr="006249D9">
        <w:rPr>
          <w:rFonts w:cs="Arial"/>
          <w:sz w:val="24"/>
          <w:szCs w:val="24"/>
        </w:rPr>
        <w:t>cease</w:t>
      </w:r>
      <w:r w:rsidR="006000C6" w:rsidRPr="006249D9">
        <w:rPr>
          <w:rFonts w:cs="Arial"/>
          <w:sz w:val="24"/>
          <w:szCs w:val="24"/>
        </w:rPr>
        <w:t>d operation</w:t>
      </w:r>
      <w:r w:rsidR="00951E3E" w:rsidRPr="006249D9">
        <w:rPr>
          <w:rFonts w:cs="Arial"/>
          <w:sz w:val="24"/>
          <w:szCs w:val="24"/>
        </w:rPr>
        <w:t xml:space="preserve"> </w:t>
      </w:r>
      <w:r w:rsidR="00532362" w:rsidRPr="006249D9">
        <w:rPr>
          <w:rFonts w:cs="Arial"/>
          <w:sz w:val="24"/>
          <w:szCs w:val="24"/>
        </w:rPr>
        <w:t xml:space="preserve">under the sunsetting provisions in the </w:t>
      </w:r>
      <w:r w:rsidR="00E53FBD">
        <w:rPr>
          <w:rFonts w:cs="Arial"/>
          <w:i/>
          <w:sz w:val="24"/>
          <w:szCs w:val="24"/>
        </w:rPr>
        <w:t>Legislation Act </w:t>
      </w:r>
      <w:r w:rsidR="00532362" w:rsidRPr="006249D9">
        <w:rPr>
          <w:rFonts w:cs="Arial"/>
          <w:i/>
          <w:sz w:val="24"/>
          <w:szCs w:val="24"/>
        </w:rPr>
        <w:t>2003</w:t>
      </w:r>
      <w:r w:rsidR="00532362" w:rsidRPr="006249D9">
        <w:rPr>
          <w:rFonts w:cs="Arial"/>
          <w:sz w:val="24"/>
          <w:szCs w:val="24"/>
        </w:rPr>
        <w:t xml:space="preserve">.  </w:t>
      </w:r>
    </w:p>
    <w:p w14:paraId="2F62F3D0" w14:textId="2CC12810" w:rsidR="00781D54" w:rsidRPr="006249D9" w:rsidRDefault="00D449BA" w:rsidP="006249D9">
      <w:pPr>
        <w:spacing w:before="120" w:after="120" w:line="240" w:lineRule="atLeast"/>
        <w:rPr>
          <w:sz w:val="24"/>
          <w:szCs w:val="24"/>
        </w:rPr>
      </w:pPr>
      <w:r w:rsidRPr="006249D9">
        <w:rPr>
          <w:sz w:val="24"/>
          <w:szCs w:val="24"/>
        </w:rPr>
        <w:t xml:space="preserve">As part of the </w:t>
      </w:r>
      <w:r w:rsidR="0072005B" w:rsidRPr="006249D9">
        <w:rPr>
          <w:sz w:val="24"/>
          <w:szCs w:val="24"/>
        </w:rPr>
        <w:t xml:space="preserve">2020 </w:t>
      </w:r>
      <w:r w:rsidRPr="006249D9">
        <w:rPr>
          <w:sz w:val="24"/>
          <w:szCs w:val="24"/>
        </w:rPr>
        <w:t>Regulations, there are a number of new and change</w:t>
      </w:r>
      <w:r w:rsidR="0072005B" w:rsidRPr="006249D9">
        <w:rPr>
          <w:sz w:val="24"/>
          <w:szCs w:val="24"/>
        </w:rPr>
        <w:t xml:space="preserve">d provisions </w:t>
      </w:r>
      <w:r w:rsidRPr="006249D9">
        <w:rPr>
          <w:sz w:val="24"/>
          <w:szCs w:val="24"/>
        </w:rPr>
        <w:t>(now known as sections/subsections).</w:t>
      </w:r>
      <w:r w:rsidR="00816AC7" w:rsidRPr="006249D9">
        <w:rPr>
          <w:sz w:val="24"/>
          <w:szCs w:val="24"/>
        </w:rPr>
        <w:t xml:space="preserve"> </w:t>
      </w:r>
      <w:r w:rsidR="00781D54" w:rsidRPr="006249D9">
        <w:rPr>
          <w:sz w:val="24"/>
          <w:szCs w:val="24"/>
        </w:rPr>
        <w:t xml:space="preserve"> </w:t>
      </w:r>
    </w:p>
    <w:p w14:paraId="5264AEB5" w14:textId="20DF5CC7" w:rsidR="00781D54" w:rsidRPr="006249D9" w:rsidRDefault="00781D54" w:rsidP="006249D9">
      <w:pPr>
        <w:spacing w:before="120" w:after="120" w:line="240" w:lineRule="atLeast"/>
        <w:rPr>
          <w:sz w:val="24"/>
          <w:szCs w:val="24"/>
        </w:rPr>
      </w:pPr>
      <w:r w:rsidRPr="006249D9">
        <w:rPr>
          <w:sz w:val="24"/>
          <w:szCs w:val="24"/>
        </w:rPr>
        <w:t xml:space="preserve">The </w:t>
      </w:r>
      <w:r w:rsidR="006000C6" w:rsidRPr="006249D9">
        <w:rPr>
          <w:b/>
          <w:sz w:val="24"/>
          <w:szCs w:val="24"/>
        </w:rPr>
        <w:t>attached</w:t>
      </w:r>
      <w:r w:rsidR="006000C6" w:rsidRPr="006249D9">
        <w:rPr>
          <w:sz w:val="24"/>
          <w:szCs w:val="24"/>
        </w:rPr>
        <w:t xml:space="preserve"> </w:t>
      </w:r>
      <w:r w:rsidRPr="006249D9">
        <w:rPr>
          <w:sz w:val="24"/>
          <w:szCs w:val="24"/>
        </w:rPr>
        <w:t xml:space="preserve">table captures the changes that have been made under each of the following categories: </w:t>
      </w:r>
    </w:p>
    <w:p w14:paraId="77FD8DEF" w14:textId="77777777" w:rsidR="00D449BA" w:rsidRPr="006249D9" w:rsidRDefault="00B32C57" w:rsidP="006249D9">
      <w:pPr>
        <w:pStyle w:val="ListParagraph"/>
        <w:numPr>
          <w:ilvl w:val="0"/>
          <w:numId w:val="55"/>
        </w:numPr>
        <w:spacing w:before="120" w:after="120" w:line="240" w:lineRule="atLeast"/>
        <w:ind w:left="714" w:hanging="357"/>
        <w:rPr>
          <w:sz w:val="24"/>
          <w:szCs w:val="24"/>
        </w:rPr>
      </w:pPr>
      <w:hyperlink w:anchor="_Allocations/Transfer/Redirections" w:history="1">
        <w:r w:rsidR="00D449BA" w:rsidRPr="006249D9">
          <w:rPr>
            <w:rStyle w:val="Hyperlink"/>
            <w:color w:val="auto"/>
            <w:sz w:val="24"/>
            <w:szCs w:val="24"/>
            <w:u w:val="none"/>
          </w:rPr>
          <w:t>Allocations/Transfer/Redirections</w:t>
        </w:r>
      </w:hyperlink>
    </w:p>
    <w:p w14:paraId="553AF3FF" w14:textId="77777777" w:rsidR="00D449BA" w:rsidRPr="006249D9" w:rsidRDefault="00B32C57" w:rsidP="006249D9">
      <w:pPr>
        <w:pStyle w:val="ListParagraph"/>
        <w:numPr>
          <w:ilvl w:val="0"/>
          <w:numId w:val="55"/>
        </w:numPr>
        <w:spacing w:before="120" w:after="120" w:line="240" w:lineRule="atLeast"/>
        <w:ind w:left="714" w:hanging="357"/>
        <w:rPr>
          <w:sz w:val="24"/>
          <w:szCs w:val="24"/>
        </w:rPr>
      </w:pPr>
      <w:hyperlink w:anchor="_Breaches" w:history="1">
        <w:r w:rsidR="00D449BA" w:rsidRPr="006249D9">
          <w:rPr>
            <w:rStyle w:val="Hyperlink"/>
            <w:color w:val="auto"/>
            <w:sz w:val="24"/>
            <w:szCs w:val="24"/>
            <w:u w:val="none"/>
          </w:rPr>
          <w:t>Breaches</w:t>
        </w:r>
      </w:hyperlink>
    </w:p>
    <w:p w14:paraId="51AF6650" w14:textId="77777777" w:rsidR="00D449BA" w:rsidRPr="006249D9" w:rsidRDefault="00B32C57" w:rsidP="006249D9">
      <w:pPr>
        <w:pStyle w:val="ListParagraph"/>
        <w:numPr>
          <w:ilvl w:val="0"/>
          <w:numId w:val="55"/>
        </w:numPr>
        <w:spacing w:before="120" w:after="120" w:line="240" w:lineRule="atLeast"/>
        <w:ind w:left="714" w:hanging="357"/>
        <w:rPr>
          <w:sz w:val="24"/>
          <w:szCs w:val="24"/>
        </w:rPr>
      </w:pPr>
      <w:hyperlink w:anchor="_Rent/valuations" w:history="1">
        <w:r w:rsidR="00D449BA" w:rsidRPr="006249D9">
          <w:rPr>
            <w:rStyle w:val="Hyperlink"/>
            <w:color w:val="auto"/>
            <w:sz w:val="24"/>
            <w:szCs w:val="24"/>
            <w:u w:val="none"/>
          </w:rPr>
          <w:t>Rent/valuations</w:t>
        </w:r>
      </w:hyperlink>
    </w:p>
    <w:p w14:paraId="50F4DB63" w14:textId="77777777" w:rsidR="00D449BA" w:rsidRPr="006249D9" w:rsidRDefault="00B32C57" w:rsidP="006249D9">
      <w:pPr>
        <w:pStyle w:val="ListParagraph"/>
        <w:numPr>
          <w:ilvl w:val="0"/>
          <w:numId w:val="55"/>
        </w:numPr>
        <w:spacing w:before="120" w:after="120" w:line="240" w:lineRule="atLeast"/>
        <w:ind w:left="714" w:hanging="357"/>
        <w:rPr>
          <w:sz w:val="24"/>
          <w:szCs w:val="24"/>
        </w:rPr>
      </w:pPr>
      <w:hyperlink w:anchor="_Tenants" w:history="1">
        <w:r w:rsidR="00D449BA" w:rsidRPr="006249D9">
          <w:rPr>
            <w:rStyle w:val="Hyperlink"/>
            <w:color w:val="auto"/>
            <w:sz w:val="24"/>
            <w:szCs w:val="24"/>
            <w:u w:val="none"/>
          </w:rPr>
          <w:t>Tenants</w:t>
        </w:r>
      </w:hyperlink>
    </w:p>
    <w:p w14:paraId="5C913403" w14:textId="77777777" w:rsidR="00D449BA" w:rsidRPr="006249D9" w:rsidRDefault="00B32C57" w:rsidP="006249D9">
      <w:pPr>
        <w:pStyle w:val="ListParagraph"/>
        <w:numPr>
          <w:ilvl w:val="0"/>
          <w:numId w:val="55"/>
        </w:numPr>
        <w:spacing w:before="120" w:after="120" w:line="240" w:lineRule="atLeast"/>
        <w:ind w:left="714" w:hanging="357"/>
        <w:rPr>
          <w:sz w:val="24"/>
          <w:szCs w:val="24"/>
        </w:rPr>
      </w:pPr>
      <w:hyperlink w:anchor="_Statement_of_Compliance" w:history="1">
        <w:r w:rsidR="00D449BA" w:rsidRPr="006249D9">
          <w:rPr>
            <w:rStyle w:val="Hyperlink"/>
            <w:color w:val="auto"/>
            <w:sz w:val="24"/>
            <w:szCs w:val="24"/>
            <w:u w:val="none"/>
          </w:rPr>
          <w:t>Statement of Compliance</w:t>
        </w:r>
      </w:hyperlink>
    </w:p>
    <w:p w14:paraId="49854921" w14:textId="77777777" w:rsidR="00D449BA" w:rsidRPr="006249D9" w:rsidRDefault="00B32C57" w:rsidP="006249D9">
      <w:pPr>
        <w:pStyle w:val="ListParagraph"/>
        <w:numPr>
          <w:ilvl w:val="0"/>
          <w:numId w:val="55"/>
        </w:numPr>
        <w:spacing w:before="120" w:after="120" w:line="240" w:lineRule="atLeast"/>
        <w:ind w:left="714" w:hanging="357"/>
        <w:rPr>
          <w:sz w:val="24"/>
          <w:szCs w:val="24"/>
        </w:rPr>
      </w:pPr>
      <w:hyperlink w:anchor="_Incentives" w:history="1">
        <w:r w:rsidR="00D449BA" w:rsidRPr="006249D9">
          <w:rPr>
            <w:rStyle w:val="Hyperlink"/>
            <w:color w:val="auto"/>
            <w:sz w:val="24"/>
            <w:szCs w:val="24"/>
            <w:u w:val="none"/>
          </w:rPr>
          <w:t>Incentives</w:t>
        </w:r>
      </w:hyperlink>
    </w:p>
    <w:p w14:paraId="1953625D" w14:textId="33F705DA" w:rsidR="00D449BA" w:rsidRPr="006249D9" w:rsidRDefault="00B32C57" w:rsidP="006249D9">
      <w:pPr>
        <w:pStyle w:val="ListParagraph"/>
        <w:numPr>
          <w:ilvl w:val="0"/>
          <w:numId w:val="55"/>
        </w:numPr>
        <w:spacing w:before="120" w:after="120" w:line="240" w:lineRule="atLeast"/>
        <w:ind w:left="714" w:hanging="357"/>
        <w:rPr>
          <w:rStyle w:val="Hyperlink"/>
          <w:color w:val="auto"/>
          <w:sz w:val="24"/>
          <w:szCs w:val="24"/>
          <w:u w:val="none"/>
        </w:rPr>
      </w:pPr>
      <w:hyperlink w:anchor="_Code_of_Conduct" w:history="1">
        <w:r w:rsidR="0091700D" w:rsidRPr="006249D9">
          <w:rPr>
            <w:rStyle w:val="Hyperlink"/>
            <w:color w:val="auto"/>
            <w:sz w:val="24"/>
            <w:szCs w:val="24"/>
            <w:u w:val="none"/>
          </w:rPr>
          <w:t>Obligations</w:t>
        </w:r>
      </w:hyperlink>
      <w:r w:rsidR="0091700D" w:rsidRPr="006249D9">
        <w:rPr>
          <w:rStyle w:val="Hyperlink"/>
          <w:color w:val="auto"/>
          <w:sz w:val="24"/>
          <w:szCs w:val="24"/>
          <w:u w:val="none"/>
        </w:rPr>
        <w:t xml:space="preserve"> to investors</w:t>
      </w:r>
    </w:p>
    <w:p w14:paraId="72E5B193" w14:textId="0A45290F" w:rsidR="00646855" w:rsidRPr="006249D9" w:rsidRDefault="00B32C57" w:rsidP="006249D9">
      <w:pPr>
        <w:pStyle w:val="ListParagraph"/>
        <w:numPr>
          <w:ilvl w:val="0"/>
          <w:numId w:val="55"/>
        </w:numPr>
        <w:spacing w:before="120" w:after="120" w:line="240" w:lineRule="atLeast"/>
        <w:ind w:left="714" w:hanging="357"/>
        <w:rPr>
          <w:rStyle w:val="Hyperlink"/>
          <w:color w:val="auto"/>
          <w:sz w:val="24"/>
          <w:szCs w:val="24"/>
          <w:u w:val="none"/>
        </w:rPr>
      </w:pPr>
      <w:hyperlink w:anchor="_Other_1" w:history="1">
        <w:r w:rsidR="00646855" w:rsidRPr="006249D9">
          <w:rPr>
            <w:rStyle w:val="Hyperlink"/>
            <w:color w:val="auto"/>
            <w:sz w:val="24"/>
            <w:szCs w:val="24"/>
            <w:u w:val="none"/>
          </w:rPr>
          <w:t>Other</w:t>
        </w:r>
      </w:hyperlink>
    </w:p>
    <w:p w14:paraId="5F7FBF34" w14:textId="77777777" w:rsidR="00781D54" w:rsidRPr="006249D9" w:rsidRDefault="00781D54" w:rsidP="006249D9">
      <w:pPr>
        <w:spacing w:before="120" w:after="120" w:line="240" w:lineRule="atLeast"/>
        <w:rPr>
          <w:sz w:val="24"/>
          <w:szCs w:val="24"/>
        </w:rPr>
      </w:pPr>
      <w:r w:rsidRPr="006249D9">
        <w:rPr>
          <w:sz w:val="24"/>
          <w:szCs w:val="24"/>
        </w:rPr>
        <w:t xml:space="preserve">In addition to these changes, as part of the standard process of drafting new regulations, the text and layout of the 2020 Regulations has been reworked and reordered compared to the 2008 Regulations. </w:t>
      </w:r>
    </w:p>
    <w:p w14:paraId="5B112333" w14:textId="77777777" w:rsidR="00781D54" w:rsidRDefault="00532362" w:rsidP="006249D9">
      <w:pPr>
        <w:spacing w:before="240" w:after="120" w:line="240" w:lineRule="auto"/>
        <w:rPr>
          <w:rStyle w:val="BookTitle"/>
          <w:rFonts w:cs="Arial"/>
          <w:i w:val="0"/>
          <w:iCs w:val="0"/>
          <w:smallCaps w:val="0"/>
          <w:spacing w:val="0"/>
          <w:szCs w:val="24"/>
        </w:rPr>
      </w:pPr>
      <w:r w:rsidRPr="006529AF">
        <w:rPr>
          <w:rStyle w:val="BookTitle"/>
          <w:rFonts w:ascii="Georgia" w:hAnsi="Georgia" w:cs="Arial"/>
          <w:i w:val="0"/>
          <w:iCs w:val="0"/>
          <w:smallCaps w:val="0"/>
          <w:color w:val="7030A0"/>
          <w:spacing w:val="0"/>
          <w:sz w:val="28"/>
          <w:szCs w:val="28"/>
        </w:rPr>
        <w:t>Commencement</w:t>
      </w:r>
    </w:p>
    <w:p w14:paraId="797451BD" w14:textId="4D992AF8" w:rsidR="00D449BA" w:rsidRPr="006249D9" w:rsidRDefault="00781D54" w:rsidP="006249D9">
      <w:pPr>
        <w:spacing w:before="120" w:after="120" w:line="240" w:lineRule="atLeast"/>
        <w:rPr>
          <w:sz w:val="24"/>
          <w:szCs w:val="24"/>
        </w:rPr>
      </w:pPr>
      <w:r w:rsidRPr="006249D9">
        <w:rPr>
          <w:sz w:val="24"/>
        </w:rPr>
        <w:t>The majority of the 2020 Regulations commence</w:t>
      </w:r>
      <w:r w:rsidR="006000C6" w:rsidRPr="006249D9">
        <w:rPr>
          <w:sz w:val="24"/>
        </w:rPr>
        <w:t>d</w:t>
      </w:r>
      <w:r w:rsidRPr="006249D9">
        <w:rPr>
          <w:sz w:val="24"/>
        </w:rPr>
        <w:t xml:space="preserve"> on 1 April 2020 (</w:t>
      </w:r>
      <w:r w:rsidR="006000C6" w:rsidRPr="006249D9">
        <w:rPr>
          <w:sz w:val="24"/>
        </w:rPr>
        <w:t>s</w:t>
      </w:r>
      <w:r w:rsidR="00532362" w:rsidRPr="006249D9">
        <w:rPr>
          <w:sz w:val="24"/>
        </w:rPr>
        <w:t>ections 1 to 74, 7</w:t>
      </w:r>
      <w:r w:rsidR="00013906" w:rsidRPr="006249D9">
        <w:rPr>
          <w:sz w:val="24"/>
        </w:rPr>
        <w:t>6</w:t>
      </w:r>
      <w:r w:rsidR="00532362" w:rsidRPr="006249D9">
        <w:rPr>
          <w:sz w:val="24"/>
        </w:rPr>
        <w:t>, 7</w:t>
      </w:r>
      <w:r w:rsidR="00013906" w:rsidRPr="006249D9">
        <w:rPr>
          <w:sz w:val="24"/>
        </w:rPr>
        <w:t>7</w:t>
      </w:r>
      <w:r w:rsidR="00532362" w:rsidRPr="006249D9">
        <w:rPr>
          <w:sz w:val="24"/>
        </w:rPr>
        <w:t xml:space="preserve"> and </w:t>
      </w:r>
      <w:r w:rsidR="00013906" w:rsidRPr="006249D9">
        <w:rPr>
          <w:sz w:val="24"/>
        </w:rPr>
        <w:t>79</w:t>
      </w:r>
      <w:r w:rsidR="00532362" w:rsidRPr="006249D9">
        <w:rPr>
          <w:sz w:val="24"/>
        </w:rPr>
        <w:t xml:space="preserve"> and Schedule</w:t>
      </w:r>
      <w:r w:rsidR="001768C9" w:rsidRPr="006249D9">
        <w:rPr>
          <w:sz w:val="24"/>
        </w:rPr>
        <w:t> </w:t>
      </w:r>
      <w:r w:rsidR="00532362" w:rsidRPr="006249D9">
        <w:rPr>
          <w:sz w:val="24"/>
        </w:rPr>
        <w:t>1</w:t>
      </w:r>
      <w:r w:rsidRPr="006249D9">
        <w:rPr>
          <w:sz w:val="24"/>
        </w:rPr>
        <w:t>)</w:t>
      </w:r>
      <w:r w:rsidR="00532362" w:rsidRPr="006249D9">
        <w:rPr>
          <w:sz w:val="24"/>
        </w:rPr>
        <w:t xml:space="preserve">. </w:t>
      </w:r>
      <w:r w:rsidRPr="006249D9">
        <w:rPr>
          <w:sz w:val="24"/>
        </w:rPr>
        <w:t xml:space="preserve"> There are, however, two sections with alternative commencement dates.  </w:t>
      </w:r>
      <w:r w:rsidR="00532362" w:rsidRPr="006249D9">
        <w:rPr>
          <w:sz w:val="24"/>
        </w:rPr>
        <w:t>Section 7</w:t>
      </w:r>
      <w:r w:rsidR="00013906" w:rsidRPr="006249D9">
        <w:rPr>
          <w:sz w:val="24"/>
        </w:rPr>
        <w:t>8</w:t>
      </w:r>
      <w:r w:rsidR="00532362" w:rsidRPr="006249D9">
        <w:rPr>
          <w:sz w:val="24"/>
        </w:rPr>
        <w:t xml:space="preserve"> commence</w:t>
      </w:r>
      <w:r w:rsidR="001768C9" w:rsidRPr="006249D9">
        <w:rPr>
          <w:sz w:val="24"/>
        </w:rPr>
        <w:t>s</w:t>
      </w:r>
      <w:r w:rsidR="00532362" w:rsidRPr="006249D9">
        <w:rPr>
          <w:sz w:val="24"/>
        </w:rPr>
        <w:t xml:space="preserve"> on 1 May 2018</w:t>
      </w:r>
      <w:r w:rsidR="004B7BD6" w:rsidRPr="006249D9">
        <w:rPr>
          <w:sz w:val="24"/>
        </w:rPr>
        <w:t xml:space="preserve"> and</w:t>
      </w:r>
      <w:r w:rsidR="00532362" w:rsidRPr="006249D9">
        <w:rPr>
          <w:sz w:val="24"/>
        </w:rPr>
        <w:t xml:space="preserve"> </w:t>
      </w:r>
      <w:r w:rsidR="006000C6" w:rsidRPr="006249D9">
        <w:rPr>
          <w:sz w:val="24"/>
        </w:rPr>
        <w:t>s</w:t>
      </w:r>
      <w:r w:rsidR="00532362" w:rsidRPr="006249D9">
        <w:rPr>
          <w:sz w:val="24"/>
        </w:rPr>
        <w:t>ection 7</w:t>
      </w:r>
      <w:r w:rsidR="004B7BD6" w:rsidRPr="006249D9">
        <w:rPr>
          <w:sz w:val="24"/>
        </w:rPr>
        <w:t>5</w:t>
      </w:r>
      <w:r w:rsidR="00532362" w:rsidRPr="006249D9">
        <w:rPr>
          <w:sz w:val="24"/>
        </w:rPr>
        <w:t xml:space="preserve"> commences on 1 May 2017.</w:t>
      </w:r>
      <w:r w:rsidRPr="006249D9">
        <w:rPr>
          <w:sz w:val="24"/>
        </w:rPr>
        <w:t xml:space="preserve">  These two</w:t>
      </w:r>
      <w:r w:rsidR="00D449BA" w:rsidRPr="006249D9">
        <w:rPr>
          <w:sz w:val="24"/>
          <w:szCs w:val="24"/>
        </w:rPr>
        <w:t xml:space="preserve"> </w:t>
      </w:r>
      <w:r w:rsidRPr="006249D9">
        <w:rPr>
          <w:sz w:val="24"/>
          <w:szCs w:val="24"/>
        </w:rPr>
        <w:t>s</w:t>
      </w:r>
      <w:r w:rsidR="00532362" w:rsidRPr="006249D9">
        <w:rPr>
          <w:sz w:val="24"/>
          <w:szCs w:val="24"/>
        </w:rPr>
        <w:t>ections</w:t>
      </w:r>
      <w:r w:rsidR="004B7BD6" w:rsidRPr="006249D9">
        <w:rPr>
          <w:sz w:val="24"/>
          <w:szCs w:val="24"/>
        </w:rPr>
        <w:t xml:space="preserve"> with retrospective commencement dates</w:t>
      </w:r>
      <w:r w:rsidR="00532362" w:rsidRPr="006249D9">
        <w:rPr>
          <w:sz w:val="24"/>
          <w:szCs w:val="24"/>
        </w:rPr>
        <w:t xml:space="preserve"> have a</w:t>
      </w:r>
      <w:r w:rsidR="00646855" w:rsidRPr="006249D9">
        <w:rPr>
          <w:sz w:val="24"/>
          <w:szCs w:val="24"/>
        </w:rPr>
        <w:t> </w:t>
      </w:r>
      <w:r w:rsidR="00532362" w:rsidRPr="006249D9">
        <w:rPr>
          <w:sz w:val="24"/>
          <w:szCs w:val="24"/>
        </w:rPr>
        <w:t>beneficial impact on approved participants (and any associated investors) who may otherwise receive no</w:t>
      </w:r>
      <w:r w:rsidR="00646855" w:rsidRPr="006249D9">
        <w:rPr>
          <w:sz w:val="24"/>
          <w:szCs w:val="24"/>
        </w:rPr>
        <w:t> </w:t>
      </w:r>
      <w:r w:rsidR="00532362" w:rsidRPr="006249D9">
        <w:rPr>
          <w:sz w:val="24"/>
          <w:szCs w:val="24"/>
        </w:rPr>
        <w:t>incentive</w:t>
      </w:r>
      <w:r w:rsidR="00013906" w:rsidRPr="006249D9">
        <w:rPr>
          <w:sz w:val="24"/>
          <w:szCs w:val="24"/>
        </w:rPr>
        <w:t>.</w:t>
      </w:r>
    </w:p>
    <w:p w14:paraId="7E70BF2F" w14:textId="77777777" w:rsidR="00D449BA" w:rsidRDefault="00D449BA">
      <w:pPr>
        <w:rPr>
          <w:b/>
        </w:rPr>
      </w:pPr>
    </w:p>
    <w:p w14:paraId="46637445" w14:textId="77777777" w:rsidR="006529AF" w:rsidRDefault="006529AF" w:rsidP="0014591A">
      <w:pPr>
        <w:rPr>
          <w:b/>
        </w:rPr>
        <w:sectPr w:rsidR="006529AF" w:rsidSect="00D449BA">
          <w:footerReference w:type="default" r:id="rId13"/>
          <w:headerReference w:type="first" r:id="rId14"/>
          <w:footerReference w:type="first" r:id="rId15"/>
          <w:pgSz w:w="11906" w:h="16838" w:code="9"/>
          <w:pgMar w:top="851" w:right="849" w:bottom="568" w:left="851" w:header="0" w:footer="168" w:gutter="0"/>
          <w:cols w:space="708"/>
          <w:titlePg/>
          <w:docGrid w:linePitch="360"/>
        </w:sectPr>
      </w:pPr>
    </w:p>
    <w:p w14:paraId="70706131" w14:textId="2BE46EC4" w:rsidR="00163FB6" w:rsidRPr="00F3079F" w:rsidRDefault="00163FB6" w:rsidP="00E53FBD">
      <w:pPr>
        <w:pStyle w:val="Heading4"/>
        <w:spacing w:before="120" w:after="120" w:line="240" w:lineRule="atLeast"/>
        <w:rPr>
          <w:i w:val="0"/>
          <w:color w:val="7030A0"/>
          <w:sz w:val="28"/>
          <w:szCs w:val="28"/>
        </w:rPr>
      </w:pPr>
      <w:bookmarkStart w:id="1" w:name="_Allocations/Transfer/Redirections"/>
      <w:bookmarkEnd w:id="1"/>
      <w:r w:rsidRPr="00F3079F">
        <w:rPr>
          <w:i w:val="0"/>
          <w:color w:val="7030A0"/>
          <w:sz w:val="28"/>
          <w:szCs w:val="28"/>
        </w:rPr>
        <w:lastRenderedPageBreak/>
        <w:t>Allocations</w:t>
      </w:r>
      <w:r w:rsidR="00783B2A" w:rsidRPr="00F3079F">
        <w:rPr>
          <w:i w:val="0"/>
          <w:color w:val="7030A0"/>
          <w:sz w:val="28"/>
          <w:szCs w:val="28"/>
        </w:rPr>
        <w:t>/Transfer</w:t>
      </w:r>
      <w:r w:rsidR="005E28C3" w:rsidRPr="00F3079F">
        <w:rPr>
          <w:i w:val="0"/>
          <w:color w:val="7030A0"/>
          <w:sz w:val="28"/>
          <w:szCs w:val="28"/>
        </w:rPr>
        <w:t>s</w:t>
      </w:r>
      <w:r w:rsidR="00783B2A" w:rsidRPr="00F3079F">
        <w:rPr>
          <w:i w:val="0"/>
          <w:color w:val="7030A0"/>
          <w:sz w:val="28"/>
          <w:szCs w:val="28"/>
        </w:rPr>
        <w:t>/Redirections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2829"/>
        <w:gridCol w:w="1701"/>
        <w:gridCol w:w="1701"/>
        <w:gridCol w:w="9178"/>
      </w:tblGrid>
      <w:tr w:rsidR="00A9206E" w14:paraId="4EDC9AF8" w14:textId="77777777" w:rsidTr="006000C6">
        <w:tc>
          <w:tcPr>
            <w:tcW w:w="918" w:type="pct"/>
            <w:shd w:val="clear" w:color="auto" w:fill="E5DFEC" w:themeFill="accent4" w:themeFillTint="33"/>
            <w:tcMar>
              <w:top w:w="0" w:type="dxa"/>
              <w:left w:w="108" w:type="dxa"/>
              <w:bottom w:w="0" w:type="dxa"/>
              <w:right w:w="108" w:type="dxa"/>
            </w:tcMar>
            <w:hideMark/>
          </w:tcPr>
          <w:p w14:paraId="224D84BF" w14:textId="77777777" w:rsidR="00A9206E" w:rsidRPr="002E35C4" w:rsidRDefault="00A9206E" w:rsidP="00E53FBD">
            <w:pPr>
              <w:spacing w:before="120" w:after="120" w:line="240" w:lineRule="auto"/>
              <w:rPr>
                <w:b/>
                <w:bCs/>
                <w:lang w:eastAsia="en-AU"/>
              </w:rPr>
            </w:pPr>
            <w:r>
              <w:rPr>
                <w:b/>
                <w:bCs/>
                <w:lang w:eastAsia="en-AU"/>
              </w:rPr>
              <w:t>Subject</w:t>
            </w:r>
          </w:p>
        </w:tc>
        <w:tc>
          <w:tcPr>
            <w:tcW w:w="552" w:type="pct"/>
            <w:shd w:val="clear" w:color="auto" w:fill="E5DFEC" w:themeFill="accent4" w:themeFillTint="33"/>
            <w:tcMar>
              <w:top w:w="0" w:type="dxa"/>
              <w:left w:w="108" w:type="dxa"/>
              <w:bottom w:w="0" w:type="dxa"/>
              <w:right w:w="108" w:type="dxa"/>
            </w:tcMar>
            <w:hideMark/>
          </w:tcPr>
          <w:p w14:paraId="12EA5540" w14:textId="77777777" w:rsidR="00A9206E" w:rsidRPr="002E35C4" w:rsidRDefault="00A9206E" w:rsidP="00E53FBD">
            <w:pPr>
              <w:spacing w:before="120" w:after="120" w:line="240" w:lineRule="auto"/>
              <w:rPr>
                <w:b/>
                <w:bCs/>
                <w:lang w:eastAsia="en-AU"/>
              </w:rPr>
            </w:pPr>
            <w:r>
              <w:rPr>
                <w:b/>
                <w:bCs/>
                <w:lang w:eastAsia="en-AU"/>
              </w:rPr>
              <w:t>2008 regulations</w:t>
            </w:r>
          </w:p>
        </w:tc>
        <w:tc>
          <w:tcPr>
            <w:tcW w:w="552" w:type="pct"/>
            <w:shd w:val="clear" w:color="auto" w:fill="E5DFEC" w:themeFill="accent4" w:themeFillTint="33"/>
            <w:tcMar>
              <w:top w:w="0" w:type="dxa"/>
              <w:left w:w="108" w:type="dxa"/>
              <w:bottom w:w="0" w:type="dxa"/>
              <w:right w:w="108" w:type="dxa"/>
            </w:tcMar>
            <w:hideMark/>
          </w:tcPr>
          <w:p w14:paraId="42D54520" w14:textId="77777777" w:rsidR="00A9206E" w:rsidRPr="002E35C4" w:rsidRDefault="00A9206E" w:rsidP="00E53FBD">
            <w:pPr>
              <w:spacing w:before="120" w:after="120" w:line="240" w:lineRule="auto"/>
              <w:rPr>
                <w:b/>
                <w:bCs/>
                <w:lang w:eastAsia="en-AU"/>
              </w:rPr>
            </w:pPr>
            <w:r>
              <w:rPr>
                <w:b/>
                <w:bCs/>
                <w:lang w:eastAsia="en-AU"/>
              </w:rPr>
              <w:t>2020 regulations</w:t>
            </w:r>
          </w:p>
        </w:tc>
        <w:tc>
          <w:tcPr>
            <w:tcW w:w="2978" w:type="pct"/>
            <w:shd w:val="clear" w:color="auto" w:fill="E5DFEC" w:themeFill="accent4" w:themeFillTint="33"/>
          </w:tcPr>
          <w:p w14:paraId="0AC9C467" w14:textId="07E8EDB7" w:rsidR="00A9206E" w:rsidRPr="002E35C4" w:rsidRDefault="00A9206E" w:rsidP="00E53FBD">
            <w:pPr>
              <w:spacing w:before="120" w:after="120" w:line="240" w:lineRule="auto"/>
              <w:rPr>
                <w:b/>
                <w:bCs/>
                <w:lang w:eastAsia="en-AU"/>
              </w:rPr>
            </w:pPr>
            <w:r>
              <w:rPr>
                <w:b/>
                <w:bCs/>
                <w:lang w:eastAsia="en-AU"/>
              </w:rPr>
              <w:t>What</w:t>
            </w:r>
            <w:r w:rsidR="00ED3585">
              <w:rPr>
                <w:b/>
                <w:bCs/>
                <w:lang w:eastAsia="en-AU"/>
              </w:rPr>
              <w:t>’s</w:t>
            </w:r>
            <w:r>
              <w:rPr>
                <w:b/>
                <w:bCs/>
                <w:lang w:eastAsia="en-AU"/>
              </w:rPr>
              <w:t xml:space="preserve"> changed?</w:t>
            </w:r>
          </w:p>
        </w:tc>
      </w:tr>
      <w:tr w:rsidR="00A9206E" w14:paraId="3F660A77"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21CE584" w14:textId="6975C814" w:rsidR="00A9206E" w:rsidRPr="00066CBA" w:rsidRDefault="00A9206E" w:rsidP="00E53FBD">
            <w:pPr>
              <w:spacing w:before="120" w:after="120" w:line="240" w:lineRule="auto"/>
              <w:rPr>
                <w:bCs/>
                <w:lang w:eastAsia="en-AU"/>
              </w:rPr>
            </w:pPr>
            <w:r w:rsidRPr="00066CBA">
              <w:rPr>
                <w:bCs/>
                <w:lang w:eastAsia="en-AU"/>
              </w:rPr>
              <w:t>Transfer of an allocation to</w:t>
            </w:r>
            <w:r w:rsidR="000F5262">
              <w:rPr>
                <w:bCs/>
                <w:lang w:eastAsia="en-AU"/>
              </w:rPr>
              <w:t> </w:t>
            </w:r>
            <w:r w:rsidRPr="00066CBA">
              <w:rPr>
                <w:bCs/>
                <w:lang w:eastAsia="en-AU"/>
              </w:rPr>
              <w:t>another rental dwelling</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99DAE3B" w14:textId="77777777" w:rsidR="00A9206E" w:rsidRPr="00066CBA" w:rsidRDefault="00A9206E" w:rsidP="00E53FBD">
            <w:pPr>
              <w:spacing w:before="120" w:after="120" w:line="240" w:lineRule="auto"/>
              <w:rPr>
                <w:bCs/>
                <w:lang w:eastAsia="en-AU"/>
              </w:rPr>
            </w:pPr>
            <w:r w:rsidRPr="00066CBA">
              <w:rPr>
                <w:bCs/>
                <w:lang w:eastAsia="en-AU"/>
              </w:rPr>
              <w:t>Section 20</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131C689" w14:textId="77777777" w:rsidR="00A9206E" w:rsidRPr="00066CBA" w:rsidRDefault="00A9206E" w:rsidP="00E53FBD">
            <w:pPr>
              <w:spacing w:before="120" w:after="120" w:line="240" w:lineRule="auto"/>
              <w:rPr>
                <w:bCs/>
                <w:lang w:eastAsia="en-AU"/>
              </w:rPr>
            </w:pPr>
            <w:r w:rsidRPr="00066CBA">
              <w:rPr>
                <w:bCs/>
                <w:lang w:eastAsia="en-AU"/>
              </w:rPr>
              <w:t>Section 20</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0D9A29A0" w14:textId="2E47F280" w:rsidR="00A9206E" w:rsidRPr="00066CBA" w:rsidRDefault="00A9206E" w:rsidP="00E53FBD">
            <w:pPr>
              <w:spacing w:before="120" w:after="120" w:line="240" w:lineRule="auto"/>
              <w:rPr>
                <w:bCs/>
                <w:lang w:eastAsia="en-AU"/>
              </w:rPr>
            </w:pPr>
            <w:r w:rsidRPr="00066CBA">
              <w:rPr>
                <w:bCs/>
                <w:lang w:eastAsia="en-AU"/>
              </w:rPr>
              <w:t xml:space="preserve">An allocation may be transferred between two rental dwellings with approval from the Secretary. The Secretary must consider the views of the relevant state or territory government </w:t>
            </w:r>
            <w:r>
              <w:rPr>
                <w:bCs/>
                <w:lang w:eastAsia="en-AU"/>
              </w:rPr>
              <w:t>in relation to</w:t>
            </w:r>
            <w:r w:rsidRPr="00066CBA">
              <w:rPr>
                <w:bCs/>
                <w:lang w:eastAsia="en-AU"/>
              </w:rPr>
              <w:t xml:space="preserve"> the level of need for affordable housing in the new location.</w:t>
            </w:r>
          </w:p>
          <w:p w14:paraId="7CB383CA" w14:textId="34D89B4D" w:rsidR="00A9206E" w:rsidRPr="00066CBA" w:rsidRDefault="00A9206E" w:rsidP="00E53FBD">
            <w:pPr>
              <w:spacing w:before="120" w:after="120" w:line="240" w:lineRule="auto"/>
              <w:rPr>
                <w:bCs/>
                <w:lang w:eastAsia="en-AU"/>
              </w:rPr>
            </w:pPr>
            <w:r w:rsidRPr="00066CBA">
              <w:rPr>
                <w:bCs/>
                <w:lang w:eastAsia="en-AU"/>
              </w:rPr>
              <w:t>The Secretary must provide written notice of the transfer and state the date of effect. The</w:t>
            </w:r>
            <w:r w:rsidR="000F5262">
              <w:rPr>
                <w:bCs/>
                <w:lang w:eastAsia="en-AU"/>
              </w:rPr>
              <w:t> </w:t>
            </w:r>
            <w:r w:rsidRPr="00066CBA">
              <w:rPr>
                <w:bCs/>
                <w:lang w:eastAsia="en-AU"/>
              </w:rPr>
              <w:t>date of effect can now be backdated</w:t>
            </w:r>
            <w:r w:rsidR="00302B9A">
              <w:rPr>
                <w:bCs/>
                <w:lang w:eastAsia="en-AU"/>
              </w:rPr>
              <w:t xml:space="preserve"> </w:t>
            </w:r>
            <w:r w:rsidRPr="00066CBA">
              <w:rPr>
                <w:bCs/>
                <w:lang w:eastAsia="en-AU"/>
              </w:rPr>
              <w:t>to the date of application in certain circumstances.</w:t>
            </w:r>
          </w:p>
        </w:tc>
      </w:tr>
      <w:tr w:rsidR="00A9206E" w14:paraId="736E9C41"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8AC6034" w14:textId="77777777" w:rsidR="00A9206E" w:rsidRPr="00066CBA" w:rsidRDefault="00A9206E" w:rsidP="00E53FBD">
            <w:pPr>
              <w:spacing w:before="120" w:after="120" w:line="240" w:lineRule="auto"/>
              <w:rPr>
                <w:bCs/>
                <w:lang w:eastAsia="en-AU"/>
              </w:rPr>
            </w:pPr>
            <w:r w:rsidRPr="00066CBA">
              <w:rPr>
                <w:bCs/>
                <w:lang w:eastAsia="en-AU"/>
              </w:rPr>
              <w:t>Transfer of allocations between approved participants</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7F39717" w14:textId="77777777" w:rsidR="00A9206E" w:rsidRPr="00066CBA" w:rsidRDefault="00A9206E" w:rsidP="00E53FBD">
            <w:pPr>
              <w:spacing w:before="120" w:after="120" w:line="240" w:lineRule="auto"/>
              <w:rPr>
                <w:bCs/>
                <w:lang w:eastAsia="en-AU"/>
              </w:rPr>
            </w:pPr>
            <w:r w:rsidRPr="00066CBA">
              <w:rPr>
                <w:bCs/>
                <w:lang w:eastAsia="en-AU"/>
              </w:rPr>
              <w:t>Section 21</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6F80BEB" w14:textId="77777777" w:rsidR="00A9206E" w:rsidRPr="00066CBA" w:rsidRDefault="00A9206E" w:rsidP="00E53FBD">
            <w:pPr>
              <w:spacing w:before="120" w:after="120" w:line="240" w:lineRule="auto"/>
              <w:rPr>
                <w:bCs/>
                <w:lang w:eastAsia="en-AU"/>
              </w:rPr>
            </w:pPr>
            <w:r w:rsidRPr="00066CBA">
              <w:rPr>
                <w:bCs/>
                <w:lang w:eastAsia="en-AU"/>
              </w:rPr>
              <w:t>Section 21</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24EE29EA" w14:textId="77777777" w:rsidR="00A9206E" w:rsidRPr="00066CBA" w:rsidRDefault="00A9206E" w:rsidP="00E53FBD">
            <w:pPr>
              <w:spacing w:before="120" w:after="120" w:line="240" w:lineRule="auto"/>
              <w:rPr>
                <w:bCs/>
                <w:lang w:eastAsia="en-AU"/>
              </w:rPr>
            </w:pPr>
            <w:r w:rsidRPr="00066CBA">
              <w:rPr>
                <w:bCs/>
                <w:lang w:eastAsia="en-AU"/>
              </w:rPr>
              <w:t xml:space="preserve">Allocations may be transferred between approved participants at the request of the original approved participant. </w:t>
            </w:r>
          </w:p>
          <w:p w14:paraId="5FCAAD14" w14:textId="21EA193F" w:rsidR="00A9206E" w:rsidRPr="00066CBA" w:rsidRDefault="00A9206E" w:rsidP="00E53FBD">
            <w:pPr>
              <w:spacing w:before="120" w:after="120" w:line="240" w:lineRule="auto"/>
              <w:rPr>
                <w:bCs/>
                <w:lang w:eastAsia="en-AU"/>
              </w:rPr>
            </w:pPr>
            <w:r w:rsidRPr="00066CBA">
              <w:rPr>
                <w:bCs/>
                <w:lang w:eastAsia="en-AU"/>
              </w:rPr>
              <w:t>In order to receive a transferred allocation, the Secretary must be satisfied the gaining approved participant:</w:t>
            </w:r>
          </w:p>
          <w:p w14:paraId="7D5EC582" w14:textId="3084C116" w:rsidR="00A9206E" w:rsidRPr="00066CBA" w:rsidRDefault="00A9206E" w:rsidP="00E53FBD">
            <w:pPr>
              <w:pStyle w:val="ListParagraph"/>
              <w:numPr>
                <w:ilvl w:val="0"/>
                <w:numId w:val="48"/>
              </w:numPr>
              <w:spacing w:before="120" w:after="120" w:line="240" w:lineRule="auto"/>
              <w:ind w:left="714" w:hanging="357"/>
              <w:rPr>
                <w:bCs/>
                <w:lang w:eastAsia="en-AU"/>
              </w:rPr>
            </w:pPr>
            <w:r w:rsidRPr="00066CBA">
              <w:rPr>
                <w:bCs/>
                <w:lang w:eastAsia="en-AU"/>
              </w:rPr>
              <w:t>ha</w:t>
            </w:r>
            <w:r w:rsidR="00ED3585">
              <w:rPr>
                <w:bCs/>
                <w:lang w:eastAsia="en-AU"/>
              </w:rPr>
              <w:t>s</w:t>
            </w:r>
            <w:r w:rsidRPr="00066CBA">
              <w:rPr>
                <w:bCs/>
                <w:lang w:eastAsia="en-AU"/>
              </w:rPr>
              <w:t xml:space="preserve"> not previously had a disqualifying breach made against them;</w:t>
            </w:r>
          </w:p>
          <w:p w14:paraId="37CC05FC" w14:textId="6FF027C8" w:rsidR="00A9206E" w:rsidRPr="00066CBA" w:rsidRDefault="00A9206E" w:rsidP="00E53FBD">
            <w:pPr>
              <w:pStyle w:val="ListParagraph"/>
              <w:numPr>
                <w:ilvl w:val="0"/>
                <w:numId w:val="48"/>
              </w:numPr>
              <w:spacing w:before="120" w:after="120" w:line="240" w:lineRule="auto"/>
              <w:ind w:left="714" w:hanging="357"/>
              <w:rPr>
                <w:bCs/>
                <w:lang w:eastAsia="en-AU"/>
              </w:rPr>
            </w:pPr>
            <w:r w:rsidRPr="00066CBA">
              <w:rPr>
                <w:bCs/>
                <w:lang w:eastAsia="en-AU"/>
              </w:rPr>
              <w:t>ha</w:t>
            </w:r>
            <w:r w:rsidR="00EB77B6">
              <w:rPr>
                <w:bCs/>
                <w:lang w:eastAsia="en-AU"/>
              </w:rPr>
              <w:t>s</w:t>
            </w:r>
            <w:r w:rsidRPr="00066CBA">
              <w:rPr>
                <w:bCs/>
                <w:lang w:eastAsia="en-AU"/>
              </w:rPr>
              <w:t xml:space="preserve"> the capacity to properly manage the allocation;</w:t>
            </w:r>
          </w:p>
          <w:p w14:paraId="290E74D5" w14:textId="2509B882" w:rsidR="00A9206E" w:rsidRPr="00066CBA" w:rsidRDefault="00ED3585" w:rsidP="00E53FBD">
            <w:pPr>
              <w:pStyle w:val="ListParagraph"/>
              <w:numPr>
                <w:ilvl w:val="0"/>
                <w:numId w:val="48"/>
              </w:numPr>
              <w:spacing w:before="120" w:after="120" w:line="240" w:lineRule="auto"/>
              <w:ind w:left="714" w:hanging="357"/>
              <w:rPr>
                <w:bCs/>
                <w:lang w:eastAsia="en-AU"/>
              </w:rPr>
            </w:pPr>
            <w:r>
              <w:rPr>
                <w:bCs/>
                <w:lang w:eastAsia="en-AU"/>
              </w:rPr>
              <w:t>is</w:t>
            </w:r>
            <w:r w:rsidR="00A9206E" w:rsidRPr="00066CBA">
              <w:rPr>
                <w:bCs/>
                <w:lang w:eastAsia="en-AU"/>
              </w:rPr>
              <w:t xml:space="preserve"> a suitable approved participant</w:t>
            </w:r>
            <w:r>
              <w:rPr>
                <w:bCs/>
                <w:lang w:eastAsia="en-AU"/>
              </w:rPr>
              <w:t xml:space="preserve"> </w:t>
            </w:r>
            <w:r w:rsidR="00A9206E" w:rsidRPr="00066CBA">
              <w:rPr>
                <w:bCs/>
                <w:lang w:eastAsia="en-AU"/>
              </w:rPr>
              <w:t>to hold an allocation; and</w:t>
            </w:r>
          </w:p>
          <w:p w14:paraId="2AA4D284" w14:textId="00F82727" w:rsidR="00A9206E" w:rsidRPr="00066CBA" w:rsidRDefault="00A9206E" w:rsidP="00E53FBD">
            <w:pPr>
              <w:pStyle w:val="ListParagraph"/>
              <w:numPr>
                <w:ilvl w:val="0"/>
                <w:numId w:val="48"/>
              </w:numPr>
              <w:spacing w:before="120" w:after="120" w:line="240" w:lineRule="auto"/>
              <w:ind w:left="714" w:hanging="357"/>
              <w:rPr>
                <w:bCs/>
                <w:lang w:eastAsia="en-AU"/>
              </w:rPr>
            </w:pPr>
            <w:r w:rsidRPr="00066CBA">
              <w:rPr>
                <w:bCs/>
                <w:lang w:eastAsia="en-AU"/>
              </w:rPr>
              <w:t>ha</w:t>
            </w:r>
            <w:r w:rsidR="00EB77B6">
              <w:rPr>
                <w:bCs/>
                <w:lang w:eastAsia="en-AU"/>
              </w:rPr>
              <w:t>s</w:t>
            </w:r>
            <w:r w:rsidRPr="00066CBA">
              <w:rPr>
                <w:bCs/>
                <w:lang w:eastAsia="en-AU"/>
              </w:rPr>
              <w:t xml:space="preserve"> agreed in writing to the transfer.</w:t>
            </w:r>
          </w:p>
          <w:p w14:paraId="7C44610B" w14:textId="1E86B614" w:rsidR="00A9206E" w:rsidRDefault="00A9206E" w:rsidP="00E53FBD">
            <w:pPr>
              <w:spacing w:before="120" w:after="120" w:line="240" w:lineRule="auto"/>
              <w:rPr>
                <w:bCs/>
                <w:lang w:eastAsia="en-AU"/>
              </w:rPr>
            </w:pPr>
            <w:r w:rsidRPr="00066CBA">
              <w:rPr>
                <w:bCs/>
                <w:lang w:eastAsia="en-AU"/>
              </w:rPr>
              <w:t>The Secretary must provide written notice of the transfer and state the date of effect. The</w:t>
            </w:r>
            <w:r w:rsidR="00E53FBD">
              <w:rPr>
                <w:bCs/>
                <w:lang w:eastAsia="en-AU"/>
              </w:rPr>
              <w:t> </w:t>
            </w:r>
            <w:r w:rsidRPr="00066CBA">
              <w:rPr>
                <w:bCs/>
                <w:lang w:eastAsia="en-AU"/>
              </w:rPr>
              <w:t>date of effect can now be backdated to the date of application in certain circumstances.</w:t>
            </w:r>
          </w:p>
          <w:p w14:paraId="102CE234" w14:textId="5F94C04A" w:rsidR="00A9206E" w:rsidRPr="00066CBA" w:rsidRDefault="00A9206E" w:rsidP="00E53FBD">
            <w:pPr>
              <w:spacing w:before="120" w:after="120" w:line="240" w:lineRule="auto"/>
              <w:rPr>
                <w:bCs/>
                <w:lang w:eastAsia="en-AU"/>
              </w:rPr>
            </w:pPr>
            <w:r>
              <w:rPr>
                <w:bCs/>
                <w:lang w:eastAsia="en-AU"/>
              </w:rPr>
              <w:t xml:space="preserve">This ensures </w:t>
            </w:r>
            <w:r w:rsidRPr="00066CBA">
              <w:rPr>
                <w:bCs/>
                <w:lang w:eastAsia="en-AU"/>
              </w:rPr>
              <w:t xml:space="preserve">the gaining approved participant is willing and able to take on the transferred allocation </w:t>
            </w:r>
            <w:r w:rsidR="00302B9A">
              <w:rPr>
                <w:bCs/>
                <w:lang w:eastAsia="en-AU"/>
              </w:rPr>
              <w:t>t</w:t>
            </w:r>
            <w:r w:rsidRPr="00066CBA">
              <w:rPr>
                <w:bCs/>
                <w:lang w:eastAsia="en-AU"/>
              </w:rPr>
              <w:t>o protect the interests of i</w:t>
            </w:r>
            <w:r w:rsidR="00E53FBD">
              <w:rPr>
                <w:bCs/>
                <w:lang w:eastAsia="en-AU"/>
              </w:rPr>
              <w:t>nvestors.</w:t>
            </w:r>
          </w:p>
        </w:tc>
      </w:tr>
      <w:tr w:rsidR="00A9206E" w14:paraId="77573346"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56D549C" w14:textId="5BB6E1BA" w:rsidR="00A9206E" w:rsidRPr="00066CBA" w:rsidRDefault="00A9206E" w:rsidP="00E53FBD">
            <w:pPr>
              <w:spacing w:before="120" w:after="120" w:line="240" w:lineRule="auto"/>
              <w:rPr>
                <w:bCs/>
                <w:lang w:eastAsia="en-AU"/>
              </w:rPr>
            </w:pPr>
            <w:r w:rsidRPr="00066CBA">
              <w:rPr>
                <w:bCs/>
                <w:lang w:eastAsia="en-AU"/>
              </w:rPr>
              <w:t>Transfer of provisional allocation on Secretary’s own initiative</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E53CD32" w14:textId="061C2C0E" w:rsidR="00A9206E" w:rsidRPr="00066CBA" w:rsidRDefault="00A9206E" w:rsidP="00E53FBD">
            <w:pPr>
              <w:spacing w:before="120" w:after="120" w:line="240" w:lineRule="auto"/>
              <w:rPr>
                <w:bCs/>
                <w:lang w:eastAsia="en-AU"/>
              </w:rPr>
            </w:pPr>
            <w:r w:rsidRPr="00066CBA">
              <w:rPr>
                <w:bCs/>
                <w:lang w:eastAsia="en-AU"/>
              </w:rPr>
              <w:t xml:space="preserve">New </w:t>
            </w:r>
            <w:r>
              <w:rPr>
                <w:bCs/>
                <w:lang w:eastAsia="en-AU"/>
              </w:rPr>
              <w:t>s</w:t>
            </w:r>
            <w:r w:rsidRPr="00066CBA">
              <w:rPr>
                <w:bCs/>
                <w:lang w:eastAsia="en-AU"/>
              </w:rPr>
              <w:t>ection</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FF3DFFC" w14:textId="77777777" w:rsidR="00A9206E" w:rsidRPr="00066CBA" w:rsidRDefault="00A9206E" w:rsidP="00E53FBD">
            <w:pPr>
              <w:spacing w:before="120" w:after="120" w:line="240" w:lineRule="auto"/>
              <w:rPr>
                <w:bCs/>
                <w:lang w:eastAsia="en-AU"/>
              </w:rPr>
            </w:pPr>
            <w:r w:rsidRPr="00066CBA">
              <w:rPr>
                <w:bCs/>
                <w:lang w:eastAsia="en-AU"/>
              </w:rPr>
              <w:t>Section 22</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79E4CB3E" w14:textId="5855EFBB" w:rsidR="00A9206E" w:rsidRPr="00066CBA" w:rsidRDefault="00A9206E" w:rsidP="00E53FBD">
            <w:pPr>
              <w:spacing w:before="120" w:after="120" w:line="240" w:lineRule="auto"/>
              <w:rPr>
                <w:bCs/>
                <w:lang w:eastAsia="en-AU"/>
              </w:rPr>
            </w:pPr>
            <w:r w:rsidRPr="00066CBA">
              <w:rPr>
                <w:bCs/>
                <w:lang w:eastAsia="en-AU"/>
              </w:rPr>
              <w:t xml:space="preserve">This is a new </w:t>
            </w:r>
            <w:r w:rsidR="00F674AC">
              <w:rPr>
                <w:bCs/>
                <w:lang w:eastAsia="en-AU"/>
              </w:rPr>
              <w:t>section</w:t>
            </w:r>
            <w:r w:rsidR="00F674AC" w:rsidRPr="00066CBA">
              <w:rPr>
                <w:bCs/>
                <w:lang w:eastAsia="en-AU"/>
              </w:rPr>
              <w:t>, which</w:t>
            </w:r>
            <w:r w:rsidRPr="00066CBA">
              <w:rPr>
                <w:bCs/>
                <w:lang w:eastAsia="en-AU"/>
              </w:rPr>
              <w:t xml:space="preserve"> provides the Secretary the power to transfer a provisional allocation on their own initiative.</w:t>
            </w:r>
          </w:p>
          <w:p w14:paraId="5955FDBC" w14:textId="573EA92D" w:rsidR="00A9206E" w:rsidRPr="00066CBA" w:rsidRDefault="00A9206E" w:rsidP="00E53FBD">
            <w:pPr>
              <w:spacing w:before="120" w:after="120" w:line="240" w:lineRule="auto"/>
              <w:rPr>
                <w:bCs/>
                <w:lang w:eastAsia="en-AU"/>
              </w:rPr>
            </w:pPr>
            <w:r w:rsidRPr="00066CBA">
              <w:rPr>
                <w:bCs/>
                <w:lang w:eastAsia="en-AU"/>
              </w:rPr>
              <w:t xml:space="preserve">The Secretary must be satisfied the dwelling is not actively tenanted and give the approved participant notice of the proposed transfer. They are also required to take into account any submissions by the approved participant. </w:t>
            </w:r>
          </w:p>
        </w:tc>
      </w:tr>
      <w:tr w:rsidR="00A9206E" w14:paraId="34A6B70B"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75705AE" w14:textId="2D30B611" w:rsidR="00A9206E" w:rsidRPr="00066CBA" w:rsidRDefault="00ED3585" w:rsidP="00E53FBD">
            <w:pPr>
              <w:spacing w:before="120" w:after="120" w:line="240" w:lineRule="auto"/>
              <w:rPr>
                <w:bCs/>
                <w:lang w:eastAsia="en-AU"/>
              </w:rPr>
            </w:pPr>
            <w:r>
              <w:rPr>
                <w:bCs/>
                <w:lang w:eastAsia="en-AU"/>
              </w:rPr>
              <w:t>Revocation on application by approved participant</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081CACA" w14:textId="40C564FF" w:rsidR="00A9206E" w:rsidRPr="00066CBA" w:rsidRDefault="00A9206E" w:rsidP="00E53FBD">
            <w:pPr>
              <w:spacing w:before="120" w:after="120" w:line="240" w:lineRule="auto"/>
              <w:rPr>
                <w:bCs/>
                <w:lang w:eastAsia="en-AU"/>
              </w:rPr>
            </w:pPr>
            <w:r w:rsidRPr="00066CBA">
              <w:rPr>
                <w:bCs/>
                <w:lang w:eastAsia="en-AU"/>
              </w:rPr>
              <w:t>Section 22</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E4D7468" w14:textId="77777777" w:rsidR="00A9206E" w:rsidRPr="00066CBA" w:rsidRDefault="00A9206E" w:rsidP="00E53FBD">
            <w:pPr>
              <w:spacing w:before="120" w:after="120" w:line="240" w:lineRule="auto"/>
              <w:rPr>
                <w:bCs/>
                <w:lang w:eastAsia="en-AU"/>
              </w:rPr>
            </w:pPr>
            <w:r w:rsidRPr="00066CBA">
              <w:rPr>
                <w:bCs/>
                <w:lang w:eastAsia="en-AU"/>
              </w:rPr>
              <w:t>Section 23</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5C77AF7E" w14:textId="24194712" w:rsidR="00A9206E" w:rsidRPr="00066CBA" w:rsidRDefault="00A9206E" w:rsidP="00E53FBD">
            <w:pPr>
              <w:spacing w:before="120" w:after="120" w:line="240" w:lineRule="auto"/>
              <w:rPr>
                <w:bCs/>
                <w:lang w:eastAsia="en-AU"/>
              </w:rPr>
            </w:pPr>
            <w:r w:rsidRPr="00066CBA">
              <w:rPr>
                <w:bCs/>
                <w:lang w:eastAsia="en-AU"/>
              </w:rPr>
              <w:t xml:space="preserve">An approved participant may now request the Secretary revoke an allocation for </w:t>
            </w:r>
            <w:r>
              <w:rPr>
                <w:bCs/>
                <w:lang w:eastAsia="en-AU"/>
              </w:rPr>
              <w:br/>
            </w:r>
            <w:r w:rsidRPr="00066CBA">
              <w:rPr>
                <w:bCs/>
                <w:lang w:eastAsia="en-AU"/>
              </w:rPr>
              <w:t xml:space="preserve">a dwelling where the approved participant </w:t>
            </w:r>
            <w:r w:rsidR="00302B9A">
              <w:rPr>
                <w:bCs/>
                <w:lang w:eastAsia="en-AU"/>
              </w:rPr>
              <w:t>i</w:t>
            </w:r>
            <w:r w:rsidRPr="00066CBA">
              <w:rPr>
                <w:bCs/>
                <w:lang w:eastAsia="en-AU"/>
              </w:rPr>
              <w:t xml:space="preserve">s no longer willing or able to manage the application. The Secretary is also able to transfer the allocation instead of revoking if they are satisfied that the gaining approved participant is not a disqualified person. </w:t>
            </w:r>
          </w:p>
        </w:tc>
      </w:tr>
      <w:tr w:rsidR="00A9206E" w14:paraId="60B6B251"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AC8E135" w14:textId="77777777" w:rsidR="00A9206E" w:rsidRPr="009105FD" w:rsidRDefault="00A9206E" w:rsidP="00E53FBD">
            <w:pPr>
              <w:spacing w:before="120" w:after="120" w:line="240" w:lineRule="auto"/>
              <w:rPr>
                <w:bCs/>
                <w:lang w:eastAsia="en-AU"/>
              </w:rPr>
            </w:pPr>
            <w:r w:rsidRPr="009105FD">
              <w:rPr>
                <w:bCs/>
                <w:lang w:eastAsia="en-AU"/>
              </w:rPr>
              <w:lastRenderedPageBreak/>
              <w:t>Obligations of approved participants when allocations are transferred</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06A064B" w14:textId="75A32C0F" w:rsidR="00A9206E" w:rsidRPr="009105FD" w:rsidRDefault="00A9206E" w:rsidP="00E53FBD">
            <w:pPr>
              <w:spacing w:before="120" w:after="120" w:line="240" w:lineRule="auto"/>
              <w:rPr>
                <w:bCs/>
                <w:lang w:eastAsia="en-AU"/>
              </w:rPr>
            </w:pPr>
            <w:r w:rsidRPr="009105FD">
              <w:rPr>
                <w:bCs/>
                <w:lang w:eastAsia="en-AU"/>
              </w:rPr>
              <w:t>Section 22D</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E802C70" w14:textId="77777777" w:rsidR="00A9206E" w:rsidRPr="009105FD" w:rsidRDefault="00A9206E" w:rsidP="00E53FBD">
            <w:pPr>
              <w:spacing w:before="120" w:after="120" w:line="240" w:lineRule="auto"/>
              <w:rPr>
                <w:bCs/>
                <w:lang w:eastAsia="en-AU"/>
              </w:rPr>
            </w:pPr>
            <w:r w:rsidRPr="009105FD">
              <w:rPr>
                <w:bCs/>
                <w:lang w:eastAsia="en-AU"/>
              </w:rPr>
              <w:t>Section 34</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36357937" w14:textId="4454E51C" w:rsidR="00A9206E" w:rsidRPr="009105FD" w:rsidRDefault="00ED3585" w:rsidP="00E53FBD">
            <w:pPr>
              <w:spacing w:before="120" w:after="120" w:line="240" w:lineRule="auto"/>
              <w:rPr>
                <w:bCs/>
                <w:lang w:eastAsia="en-AU"/>
              </w:rPr>
            </w:pPr>
            <w:r>
              <w:rPr>
                <w:rStyle w:val="BookTitle"/>
                <w:bCs/>
                <w:i w:val="0"/>
                <w:iCs w:val="0"/>
                <w:smallCaps w:val="0"/>
                <w:spacing w:val="0"/>
                <w:lang w:eastAsia="en-AU"/>
              </w:rPr>
              <w:t>Within 49 days after the request</w:t>
            </w:r>
            <w:r w:rsidR="006000C6">
              <w:rPr>
                <w:rStyle w:val="BookTitle"/>
                <w:bCs/>
                <w:i w:val="0"/>
                <w:iCs w:val="0"/>
                <w:smallCaps w:val="0"/>
                <w:spacing w:val="0"/>
                <w:lang w:eastAsia="en-AU"/>
              </w:rPr>
              <w:t xml:space="preserve"> is made</w:t>
            </w:r>
            <w:r>
              <w:rPr>
                <w:rStyle w:val="BookTitle"/>
                <w:bCs/>
                <w:i w:val="0"/>
                <w:iCs w:val="0"/>
                <w:smallCaps w:val="0"/>
                <w:spacing w:val="0"/>
                <w:lang w:eastAsia="en-AU"/>
              </w:rPr>
              <w:t xml:space="preserve"> </w:t>
            </w:r>
            <w:r w:rsidR="006000C6">
              <w:rPr>
                <w:rStyle w:val="BookTitle"/>
                <w:bCs/>
                <w:i w:val="0"/>
                <w:iCs w:val="0"/>
                <w:smallCaps w:val="0"/>
                <w:spacing w:val="0"/>
                <w:lang w:eastAsia="en-AU"/>
              </w:rPr>
              <w:t>by the Secretary to provide information to the gaining approved participant</w:t>
            </w:r>
            <w:r>
              <w:rPr>
                <w:rStyle w:val="BookTitle"/>
                <w:bCs/>
                <w:i w:val="0"/>
                <w:iCs w:val="0"/>
                <w:smallCaps w:val="0"/>
                <w:spacing w:val="0"/>
                <w:lang w:eastAsia="en-AU"/>
              </w:rPr>
              <w:t xml:space="preserve">, </w:t>
            </w:r>
            <w:r w:rsidR="00297A2A">
              <w:rPr>
                <w:rStyle w:val="BookTitle"/>
                <w:bCs/>
                <w:i w:val="0"/>
                <w:iCs w:val="0"/>
                <w:smallCaps w:val="0"/>
                <w:spacing w:val="0"/>
                <w:lang w:eastAsia="en-AU"/>
              </w:rPr>
              <w:t>t</w:t>
            </w:r>
            <w:r>
              <w:rPr>
                <w:bCs/>
                <w:lang w:eastAsia="en-AU"/>
              </w:rPr>
              <w:t xml:space="preserve">he original approved participant </w:t>
            </w:r>
            <w:r w:rsidR="00297A2A">
              <w:rPr>
                <w:bCs/>
                <w:lang w:eastAsia="en-AU"/>
              </w:rPr>
              <w:t xml:space="preserve">must </w:t>
            </w:r>
            <w:r w:rsidRPr="009105FD">
              <w:rPr>
                <w:bCs/>
                <w:lang w:eastAsia="en-AU"/>
              </w:rPr>
              <w:t xml:space="preserve">advise the Secretary whether the approved participant has complied with the </w:t>
            </w:r>
            <w:r w:rsidR="006000C6">
              <w:rPr>
                <w:bCs/>
                <w:lang w:eastAsia="en-AU"/>
              </w:rPr>
              <w:t>section</w:t>
            </w:r>
            <w:r w:rsidR="00A9206E" w:rsidRPr="009105FD">
              <w:rPr>
                <w:bCs/>
                <w:lang w:eastAsia="en-AU"/>
              </w:rPr>
              <w:t xml:space="preserve">. </w:t>
            </w:r>
          </w:p>
        </w:tc>
      </w:tr>
      <w:tr w:rsidR="00A9206E" w14:paraId="54BD5802"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BE3C742" w14:textId="2FC37297" w:rsidR="00A9206E" w:rsidRPr="00783B2A" w:rsidRDefault="00A9206E" w:rsidP="00E53FBD">
            <w:pPr>
              <w:spacing w:before="120" w:after="120" w:line="240" w:lineRule="auto"/>
              <w:rPr>
                <w:bCs/>
                <w:lang w:eastAsia="en-AU"/>
              </w:rPr>
            </w:pPr>
            <w:r w:rsidRPr="00783B2A">
              <w:rPr>
                <w:bCs/>
                <w:lang w:eastAsia="en-AU"/>
              </w:rPr>
              <w:t>Legal arrangements do</w:t>
            </w:r>
            <w:r w:rsidR="000F5262">
              <w:rPr>
                <w:bCs/>
                <w:lang w:eastAsia="en-AU"/>
              </w:rPr>
              <w:t> </w:t>
            </w:r>
            <w:r w:rsidRPr="00783B2A">
              <w:rPr>
                <w:bCs/>
                <w:lang w:eastAsia="en-AU"/>
              </w:rPr>
              <w:t>not prevent transfers</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C601627" w14:textId="47FD4591" w:rsidR="00A9206E" w:rsidRPr="00783B2A" w:rsidRDefault="00A9206E" w:rsidP="00E53FBD">
            <w:pPr>
              <w:spacing w:before="120" w:after="120" w:line="240" w:lineRule="auto"/>
              <w:rPr>
                <w:bCs/>
                <w:lang w:eastAsia="en-AU"/>
              </w:rPr>
            </w:pPr>
            <w:r w:rsidRPr="009105FD">
              <w:rPr>
                <w:bCs/>
                <w:lang w:eastAsia="en-AU"/>
              </w:rPr>
              <w:t>Section</w:t>
            </w:r>
            <w:r w:rsidRPr="00783B2A">
              <w:rPr>
                <w:bCs/>
                <w:lang w:eastAsia="en-AU"/>
              </w:rPr>
              <w:t xml:space="preserve"> 22C</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D3EB494" w14:textId="77777777" w:rsidR="00A9206E" w:rsidRPr="00783B2A" w:rsidRDefault="00A9206E" w:rsidP="00E53FBD">
            <w:pPr>
              <w:spacing w:before="120" w:after="120" w:line="240" w:lineRule="auto"/>
              <w:rPr>
                <w:bCs/>
                <w:lang w:eastAsia="en-AU"/>
              </w:rPr>
            </w:pPr>
            <w:r w:rsidRPr="00783B2A">
              <w:rPr>
                <w:bCs/>
                <w:lang w:eastAsia="en-AU"/>
              </w:rPr>
              <w:t>Section 33</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6D26025C" w14:textId="4858B13D" w:rsidR="00EC1020" w:rsidRDefault="00A9206E" w:rsidP="00E53FBD">
            <w:pPr>
              <w:spacing w:before="120" w:after="120" w:line="240" w:lineRule="auto"/>
            </w:pPr>
            <w:r w:rsidRPr="006000C6">
              <w:t>This section expands the definition</w:t>
            </w:r>
            <w:r w:rsidR="00EB77B6" w:rsidRPr="00956A92">
              <w:t xml:space="preserve"> </w:t>
            </w:r>
            <w:r w:rsidR="00EB77B6">
              <w:t>of</w:t>
            </w:r>
            <w:r w:rsidRPr="006000C6">
              <w:t xml:space="preserve"> ‘contract’ to ‘arrangement’. The term ‘arrangement’ may now include any </w:t>
            </w:r>
            <w:r w:rsidRPr="00783B2A">
              <w:rPr>
                <w:bCs/>
                <w:lang w:eastAsia="en-AU"/>
              </w:rPr>
              <w:t>agreement, arrangement, understanding, promise or undertaking, whether express or implied that is enforceable, or intended to be enforceable, by legal proceedings.</w:t>
            </w:r>
          </w:p>
          <w:p w14:paraId="129AE79A" w14:textId="73DAC234" w:rsidR="00A9206E" w:rsidRDefault="00A9206E" w:rsidP="00E53FBD">
            <w:pPr>
              <w:spacing w:before="120" w:after="120" w:line="240" w:lineRule="auto"/>
            </w:pPr>
            <w:r w:rsidRPr="006000C6">
              <w:t>Section 33 provides an arrangement has no effect to the extent the arrangement aims to</w:t>
            </w:r>
            <w:r w:rsidR="000F5262">
              <w:t> </w:t>
            </w:r>
            <w:r w:rsidRPr="006000C6">
              <w:t>prevent an investor from applying for a transfer or penalise an investor for assisting with, or</w:t>
            </w:r>
            <w:r w:rsidR="000F5262">
              <w:t> </w:t>
            </w:r>
            <w:r w:rsidRPr="006000C6">
              <w:t>supporting in any way the application for the transfer of an allocation.</w:t>
            </w:r>
          </w:p>
          <w:p w14:paraId="09A26683" w14:textId="4D731296" w:rsidR="00A9206E" w:rsidRPr="00783B2A" w:rsidRDefault="00A9206E" w:rsidP="00E53FBD">
            <w:pPr>
              <w:spacing w:before="120" w:after="120" w:line="240" w:lineRule="auto"/>
              <w:rPr>
                <w:bCs/>
                <w:lang w:eastAsia="en-AU"/>
              </w:rPr>
            </w:pPr>
            <w:r>
              <w:rPr>
                <w:bCs/>
                <w:lang w:eastAsia="en-AU"/>
              </w:rPr>
              <w:t>This section</w:t>
            </w:r>
            <w:r w:rsidRPr="00783B2A">
              <w:rPr>
                <w:bCs/>
                <w:lang w:eastAsia="en-AU"/>
              </w:rPr>
              <w:t xml:space="preserve"> </w:t>
            </w:r>
            <w:r w:rsidR="006000C6">
              <w:rPr>
                <w:bCs/>
                <w:lang w:eastAsia="en-AU"/>
              </w:rPr>
              <w:t xml:space="preserve">is </w:t>
            </w:r>
            <w:r w:rsidRPr="00783B2A">
              <w:rPr>
                <w:bCs/>
                <w:lang w:eastAsia="en-AU"/>
              </w:rPr>
              <w:t xml:space="preserve">designed to </w:t>
            </w:r>
            <w:r w:rsidRPr="00783B2A">
              <w:rPr>
                <w:rStyle w:val="BookTitle"/>
                <w:bCs/>
                <w:i w:val="0"/>
                <w:iCs w:val="0"/>
                <w:smallCaps w:val="0"/>
                <w:spacing w:val="0"/>
                <w:lang w:eastAsia="en-AU"/>
              </w:rPr>
              <w:t>protect the rights of investors to seek a transfer of an allocation for their rental dwelling regardless of any legal arrangement the investor has entered into with the approved participant.</w:t>
            </w:r>
          </w:p>
        </w:tc>
      </w:tr>
      <w:tr w:rsidR="00A9206E" w14:paraId="407D7EDB"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EE61FD6" w14:textId="77777777" w:rsidR="00A9206E" w:rsidRPr="00783B2A" w:rsidRDefault="00A9206E" w:rsidP="00E53FBD">
            <w:pPr>
              <w:spacing w:before="120" w:after="120" w:line="240" w:lineRule="auto"/>
              <w:rPr>
                <w:bCs/>
                <w:lang w:eastAsia="en-AU"/>
              </w:rPr>
            </w:pPr>
            <w:r w:rsidRPr="00783B2A">
              <w:rPr>
                <w:bCs/>
                <w:lang w:eastAsia="en-AU"/>
              </w:rPr>
              <w:t>Application – redirection</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D605026" w14:textId="77777777" w:rsidR="00A9206E" w:rsidRPr="00783B2A" w:rsidRDefault="00A9206E" w:rsidP="00E53FBD">
            <w:pPr>
              <w:spacing w:before="120" w:after="120" w:line="240" w:lineRule="auto"/>
              <w:rPr>
                <w:bCs/>
                <w:lang w:eastAsia="en-AU"/>
              </w:rPr>
            </w:pPr>
            <w:r w:rsidRPr="009105FD">
              <w:rPr>
                <w:bCs/>
                <w:lang w:eastAsia="en-AU"/>
              </w:rPr>
              <w:t>Section</w:t>
            </w:r>
            <w:r w:rsidRPr="00783B2A">
              <w:rPr>
                <w:bCs/>
                <w:lang w:eastAsia="en-AU"/>
              </w:rPr>
              <w:t xml:space="preserve"> 22BH</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2EFA1F0" w14:textId="77777777" w:rsidR="00A9206E" w:rsidRPr="006000C6" w:rsidRDefault="00A9206E" w:rsidP="00E53FBD">
            <w:pPr>
              <w:spacing w:before="120" w:after="120" w:line="240" w:lineRule="auto"/>
              <w:rPr>
                <w:bCs/>
                <w:lang w:eastAsia="en-AU"/>
              </w:rPr>
            </w:pPr>
            <w:r w:rsidRPr="006000C6">
              <w:rPr>
                <w:bCs/>
                <w:lang w:eastAsia="en-AU"/>
              </w:rPr>
              <w:t>Section 57</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0778E9DB" w14:textId="05F982A9" w:rsidR="00A9206E" w:rsidRDefault="00A9206E" w:rsidP="00E53FBD">
            <w:pPr>
              <w:spacing w:before="120" w:after="120" w:line="240" w:lineRule="auto"/>
              <w:rPr>
                <w:bCs/>
                <w:lang w:eastAsia="en-AU"/>
              </w:rPr>
            </w:pPr>
            <w:r w:rsidRPr="00783B2A">
              <w:rPr>
                <w:bCs/>
                <w:lang w:eastAsia="en-AU"/>
              </w:rPr>
              <w:t>Section 57 applies where an allocation has been transferred, because of a breach and the original approved participant had obligations to pass on an incentive to an investor for a</w:t>
            </w:r>
            <w:r w:rsidR="000F5262">
              <w:rPr>
                <w:bCs/>
                <w:lang w:eastAsia="en-AU"/>
              </w:rPr>
              <w:t> </w:t>
            </w:r>
            <w:r w:rsidR="00571B87">
              <w:rPr>
                <w:bCs/>
                <w:lang w:eastAsia="en-AU"/>
              </w:rPr>
              <w:t>National Rental Affordability Scheme (NRAS</w:t>
            </w:r>
            <w:r w:rsidR="00435B67">
              <w:rPr>
                <w:bCs/>
                <w:lang w:eastAsia="en-AU"/>
              </w:rPr>
              <w:t>, the Scheme</w:t>
            </w:r>
            <w:r w:rsidR="00571B87">
              <w:rPr>
                <w:bCs/>
                <w:lang w:eastAsia="en-AU"/>
              </w:rPr>
              <w:t>)</w:t>
            </w:r>
            <w:r w:rsidR="00571B87" w:rsidRPr="00783B2A">
              <w:rPr>
                <w:bCs/>
                <w:lang w:eastAsia="en-AU"/>
              </w:rPr>
              <w:t xml:space="preserve"> </w:t>
            </w:r>
            <w:r w:rsidRPr="00783B2A">
              <w:rPr>
                <w:bCs/>
                <w:lang w:eastAsia="en-AU"/>
              </w:rPr>
              <w:t>year.</w:t>
            </w:r>
          </w:p>
          <w:p w14:paraId="4E244FC0" w14:textId="31296056" w:rsidR="00A9206E" w:rsidRPr="00783B2A" w:rsidRDefault="00A9206E" w:rsidP="00E53FBD">
            <w:pPr>
              <w:spacing w:before="120" w:after="120" w:line="240" w:lineRule="auto"/>
              <w:rPr>
                <w:bCs/>
                <w:lang w:eastAsia="en-AU"/>
              </w:rPr>
            </w:pPr>
            <w:r w:rsidRPr="00783B2A">
              <w:rPr>
                <w:bCs/>
                <w:lang w:eastAsia="en-AU"/>
              </w:rPr>
              <w:t>The Secretary is able to redirect an incentive for an allocation following the transfer to</w:t>
            </w:r>
            <w:r w:rsidR="000F5262">
              <w:rPr>
                <w:bCs/>
                <w:lang w:eastAsia="en-AU"/>
              </w:rPr>
              <w:t> </w:t>
            </w:r>
            <w:r w:rsidRPr="00783B2A">
              <w:rPr>
                <w:bCs/>
                <w:lang w:eastAsia="en-AU"/>
              </w:rPr>
              <w:t>a</w:t>
            </w:r>
            <w:r w:rsidR="000F5262">
              <w:rPr>
                <w:bCs/>
                <w:lang w:eastAsia="en-AU"/>
              </w:rPr>
              <w:t> </w:t>
            </w:r>
            <w:r w:rsidRPr="00783B2A">
              <w:rPr>
                <w:bCs/>
                <w:lang w:eastAsia="en-AU"/>
              </w:rPr>
              <w:t xml:space="preserve">gaining approved participant. </w:t>
            </w:r>
          </w:p>
        </w:tc>
      </w:tr>
      <w:tr w:rsidR="00A9206E" w14:paraId="0B7BD4E7"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9786E67" w14:textId="77777777" w:rsidR="00A9206E" w:rsidRPr="00783B2A" w:rsidRDefault="00A9206E" w:rsidP="00E53FBD">
            <w:pPr>
              <w:spacing w:before="120" w:after="120" w:line="240" w:lineRule="auto"/>
              <w:rPr>
                <w:bCs/>
                <w:lang w:eastAsia="en-AU"/>
              </w:rPr>
            </w:pPr>
            <w:r w:rsidRPr="00783B2A">
              <w:rPr>
                <w:bCs/>
                <w:lang w:eastAsia="en-AU"/>
              </w:rPr>
              <w:t>Secretary must notify proposed redirection</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C302CE7" w14:textId="302D621C" w:rsidR="00A9206E" w:rsidRPr="00783B2A" w:rsidRDefault="00A9206E" w:rsidP="00E53FBD">
            <w:pPr>
              <w:spacing w:before="120" w:after="120" w:line="240" w:lineRule="auto"/>
              <w:rPr>
                <w:bCs/>
                <w:lang w:eastAsia="en-AU"/>
              </w:rPr>
            </w:pPr>
            <w:r w:rsidRPr="009105FD">
              <w:rPr>
                <w:bCs/>
                <w:lang w:eastAsia="en-AU"/>
              </w:rPr>
              <w:t>S</w:t>
            </w:r>
            <w:r w:rsidR="006000C6">
              <w:rPr>
                <w:bCs/>
                <w:lang w:eastAsia="en-AU"/>
              </w:rPr>
              <w:t>ubs</w:t>
            </w:r>
            <w:r w:rsidRPr="009105FD">
              <w:rPr>
                <w:bCs/>
                <w:lang w:eastAsia="en-AU"/>
              </w:rPr>
              <w:t>ection</w:t>
            </w:r>
            <w:r w:rsidRPr="00783B2A">
              <w:rPr>
                <w:bCs/>
                <w:lang w:eastAsia="en-AU"/>
              </w:rPr>
              <w:t xml:space="preserve"> 22BH</w:t>
            </w:r>
            <w:r w:rsidR="006000C6">
              <w:rPr>
                <w:bCs/>
                <w:lang w:eastAsia="en-AU"/>
              </w:rPr>
              <w:t>(</w:t>
            </w:r>
            <w:r w:rsidRPr="00783B2A">
              <w:rPr>
                <w:bCs/>
                <w:lang w:eastAsia="en-AU"/>
              </w:rPr>
              <w:t>6</w:t>
            </w:r>
            <w:r w:rsidR="006000C6">
              <w:rPr>
                <w:bCs/>
                <w:lang w:eastAsia="en-AU"/>
              </w:rPr>
              <w:t>)</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F375856" w14:textId="77777777" w:rsidR="00A9206E" w:rsidRPr="00783B2A" w:rsidRDefault="00A9206E" w:rsidP="00E53FBD">
            <w:pPr>
              <w:spacing w:before="120" w:after="120" w:line="240" w:lineRule="auto"/>
              <w:rPr>
                <w:bCs/>
                <w:lang w:eastAsia="en-AU"/>
              </w:rPr>
            </w:pPr>
            <w:r w:rsidRPr="00783B2A">
              <w:rPr>
                <w:bCs/>
                <w:lang w:eastAsia="en-AU"/>
              </w:rPr>
              <w:t>Section 61</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79449A7A" w14:textId="13B6DC5E" w:rsidR="00A9206E" w:rsidRPr="00783B2A" w:rsidRDefault="00EB77B6" w:rsidP="00E53FBD">
            <w:pPr>
              <w:spacing w:before="120" w:after="120" w:line="240" w:lineRule="auto"/>
              <w:rPr>
                <w:bCs/>
                <w:lang w:eastAsia="en-AU"/>
              </w:rPr>
            </w:pPr>
            <w:r>
              <w:rPr>
                <w:bCs/>
                <w:lang w:eastAsia="en-AU"/>
              </w:rPr>
              <w:t>B</w:t>
            </w:r>
            <w:r w:rsidR="00A9206E" w:rsidRPr="00783B2A">
              <w:rPr>
                <w:bCs/>
                <w:lang w:eastAsia="en-AU"/>
              </w:rPr>
              <w:t>efore the Secretary redirects an incentive, the Secretary must give written notice of the proposed redirection and the decision to redirect to the original approved participant and to the relevant investor.</w:t>
            </w:r>
          </w:p>
          <w:p w14:paraId="57E74636" w14:textId="2A594CF6" w:rsidR="00A9206E" w:rsidRPr="00783B2A" w:rsidRDefault="00A9206E" w:rsidP="006428BF">
            <w:pPr>
              <w:spacing w:before="120" w:after="120" w:line="240" w:lineRule="auto"/>
              <w:rPr>
                <w:bCs/>
                <w:lang w:eastAsia="en-AU"/>
              </w:rPr>
            </w:pPr>
            <w:r w:rsidRPr="00783B2A">
              <w:rPr>
                <w:bCs/>
                <w:lang w:eastAsia="en-AU"/>
              </w:rPr>
              <w:t xml:space="preserve">The original approved participant </w:t>
            </w:r>
            <w:r w:rsidR="006428BF">
              <w:rPr>
                <w:bCs/>
                <w:lang w:eastAsia="en-AU"/>
              </w:rPr>
              <w:t xml:space="preserve">or investor </w:t>
            </w:r>
            <w:r w:rsidRPr="00783B2A">
              <w:rPr>
                <w:bCs/>
                <w:lang w:eastAsia="en-AU"/>
              </w:rPr>
              <w:t>ha</w:t>
            </w:r>
            <w:r w:rsidR="006428BF">
              <w:rPr>
                <w:bCs/>
                <w:lang w:eastAsia="en-AU"/>
              </w:rPr>
              <w:t>ve</w:t>
            </w:r>
            <w:r w:rsidRPr="00783B2A">
              <w:rPr>
                <w:bCs/>
                <w:lang w:eastAsia="en-AU"/>
              </w:rPr>
              <w:t xml:space="preserve"> 14 days after the day the Secretary gives notice to</w:t>
            </w:r>
            <w:r w:rsidR="000F5262">
              <w:rPr>
                <w:bCs/>
                <w:lang w:eastAsia="en-AU"/>
              </w:rPr>
              <w:t> </w:t>
            </w:r>
            <w:r w:rsidRPr="00783B2A">
              <w:rPr>
                <w:bCs/>
                <w:lang w:eastAsia="en-AU"/>
              </w:rPr>
              <w:t xml:space="preserve">provide a response.  </w:t>
            </w:r>
          </w:p>
        </w:tc>
      </w:tr>
      <w:tr w:rsidR="001165F3" w14:paraId="74CDD754" w14:textId="77777777" w:rsidTr="00302B9A">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A4165F" w14:textId="26E7D96E" w:rsidR="001165F3" w:rsidRPr="00783B2A" w:rsidRDefault="001165F3" w:rsidP="00E53FBD">
            <w:pPr>
              <w:spacing w:before="120" w:after="120" w:line="240" w:lineRule="auto"/>
              <w:rPr>
                <w:bCs/>
                <w:lang w:eastAsia="en-AU"/>
              </w:rPr>
            </w:pPr>
            <w:r w:rsidRPr="00783B2A">
              <w:rPr>
                <w:bCs/>
                <w:lang w:eastAsia="en-AU"/>
              </w:rPr>
              <w:t xml:space="preserve">Must take into account investor interests for </w:t>
            </w:r>
            <w:r w:rsidR="00F608AA">
              <w:rPr>
                <w:bCs/>
                <w:lang w:eastAsia="en-AU"/>
              </w:rPr>
              <w:t>redirections</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AF315" w14:textId="0572A20D" w:rsidR="001165F3" w:rsidRPr="009105FD" w:rsidRDefault="001165F3" w:rsidP="00E53FBD">
            <w:pPr>
              <w:spacing w:before="120" w:after="120" w:line="240" w:lineRule="auto"/>
              <w:rPr>
                <w:bCs/>
                <w:lang w:eastAsia="en-AU"/>
              </w:rPr>
            </w:pPr>
            <w:r w:rsidRPr="0084519D">
              <w:rPr>
                <w:bCs/>
                <w:lang w:eastAsia="en-AU"/>
              </w:rPr>
              <w:t>New</w:t>
            </w:r>
            <w:r>
              <w:rPr>
                <w:bCs/>
                <w:lang w:eastAsia="en-AU"/>
              </w:rPr>
              <w:t xml:space="preserve"> s</w:t>
            </w:r>
            <w:r w:rsidRPr="0084519D">
              <w:rPr>
                <w:bCs/>
                <w:lang w:eastAsia="en-AU"/>
              </w:rPr>
              <w:t>ection</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C4BCB" w14:textId="19BF7EB4" w:rsidR="001165F3" w:rsidRPr="00783B2A" w:rsidRDefault="001165F3" w:rsidP="00E53FBD">
            <w:pPr>
              <w:spacing w:before="120" w:after="120" w:line="240" w:lineRule="auto"/>
              <w:rPr>
                <w:bCs/>
                <w:lang w:eastAsia="en-AU"/>
              </w:rPr>
            </w:pPr>
            <w:r w:rsidRPr="00783B2A">
              <w:rPr>
                <w:bCs/>
                <w:lang w:eastAsia="en-AU"/>
              </w:rPr>
              <w:t>Section 62</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44045215" w14:textId="767BEC20" w:rsidR="001165F3" w:rsidRPr="00783B2A" w:rsidDel="00EB77B6" w:rsidRDefault="001165F3" w:rsidP="00E53FBD">
            <w:pPr>
              <w:spacing w:before="120" w:after="120" w:line="240" w:lineRule="auto"/>
              <w:rPr>
                <w:bCs/>
                <w:lang w:eastAsia="en-AU"/>
              </w:rPr>
            </w:pPr>
            <w:r>
              <w:rPr>
                <w:bCs/>
                <w:lang w:eastAsia="en-AU"/>
              </w:rPr>
              <w:t>T</w:t>
            </w:r>
            <w:r w:rsidRPr="00783B2A">
              <w:rPr>
                <w:bCs/>
                <w:lang w:eastAsia="en-AU"/>
              </w:rPr>
              <w:t xml:space="preserve">he Secretary must take into account the interests of investors </w:t>
            </w:r>
            <w:r>
              <w:rPr>
                <w:bCs/>
                <w:lang w:eastAsia="en-AU"/>
              </w:rPr>
              <w:t>i</w:t>
            </w:r>
            <w:r w:rsidRPr="00783B2A">
              <w:rPr>
                <w:bCs/>
                <w:lang w:eastAsia="en-AU"/>
              </w:rPr>
              <w:t>n deciding whether to redirect an incentive. This ensures the interests of any investors who may be affected by a redirection decision are considered prior to the Secretary conducting the redirection.</w:t>
            </w:r>
          </w:p>
        </w:tc>
      </w:tr>
    </w:tbl>
    <w:p w14:paraId="64663D95" w14:textId="77777777" w:rsidR="00E53FBD" w:rsidRDefault="00E53FB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2829"/>
        <w:gridCol w:w="1701"/>
        <w:gridCol w:w="1701"/>
        <w:gridCol w:w="9178"/>
      </w:tblGrid>
      <w:tr w:rsidR="001165F3" w14:paraId="6E8AE525" w14:textId="77777777" w:rsidTr="00302B9A">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50E95A" w14:textId="0AC5E170" w:rsidR="001165F3" w:rsidRDefault="001165F3" w:rsidP="00E53FBD">
            <w:pPr>
              <w:spacing w:before="120" w:after="120" w:line="240" w:lineRule="auto"/>
              <w:rPr>
                <w:bCs/>
                <w:lang w:eastAsia="en-AU"/>
              </w:rPr>
            </w:pPr>
            <w:r w:rsidRPr="00783B2A">
              <w:rPr>
                <w:bCs/>
                <w:lang w:eastAsia="en-AU"/>
              </w:rPr>
              <w:lastRenderedPageBreak/>
              <w:t>Redirection for</w:t>
            </w:r>
            <w:r w:rsidR="00F608AA">
              <w:rPr>
                <w:bCs/>
                <w:lang w:eastAsia="en-AU"/>
              </w:rPr>
              <w:t xml:space="preserve"> certain</w:t>
            </w:r>
            <w:r w:rsidRPr="00783B2A">
              <w:rPr>
                <w:bCs/>
                <w:lang w:eastAsia="en-AU"/>
              </w:rPr>
              <w:t xml:space="preserve"> earlier transfers</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14F29E" w14:textId="568F3095" w:rsidR="001165F3" w:rsidRPr="0084519D" w:rsidRDefault="001165F3" w:rsidP="00E53FBD">
            <w:pPr>
              <w:spacing w:before="120" w:after="120" w:line="240" w:lineRule="auto"/>
              <w:rPr>
                <w:bCs/>
                <w:lang w:eastAsia="en-AU"/>
              </w:rPr>
            </w:pPr>
            <w:r w:rsidRPr="0084519D">
              <w:rPr>
                <w:bCs/>
                <w:lang w:eastAsia="en-AU"/>
              </w:rPr>
              <w:t>New</w:t>
            </w:r>
            <w:r>
              <w:rPr>
                <w:bCs/>
                <w:lang w:eastAsia="en-AU"/>
              </w:rPr>
              <w:t xml:space="preserve"> s</w:t>
            </w:r>
            <w:r w:rsidRPr="0084519D">
              <w:rPr>
                <w:bCs/>
                <w:lang w:eastAsia="en-AU"/>
              </w:rPr>
              <w:t>ection</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AC77D5" w14:textId="4E47AB88" w:rsidR="001165F3" w:rsidRPr="00783B2A" w:rsidRDefault="001165F3" w:rsidP="00E53FBD">
            <w:pPr>
              <w:spacing w:before="120" w:after="120" w:line="240" w:lineRule="auto"/>
              <w:rPr>
                <w:bCs/>
                <w:lang w:eastAsia="en-AU"/>
              </w:rPr>
            </w:pPr>
            <w:r w:rsidRPr="00783B2A">
              <w:rPr>
                <w:bCs/>
                <w:lang w:eastAsia="en-AU"/>
              </w:rPr>
              <w:t>Section 7</w:t>
            </w:r>
            <w:r>
              <w:rPr>
                <w:bCs/>
                <w:lang w:eastAsia="en-AU"/>
              </w:rPr>
              <w:t>8</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2E8C4D5C" w14:textId="098B26FC" w:rsidR="001165F3" w:rsidRDefault="001165F3" w:rsidP="00E53FBD">
            <w:pPr>
              <w:spacing w:before="120" w:after="120" w:line="240" w:lineRule="auto"/>
              <w:rPr>
                <w:bCs/>
                <w:lang w:eastAsia="en-AU"/>
              </w:rPr>
            </w:pPr>
            <w:r w:rsidRPr="00783B2A">
              <w:rPr>
                <w:bCs/>
                <w:lang w:eastAsia="en-AU"/>
              </w:rPr>
              <w:t xml:space="preserve">This </w:t>
            </w:r>
            <w:r w:rsidR="006000C6">
              <w:rPr>
                <w:bCs/>
                <w:lang w:eastAsia="en-AU"/>
              </w:rPr>
              <w:t>section</w:t>
            </w:r>
            <w:r w:rsidR="006000C6" w:rsidRPr="00783B2A">
              <w:rPr>
                <w:bCs/>
                <w:lang w:eastAsia="en-AU"/>
              </w:rPr>
              <w:t xml:space="preserve"> </w:t>
            </w:r>
            <w:r w:rsidRPr="00783B2A">
              <w:rPr>
                <w:bCs/>
                <w:lang w:eastAsia="en-AU"/>
              </w:rPr>
              <w:t>allows the Secretary to redirect incentives when investors are not able to</w:t>
            </w:r>
            <w:r>
              <w:rPr>
                <w:bCs/>
                <w:lang w:eastAsia="en-AU"/>
              </w:rPr>
              <w:t> </w:t>
            </w:r>
            <w:r w:rsidRPr="00783B2A">
              <w:rPr>
                <w:bCs/>
                <w:lang w:eastAsia="en-AU"/>
              </w:rPr>
              <w:t xml:space="preserve">access them from their original or gaining approved participant. </w:t>
            </w:r>
            <w:r w:rsidR="00F608AA">
              <w:rPr>
                <w:bCs/>
                <w:lang w:eastAsia="en-AU"/>
              </w:rPr>
              <w:t>This applies to transfers under the previous subregulation 21A(1) of the previous regulations that were in force prior to</w:t>
            </w:r>
            <w:r w:rsidR="00951E3E">
              <w:rPr>
                <w:bCs/>
                <w:lang w:eastAsia="en-AU"/>
              </w:rPr>
              <w:t> </w:t>
            </w:r>
            <w:r w:rsidR="00F608AA">
              <w:rPr>
                <w:bCs/>
                <w:lang w:eastAsia="en-AU"/>
              </w:rPr>
              <w:t>9</w:t>
            </w:r>
            <w:r w:rsidR="00951E3E">
              <w:rPr>
                <w:bCs/>
                <w:lang w:eastAsia="en-AU"/>
              </w:rPr>
              <w:t> </w:t>
            </w:r>
            <w:r w:rsidR="00F608AA">
              <w:rPr>
                <w:bCs/>
                <w:lang w:eastAsia="en-AU"/>
              </w:rPr>
              <w:t>March</w:t>
            </w:r>
            <w:r w:rsidR="00951E3E">
              <w:rPr>
                <w:bCs/>
                <w:lang w:eastAsia="en-AU"/>
              </w:rPr>
              <w:t> </w:t>
            </w:r>
            <w:r w:rsidR="00F608AA">
              <w:rPr>
                <w:bCs/>
                <w:lang w:eastAsia="en-AU"/>
              </w:rPr>
              <w:t>2019.</w:t>
            </w:r>
          </w:p>
          <w:p w14:paraId="0F7DF774" w14:textId="71691C0D" w:rsidR="001165F3" w:rsidRDefault="001165F3" w:rsidP="00E53FBD">
            <w:pPr>
              <w:spacing w:before="120" w:after="120" w:line="240" w:lineRule="auto"/>
              <w:rPr>
                <w:bCs/>
                <w:lang w:eastAsia="en-AU"/>
              </w:rPr>
            </w:pPr>
            <w:r w:rsidRPr="00783B2A">
              <w:rPr>
                <w:bCs/>
                <w:lang w:eastAsia="en-AU"/>
              </w:rPr>
              <w:t xml:space="preserve">This enables the Secretary to provide the incentives </w:t>
            </w:r>
            <w:r w:rsidR="00F608AA">
              <w:rPr>
                <w:bCs/>
                <w:lang w:eastAsia="en-AU"/>
              </w:rPr>
              <w:t>for the NRAS year beginning 1</w:t>
            </w:r>
            <w:r w:rsidR="00951E3E">
              <w:rPr>
                <w:bCs/>
                <w:lang w:eastAsia="en-AU"/>
              </w:rPr>
              <w:t> </w:t>
            </w:r>
            <w:r w:rsidR="00F608AA">
              <w:rPr>
                <w:bCs/>
                <w:lang w:eastAsia="en-AU"/>
              </w:rPr>
              <w:t>May</w:t>
            </w:r>
            <w:r w:rsidR="00951E3E">
              <w:rPr>
                <w:bCs/>
                <w:lang w:eastAsia="en-AU"/>
              </w:rPr>
              <w:t> </w:t>
            </w:r>
            <w:r w:rsidR="00F608AA">
              <w:rPr>
                <w:bCs/>
                <w:lang w:eastAsia="en-AU"/>
              </w:rPr>
              <w:t xml:space="preserve">2018 </w:t>
            </w:r>
            <w:r w:rsidRPr="00783B2A">
              <w:rPr>
                <w:bCs/>
                <w:lang w:eastAsia="en-AU"/>
              </w:rPr>
              <w:t>to the gaining approved participant who is required to pass on the incentives to the relevant investors.</w:t>
            </w:r>
          </w:p>
        </w:tc>
      </w:tr>
    </w:tbl>
    <w:p w14:paraId="6D1C59F4" w14:textId="004967E7" w:rsidR="00163FB6" w:rsidRPr="00F3079F" w:rsidRDefault="00163FB6" w:rsidP="00E53FBD">
      <w:pPr>
        <w:pStyle w:val="Heading4"/>
        <w:spacing w:before="120" w:after="120" w:line="240" w:lineRule="atLeast"/>
        <w:rPr>
          <w:i w:val="0"/>
          <w:color w:val="7030A0"/>
          <w:sz w:val="28"/>
          <w:szCs w:val="28"/>
        </w:rPr>
      </w:pPr>
      <w:bookmarkStart w:id="2" w:name="_Breaches"/>
      <w:bookmarkEnd w:id="2"/>
      <w:r w:rsidRPr="00F3079F">
        <w:rPr>
          <w:i w:val="0"/>
          <w:color w:val="7030A0"/>
          <w:sz w:val="28"/>
          <w:szCs w:val="28"/>
        </w:rPr>
        <w:t>Breaches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829"/>
        <w:gridCol w:w="1701"/>
        <w:gridCol w:w="1701"/>
        <w:gridCol w:w="9178"/>
      </w:tblGrid>
      <w:tr w:rsidR="00A9206E" w14:paraId="5DA9EC70" w14:textId="77777777" w:rsidTr="006000C6">
        <w:tc>
          <w:tcPr>
            <w:tcW w:w="918" w:type="pct"/>
            <w:shd w:val="clear" w:color="auto" w:fill="E5DFEC" w:themeFill="accent4" w:themeFillTint="33"/>
            <w:tcMar>
              <w:top w:w="0" w:type="dxa"/>
              <w:left w:w="108" w:type="dxa"/>
              <w:bottom w:w="0" w:type="dxa"/>
              <w:right w:w="108" w:type="dxa"/>
            </w:tcMar>
            <w:hideMark/>
          </w:tcPr>
          <w:p w14:paraId="73B3CA31" w14:textId="77777777" w:rsidR="00A9206E" w:rsidRPr="002E35C4" w:rsidRDefault="00A9206E" w:rsidP="00E53FBD">
            <w:pPr>
              <w:spacing w:before="120" w:after="120" w:line="240" w:lineRule="auto"/>
              <w:rPr>
                <w:b/>
                <w:bCs/>
                <w:lang w:eastAsia="en-AU"/>
              </w:rPr>
            </w:pPr>
            <w:r>
              <w:rPr>
                <w:b/>
                <w:bCs/>
                <w:lang w:eastAsia="en-AU"/>
              </w:rPr>
              <w:t>Subject</w:t>
            </w:r>
          </w:p>
        </w:tc>
        <w:tc>
          <w:tcPr>
            <w:tcW w:w="552" w:type="pct"/>
            <w:shd w:val="clear" w:color="auto" w:fill="E5DFEC" w:themeFill="accent4" w:themeFillTint="33"/>
            <w:tcMar>
              <w:top w:w="0" w:type="dxa"/>
              <w:left w:w="108" w:type="dxa"/>
              <w:bottom w:w="0" w:type="dxa"/>
              <w:right w:w="108" w:type="dxa"/>
            </w:tcMar>
            <w:hideMark/>
          </w:tcPr>
          <w:p w14:paraId="5360B103" w14:textId="77777777" w:rsidR="00A9206E" w:rsidRPr="002E35C4" w:rsidRDefault="00A9206E" w:rsidP="00E53FBD">
            <w:pPr>
              <w:spacing w:before="120" w:after="120" w:line="240" w:lineRule="auto"/>
              <w:rPr>
                <w:b/>
                <w:bCs/>
                <w:lang w:eastAsia="en-AU"/>
              </w:rPr>
            </w:pPr>
            <w:r>
              <w:rPr>
                <w:b/>
                <w:bCs/>
                <w:lang w:eastAsia="en-AU"/>
              </w:rPr>
              <w:t>2008 regulations</w:t>
            </w:r>
          </w:p>
        </w:tc>
        <w:tc>
          <w:tcPr>
            <w:tcW w:w="552" w:type="pct"/>
            <w:shd w:val="clear" w:color="auto" w:fill="E5DFEC" w:themeFill="accent4" w:themeFillTint="33"/>
            <w:tcMar>
              <w:top w:w="0" w:type="dxa"/>
              <w:left w:w="108" w:type="dxa"/>
              <w:bottom w:w="0" w:type="dxa"/>
              <w:right w:w="108" w:type="dxa"/>
            </w:tcMar>
            <w:hideMark/>
          </w:tcPr>
          <w:p w14:paraId="3F7399A1" w14:textId="77777777" w:rsidR="00A9206E" w:rsidRPr="002E35C4" w:rsidRDefault="00A9206E" w:rsidP="00E53FBD">
            <w:pPr>
              <w:spacing w:before="120" w:after="120" w:line="240" w:lineRule="auto"/>
              <w:rPr>
                <w:b/>
                <w:bCs/>
                <w:lang w:eastAsia="en-AU"/>
              </w:rPr>
            </w:pPr>
            <w:r>
              <w:rPr>
                <w:b/>
                <w:bCs/>
                <w:lang w:eastAsia="en-AU"/>
              </w:rPr>
              <w:t>2020 regulations</w:t>
            </w:r>
          </w:p>
        </w:tc>
        <w:tc>
          <w:tcPr>
            <w:tcW w:w="2978" w:type="pct"/>
            <w:shd w:val="clear" w:color="auto" w:fill="E5DFEC" w:themeFill="accent4" w:themeFillTint="33"/>
          </w:tcPr>
          <w:p w14:paraId="50D991A6" w14:textId="77777777" w:rsidR="00A9206E" w:rsidRPr="002E35C4" w:rsidRDefault="00A9206E" w:rsidP="00E53FBD">
            <w:pPr>
              <w:spacing w:before="120" w:after="120" w:line="240" w:lineRule="auto"/>
              <w:rPr>
                <w:b/>
                <w:bCs/>
                <w:lang w:eastAsia="en-AU"/>
              </w:rPr>
            </w:pPr>
            <w:r>
              <w:rPr>
                <w:b/>
                <w:bCs/>
                <w:lang w:eastAsia="en-AU"/>
              </w:rPr>
              <w:t>What changed?</w:t>
            </w:r>
          </w:p>
        </w:tc>
      </w:tr>
      <w:tr w:rsidR="00A9206E" w14:paraId="77F0BF0C"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AE05E86" w14:textId="77777777" w:rsidR="00A9206E" w:rsidRPr="00D53DAE" w:rsidRDefault="00A9206E" w:rsidP="00E53FBD">
            <w:pPr>
              <w:spacing w:before="120" w:after="120" w:line="240" w:lineRule="auto"/>
              <w:rPr>
                <w:bCs/>
                <w:lang w:eastAsia="en-AU"/>
              </w:rPr>
            </w:pPr>
            <w:r w:rsidRPr="00D53DAE">
              <w:rPr>
                <w:bCs/>
                <w:lang w:eastAsia="en-AU"/>
              </w:rPr>
              <w:t>Disqualifying breach</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C9732B6" w14:textId="77777777" w:rsidR="00A9206E" w:rsidRPr="00D53DAE" w:rsidRDefault="00A9206E" w:rsidP="00E53FBD">
            <w:pPr>
              <w:spacing w:before="120" w:after="120" w:line="240" w:lineRule="auto"/>
              <w:rPr>
                <w:bCs/>
                <w:lang w:eastAsia="en-AU"/>
              </w:rPr>
            </w:pPr>
            <w:r w:rsidRPr="00D53DAE">
              <w:rPr>
                <w:bCs/>
                <w:lang w:eastAsia="en-AU"/>
              </w:rPr>
              <w:t>Section 22BC</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F816FDE" w14:textId="77777777" w:rsidR="00A9206E" w:rsidRPr="00D53DAE" w:rsidRDefault="00A9206E" w:rsidP="00E53FBD">
            <w:pPr>
              <w:spacing w:before="120" w:after="120" w:line="240" w:lineRule="auto"/>
              <w:rPr>
                <w:bCs/>
                <w:lang w:eastAsia="en-AU"/>
              </w:rPr>
            </w:pPr>
            <w:r w:rsidRPr="00D53DAE">
              <w:rPr>
                <w:bCs/>
                <w:lang w:eastAsia="en-AU"/>
              </w:rPr>
              <w:t>Section 26</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53ECABDB" w14:textId="391D077A" w:rsidR="00A9206E" w:rsidRPr="00D53DAE" w:rsidRDefault="00A9206E" w:rsidP="00E53FBD">
            <w:pPr>
              <w:spacing w:before="120" w:after="120" w:line="240" w:lineRule="auto"/>
              <w:rPr>
                <w:bCs/>
                <w:lang w:eastAsia="en-AU"/>
              </w:rPr>
            </w:pPr>
            <w:r w:rsidRPr="00D53DAE">
              <w:rPr>
                <w:bCs/>
                <w:lang w:eastAsia="en-AU"/>
              </w:rPr>
              <w:t>This section has been expanded to allow a disqualifying breach determination to be made where an approved participant, or a director of the approved participant, has been convicted of an offence against a law of the Commonwealth, or of a state or territory, involving fraud,</w:t>
            </w:r>
            <w:r w:rsidR="00302B9A">
              <w:rPr>
                <w:bCs/>
                <w:lang w:eastAsia="en-AU"/>
              </w:rPr>
              <w:t xml:space="preserve"> </w:t>
            </w:r>
            <w:r w:rsidRPr="00D53DAE">
              <w:rPr>
                <w:bCs/>
                <w:lang w:eastAsia="en-AU"/>
              </w:rPr>
              <w:t>dishonesty, bribery or corruption.</w:t>
            </w:r>
          </w:p>
        </w:tc>
      </w:tr>
      <w:tr w:rsidR="00A9206E" w14:paraId="6BD01FF6"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9DE39C0" w14:textId="77777777" w:rsidR="00A9206E" w:rsidRPr="00D53DAE" w:rsidRDefault="00A9206E" w:rsidP="00E53FBD">
            <w:pPr>
              <w:spacing w:before="120" w:after="120" w:line="240" w:lineRule="auto"/>
              <w:rPr>
                <w:bCs/>
                <w:lang w:eastAsia="en-AU"/>
              </w:rPr>
            </w:pPr>
            <w:r w:rsidRPr="00D53DAE">
              <w:rPr>
                <w:bCs/>
                <w:lang w:eastAsia="en-AU"/>
              </w:rPr>
              <w:t>Requirements for determination of breach</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D5A6779" w14:textId="29B49CD4" w:rsidR="00A9206E" w:rsidRPr="00D53DAE" w:rsidRDefault="00A9206E" w:rsidP="00E53FBD">
            <w:pPr>
              <w:spacing w:before="120" w:after="120" w:line="240" w:lineRule="auto"/>
              <w:rPr>
                <w:bCs/>
                <w:lang w:eastAsia="en-AU"/>
              </w:rPr>
            </w:pPr>
            <w:r w:rsidRPr="00D53DAE">
              <w:rPr>
                <w:bCs/>
                <w:lang w:eastAsia="en-AU"/>
              </w:rPr>
              <w:t>Section 22BF</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04055EF" w14:textId="77777777" w:rsidR="00A9206E" w:rsidRPr="00D53DAE" w:rsidRDefault="00A9206E" w:rsidP="00E53FBD">
            <w:pPr>
              <w:spacing w:before="120" w:after="120" w:line="240" w:lineRule="auto"/>
              <w:rPr>
                <w:bCs/>
                <w:lang w:eastAsia="en-AU"/>
              </w:rPr>
            </w:pPr>
            <w:r w:rsidRPr="00D53DAE">
              <w:rPr>
                <w:bCs/>
                <w:lang w:eastAsia="en-AU"/>
              </w:rPr>
              <w:t>Section 30</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1F2DAEE2" w14:textId="4B29C5BB" w:rsidR="00A9206E" w:rsidRPr="00D53DAE" w:rsidRDefault="00EB77B6" w:rsidP="00E53FBD">
            <w:pPr>
              <w:spacing w:before="120" w:after="120" w:line="240" w:lineRule="auto"/>
              <w:rPr>
                <w:bCs/>
                <w:lang w:eastAsia="en-AU"/>
              </w:rPr>
            </w:pPr>
            <w:r>
              <w:rPr>
                <w:rStyle w:val="BookTitle"/>
                <w:bCs/>
                <w:i w:val="0"/>
                <w:iCs w:val="0"/>
                <w:smallCaps w:val="0"/>
                <w:spacing w:val="0"/>
                <w:lang w:eastAsia="en-AU"/>
              </w:rPr>
              <w:t>T</w:t>
            </w:r>
            <w:r w:rsidR="00A9206E" w:rsidRPr="00D53DAE">
              <w:rPr>
                <w:rStyle w:val="BookTitle"/>
                <w:bCs/>
                <w:i w:val="0"/>
                <w:iCs w:val="0"/>
                <w:smallCaps w:val="0"/>
                <w:spacing w:val="0"/>
                <w:lang w:eastAsia="en-AU"/>
              </w:rPr>
              <w:t xml:space="preserve">he Secretary must give written notice to the approved participant or investor of the decision whether or not to make the determination. </w:t>
            </w:r>
          </w:p>
        </w:tc>
      </w:tr>
      <w:tr w:rsidR="00A9206E" w14:paraId="726C63F0"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A670539" w14:textId="77777777" w:rsidR="00A9206E" w:rsidRPr="00D53DAE" w:rsidRDefault="00A9206E" w:rsidP="00E53FBD">
            <w:pPr>
              <w:spacing w:before="120" w:after="120" w:line="240" w:lineRule="auto"/>
              <w:rPr>
                <w:bCs/>
                <w:lang w:eastAsia="en-AU"/>
              </w:rPr>
            </w:pPr>
            <w:r w:rsidRPr="00D53DAE">
              <w:rPr>
                <w:bCs/>
                <w:lang w:eastAsia="en-AU"/>
              </w:rPr>
              <w:t xml:space="preserve">Can publish serious and disqualifying breach </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D402210" w14:textId="5ACB1F99" w:rsidR="00A9206E" w:rsidRPr="00D53DAE" w:rsidRDefault="00A9206E" w:rsidP="00E53FBD">
            <w:pPr>
              <w:spacing w:before="120" w:after="120" w:line="240" w:lineRule="auto"/>
              <w:rPr>
                <w:bCs/>
                <w:lang w:eastAsia="en-AU"/>
              </w:rPr>
            </w:pPr>
            <w:r w:rsidRPr="00D53DAE">
              <w:rPr>
                <w:bCs/>
                <w:lang w:eastAsia="en-AU"/>
              </w:rPr>
              <w:t>S</w:t>
            </w:r>
            <w:r w:rsidR="00F608AA">
              <w:rPr>
                <w:bCs/>
                <w:lang w:eastAsia="en-AU"/>
              </w:rPr>
              <w:t>ubs</w:t>
            </w:r>
            <w:r w:rsidRPr="00D53DAE">
              <w:rPr>
                <w:bCs/>
                <w:lang w:eastAsia="en-AU"/>
              </w:rPr>
              <w:t>ection 22BB(2)</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067AF28" w14:textId="77777777" w:rsidR="00A9206E" w:rsidRPr="00D53DAE" w:rsidRDefault="00A9206E" w:rsidP="00E53FBD">
            <w:pPr>
              <w:spacing w:before="120" w:after="120" w:line="240" w:lineRule="auto"/>
              <w:rPr>
                <w:bCs/>
                <w:lang w:eastAsia="en-AU"/>
              </w:rPr>
            </w:pPr>
            <w:r w:rsidRPr="00D53DAE">
              <w:rPr>
                <w:bCs/>
                <w:lang w:eastAsia="en-AU"/>
              </w:rPr>
              <w:t>Section 31</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14B7683A" w14:textId="4158C788" w:rsidR="00A9206E" w:rsidRPr="00D53DAE" w:rsidRDefault="00A9206E" w:rsidP="00E53FBD">
            <w:pPr>
              <w:spacing w:before="120" w:after="120" w:line="240" w:lineRule="auto"/>
              <w:rPr>
                <w:rStyle w:val="BookTitle"/>
                <w:bCs/>
                <w:i w:val="0"/>
                <w:iCs w:val="0"/>
                <w:smallCaps w:val="0"/>
                <w:spacing w:val="0"/>
                <w:lang w:eastAsia="en-AU"/>
              </w:rPr>
            </w:pPr>
            <w:r w:rsidRPr="00D53DAE">
              <w:rPr>
                <w:rStyle w:val="BookTitle"/>
                <w:bCs/>
                <w:i w:val="0"/>
                <w:iCs w:val="0"/>
                <w:smallCaps w:val="0"/>
                <w:spacing w:val="0"/>
                <w:lang w:eastAsia="en-AU"/>
              </w:rPr>
              <w:t>If the Secretary makes a determination that an approved participant has committed a serious breach or a disqualifying breach, the Secretary may publish a notice of the determination on the department’s website.</w:t>
            </w:r>
          </w:p>
          <w:p w14:paraId="30C987FF" w14:textId="497A58BF" w:rsidR="00A9206E" w:rsidRDefault="00A9206E" w:rsidP="00E53FBD">
            <w:pPr>
              <w:spacing w:before="120" w:after="120" w:line="240" w:lineRule="auto"/>
              <w:rPr>
                <w:rStyle w:val="BookTitle"/>
                <w:bCs/>
                <w:i w:val="0"/>
                <w:iCs w:val="0"/>
                <w:smallCaps w:val="0"/>
                <w:spacing w:val="0"/>
                <w:lang w:eastAsia="en-AU"/>
              </w:rPr>
            </w:pPr>
            <w:r w:rsidRPr="00D53DAE">
              <w:rPr>
                <w:rStyle w:val="BookTitle"/>
                <w:bCs/>
                <w:i w:val="0"/>
                <w:iCs w:val="0"/>
                <w:smallCaps w:val="0"/>
                <w:spacing w:val="0"/>
                <w:lang w:eastAsia="en-AU"/>
              </w:rPr>
              <w:t xml:space="preserve">This </w:t>
            </w:r>
            <w:r w:rsidR="006000C6">
              <w:rPr>
                <w:rStyle w:val="BookTitle"/>
                <w:bCs/>
                <w:i w:val="0"/>
                <w:iCs w:val="0"/>
                <w:smallCaps w:val="0"/>
                <w:spacing w:val="0"/>
                <w:lang w:eastAsia="en-AU"/>
              </w:rPr>
              <w:t xml:space="preserve">section </w:t>
            </w:r>
            <w:r w:rsidRPr="00D53DAE">
              <w:rPr>
                <w:rStyle w:val="BookTitle"/>
                <w:bCs/>
                <w:i w:val="0"/>
                <w:iCs w:val="0"/>
                <w:smallCaps w:val="0"/>
                <w:spacing w:val="0"/>
                <w:lang w:eastAsia="en-AU"/>
              </w:rPr>
              <w:t>expands the Secretary’s discretion to publish notices regarding disqualifying breach determinations a</w:t>
            </w:r>
            <w:r w:rsidR="00F608AA">
              <w:rPr>
                <w:rStyle w:val="BookTitle"/>
                <w:bCs/>
                <w:i w:val="0"/>
                <w:iCs w:val="0"/>
                <w:smallCaps w:val="0"/>
                <w:spacing w:val="0"/>
                <w:lang w:eastAsia="en-AU"/>
              </w:rPr>
              <w:t xml:space="preserve">s well as </w:t>
            </w:r>
            <w:r w:rsidRPr="00D53DAE">
              <w:rPr>
                <w:rStyle w:val="BookTitle"/>
                <w:bCs/>
                <w:i w:val="0"/>
                <w:iCs w:val="0"/>
                <w:smallCaps w:val="0"/>
                <w:spacing w:val="0"/>
                <w:lang w:eastAsia="en-AU"/>
              </w:rPr>
              <w:t xml:space="preserve">serious breach determinations. </w:t>
            </w:r>
          </w:p>
          <w:p w14:paraId="5B26329D" w14:textId="05EB9349" w:rsidR="00A9206E" w:rsidRPr="00D53DAE" w:rsidRDefault="00A9206E" w:rsidP="00E53FBD">
            <w:pPr>
              <w:spacing w:before="120" w:after="120" w:line="240" w:lineRule="auto"/>
              <w:rPr>
                <w:bCs/>
                <w:lang w:eastAsia="en-AU"/>
              </w:rPr>
            </w:pPr>
            <w:r>
              <w:rPr>
                <w:rStyle w:val="BookTitle"/>
                <w:bCs/>
                <w:i w:val="0"/>
                <w:iCs w:val="0"/>
                <w:smallCaps w:val="0"/>
                <w:spacing w:val="0"/>
                <w:lang w:eastAsia="en-AU"/>
              </w:rPr>
              <w:t xml:space="preserve">This </w:t>
            </w:r>
            <w:r w:rsidRPr="00D53DAE">
              <w:rPr>
                <w:rStyle w:val="BookTitle"/>
                <w:bCs/>
                <w:i w:val="0"/>
                <w:iCs w:val="0"/>
                <w:smallCaps w:val="0"/>
                <w:spacing w:val="0"/>
                <w:lang w:eastAsia="en-AU"/>
              </w:rPr>
              <w:t>allows investors to consider whether, in light of the det</w:t>
            </w:r>
            <w:r w:rsidR="00EC1020">
              <w:rPr>
                <w:rStyle w:val="BookTitle"/>
                <w:bCs/>
                <w:i w:val="0"/>
                <w:iCs w:val="0"/>
                <w:smallCaps w:val="0"/>
                <w:spacing w:val="0"/>
                <w:lang w:eastAsia="en-AU"/>
              </w:rPr>
              <w:t>ermination, they would like to</w:t>
            </w:r>
            <w:r w:rsidR="000F5262">
              <w:rPr>
                <w:rStyle w:val="BookTitle"/>
                <w:bCs/>
                <w:i w:val="0"/>
                <w:iCs w:val="0"/>
                <w:smallCaps w:val="0"/>
                <w:spacing w:val="0"/>
                <w:lang w:eastAsia="en-AU"/>
              </w:rPr>
              <w:t> </w:t>
            </w:r>
            <w:r w:rsidRPr="00D53DAE">
              <w:rPr>
                <w:rStyle w:val="BookTitle"/>
                <w:bCs/>
                <w:i w:val="0"/>
                <w:iCs w:val="0"/>
                <w:smallCaps w:val="0"/>
                <w:spacing w:val="0"/>
                <w:lang w:eastAsia="en-AU"/>
              </w:rPr>
              <w:t>make a transfer request.</w:t>
            </w:r>
          </w:p>
        </w:tc>
      </w:tr>
      <w:tr w:rsidR="00A9206E" w14:paraId="61755727" w14:textId="77777777" w:rsidTr="006000C6">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6CF25F5" w14:textId="3B95A1CF" w:rsidR="00A9206E" w:rsidRPr="00D53DAE" w:rsidRDefault="00A9206E" w:rsidP="00E53FBD">
            <w:pPr>
              <w:spacing w:before="120" w:after="120" w:line="240" w:lineRule="auto"/>
              <w:rPr>
                <w:bCs/>
                <w:lang w:eastAsia="en-AU"/>
              </w:rPr>
            </w:pPr>
            <w:r w:rsidRPr="00D53DAE">
              <w:rPr>
                <w:bCs/>
                <w:lang w:eastAsia="en-AU"/>
              </w:rPr>
              <w:t>Transfer or revocation because of breach</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3F00DE9" w14:textId="1C85E734" w:rsidR="00A9206E" w:rsidRPr="00D53DAE" w:rsidRDefault="00A9206E" w:rsidP="00E53FBD">
            <w:pPr>
              <w:spacing w:before="120" w:after="120" w:line="240" w:lineRule="auto"/>
              <w:rPr>
                <w:bCs/>
                <w:lang w:eastAsia="en-AU"/>
              </w:rPr>
            </w:pPr>
            <w:r w:rsidRPr="00D53DAE">
              <w:rPr>
                <w:bCs/>
                <w:lang w:eastAsia="en-AU"/>
              </w:rPr>
              <w:t>S</w:t>
            </w:r>
            <w:r w:rsidR="00F608AA">
              <w:rPr>
                <w:bCs/>
                <w:lang w:eastAsia="en-AU"/>
              </w:rPr>
              <w:t>ubs</w:t>
            </w:r>
            <w:r w:rsidRPr="00D53DAE">
              <w:rPr>
                <w:bCs/>
                <w:lang w:eastAsia="en-AU"/>
              </w:rPr>
              <w:t>ection 22BG(6)</w:t>
            </w: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1130FDE" w14:textId="7F002C13" w:rsidR="00A9206E" w:rsidRPr="00D53DAE" w:rsidRDefault="00A9206E" w:rsidP="00E53FBD">
            <w:pPr>
              <w:spacing w:before="120" w:after="120" w:line="240" w:lineRule="auto"/>
              <w:rPr>
                <w:bCs/>
                <w:lang w:eastAsia="en-AU"/>
              </w:rPr>
            </w:pPr>
            <w:r w:rsidRPr="00D53DAE">
              <w:rPr>
                <w:bCs/>
                <w:lang w:eastAsia="en-AU"/>
              </w:rPr>
              <w:t>S</w:t>
            </w:r>
            <w:r w:rsidR="00E236A3">
              <w:rPr>
                <w:bCs/>
                <w:lang w:eastAsia="en-AU"/>
              </w:rPr>
              <w:t>ubs</w:t>
            </w:r>
            <w:r w:rsidRPr="00D53DAE">
              <w:rPr>
                <w:bCs/>
                <w:lang w:eastAsia="en-AU"/>
              </w:rPr>
              <w:t>ection 32(7)</w:t>
            </w:r>
          </w:p>
          <w:p w14:paraId="65085DE9" w14:textId="22BC52C4" w:rsidR="00A9206E" w:rsidRPr="00D53DAE" w:rsidRDefault="00A9206E" w:rsidP="00E53FBD">
            <w:pPr>
              <w:spacing w:before="120" w:after="120" w:line="240" w:lineRule="auto"/>
              <w:rPr>
                <w:bCs/>
                <w:lang w:eastAsia="en-AU"/>
              </w:rPr>
            </w:pPr>
            <w:r w:rsidRPr="00D53DAE">
              <w:rPr>
                <w:bCs/>
                <w:lang w:eastAsia="en-AU"/>
              </w:rPr>
              <w:t>S</w:t>
            </w:r>
            <w:r w:rsidR="00E236A3">
              <w:rPr>
                <w:bCs/>
                <w:lang w:eastAsia="en-AU"/>
              </w:rPr>
              <w:t>ubs</w:t>
            </w:r>
            <w:r w:rsidRPr="00D53DAE">
              <w:rPr>
                <w:bCs/>
                <w:lang w:eastAsia="en-AU"/>
              </w:rPr>
              <w:t>ection 32(8)</w:t>
            </w:r>
          </w:p>
        </w:tc>
        <w:tc>
          <w:tcPr>
            <w:tcW w:w="2978" w:type="pct"/>
            <w:tcBorders>
              <w:top w:val="single" w:sz="4" w:space="0" w:color="auto"/>
              <w:left w:val="single" w:sz="4" w:space="0" w:color="auto"/>
              <w:bottom w:val="single" w:sz="4" w:space="0" w:color="auto"/>
              <w:right w:val="single" w:sz="4" w:space="0" w:color="auto"/>
            </w:tcBorders>
            <w:shd w:val="clear" w:color="auto" w:fill="FFFFFF" w:themeFill="background1"/>
          </w:tcPr>
          <w:p w14:paraId="08F9F02F" w14:textId="2ACAA857" w:rsidR="00A9206E" w:rsidRDefault="00A9206E" w:rsidP="00E53FBD">
            <w:pPr>
              <w:spacing w:before="120" w:after="120" w:line="240" w:lineRule="auto"/>
              <w:rPr>
                <w:rStyle w:val="BookTitle"/>
                <w:bCs/>
                <w:i w:val="0"/>
                <w:iCs w:val="0"/>
                <w:smallCaps w:val="0"/>
                <w:spacing w:val="0"/>
                <w:lang w:eastAsia="en-AU"/>
              </w:rPr>
            </w:pPr>
            <w:r w:rsidRPr="00D53DAE">
              <w:rPr>
                <w:rStyle w:val="BookTitle"/>
                <w:bCs/>
                <w:i w:val="0"/>
                <w:iCs w:val="0"/>
                <w:smallCaps w:val="0"/>
                <w:spacing w:val="0"/>
                <w:lang w:eastAsia="en-AU"/>
              </w:rPr>
              <w:t xml:space="preserve">These </w:t>
            </w:r>
            <w:r w:rsidR="006000C6">
              <w:rPr>
                <w:rStyle w:val="BookTitle"/>
                <w:bCs/>
                <w:i w:val="0"/>
                <w:iCs w:val="0"/>
                <w:smallCaps w:val="0"/>
                <w:spacing w:val="0"/>
                <w:lang w:eastAsia="en-AU"/>
              </w:rPr>
              <w:t>section</w:t>
            </w:r>
            <w:r w:rsidR="006000C6" w:rsidRPr="00D53DAE">
              <w:rPr>
                <w:rStyle w:val="BookTitle"/>
                <w:bCs/>
                <w:i w:val="0"/>
                <w:iCs w:val="0"/>
                <w:smallCaps w:val="0"/>
                <w:spacing w:val="0"/>
                <w:lang w:eastAsia="en-AU"/>
              </w:rPr>
              <w:t xml:space="preserve">s </w:t>
            </w:r>
            <w:r w:rsidRPr="00D53DAE">
              <w:rPr>
                <w:rStyle w:val="BookTitle"/>
                <w:bCs/>
                <w:i w:val="0"/>
                <w:iCs w:val="0"/>
                <w:smallCaps w:val="0"/>
                <w:spacing w:val="0"/>
                <w:lang w:eastAsia="en-AU"/>
              </w:rPr>
              <w:t xml:space="preserve">set out that </w:t>
            </w:r>
            <w:r w:rsidRPr="00D53DAE">
              <w:rPr>
                <w:bCs/>
                <w:lang w:eastAsia="en-AU"/>
              </w:rPr>
              <w:t>t</w:t>
            </w:r>
            <w:r w:rsidRPr="00D53DAE">
              <w:rPr>
                <w:rStyle w:val="BookTitle"/>
                <w:bCs/>
                <w:i w:val="0"/>
                <w:iCs w:val="0"/>
                <w:smallCaps w:val="0"/>
                <w:spacing w:val="0"/>
                <w:lang w:eastAsia="en-AU"/>
              </w:rPr>
              <w:t>he Secretary must not transfer the allocation unless satisfied the gaining approved participant is not a disqualified person, in addition to being satisfied they are suitable to hold the allocation and have the capacity to properly manage the allocation, and has agreed in writing to the transfer.</w:t>
            </w:r>
            <w:r>
              <w:rPr>
                <w:rStyle w:val="BookTitle"/>
                <w:bCs/>
                <w:i w:val="0"/>
                <w:iCs w:val="0"/>
                <w:smallCaps w:val="0"/>
                <w:spacing w:val="0"/>
                <w:lang w:eastAsia="en-AU"/>
              </w:rPr>
              <w:t xml:space="preserve"> </w:t>
            </w:r>
            <w:r w:rsidRPr="00D53DAE">
              <w:rPr>
                <w:rStyle w:val="BookTitle"/>
                <w:bCs/>
                <w:i w:val="0"/>
                <w:iCs w:val="0"/>
                <w:smallCaps w:val="0"/>
                <w:spacing w:val="0"/>
                <w:lang w:eastAsia="en-AU"/>
              </w:rPr>
              <w:t>The date of effect can now be backdated to the date of application in certain circumstances.</w:t>
            </w:r>
          </w:p>
          <w:p w14:paraId="3A3763F7" w14:textId="67CB9EF6" w:rsidR="00A9206E" w:rsidRPr="00D53DAE" w:rsidRDefault="00A9206E" w:rsidP="00E53FBD">
            <w:pPr>
              <w:spacing w:before="120" w:after="120" w:line="240" w:lineRule="auto"/>
              <w:rPr>
                <w:rStyle w:val="BookTitle"/>
                <w:bCs/>
                <w:i w:val="0"/>
                <w:iCs w:val="0"/>
                <w:smallCaps w:val="0"/>
                <w:spacing w:val="0"/>
                <w:lang w:eastAsia="en-AU"/>
              </w:rPr>
            </w:pPr>
            <w:r w:rsidRPr="00D53DAE">
              <w:rPr>
                <w:bCs/>
                <w:lang w:eastAsia="en-AU"/>
              </w:rPr>
              <w:t>This ensures disqualified approved participants are not able to receive transferred allocations</w:t>
            </w:r>
            <w:r w:rsidR="00F608AA">
              <w:rPr>
                <w:bCs/>
                <w:lang w:eastAsia="en-AU"/>
              </w:rPr>
              <w:t>,</w:t>
            </w:r>
            <w:r w:rsidR="003C55FE">
              <w:rPr>
                <w:bCs/>
                <w:lang w:eastAsia="en-AU"/>
              </w:rPr>
              <w:t xml:space="preserve"> </w:t>
            </w:r>
            <w:r w:rsidRPr="00D53DAE">
              <w:rPr>
                <w:bCs/>
                <w:lang w:eastAsia="en-AU"/>
              </w:rPr>
              <w:t>that all affected parties are notified</w:t>
            </w:r>
            <w:r w:rsidR="00F608AA">
              <w:rPr>
                <w:bCs/>
                <w:lang w:eastAsia="en-AU"/>
              </w:rPr>
              <w:t>,</w:t>
            </w:r>
            <w:r w:rsidRPr="00D53DAE">
              <w:rPr>
                <w:bCs/>
                <w:lang w:eastAsia="en-AU"/>
              </w:rPr>
              <w:t xml:space="preserve"> and the date of effect can be from the date of application in certain circumstances.</w:t>
            </w:r>
          </w:p>
        </w:tc>
      </w:tr>
    </w:tbl>
    <w:p w14:paraId="743A38C4" w14:textId="77777777" w:rsidR="00163FB6" w:rsidRPr="00F3079F" w:rsidRDefault="00163FB6" w:rsidP="00E53FBD">
      <w:pPr>
        <w:pStyle w:val="Heading4"/>
        <w:spacing w:before="120" w:after="120" w:line="240" w:lineRule="atLeast"/>
        <w:rPr>
          <w:i w:val="0"/>
          <w:color w:val="7030A0"/>
          <w:sz w:val="28"/>
          <w:szCs w:val="28"/>
        </w:rPr>
      </w:pPr>
      <w:bookmarkStart w:id="3" w:name="_Rent/valuations"/>
      <w:bookmarkEnd w:id="3"/>
      <w:r w:rsidRPr="00F3079F">
        <w:rPr>
          <w:i w:val="0"/>
          <w:color w:val="7030A0"/>
          <w:sz w:val="28"/>
          <w:szCs w:val="28"/>
        </w:rPr>
        <w:lastRenderedPageBreak/>
        <w:t>Re</w:t>
      </w:r>
      <w:r w:rsidR="00783B2A" w:rsidRPr="00F3079F">
        <w:rPr>
          <w:i w:val="0"/>
          <w:color w:val="7030A0"/>
          <w:sz w:val="28"/>
          <w:szCs w:val="28"/>
        </w:rPr>
        <w:t>nt</w:t>
      </w:r>
      <w:r w:rsidR="00D55E5E" w:rsidRPr="00F3079F">
        <w:rPr>
          <w:i w:val="0"/>
          <w:color w:val="7030A0"/>
          <w:sz w:val="28"/>
          <w:szCs w:val="28"/>
        </w:rPr>
        <w:t>/valuations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636"/>
        <w:gridCol w:w="1671"/>
        <w:gridCol w:w="1674"/>
        <w:gridCol w:w="9323"/>
      </w:tblGrid>
      <w:tr w:rsidR="00A9206E" w:rsidRPr="00E53FBD" w14:paraId="4EE7EDFD" w14:textId="77777777" w:rsidTr="006000C6">
        <w:tc>
          <w:tcPr>
            <w:tcW w:w="861" w:type="pct"/>
            <w:shd w:val="clear" w:color="auto" w:fill="E5DFEC" w:themeFill="accent4" w:themeFillTint="33"/>
            <w:tcMar>
              <w:top w:w="0" w:type="dxa"/>
              <w:left w:w="108" w:type="dxa"/>
              <w:bottom w:w="0" w:type="dxa"/>
              <w:right w:w="108" w:type="dxa"/>
            </w:tcMar>
            <w:hideMark/>
          </w:tcPr>
          <w:p w14:paraId="78A0ABCA"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Subject</w:t>
            </w:r>
          </w:p>
        </w:tc>
        <w:tc>
          <w:tcPr>
            <w:tcW w:w="546" w:type="pct"/>
            <w:shd w:val="clear" w:color="auto" w:fill="E5DFEC" w:themeFill="accent4" w:themeFillTint="33"/>
            <w:tcMar>
              <w:top w:w="0" w:type="dxa"/>
              <w:left w:w="108" w:type="dxa"/>
              <w:bottom w:w="0" w:type="dxa"/>
              <w:right w:w="108" w:type="dxa"/>
            </w:tcMar>
            <w:hideMark/>
          </w:tcPr>
          <w:p w14:paraId="46EB5680"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2008 regulations</w:t>
            </w:r>
          </w:p>
        </w:tc>
        <w:tc>
          <w:tcPr>
            <w:tcW w:w="547" w:type="pct"/>
            <w:shd w:val="clear" w:color="auto" w:fill="E5DFEC" w:themeFill="accent4" w:themeFillTint="33"/>
            <w:tcMar>
              <w:top w:w="0" w:type="dxa"/>
              <w:left w:w="108" w:type="dxa"/>
              <w:bottom w:w="0" w:type="dxa"/>
              <w:right w:w="108" w:type="dxa"/>
            </w:tcMar>
            <w:hideMark/>
          </w:tcPr>
          <w:p w14:paraId="4D62388D"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2020 regulations</w:t>
            </w:r>
          </w:p>
        </w:tc>
        <w:tc>
          <w:tcPr>
            <w:tcW w:w="3046" w:type="pct"/>
            <w:shd w:val="clear" w:color="auto" w:fill="E5DFEC" w:themeFill="accent4" w:themeFillTint="33"/>
          </w:tcPr>
          <w:p w14:paraId="4C206113"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What changed?</w:t>
            </w:r>
          </w:p>
        </w:tc>
      </w:tr>
      <w:tr w:rsidR="00A9206E" w:rsidRPr="00E53FBD" w14:paraId="30E05DAF" w14:textId="77777777" w:rsidTr="006000C6">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1F0D5" w14:textId="77777777" w:rsidR="00A9206E" w:rsidRPr="00E53FBD" w:rsidRDefault="00A9206E" w:rsidP="00E53FBD">
            <w:pPr>
              <w:spacing w:before="120" w:after="120" w:line="240" w:lineRule="auto"/>
              <w:rPr>
                <w:rFonts w:cs="Arial"/>
                <w:bCs/>
                <w:lang w:eastAsia="en-AU"/>
              </w:rPr>
            </w:pPr>
            <w:r w:rsidRPr="00E53FBD">
              <w:rPr>
                <w:rFonts w:cs="Arial"/>
                <w:bCs/>
                <w:lang w:eastAsia="en-AU"/>
              </w:rPr>
              <w:t>Vacancy period</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0E0C4" w14:textId="6001CB02" w:rsidR="00A9206E" w:rsidRPr="00E53FBD" w:rsidRDefault="00A9206E" w:rsidP="00E53FBD">
            <w:pPr>
              <w:spacing w:before="120" w:after="120" w:line="240" w:lineRule="auto"/>
              <w:rPr>
                <w:rFonts w:cs="Arial"/>
                <w:bCs/>
                <w:lang w:eastAsia="en-AU"/>
              </w:rPr>
            </w:pPr>
            <w:r w:rsidRPr="00E53FBD">
              <w:rPr>
                <w:rFonts w:cs="Arial"/>
                <w:bCs/>
                <w:lang w:eastAsia="en-AU"/>
              </w:rPr>
              <w:t>S</w:t>
            </w:r>
            <w:r w:rsidR="00E236A3" w:rsidRPr="00E53FBD">
              <w:rPr>
                <w:rFonts w:cs="Arial"/>
                <w:bCs/>
                <w:lang w:eastAsia="en-AU"/>
              </w:rPr>
              <w:t>ubs</w:t>
            </w:r>
            <w:r w:rsidRPr="00E53FBD">
              <w:rPr>
                <w:rFonts w:cs="Arial"/>
                <w:bCs/>
                <w:lang w:eastAsia="en-AU"/>
              </w:rPr>
              <w:t>ection 16(1D)</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B7A51"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10</w:t>
            </w:r>
          </w:p>
        </w:tc>
        <w:tc>
          <w:tcPr>
            <w:tcW w:w="3046" w:type="pct"/>
            <w:tcBorders>
              <w:top w:val="single" w:sz="4" w:space="0" w:color="auto"/>
              <w:left w:val="single" w:sz="4" w:space="0" w:color="auto"/>
              <w:bottom w:val="single" w:sz="4" w:space="0" w:color="auto"/>
              <w:right w:val="single" w:sz="4" w:space="0" w:color="auto"/>
            </w:tcBorders>
          </w:tcPr>
          <w:p w14:paraId="2DF081B1" w14:textId="3DB7F33D" w:rsidR="00A9206E" w:rsidRPr="00E53FBD" w:rsidRDefault="00A9206E" w:rsidP="0041579A">
            <w:pPr>
              <w:spacing w:before="120" w:after="120" w:line="240" w:lineRule="auto"/>
              <w:rPr>
                <w:rFonts w:cs="Arial"/>
                <w:bCs/>
                <w:lang w:eastAsia="en-AU"/>
              </w:rPr>
            </w:pPr>
            <w:r w:rsidRPr="00E53FBD">
              <w:rPr>
                <w:rFonts w:cs="Arial"/>
                <w:bCs/>
                <w:lang w:eastAsia="en-AU"/>
              </w:rPr>
              <w:t>The rule that no incentive is available if the dwelling is vacant for more than 26 weeks during the current NRAS year does not apply if the allocation was transferred between dwellings. This ensures the owner is not disadvantaged by nil incentive where a vacancy occurred prior to</w:t>
            </w:r>
            <w:r w:rsidR="000F5262" w:rsidRPr="00E53FBD">
              <w:rPr>
                <w:rFonts w:cs="Arial"/>
                <w:bCs/>
                <w:lang w:eastAsia="en-AU"/>
              </w:rPr>
              <w:t> </w:t>
            </w:r>
            <w:r w:rsidRPr="00E53FBD">
              <w:rPr>
                <w:rFonts w:cs="Arial"/>
                <w:bCs/>
                <w:lang w:eastAsia="en-AU"/>
              </w:rPr>
              <w:t xml:space="preserve">the dwelling entering the </w:t>
            </w:r>
            <w:r w:rsidR="00435B67">
              <w:rPr>
                <w:rFonts w:cs="Arial"/>
                <w:bCs/>
                <w:lang w:eastAsia="en-AU"/>
              </w:rPr>
              <w:t>S</w:t>
            </w:r>
            <w:r w:rsidRPr="00E53FBD">
              <w:rPr>
                <w:rFonts w:cs="Arial"/>
                <w:bCs/>
                <w:lang w:eastAsia="en-AU"/>
              </w:rPr>
              <w:t xml:space="preserve">cheme. </w:t>
            </w:r>
          </w:p>
        </w:tc>
      </w:tr>
      <w:tr w:rsidR="00A9206E" w:rsidRPr="00E53FBD" w14:paraId="31F62D79" w14:textId="77777777" w:rsidTr="006000C6">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6C08B" w14:textId="77777777" w:rsidR="00A9206E" w:rsidRPr="00E53FBD" w:rsidRDefault="00A9206E" w:rsidP="00E53FBD">
            <w:pPr>
              <w:spacing w:before="120" w:after="120" w:line="240" w:lineRule="auto"/>
              <w:rPr>
                <w:rFonts w:cs="Arial"/>
                <w:bCs/>
                <w:lang w:eastAsia="en-AU"/>
              </w:rPr>
            </w:pPr>
            <w:r w:rsidRPr="00E53FBD">
              <w:rPr>
                <w:rFonts w:cs="Arial"/>
                <w:bCs/>
                <w:lang w:eastAsia="en-AU"/>
              </w:rPr>
              <w:t>Maximum rent</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BF36F" w14:textId="0A5FBAF3" w:rsidR="00F608AA" w:rsidRPr="00E53FBD" w:rsidRDefault="00A9206E" w:rsidP="00E53FBD">
            <w:pPr>
              <w:spacing w:before="120" w:after="120" w:line="240" w:lineRule="auto"/>
              <w:rPr>
                <w:rFonts w:cs="Arial"/>
                <w:bCs/>
                <w:lang w:eastAsia="en-AU"/>
              </w:rPr>
            </w:pPr>
            <w:r w:rsidRPr="00E53FBD">
              <w:rPr>
                <w:rFonts w:cs="Arial"/>
                <w:bCs/>
                <w:lang w:eastAsia="en-AU"/>
              </w:rPr>
              <w:t xml:space="preserve">New </w:t>
            </w:r>
          </w:p>
          <w:p w14:paraId="28C5504A" w14:textId="4C0D4A00" w:rsidR="00A9206E" w:rsidRPr="00E53FBD" w:rsidRDefault="00F608AA" w:rsidP="00E53FBD">
            <w:pPr>
              <w:spacing w:before="120" w:after="120" w:line="240" w:lineRule="auto"/>
              <w:rPr>
                <w:rFonts w:cs="Arial"/>
                <w:bCs/>
                <w:lang w:eastAsia="en-AU"/>
              </w:rPr>
            </w:pPr>
            <w:r w:rsidRPr="00E53FBD">
              <w:rPr>
                <w:rFonts w:cs="Arial"/>
                <w:bCs/>
                <w:lang w:eastAsia="en-AU"/>
              </w:rPr>
              <w:t>Relevant to Subs</w:t>
            </w:r>
            <w:r w:rsidR="00F20249" w:rsidRPr="00E53FBD">
              <w:rPr>
                <w:rFonts w:cs="Arial"/>
                <w:bCs/>
                <w:lang w:eastAsia="en-AU"/>
              </w:rPr>
              <w:t>ection 16(1C)</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5FEC6"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12</w:t>
            </w:r>
          </w:p>
        </w:tc>
        <w:tc>
          <w:tcPr>
            <w:tcW w:w="3046" w:type="pct"/>
            <w:tcBorders>
              <w:top w:val="single" w:sz="4" w:space="0" w:color="auto"/>
              <w:left w:val="single" w:sz="4" w:space="0" w:color="auto"/>
              <w:bottom w:val="single" w:sz="4" w:space="0" w:color="auto"/>
              <w:right w:val="single" w:sz="4" w:space="0" w:color="auto"/>
            </w:tcBorders>
          </w:tcPr>
          <w:p w14:paraId="57D78586" w14:textId="5B08ECA4" w:rsidR="00A9206E" w:rsidRPr="00E53FBD" w:rsidRDefault="00A9206E" w:rsidP="00E53FBD">
            <w:pPr>
              <w:spacing w:before="120" w:after="120" w:line="240" w:lineRule="auto"/>
              <w:rPr>
                <w:rFonts w:cs="Arial"/>
                <w:bCs/>
                <w:lang w:eastAsia="en-AU"/>
              </w:rPr>
            </w:pPr>
            <w:r w:rsidRPr="00E53FBD">
              <w:rPr>
                <w:rFonts w:cs="Arial"/>
                <w:bCs/>
                <w:lang w:eastAsia="en-AU"/>
              </w:rPr>
              <w:t>This section provides the Secretary with discretion to waive a reduction</w:t>
            </w:r>
            <w:r w:rsidR="00EB77B6" w:rsidRPr="00E53FBD">
              <w:rPr>
                <w:rFonts w:cs="Arial"/>
                <w:bCs/>
                <w:lang w:eastAsia="en-AU"/>
              </w:rPr>
              <w:t xml:space="preserve"> </w:t>
            </w:r>
            <w:r w:rsidRPr="00E53FBD">
              <w:rPr>
                <w:rFonts w:cs="Arial"/>
                <w:bCs/>
                <w:lang w:eastAsia="en-AU"/>
              </w:rPr>
              <w:t>in incentive as a result of rent being overcharged.</w:t>
            </w:r>
            <w:r w:rsidR="00EB77B6" w:rsidRPr="00E53FBD">
              <w:rPr>
                <w:rFonts w:cs="Arial"/>
                <w:bCs/>
                <w:lang w:eastAsia="en-AU"/>
              </w:rPr>
              <w:t xml:space="preserve"> </w:t>
            </w:r>
            <w:r w:rsidRPr="00E53FBD">
              <w:rPr>
                <w:rFonts w:cs="Arial"/>
                <w:bCs/>
                <w:lang w:eastAsia="en-AU"/>
              </w:rPr>
              <w:t>This ensures that reductions in incentive are proportionate to the detriment caused by the action they are aiming to correct.</w:t>
            </w:r>
          </w:p>
          <w:p w14:paraId="056F7525" w14:textId="4EC19987" w:rsidR="00A9206E" w:rsidRPr="00E53FBD" w:rsidRDefault="00A9206E" w:rsidP="00E53FBD">
            <w:pPr>
              <w:spacing w:before="120" w:after="120" w:line="240" w:lineRule="auto"/>
              <w:rPr>
                <w:rFonts w:cs="Arial"/>
                <w:bCs/>
                <w:lang w:eastAsia="en-AU"/>
              </w:rPr>
            </w:pPr>
            <w:r w:rsidRPr="00E53FBD">
              <w:rPr>
                <w:rFonts w:cs="Arial"/>
                <w:bCs/>
                <w:lang w:eastAsia="en-AU"/>
              </w:rPr>
              <w:t xml:space="preserve">In addition, </w:t>
            </w:r>
            <w:r w:rsidR="00F608AA" w:rsidRPr="00E53FBD">
              <w:rPr>
                <w:rFonts w:cs="Arial"/>
                <w:bCs/>
                <w:lang w:eastAsia="en-AU"/>
              </w:rPr>
              <w:t>s</w:t>
            </w:r>
            <w:r w:rsidRPr="00E53FBD">
              <w:rPr>
                <w:rFonts w:cs="Arial"/>
                <w:bCs/>
                <w:lang w:eastAsia="en-AU"/>
              </w:rPr>
              <w:t>ection 75 provides that this discretion applies retrospectively from 1 May 2017.</w:t>
            </w:r>
          </w:p>
        </w:tc>
      </w:tr>
      <w:tr w:rsidR="00A9206E" w:rsidRPr="00E53FBD" w14:paraId="2FC3C6E2" w14:textId="77777777" w:rsidTr="00E53FBD">
        <w:trPr>
          <w:trHeight w:val="418"/>
        </w:trPr>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3B4A4E" w14:textId="77777777" w:rsidR="00A9206E" w:rsidRPr="00E53FBD" w:rsidRDefault="00A9206E" w:rsidP="00E53FBD">
            <w:pPr>
              <w:spacing w:before="120" w:after="120" w:line="240" w:lineRule="auto"/>
              <w:rPr>
                <w:rFonts w:cs="Arial"/>
                <w:bCs/>
                <w:lang w:eastAsia="en-AU"/>
              </w:rPr>
            </w:pPr>
            <w:r w:rsidRPr="00E53FBD">
              <w:rPr>
                <w:rFonts w:cs="Arial"/>
                <w:bCs/>
                <w:lang w:eastAsia="en-AU"/>
              </w:rPr>
              <w:t>Market Rent Valuations</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E79E4"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18</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6D45A" w14:textId="6922AB0E"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37(1)</w:t>
            </w:r>
          </w:p>
          <w:p w14:paraId="53FD6732" w14:textId="19098469"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37(2)</w:t>
            </w:r>
          </w:p>
          <w:p w14:paraId="3B6CD596" w14:textId="590C2341"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37(3)</w:t>
            </w:r>
          </w:p>
          <w:p w14:paraId="594AAEF6" w14:textId="2C81432B"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37(4)</w:t>
            </w:r>
          </w:p>
          <w:p w14:paraId="2F84E985" w14:textId="0F5802B2" w:rsidR="00A9206E" w:rsidRPr="00E53FBD" w:rsidDel="00DA6576"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37(5)</w:t>
            </w:r>
          </w:p>
        </w:tc>
        <w:tc>
          <w:tcPr>
            <w:tcW w:w="3046" w:type="pct"/>
            <w:tcBorders>
              <w:top w:val="single" w:sz="4" w:space="0" w:color="auto"/>
              <w:left w:val="single" w:sz="4" w:space="0" w:color="auto"/>
              <w:bottom w:val="single" w:sz="4" w:space="0" w:color="auto"/>
              <w:right w:val="single" w:sz="4" w:space="0" w:color="auto"/>
            </w:tcBorders>
          </w:tcPr>
          <w:p w14:paraId="18FF6A50" w14:textId="6087FA25"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37(1) requires a market rent valuation (MRV) to only be submitted up to 13 weeks prior to the first day of the incentive period of the anniversary of the fifth or eighth</w:t>
            </w:r>
            <w:r w:rsidR="00302B9A" w:rsidRPr="00E53FBD">
              <w:rPr>
                <w:rFonts w:cs="Arial"/>
                <w:bCs/>
                <w:lang w:eastAsia="en-AU"/>
              </w:rPr>
              <w:t xml:space="preserve"> year.</w:t>
            </w:r>
          </w:p>
          <w:p w14:paraId="199E2E1F" w14:textId="20FA988C"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37(2) now requires the MRV to be submitted on an approved form.</w:t>
            </w:r>
          </w:p>
          <w:p w14:paraId="5BAA18C0" w14:textId="790FF81C" w:rsidR="00A9206E" w:rsidRPr="00E53FBD" w:rsidRDefault="00A9206E" w:rsidP="00E53FBD">
            <w:pPr>
              <w:spacing w:before="120" w:after="120" w:line="240" w:lineRule="auto"/>
              <w:rPr>
                <w:rFonts w:cs="Arial"/>
                <w:bCs/>
                <w:lang w:eastAsia="en-AU"/>
              </w:rPr>
            </w:pPr>
            <w:r w:rsidRPr="00E53FBD">
              <w:rPr>
                <w:rFonts w:cs="Arial"/>
                <w:bCs/>
                <w:lang w:eastAsia="en-AU"/>
              </w:rPr>
              <w:t xml:space="preserve">The addition of the form in </w:t>
            </w:r>
            <w:r w:rsidR="00F608AA" w:rsidRPr="00E53FBD">
              <w:rPr>
                <w:rFonts w:cs="Arial"/>
                <w:bCs/>
                <w:lang w:eastAsia="en-AU"/>
              </w:rPr>
              <w:t>subs</w:t>
            </w:r>
            <w:r w:rsidRPr="00E53FBD">
              <w:rPr>
                <w:rFonts w:cs="Arial"/>
                <w:bCs/>
                <w:lang w:eastAsia="en-AU"/>
              </w:rPr>
              <w:t>ection 37(2) is to ensure the market rent valuation is prepared in</w:t>
            </w:r>
            <w:r w:rsidR="000F5262" w:rsidRPr="00E53FBD">
              <w:rPr>
                <w:rFonts w:cs="Arial"/>
                <w:bCs/>
                <w:lang w:eastAsia="en-AU"/>
              </w:rPr>
              <w:t> </w:t>
            </w:r>
            <w:r w:rsidRPr="00E53FBD">
              <w:rPr>
                <w:rFonts w:cs="Arial"/>
                <w:bCs/>
                <w:lang w:eastAsia="en-AU"/>
              </w:rPr>
              <w:t xml:space="preserve">accordance with regulations and provided by an authorised valuer. Together, these aim </w:t>
            </w:r>
            <w:r w:rsidRPr="00E53FBD">
              <w:rPr>
                <w:rFonts w:cs="Arial"/>
                <w:lang w:eastAsia="en-AU"/>
              </w:rPr>
              <w:t>to</w:t>
            </w:r>
            <w:r w:rsidR="00F608AA" w:rsidRPr="00E53FBD">
              <w:rPr>
                <w:rFonts w:cs="Arial"/>
                <w:lang w:eastAsia="en-AU"/>
              </w:rPr>
              <w:t xml:space="preserve"> </w:t>
            </w:r>
            <w:r w:rsidRPr="00E53FBD">
              <w:rPr>
                <w:rFonts w:cs="Arial"/>
                <w:lang w:eastAsia="en-AU"/>
              </w:rPr>
              <w:t>ensure</w:t>
            </w:r>
            <w:r w:rsidRPr="00E53FBD">
              <w:rPr>
                <w:rFonts w:cs="Arial"/>
                <w:bCs/>
                <w:lang w:eastAsia="en-AU"/>
              </w:rPr>
              <w:t xml:space="preserve"> the independence and impartiality of a valuation when undertaking a market rent valuation, and to ensure valuations are accurate and of a reasonable standard.</w:t>
            </w:r>
          </w:p>
          <w:p w14:paraId="645C116F" w14:textId="7FDB9266"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37(3) requires the valuer to include</w:t>
            </w:r>
            <w:r w:rsidR="00F608AA" w:rsidRPr="00E53FBD">
              <w:rPr>
                <w:rFonts w:cs="Arial"/>
                <w:bCs/>
                <w:lang w:eastAsia="en-AU"/>
              </w:rPr>
              <w:t xml:space="preserve"> the</w:t>
            </w:r>
            <w:r w:rsidRPr="00E53FBD">
              <w:rPr>
                <w:rFonts w:cs="Arial"/>
                <w:bCs/>
                <w:lang w:eastAsia="en-AU"/>
              </w:rPr>
              <w:t xml:space="preserve"> condition of dwelling being valued and not take into account optional amenities.</w:t>
            </w:r>
          </w:p>
          <w:p w14:paraId="3B15B5AD" w14:textId="62A289E2"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ection 37(4) requires the valuer to physically inspect the dwelling for the initial rental period, whilst allowing a desktop valuation for years five and eight.</w:t>
            </w:r>
          </w:p>
          <w:p w14:paraId="4AE78C55" w14:textId="79C3AFC6" w:rsidR="00A9206E" w:rsidRPr="00E53FBD" w:rsidRDefault="00A9206E" w:rsidP="00E53FBD">
            <w:pPr>
              <w:spacing w:before="120" w:after="120" w:line="240" w:lineRule="auto"/>
              <w:rPr>
                <w:rFonts w:cs="Arial"/>
                <w:bCs/>
                <w:lang w:eastAsia="en-AU"/>
              </w:rPr>
            </w:pPr>
            <w:r w:rsidRPr="00E53FBD">
              <w:rPr>
                <w:rFonts w:cs="Arial"/>
                <w:bCs/>
                <w:lang w:eastAsia="en-AU"/>
              </w:rPr>
              <w:t>S</w:t>
            </w:r>
            <w:r w:rsidR="00F608AA" w:rsidRPr="00E53FBD">
              <w:rPr>
                <w:rFonts w:cs="Arial"/>
                <w:bCs/>
                <w:lang w:eastAsia="en-AU"/>
              </w:rPr>
              <w:t>ubs</w:t>
            </w:r>
            <w:r w:rsidRPr="00E53FBD">
              <w:rPr>
                <w:rFonts w:cs="Arial"/>
                <w:bCs/>
                <w:lang w:eastAsia="en-AU"/>
              </w:rPr>
              <w:t xml:space="preserve">ection 37(5) provides </w:t>
            </w:r>
            <w:r w:rsidR="00F608AA" w:rsidRPr="00E53FBD">
              <w:rPr>
                <w:rFonts w:cs="Arial"/>
                <w:bCs/>
                <w:lang w:eastAsia="en-AU"/>
              </w:rPr>
              <w:t xml:space="preserve">that </w:t>
            </w:r>
            <w:r w:rsidRPr="00E53FBD">
              <w:rPr>
                <w:rFonts w:cs="Arial"/>
                <w:bCs/>
                <w:lang w:eastAsia="en-AU"/>
              </w:rPr>
              <w:t>if the fifth or eighth incentive year for the allocation begins within 13 weeks after the beginning of the initial rental period</w:t>
            </w:r>
            <w:r w:rsidR="00F608AA" w:rsidRPr="00E53FBD">
              <w:rPr>
                <w:rFonts w:cs="Arial"/>
                <w:bCs/>
                <w:lang w:eastAsia="en-AU"/>
              </w:rPr>
              <w:t>,</w:t>
            </w:r>
            <w:r w:rsidRPr="00E53FBD">
              <w:rPr>
                <w:rFonts w:cs="Arial"/>
                <w:bCs/>
                <w:lang w:eastAsia="en-AU"/>
              </w:rPr>
              <w:t xml:space="preserve"> the same MRV can be accepted.</w:t>
            </w:r>
          </w:p>
        </w:tc>
      </w:tr>
      <w:tr w:rsidR="00A9206E" w:rsidRPr="00E53FBD" w14:paraId="440B8C79" w14:textId="77777777" w:rsidTr="006000C6">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B1A5CB" w14:textId="77777777" w:rsidR="00A9206E" w:rsidRPr="00E53FBD" w:rsidRDefault="00A9206E" w:rsidP="00E53FBD">
            <w:pPr>
              <w:spacing w:before="120" w:after="120" w:line="240" w:lineRule="auto"/>
              <w:rPr>
                <w:rFonts w:cs="Arial"/>
                <w:bCs/>
                <w:lang w:eastAsia="en-AU"/>
              </w:rPr>
            </w:pPr>
            <w:r w:rsidRPr="00E53FBD">
              <w:rPr>
                <w:rFonts w:cs="Arial"/>
                <w:bCs/>
                <w:lang w:eastAsia="en-AU"/>
              </w:rPr>
              <w:t>Market Rent Valuations</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CC068" w14:textId="77777777" w:rsidR="00E53FBD" w:rsidRDefault="00F20249" w:rsidP="00E53FBD">
            <w:pPr>
              <w:spacing w:before="120" w:after="120" w:line="240" w:lineRule="auto"/>
              <w:rPr>
                <w:rFonts w:cs="Arial"/>
                <w:bCs/>
                <w:lang w:eastAsia="en-AU"/>
              </w:rPr>
            </w:pPr>
            <w:r w:rsidRPr="00E53FBD">
              <w:rPr>
                <w:rFonts w:cs="Arial"/>
                <w:bCs/>
                <w:lang w:eastAsia="en-AU"/>
              </w:rPr>
              <w:t>New</w:t>
            </w:r>
          </w:p>
          <w:p w14:paraId="2E32207C" w14:textId="10525E6A" w:rsidR="00A9206E" w:rsidRPr="00E53FBD" w:rsidRDefault="00F608AA" w:rsidP="00E53FBD">
            <w:pPr>
              <w:spacing w:before="120" w:after="120" w:line="240" w:lineRule="auto"/>
              <w:rPr>
                <w:rFonts w:cs="Arial"/>
                <w:bCs/>
                <w:lang w:eastAsia="en-AU"/>
              </w:rPr>
            </w:pPr>
            <w:r w:rsidRPr="00E53FBD">
              <w:rPr>
                <w:rFonts w:cs="Arial"/>
                <w:bCs/>
                <w:lang w:eastAsia="en-AU"/>
              </w:rPr>
              <w:t>Relevant to:</w:t>
            </w:r>
            <w:r w:rsidR="00951E3E" w:rsidRPr="00E53FBD">
              <w:rPr>
                <w:rFonts w:cs="Arial"/>
                <w:bCs/>
                <w:lang w:eastAsia="en-AU"/>
              </w:rPr>
              <w:t xml:space="preserve"> </w:t>
            </w:r>
            <w:r w:rsidR="00F20249" w:rsidRPr="00E53FBD">
              <w:rPr>
                <w:rFonts w:cs="Arial"/>
                <w:bCs/>
                <w:lang w:eastAsia="en-AU"/>
              </w:rPr>
              <w:t>Section 18</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420E7" w14:textId="59BE7FED" w:rsidR="00A9206E" w:rsidRPr="00E53FBD" w:rsidDel="00DA6576" w:rsidRDefault="00A9206E" w:rsidP="00E53FBD">
            <w:pPr>
              <w:spacing w:before="120" w:after="120" w:line="240" w:lineRule="auto"/>
              <w:rPr>
                <w:rFonts w:cs="Arial"/>
                <w:bCs/>
                <w:lang w:eastAsia="en-AU"/>
              </w:rPr>
            </w:pPr>
            <w:r w:rsidRPr="00E53FBD">
              <w:rPr>
                <w:rFonts w:cs="Arial"/>
                <w:bCs/>
                <w:lang w:eastAsia="en-AU"/>
              </w:rPr>
              <w:t>Section 38</w:t>
            </w:r>
          </w:p>
        </w:tc>
        <w:tc>
          <w:tcPr>
            <w:tcW w:w="3046" w:type="pct"/>
            <w:tcBorders>
              <w:top w:val="single" w:sz="4" w:space="0" w:color="auto"/>
              <w:left w:val="single" w:sz="4" w:space="0" w:color="auto"/>
              <w:bottom w:val="single" w:sz="4" w:space="0" w:color="auto"/>
              <w:right w:val="single" w:sz="4" w:space="0" w:color="auto"/>
            </w:tcBorders>
          </w:tcPr>
          <w:p w14:paraId="307F10B7" w14:textId="54FB3A5C" w:rsidR="00A9206E" w:rsidRPr="00E53FBD" w:rsidRDefault="00A9206E" w:rsidP="00456A38">
            <w:pPr>
              <w:spacing w:before="120" w:after="120" w:line="240" w:lineRule="auto"/>
              <w:rPr>
                <w:rFonts w:cs="Arial"/>
                <w:bCs/>
                <w:lang w:eastAsia="en-AU"/>
              </w:rPr>
            </w:pPr>
            <w:r w:rsidRPr="00E53FBD">
              <w:rPr>
                <w:rFonts w:cs="Arial"/>
                <w:bCs/>
                <w:lang w:eastAsia="en-AU"/>
              </w:rPr>
              <w:t>Section 38 provides an approved participant must not submit further valuations for a period or year where the Secretary has accepted a valuation for that dwelling or accepted a valuation subject to an error being corrected.</w:t>
            </w:r>
            <w:r w:rsidR="00F608AA" w:rsidRPr="00E53FBD">
              <w:rPr>
                <w:rFonts w:cs="Arial"/>
                <w:bCs/>
                <w:lang w:eastAsia="en-AU"/>
              </w:rPr>
              <w:t xml:space="preserve">  The Secretary may also request further evidence in relation to the valuation.</w:t>
            </w:r>
          </w:p>
        </w:tc>
      </w:tr>
    </w:tbl>
    <w:p w14:paraId="281A805C" w14:textId="77777777" w:rsidR="00E53FBD" w:rsidRDefault="00E53FBD">
      <w:r>
        <w:br w:type="page"/>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636"/>
        <w:gridCol w:w="1671"/>
        <w:gridCol w:w="1674"/>
        <w:gridCol w:w="9323"/>
      </w:tblGrid>
      <w:tr w:rsidR="00A9206E" w:rsidRPr="00E53FBD" w14:paraId="19D9B797" w14:textId="77777777" w:rsidTr="006000C6">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8CF55" w14:textId="560C11FA" w:rsidR="00A9206E" w:rsidRPr="00E53FBD" w:rsidRDefault="00A9206E" w:rsidP="00E53FBD">
            <w:pPr>
              <w:spacing w:before="120" w:after="120" w:line="240" w:lineRule="auto"/>
              <w:rPr>
                <w:rFonts w:cs="Arial"/>
                <w:bCs/>
                <w:lang w:eastAsia="en-AU"/>
              </w:rPr>
            </w:pPr>
            <w:r w:rsidRPr="00E53FBD">
              <w:rPr>
                <w:rFonts w:cs="Arial"/>
                <w:bCs/>
                <w:lang w:eastAsia="en-AU"/>
              </w:rPr>
              <w:lastRenderedPageBreak/>
              <w:t>Market Rent Valuations</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6AD64" w14:textId="679EF990" w:rsidR="00A9206E" w:rsidRPr="00E53FBD" w:rsidRDefault="00F20249" w:rsidP="00E53FBD">
            <w:pPr>
              <w:spacing w:before="120" w:after="120" w:line="240" w:lineRule="auto"/>
              <w:rPr>
                <w:rFonts w:cs="Arial"/>
                <w:bCs/>
                <w:lang w:eastAsia="en-AU"/>
              </w:rPr>
            </w:pPr>
            <w:r w:rsidRPr="00E53FBD">
              <w:rPr>
                <w:rFonts w:cs="Arial"/>
              </w:rPr>
              <w:t>S</w:t>
            </w:r>
            <w:r w:rsidR="00F608AA" w:rsidRPr="00E53FBD">
              <w:rPr>
                <w:rFonts w:cs="Arial"/>
              </w:rPr>
              <w:t>ubs</w:t>
            </w:r>
            <w:r w:rsidR="00E53FBD">
              <w:rPr>
                <w:rFonts w:cs="Arial"/>
              </w:rPr>
              <w:t xml:space="preserve">ection </w:t>
            </w:r>
            <w:r w:rsidRPr="00E53FBD">
              <w:rPr>
                <w:rFonts w:cs="Arial"/>
              </w:rPr>
              <w:t xml:space="preserve">16(6A) </w:t>
            </w:r>
            <w:r w:rsidR="00064556" w:rsidRPr="00E53FBD">
              <w:rPr>
                <w:rFonts w:cs="Arial"/>
              </w:rPr>
              <w:t>S</w:t>
            </w:r>
            <w:r w:rsidR="00F608AA" w:rsidRPr="00E53FBD">
              <w:rPr>
                <w:rFonts w:cs="Arial"/>
              </w:rPr>
              <w:t>ubs</w:t>
            </w:r>
            <w:r w:rsidR="00064556" w:rsidRPr="00E53FBD">
              <w:rPr>
                <w:rFonts w:cs="Arial"/>
              </w:rPr>
              <w:t xml:space="preserve">ection </w:t>
            </w:r>
            <w:r w:rsidRPr="00E53FBD">
              <w:rPr>
                <w:rFonts w:cs="Arial"/>
              </w:rPr>
              <w:t xml:space="preserve">16(6B) </w:t>
            </w:r>
            <w:r w:rsidR="00064556" w:rsidRPr="00E53FBD">
              <w:rPr>
                <w:rFonts w:cs="Arial"/>
              </w:rPr>
              <w:t>S</w:t>
            </w:r>
            <w:r w:rsidR="00F608AA" w:rsidRPr="00E53FBD">
              <w:rPr>
                <w:rFonts w:cs="Arial"/>
              </w:rPr>
              <w:t>ubs</w:t>
            </w:r>
            <w:r w:rsidR="00064556" w:rsidRPr="00E53FBD">
              <w:rPr>
                <w:rFonts w:cs="Arial"/>
              </w:rPr>
              <w:t xml:space="preserve">ection </w:t>
            </w:r>
            <w:r w:rsidRPr="00E53FBD">
              <w:rPr>
                <w:rFonts w:cs="Arial"/>
              </w:rPr>
              <w:t>16(6C)</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CE44E" w14:textId="0E0F0185" w:rsidR="00A9206E" w:rsidRPr="00E53FBD" w:rsidRDefault="00A9206E" w:rsidP="00E53FBD">
            <w:pPr>
              <w:spacing w:before="120" w:after="120" w:line="240" w:lineRule="auto"/>
              <w:rPr>
                <w:rFonts w:cs="Arial"/>
                <w:bCs/>
                <w:lang w:eastAsia="en-AU"/>
              </w:rPr>
            </w:pPr>
            <w:r w:rsidRPr="00E53FBD">
              <w:rPr>
                <w:rFonts w:cs="Arial"/>
                <w:bCs/>
                <w:lang w:eastAsia="en-AU"/>
              </w:rPr>
              <w:t xml:space="preserve">Section 39 </w:t>
            </w:r>
          </w:p>
        </w:tc>
        <w:tc>
          <w:tcPr>
            <w:tcW w:w="3046" w:type="pct"/>
            <w:tcBorders>
              <w:top w:val="single" w:sz="4" w:space="0" w:color="auto"/>
              <w:left w:val="single" w:sz="4" w:space="0" w:color="auto"/>
              <w:bottom w:val="single" w:sz="4" w:space="0" w:color="auto"/>
              <w:right w:val="single" w:sz="4" w:space="0" w:color="auto"/>
            </w:tcBorders>
          </w:tcPr>
          <w:p w14:paraId="1EAF73C2" w14:textId="4D3BF65A" w:rsidR="00A9206E" w:rsidRPr="00E53FBD" w:rsidRDefault="00F608AA" w:rsidP="00E53FBD">
            <w:pPr>
              <w:spacing w:before="120" w:after="120" w:line="240" w:lineRule="auto"/>
              <w:rPr>
                <w:rFonts w:cs="Arial"/>
                <w:bCs/>
                <w:lang w:eastAsia="en-AU"/>
              </w:rPr>
            </w:pPr>
            <w:r w:rsidRPr="00E53FBD">
              <w:rPr>
                <w:rFonts w:cs="Arial"/>
                <w:bCs/>
                <w:lang w:eastAsia="en-AU"/>
              </w:rPr>
              <w:t xml:space="preserve">A request for an extension of time for a valuation must now be in the approved form, not just in writing. </w:t>
            </w:r>
          </w:p>
        </w:tc>
      </w:tr>
      <w:tr w:rsidR="00A9206E" w:rsidRPr="00E53FBD" w14:paraId="4888CB25" w14:textId="77777777" w:rsidTr="006000C6">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4DEC4" w14:textId="38DD70DF" w:rsidR="00A9206E" w:rsidRPr="00E53FBD" w:rsidRDefault="00A9206E" w:rsidP="00E53FBD">
            <w:pPr>
              <w:spacing w:before="120" w:after="120" w:line="240" w:lineRule="auto"/>
              <w:rPr>
                <w:rFonts w:cs="Arial"/>
                <w:bCs/>
                <w:lang w:eastAsia="en-AU"/>
              </w:rPr>
            </w:pPr>
            <w:r w:rsidRPr="00E53FBD">
              <w:rPr>
                <w:rFonts w:cs="Arial"/>
                <w:bCs/>
                <w:lang w:eastAsia="en-AU"/>
              </w:rPr>
              <w:t>Market Rent Valuations</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C2E6E9" w14:textId="5B8E7C8A" w:rsidR="00A9206E" w:rsidRPr="00E53FBD" w:rsidRDefault="00F20249" w:rsidP="00E53FBD">
            <w:pPr>
              <w:spacing w:before="120" w:after="120" w:line="240" w:lineRule="auto"/>
              <w:rPr>
                <w:rFonts w:cs="Arial"/>
                <w:bCs/>
                <w:lang w:eastAsia="en-AU"/>
              </w:rPr>
            </w:pPr>
            <w:r w:rsidRPr="00E53FBD">
              <w:rPr>
                <w:rFonts w:cs="Arial"/>
                <w:bCs/>
                <w:lang w:eastAsia="en-AU"/>
              </w:rPr>
              <w:t>New</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14D16"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40</w:t>
            </w:r>
          </w:p>
        </w:tc>
        <w:tc>
          <w:tcPr>
            <w:tcW w:w="3046" w:type="pct"/>
            <w:tcBorders>
              <w:top w:val="single" w:sz="4" w:space="0" w:color="auto"/>
              <w:left w:val="single" w:sz="4" w:space="0" w:color="auto"/>
              <w:bottom w:val="single" w:sz="4" w:space="0" w:color="auto"/>
              <w:right w:val="single" w:sz="4" w:space="0" w:color="auto"/>
            </w:tcBorders>
          </w:tcPr>
          <w:p w14:paraId="13D76E1C" w14:textId="44FAB509" w:rsidR="00A9206E" w:rsidRPr="00E53FBD" w:rsidRDefault="00A9206E" w:rsidP="00E53FBD">
            <w:pPr>
              <w:spacing w:before="120" w:after="120" w:line="240" w:lineRule="auto"/>
              <w:rPr>
                <w:rFonts w:cs="Arial"/>
                <w:bCs/>
                <w:lang w:eastAsia="en-AU"/>
              </w:rPr>
            </w:pPr>
            <w:r w:rsidRPr="00E53FBD">
              <w:rPr>
                <w:rFonts w:cs="Arial"/>
                <w:bCs/>
                <w:lang w:eastAsia="en-AU"/>
              </w:rPr>
              <w:t xml:space="preserve">Section 40 provides the Secretary with the ability to request an approved participant provide another valuation from a different valuer (at the expense of the approved participant), where they reasonably believe that </w:t>
            </w:r>
            <w:r w:rsidR="00F608AA" w:rsidRPr="00E53FBD">
              <w:rPr>
                <w:rFonts w:cs="Arial"/>
                <w:bCs/>
                <w:lang w:eastAsia="en-AU"/>
              </w:rPr>
              <w:t>the first</w:t>
            </w:r>
            <w:r w:rsidR="00951E3E" w:rsidRPr="00E53FBD">
              <w:rPr>
                <w:rFonts w:cs="Arial"/>
                <w:bCs/>
                <w:lang w:eastAsia="en-AU"/>
              </w:rPr>
              <w:t xml:space="preserve"> </w:t>
            </w:r>
            <w:r w:rsidRPr="00E53FBD">
              <w:rPr>
                <w:rFonts w:cs="Arial"/>
                <w:bCs/>
                <w:lang w:eastAsia="en-AU"/>
              </w:rPr>
              <w:t>valuation is not accurate.</w:t>
            </w:r>
          </w:p>
          <w:p w14:paraId="30973A08" w14:textId="2714B0B0" w:rsidR="00A9206E" w:rsidRPr="00E53FBD" w:rsidRDefault="00F608AA" w:rsidP="00E53FBD">
            <w:pPr>
              <w:spacing w:before="120" w:after="120" w:line="240" w:lineRule="auto"/>
              <w:rPr>
                <w:rFonts w:cs="Arial"/>
                <w:bCs/>
                <w:lang w:eastAsia="en-AU"/>
              </w:rPr>
            </w:pPr>
            <w:r w:rsidRPr="00E53FBD">
              <w:rPr>
                <w:rFonts w:cs="Arial"/>
                <w:bCs/>
                <w:lang w:eastAsia="en-AU"/>
              </w:rPr>
              <w:t xml:space="preserve">This </w:t>
            </w:r>
            <w:r w:rsidR="006000C6" w:rsidRPr="00E53FBD">
              <w:rPr>
                <w:rFonts w:cs="Arial"/>
                <w:bCs/>
                <w:lang w:eastAsia="en-AU"/>
              </w:rPr>
              <w:t xml:space="preserve">section </w:t>
            </w:r>
            <w:r w:rsidR="00A9206E" w:rsidRPr="00E53FBD">
              <w:rPr>
                <w:rFonts w:cs="Arial"/>
                <w:bCs/>
                <w:lang w:eastAsia="en-AU"/>
              </w:rPr>
              <w:t>h</w:t>
            </w:r>
            <w:r w:rsidRPr="00E53FBD">
              <w:rPr>
                <w:rFonts w:cs="Arial"/>
                <w:bCs/>
                <w:lang w:eastAsia="en-AU"/>
              </w:rPr>
              <w:t>as</w:t>
            </w:r>
            <w:r w:rsidR="00A9206E" w:rsidRPr="00E53FBD">
              <w:rPr>
                <w:rFonts w:cs="Arial"/>
                <w:bCs/>
                <w:lang w:eastAsia="en-AU"/>
              </w:rPr>
              <w:t xml:space="preserve"> been included to create stronger protections against the risk to the Scheme of collusion between approved participants and valuers. </w:t>
            </w:r>
          </w:p>
        </w:tc>
      </w:tr>
      <w:tr w:rsidR="00A9206E" w:rsidRPr="00E53FBD" w14:paraId="0B8296DA" w14:textId="77777777" w:rsidTr="006000C6">
        <w:tc>
          <w:tcPr>
            <w:tcW w:w="8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630F2" w14:textId="77777777" w:rsidR="00A9206E" w:rsidRPr="00E53FBD" w:rsidRDefault="00A9206E" w:rsidP="00E53FBD">
            <w:pPr>
              <w:spacing w:before="120" w:after="120" w:line="240" w:lineRule="auto"/>
              <w:rPr>
                <w:rFonts w:cs="Arial"/>
                <w:bCs/>
                <w:lang w:eastAsia="en-AU"/>
              </w:rPr>
            </w:pPr>
            <w:r w:rsidRPr="00E53FBD">
              <w:rPr>
                <w:rFonts w:cs="Arial"/>
                <w:bCs/>
                <w:lang w:eastAsia="en-AU"/>
              </w:rPr>
              <w:t>Lease agreements</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079FA" w14:textId="51B301A9" w:rsidR="00A9206E" w:rsidRPr="00E53FBD" w:rsidRDefault="00A9206E" w:rsidP="00E53FBD">
            <w:pPr>
              <w:spacing w:before="120" w:after="120" w:line="240" w:lineRule="auto"/>
              <w:rPr>
                <w:rFonts w:cs="Arial"/>
                <w:bCs/>
                <w:lang w:eastAsia="en-AU"/>
              </w:rPr>
            </w:pPr>
            <w:r w:rsidRPr="00E53FBD">
              <w:rPr>
                <w:rFonts w:cs="Arial"/>
                <w:bCs/>
                <w:lang w:eastAsia="en-AU"/>
              </w:rPr>
              <w:t>New</w:t>
            </w:r>
          </w:p>
        </w:tc>
        <w:tc>
          <w:tcPr>
            <w:tcW w:w="5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418EE"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45</w:t>
            </w:r>
          </w:p>
        </w:tc>
        <w:tc>
          <w:tcPr>
            <w:tcW w:w="3046" w:type="pct"/>
            <w:tcBorders>
              <w:top w:val="single" w:sz="4" w:space="0" w:color="auto"/>
              <w:left w:val="single" w:sz="4" w:space="0" w:color="auto"/>
              <w:bottom w:val="single" w:sz="4" w:space="0" w:color="auto"/>
              <w:right w:val="single" w:sz="4" w:space="0" w:color="auto"/>
            </w:tcBorders>
          </w:tcPr>
          <w:p w14:paraId="65BD2346" w14:textId="77777777" w:rsidR="00A9206E" w:rsidRPr="00E53FBD" w:rsidRDefault="00A9206E" w:rsidP="00E53FBD">
            <w:pPr>
              <w:spacing w:before="120" w:after="120" w:line="240" w:lineRule="auto"/>
              <w:rPr>
                <w:rFonts w:cs="Arial"/>
                <w:bCs/>
                <w:lang w:eastAsia="en-AU"/>
              </w:rPr>
            </w:pPr>
            <w:r w:rsidRPr="00E53FBD">
              <w:rPr>
                <w:rStyle w:val="BookTitle"/>
                <w:rFonts w:cs="Arial"/>
                <w:bCs/>
                <w:i w:val="0"/>
                <w:iCs w:val="0"/>
                <w:smallCaps w:val="0"/>
                <w:spacing w:val="0"/>
                <w:lang w:eastAsia="en-AU"/>
              </w:rPr>
              <w:t xml:space="preserve">Approved participants must give the Secretary a copy of the current lease agreement for each allocation before the next statement of compliance is submitted. </w:t>
            </w:r>
          </w:p>
        </w:tc>
      </w:tr>
    </w:tbl>
    <w:p w14:paraId="155C8752" w14:textId="767B4F3E" w:rsidR="00783B2A" w:rsidRPr="00F3079F" w:rsidRDefault="00783B2A" w:rsidP="00E53FBD">
      <w:pPr>
        <w:pStyle w:val="Heading4"/>
        <w:spacing w:before="120" w:after="120" w:line="240" w:lineRule="atLeast"/>
        <w:rPr>
          <w:i w:val="0"/>
          <w:color w:val="7030A0"/>
          <w:sz w:val="28"/>
          <w:szCs w:val="28"/>
        </w:rPr>
      </w:pPr>
      <w:bookmarkStart w:id="4" w:name="_Tenants"/>
      <w:bookmarkEnd w:id="4"/>
      <w:r w:rsidRPr="00F3079F">
        <w:rPr>
          <w:i w:val="0"/>
          <w:color w:val="7030A0"/>
          <w:sz w:val="28"/>
          <w:szCs w:val="28"/>
        </w:rPr>
        <w:t>Tenants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58"/>
        <w:gridCol w:w="1621"/>
        <w:gridCol w:w="1624"/>
        <w:gridCol w:w="9606"/>
      </w:tblGrid>
      <w:tr w:rsidR="00A9206E" w:rsidRPr="003C55FE" w14:paraId="47C4D126" w14:textId="77777777" w:rsidTr="006000C6">
        <w:tc>
          <w:tcPr>
            <w:tcW w:w="830"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0" w:type="dxa"/>
              <w:left w:w="108" w:type="dxa"/>
              <w:bottom w:w="0" w:type="dxa"/>
              <w:right w:w="108" w:type="dxa"/>
            </w:tcMar>
          </w:tcPr>
          <w:p w14:paraId="19C0098B" w14:textId="77777777" w:rsidR="00A9206E" w:rsidRPr="003C55FE" w:rsidRDefault="00A9206E" w:rsidP="00E53FBD">
            <w:pPr>
              <w:spacing w:before="120" w:after="120" w:line="240" w:lineRule="atLeast"/>
              <w:rPr>
                <w:b/>
                <w:lang w:eastAsia="en-AU"/>
              </w:rPr>
            </w:pPr>
            <w:r w:rsidRPr="003C55FE">
              <w:rPr>
                <w:b/>
                <w:lang w:eastAsia="en-AU"/>
              </w:rPr>
              <w:t>Subject</w:t>
            </w:r>
          </w:p>
        </w:tc>
        <w:tc>
          <w:tcPr>
            <w:tcW w:w="526"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0" w:type="dxa"/>
              <w:left w:w="108" w:type="dxa"/>
              <w:bottom w:w="0" w:type="dxa"/>
              <w:right w:w="108" w:type="dxa"/>
            </w:tcMar>
          </w:tcPr>
          <w:p w14:paraId="773AC82C" w14:textId="77777777" w:rsidR="00A9206E" w:rsidRPr="003C55FE" w:rsidRDefault="00A9206E" w:rsidP="00E53FBD">
            <w:pPr>
              <w:spacing w:before="120" w:after="120" w:line="240" w:lineRule="atLeast"/>
              <w:rPr>
                <w:b/>
                <w:lang w:eastAsia="en-AU"/>
              </w:rPr>
            </w:pPr>
            <w:r w:rsidRPr="003C55FE">
              <w:rPr>
                <w:b/>
                <w:lang w:eastAsia="en-AU"/>
              </w:rPr>
              <w:t>2008 regulations</w:t>
            </w:r>
          </w:p>
        </w:tc>
        <w:tc>
          <w:tcPr>
            <w:tcW w:w="527"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0" w:type="dxa"/>
              <w:left w:w="108" w:type="dxa"/>
              <w:bottom w:w="0" w:type="dxa"/>
              <w:right w:w="108" w:type="dxa"/>
            </w:tcMar>
          </w:tcPr>
          <w:p w14:paraId="251E4668" w14:textId="77777777" w:rsidR="00A9206E" w:rsidRPr="003C55FE" w:rsidRDefault="00A9206E" w:rsidP="00E53FBD">
            <w:pPr>
              <w:spacing w:before="120" w:after="120" w:line="240" w:lineRule="atLeast"/>
              <w:rPr>
                <w:b/>
                <w:lang w:eastAsia="en-AU"/>
              </w:rPr>
            </w:pPr>
            <w:r w:rsidRPr="003C55FE">
              <w:rPr>
                <w:b/>
                <w:lang w:eastAsia="en-AU"/>
              </w:rPr>
              <w:t>2020 regulations</w:t>
            </w:r>
          </w:p>
        </w:tc>
        <w:tc>
          <w:tcPr>
            <w:tcW w:w="3117"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57FD887" w14:textId="77777777" w:rsidR="00A9206E" w:rsidRPr="003C55FE" w:rsidRDefault="00A9206E" w:rsidP="00E53FBD">
            <w:pPr>
              <w:spacing w:before="120" w:after="120" w:line="240" w:lineRule="atLeast"/>
              <w:rPr>
                <w:b/>
              </w:rPr>
            </w:pPr>
            <w:r w:rsidRPr="003C55FE">
              <w:rPr>
                <w:b/>
              </w:rPr>
              <w:t>What changed?</w:t>
            </w:r>
          </w:p>
        </w:tc>
      </w:tr>
      <w:tr w:rsidR="00A9206E" w14:paraId="2B10230A" w14:textId="77777777" w:rsidTr="006000C6">
        <w:tc>
          <w:tcPr>
            <w:tcW w:w="830" w:type="pct"/>
            <w:tcMar>
              <w:top w:w="0" w:type="dxa"/>
              <w:left w:w="108" w:type="dxa"/>
              <w:bottom w:w="0" w:type="dxa"/>
              <w:right w:w="108" w:type="dxa"/>
            </w:tcMar>
          </w:tcPr>
          <w:p w14:paraId="649879EA" w14:textId="77777777" w:rsidR="00A9206E" w:rsidRPr="00BA4BC9" w:rsidRDefault="00A9206E" w:rsidP="00E53FBD">
            <w:pPr>
              <w:spacing w:before="120" w:after="120" w:line="240" w:lineRule="atLeast"/>
              <w:rPr>
                <w:lang w:eastAsia="en-AU"/>
              </w:rPr>
            </w:pPr>
            <w:r w:rsidRPr="00BA4BC9">
              <w:rPr>
                <w:lang w:eastAsia="en-AU"/>
              </w:rPr>
              <w:t>Eligible tenants</w:t>
            </w:r>
          </w:p>
        </w:tc>
        <w:tc>
          <w:tcPr>
            <w:tcW w:w="526" w:type="pct"/>
            <w:tcMar>
              <w:top w:w="0" w:type="dxa"/>
              <w:left w:w="108" w:type="dxa"/>
              <w:bottom w:w="0" w:type="dxa"/>
              <w:right w:w="108" w:type="dxa"/>
            </w:tcMar>
          </w:tcPr>
          <w:p w14:paraId="488A016A" w14:textId="77777777" w:rsidR="00A9206E" w:rsidRPr="00BA4BC9" w:rsidRDefault="00A9206E" w:rsidP="00E53FBD">
            <w:pPr>
              <w:spacing w:before="120" w:after="120" w:line="240" w:lineRule="atLeast"/>
              <w:rPr>
                <w:lang w:eastAsia="en-AU"/>
              </w:rPr>
            </w:pPr>
            <w:r w:rsidRPr="00BA4BC9">
              <w:rPr>
                <w:lang w:eastAsia="en-AU"/>
              </w:rPr>
              <w:t>Section 19</w:t>
            </w:r>
          </w:p>
        </w:tc>
        <w:tc>
          <w:tcPr>
            <w:tcW w:w="527" w:type="pct"/>
            <w:tcMar>
              <w:top w:w="0" w:type="dxa"/>
              <w:left w:w="108" w:type="dxa"/>
              <w:bottom w:w="0" w:type="dxa"/>
              <w:right w:w="108" w:type="dxa"/>
            </w:tcMar>
          </w:tcPr>
          <w:p w14:paraId="71651F90" w14:textId="3A8B5BA5" w:rsidR="00A9206E" w:rsidRPr="00BA4BC9" w:rsidRDefault="00A9206E" w:rsidP="00E53FBD">
            <w:pPr>
              <w:spacing w:before="120" w:after="120" w:line="240" w:lineRule="atLeast"/>
              <w:rPr>
                <w:lang w:eastAsia="en-AU"/>
              </w:rPr>
            </w:pPr>
            <w:r w:rsidRPr="00BA4BC9">
              <w:rPr>
                <w:lang w:eastAsia="en-AU"/>
              </w:rPr>
              <w:t>S</w:t>
            </w:r>
            <w:r w:rsidR="00F608AA">
              <w:rPr>
                <w:lang w:eastAsia="en-AU"/>
              </w:rPr>
              <w:t>ubs</w:t>
            </w:r>
            <w:r w:rsidRPr="00BA4BC9">
              <w:rPr>
                <w:lang w:eastAsia="en-AU"/>
              </w:rPr>
              <w:t>ection 41(4)</w:t>
            </w:r>
          </w:p>
        </w:tc>
        <w:tc>
          <w:tcPr>
            <w:tcW w:w="3117" w:type="pct"/>
          </w:tcPr>
          <w:p w14:paraId="4F78D245" w14:textId="60FFFD66" w:rsidR="00A9206E" w:rsidRDefault="00A9206E" w:rsidP="00456A38">
            <w:pPr>
              <w:spacing w:before="120" w:after="120" w:line="240" w:lineRule="atLeast"/>
            </w:pPr>
            <w:r>
              <w:t xml:space="preserve">This </w:t>
            </w:r>
            <w:r w:rsidR="006000C6">
              <w:t xml:space="preserve">section </w:t>
            </w:r>
            <w:r>
              <w:t>provides a tenant does not cease to be an eligible tenant only because the person moves from one rental dwelling to another rental dwelling in the Scheme where the circumstances are beyond their control.</w:t>
            </w:r>
          </w:p>
        </w:tc>
      </w:tr>
    </w:tbl>
    <w:p w14:paraId="67F77205" w14:textId="30FD1C74" w:rsidR="00783B2A" w:rsidRPr="00F3079F" w:rsidRDefault="00783B2A" w:rsidP="00E53FBD">
      <w:pPr>
        <w:pStyle w:val="Heading4"/>
        <w:spacing w:before="120" w:after="120" w:line="240" w:lineRule="atLeast"/>
        <w:rPr>
          <w:i w:val="0"/>
          <w:color w:val="7030A0"/>
          <w:sz w:val="28"/>
          <w:szCs w:val="28"/>
        </w:rPr>
      </w:pPr>
      <w:bookmarkStart w:id="5" w:name="_Statement_of_Compliance"/>
      <w:bookmarkEnd w:id="5"/>
      <w:r w:rsidRPr="00F3079F">
        <w:rPr>
          <w:i w:val="0"/>
          <w:color w:val="7030A0"/>
          <w:sz w:val="28"/>
          <w:szCs w:val="28"/>
        </w:rPr>
        <w:t>Statement of Compliance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83"/>
        <w:gridCol w:w="1636"/>
        <w:gridCol w:w="1640"/>
        <w:gridCol w:w="9550"/>
      </w:tblGrid>
      <w:tr w:rsidR="00A9206E" w:rsidRPr="003C55FE" w14:paraId="4EBF5970" w14:textId="77777777" w:rsidTr="006000C6">
        <w:tc>
          <w:tcPr>
            <w:tcW w:w="838"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0" w:type="dxa"/>
              <w:left w:w="108" w:type="dxa"/>
              <w:bottom w:w="0" w:type="dxa"/>
              <w:right w:w="108" w:type="dxa"/>
            </w:tcMar>
          </w:tcPr>
          <w:p w14:paraId="1ADE223B" w14:textId="77777777" w:rsidR="00A9206E" w:rsidRPr="003C55FE" w:rsidRDefault="00A9206E" w:rsidP="00E53FBD">
            <w:pPr>
              <w:spacing w:before="120" w:after="120" w:line="240" w:lineRule="auto"/>
              <w:rPr>
                <w:b/>
                <w:lang w:eastAsia="en-AU"/>
              </w:rPr>
            </w:pPr>
            <w:r w:rsidRPr="003C55FE">
              <w:rPr>
                <w:b/>
                <w:lang w:eastAsia="en-AU"/>
              </w:rPr>
              <w:t>Subject</w:t>
            </w:r>
          </w:p>
        </w:tc>
        <w:tc>
          <w:tcPr>
            <w:tcW w:w="531"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0" w:type="dxa"/>
              <w:left w:w="108" w:type="dxa"/>
              <w:bottom w:w="0" w:type="dxa"/>
              <w:right w:w="108" w:type="dxa"/>
            </w:tcMar>
          </w:tcPr>
          <w:p w14:paraId="56D3E0F0" w14:textId="77777777" w:rsidR="00A9206E" w:rsidRPr="003C55FE" w:rsidRDefault="00A9206E" w:rsidP="00E53FBD">
            <w:pPr>
              <w:spacing w:before="120" w:after="120" w:line="240" w:lineRule="auto"/>
              <w:rPr>
                <w:b/>
                <w:lang w:eastAsia="en-AU"/>
              </w:rPr>
            </w:pPr>
            <w:r w:rsidRPr="003C55FE">
              <w:rPr>
                <w:b/>
                <w:lang w:eastAsia="en-AU"/>
              </w:rPr>
              <w:t>2008 regulations</w:t>
            </w:r>
          </w:p>
        </w:tc>
        <w:tc>
          <w:tcPr>
            <w:tcW w:w="532" w:type="pct"/>
            <w:tcBorders>
              <w:top w:val="single" w:sz="4" w:space="0" w:color="auto"/>
              <w:left w:val="single" w:sz="4" w:space="0" w:color="auto"/>
              <w:bottom w:val="single" w:sz="4" w:space="0" w:color="auto"/>
              <w:right w:val="single" w:sz="4" w:space="0" w:color="auto"/>
            </w:tcBorders>
            <w:shd w:val="clear" w:color="auto" w:fill="E5DFEC" w:themeFill="accent4" w:themeFillTint="33"/>
            <w:tcMar>
              <w:top w:w="0" w:type="dxa"/>
              <w:left w:w="108" w:type="dxa"/>
              <w:bottom w:w="0" w:type="dxa"/>
              <w:right w:w="108" w:type="dxa"/>
            </w:tcMar>
          </w:tcPr>
          <w:p w14:paraId="1969372C" w14:textId="77777777" w:rsidR="00A9206E" w:rsidRPr="003C55FE" w:rsidRDefault="00A9206E" w:rsidP="00E53FBD">
            <w:pPr>
              <w:spacing w:before="120" w:after="120" w:line="240" w:lineRule="auto"/>
              <w:rPr>
                <w:b/>
                <w:lang w:eastAsia="en-AU"/>
              </w:rPr>
            </w:pPr>
            <w:r w:rsidRPr="003C55FE">
              <w:rPr>
                <w:b/>
                <w:lang w:eastAsia="en-AU"/>
              </w:rPr>
              <w:t>2020 regulations</w:t>
            </w:r>
          </w:p>
        </w:tc>
        <w:tc>
          <w:tcPr>
            <w:tcW w:w="3099"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476609B" w14:textId="77777777" w:rsidR="00A9206E" w:rsidRPr="003C55FE" w:rsidRDefault="00A9206E" w:rsidP="00E53FBD">
            <w:pPr>
              <w:spacing w:before="120" w:after="120" w:line="240" w:lineRule="auto"/>
              <w:rPr>
                <w:rFonts w:cs="Arial"/>
                <w:b/>
                <w:szCs w:val="24"/>
              </w:rPr>
            </w:pPr>
            <w:r w:rsidRPr="003C55FE">
              <w:rPr>
                <w:rFonts w:cs="Arial"/>
                <w:b/>
                <w:szCs w:val="24"/>
              </w:rPr>
              <w:t>What changed?</w:t>
            </w:r>
          </w:p>
        </w:tc>
      </w:tr>
      <w:tr w:rsidR="00A9206E" w:rsidRPr="00783B2A" w14:paraId="13ADEB92" w14:textId="77777777" w:rsidTr="006000C6">
        <w:tc>
          <w:tcPr>
            <w:tcW w:w="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5FDFD" w14:textId="77777777" w:rsidR="00A9206E" w:rsidRPr="00BA4BC9" w:rsidRDefault="00A9206E" w:rsidP="00E53FBD">
            <w:pPr>
              <w:spacing w:before="120" w:after="120" w:line="240" w:lineRule="auto"/>
              <w:rPr>
                <w:lang w:eastAsia="en-AU"/>
              </w:rPr>
            </w:pPr>
            <w:r w:rsidRPr="00BA4BC9">
              <w:rPr>
                <w:lang w:eastAsia="en-AU"/>
              </w:rPr>
              <w:t>Tenant consent form</w:t>
            </w:r>
          </w:p>
        </w:tc>
        <w:tc>
          <w:tcPr>
            <w:tcW w:w="5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DBE5B" w14:textId="77777777" w:rsidR="00A9206E" w:rsidRPr="00BA4BC9" w:rsidRDefault="00A9206E" w:rsidP="00E53FBD">
            <w:pPr>
              <w:spacing w:before="120" w:after="120" w:line="240" w:lineRule="auto"/>
              <w:rPr>
                <w:lang w:eastAsia="en-AU"/>
              </w:rPr>
            </w:pPr>
            <w:r w:rsidRPr="00EA3486">
              <w:rPr>
                <w:lang w:eastAsia="en-AU"/>
              </w:rPr>
              <w:t>New section</w:t>
            </w: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C952E" w14:textId="77777777" w:rsidR="00A9206E" w:rsidRPr="00BA4BC9" w:rsidRDefault="00A9206E" w:rsidP="00E53FBD">
            <w:pPr>
              <w:spacing w:before="120" w:after="120" w:line="240" w:lineRule="auto"/>
              <w:rPr>
                <w:lang w:eastAsia="en-AU"/>
              </w:rPr>
            </w:pPr>
            <w:r w:rsidRPr="00BA4BC9">
              <w:rPr>
                <w:lang w:eastAsia="en-AU"/>
              </w:rPr>
              <w:t>Section 44</w:t>
            </w:r>
          </w:p>
        </w:tc>
        <w:tc>
          <w:tcPr>
            <w:tcW w:w="3099" w:type="pct"/>
            <w:tcBorders>
              <w:top w:val="single" w:sz="4" w:space="0" w:color="auto"/>
              <w:left w:val="single" w:sz="4" w:space="0" w:color="auto"/>
              <w:bottom w:val="single" w:sz="4" w:space="0" w:color="auto"/>
              <w:right w:val="single" w:sz="4" w:space="0" w:color="auto"/>
            </w:tcBorders>
          </w:tcPr>
          <w:p w14:paraId="06F3E3AD" w14:textId="3183D095" w:rsidR="00A9206E" w:rsidRPr="00EA3486" w:rsidRDefault="00A9206E" w:rsidP="00E53FBD">
            <w:pPr>
              <w:spacing w:before="120" w:after="120" w:line="240" w:lineRule="auto"/>
              <w:rPr>
                <w:rFonts w:cs="Arial"/>
                <w:szCs w:val="24"/>
              </w:rPr>
            </w:pPr>
            <w:r w:rsidRPr="00EA3486">
              <w:rPr>
                <w:rFonts w:cs="Arial"/>
                <w:szCs w:val="24"/>
              </w:rPr>
              <w:t>Approved participants must give the Secretary a tenant consent form for each tenant of the rental dwelling.</w:t>
            </w:r>
          </w:p>
        </w:tc>
      </w:tr>
    </w:tbl>
    <w:p w14:paraId="4AE30821" w14:textId="77777777" w:rsidR="003C55FE" w:rsidRDefault="003C55FE" w:rsidP="00E53FBD">
      <w:pPr>
        <w:pStyle w:val="Heading4"/>
        <w:spacing w:before="120" w:after="120" w:line="240" w:lineRule="atLeast"/>
        <w:rPr>
          <w:i w:val="0"/>
        </w:rPr>
      </w:pPr>
      <w:bookmarkStart w:id="6" w:name="_Incentives"/>
      <w:bookmarkEnd w:id="6"/>
    </w:p>
    <w:p w14:paraId="765BD8C5" w14:textId="77777777" w:rsidR="003C55FE" w:rsidRDefault="003C55FE">
      <w:pPr>
        <w:rPr>
          <w:rFonts w:eastAsiaTheme="majorEastAsia" w:cstheme="majorBidi"/>
          <w:b/>
          <w:bCs/>
          <w:iCs/>
        </w:rPr>
      </w:pPr>
      <w:r>
        <w:rPr>
          <w:i/>
        </w:rPr>
        <w:br w:type="page"/>
      </w:r>
    </w:p>
    <w:p w14:paraId="3E2695CC" w14:textId="02BBB6AE" w:rsidR="00163FB6" w:rsidRPr="00F3079F" w:rsidRDefault="00163FB6" w:rsidP="00E53FBD">
      <w:pPr>
        <w:pStyle w:val="Heading4"/>
        <w:spacing w:before="120" w:after="120" w:line="240" w:lineRule="atLeast"/>
        <w:rPr>
          <w:i w:val="0"/>
          <w:color w:val="7030A0"/>
          <w:sz w:val="28"/>
          <w:szCs w:val="28"/>
        </w:rPr>
      </w:pPr>
      <w:r w:rsidRPr="00F3079F">
        <w:rPr>
          <w:i w:val="0"/>
          <w:color w:val="7030A0"/>
          <w:sz w:val="28"/>
          <w:szCs w:val="28"/>
        </w:rPr>
        <w:lastRenderedPageBreak/>
        <w:t>Incentives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83"/>
        <w:gridCol w:w="1636"/>
        <w:gridCol w:w="1640"/>
        <w:gridCol w:w="9550"/>
      </w:tblGrid>
      <w:tr w:rsidR="00A9206E" w14:paraId="78A825ED" w14:textId="77777777" w:rsidTr="006249D9">
        <w:tc>
          <w:tcPr>
            <w:tcW w:w="838" w:type="pct"/>
            <w:shd w:val="clear" w:color="auto" w:fill="E5DFEC" w:themeFill="accent4" w:themeFillTint="33"/>
            <w:tcMar>
              <w:top w:w="0" w:type="dxa"/>
              <w:left w:w="108" w:type="dxa"/>
              <w:bottom w:w="0" w:type="dxa"/>
              <w:right w:w="108" w:type="dxa"/>
            </w:tcMar>
            <w:hideMark/>
          </w:tcPr>
          <w:p w14:paraId="694D8A79" w14:textId="77777777" w:rsidR="00A9206E" w:rsidRPr="002E35C4" w:rsidRDefault="00A9206E" w:rsidP="00E53FBD">
            <w:pPr>
              <w:spacing w:before="120" w:after="120" w:line="240" w:lineRule="auto"/>
              <w:rPr>
                <w:b/>
                <w:bCs/>
                <w:lang w:eastAsia="en-AU"/>
              </w:rPr>
            </w:pPr>
            <w:r>
              <w:rPr>
                <w:b/>
                <w:bCs/>
                <w:lang w:eastAsia="en-AU"/>
              </w:rPr>
              <w:t>Subject</w:t>
            </w:r>
          </w:p>
        </w:tc>
        <w:tc>
          <w:tcPr>
            <w:tcW w:w="531" w:type="pct"/>
            <w:shd w:val="clear" w:color="auto" w:fill="E5DFEC" w:themeFill="accent4" w:themeFillTint="33"/>
            <w:tcMar>
              <w:top w:w="0" w:type="dxa"/>
              <w:left w:w="108" w:type="dxa"/>
              <w:bottom w:w="0" w:type="dxa"/>
              <w:right w:w="108" w:type="dxa"/>
            </w:tcMar>
            <w:hideMark/>
          </w:tcPr>
          <w:p w14:paraId="5EC63C37" w14:textId="77777777" w:rsidR="00A9206E" w:rsidRPr="002E35C4" w:rsidRDefault="00A9206E" w:rsidP="00E53FBD">
            <w:pPr>
              <w:spacing w:before="120" w:after="120" w:line="240" w:lineRule="auto"/>
              <w:rPr>
                <w:b/>
                <w:bCs/>
                <w:lang w:eastAsia="en-AU"/>
              </w:rPr>
            </w:pPr>
            <w:r>
              <w:rPr>
                <w:b/>
                <w:bCs/>
                <w:lang w:eastAsia="en-AU"/>
              </w:rPr>
              <w:t>2008 regulations</w:t>
            </w:r>
          </w:p>
        </w:tc>
        <w:tc>
          <w:tcPr>
            <w:tcW w:w="532" w:type="pct"/>
            <w:shd w:val="clear" w:color="auto" w:fill="E5DFEC" w:themeFill="accent4" w:themeFillTint="33"/>
            <w:tcMar>
              <w:top w:w="0" w:type="dxa"/>
              <w:left w:w="108" w:type="dxa"/>
              <w:bottom w:w="0" w:type="dxa"/>
              <w:right w:w="108" w:type="dxa"/>
            </w:tcMar>
            <w:hideMark/>
          </w:tcPr>
          <w:p w14:paraId="7600F846" w14:textId="77777777" w:rsidR="00A9206E" w:rsidRPr="002E35C4" w:rsidRDefault="00A9206E" w:rsidP="00E53FBD">
            <w:pPr>
              <w:spacing w:before="120" w:after="120" w:line="240" w:lineRule="auto"/>
              <w:rPr>
                <w:b/>
                <w:bCs/>
                <w:lang w:eastAsia="en-AU"/>
              </w:rPr>
            </w:pPr>
            <w:r>
              <w:rPr>
                <w:b/>
                <w:bCs/>
                <w:lang w:eastAsia="en-AU"/>
              </w:rPr>
              <w:t>2020 regulations</w:t>
            </w:r>
          </w:p>
        </w:tc>
        <w:tc>
          <w:tcPr>
            <w:tcW w:w="3099" w:type="pct"/>
            <w:shd w:val="clear" w:color="auto" w:fill="E5DFEC" w:themeFill="accent4" w:themeFillTint="33"/>
          </w:tcPr>
          <w:p w14:paraId="1E417DA8" w14:textId="77777777" w:rsidR="00A9206E" w:rsidRPr="002E35C4" w:rsidRDefault="00A9206E" w:rsidP="00E53FBD">
            <w:pPr>
              <w:spacing w:before="120" w:after="120" w:line="240" w:lineRule="auto"/>
              <w:ind w:firstLine="107"/>
              <w:rPr>
                <w:b/>
                <w:bCs/>
                <w:lang w:eastAsia="en-AU"/>
              </w:rPr>
            </w:pPr>
            <w:r>
              <w:rPr>
                <w:b/>
                <w:bCs/>
                <w:lang w:eastAsia="en-AU"/>
              </w:rPr>
              <w:t>What changed?</w:t>
            </w:r>
          </w:p>
        </w:tc>
      </w:tr>
      <w:tr w:rsidR="00A9206E" w14:paraId="19CFA157" w14:textId="77777777" w:rsidTr="006249D9">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5C3E0C5" w14:textId="1F2C8072" w:rsidR="00A9206E" w:rsidRPr="00535CAC" w:rsidRDefault="00A9206E" w:rsidP="00E53FBD">
            <w:pPr>
              <w:spacing w:before="120" w:after="120" w:line="240" w:lineRule="auto"/>
              <w:rPr>
                <w:bCs/>
                <w:lang w:eastAsia="en-AU"/>
              </w:rPr>
            </w:pPr>
            <w:r w:rsidRPr="00535CAC">
              <w:rPr>
                <w:bCs/>
                <w:lang w:eastAsia="en-AU"/>
              </w:rPr>
              <w:t>Payment of incentive in</w:t>
            </w:r>
            <w:r w:rsidR="000F5262">
              <w:rPr>
                <w:bCs/>
                <w:lang w:eastAsia="en-AU"/>
              </w:rPr>
              <w:t> </w:t>
            </w:r>
            <w:r w:rsidRPr="00535CAC">
              <w:rPr>
                <w:bCs/>
                <w:lang w:eastAsia="en-AU"/>
              </w:rPr>
              <w:t>case of revocation</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6E28928" w14:textId="74165C2C" w:rsidR="00A9206E" w:rsidRPr="00535CAC" w:rsidRDefault="00A9206E" w:rsidP="00E53FBD">
            <w:pPr>
              <w:spacing w:before="120" w:after="120" w:line="240" w:lineRule="auto"/>
              <w:rPr>
                <w:bCs/>
                <w:lang w:eastAsia="en-AU"/>
              </w:rPr>
            </w:pPr>
            <w:r w:rsidRPr="00535CAC">
              <w:rPr>
                <w:bCs/>
                <w:lang w:eastAsia="en-AU"/>
              </w:rPr>
              <w:t>S</w:t>
            </w:r>
            <w:r w:rsidR="0091700D">
              <w:rPr>
                <w:bCs/>
                <w:lang w:eastAsia="en-AU"/>
              </w:rPr>
              <w:t>ubs</w:t>
            </w:r>
            <w:r w:rsidRPr="00535CAC">
              <w:rPr>
                <w:bCs/>
                <w:lang w:eastAsia="en-AU"/>
              </w:rPr>
              <w:t>ection 22(2)</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BB4C070" w14:textId="77777777" w:rsidR="00A9206E" w:rsidRPr="00535CAC" w:rsidRDefault="00A9206E" w:rsidP="00E53FBD">
            <w:pPr>
              <w:spacing w:before="120" w:after="120" w:line="240" w:lineRule="auto"/>
              <w:rPr>
                <w:bCs/>
                <w:lang w:eastAsia="en-AU"/>
              </w:rPr>
            </w:pPr>
            <w:r w:rsidRPr="00535CAC">
              <w:rPr>
                <w:bCs/>
                <w:lang w:eastAsia="en-AU"/>
              </w:rPr>
              <w:t>Section 16</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252A4AB1" w14:textId="7ECF79E2" w:rsidR="00A9206E" w:rsidRDefault="00A9206E" w:rsidP="00E53FBD">
            <w:pPr>
              <w:spacing w:before="120" w:after="120" w:line="240" w:lineRule="auto"/>
              <w:rPr>
                <w:bCs/>
                <w:lang w:eastAsia="en-AU"/>
              </w:rPr>
            </w:pPr>
            <w:r w:rsidRPr="00535CAC">
              <w:rPr>
                <w:bCs/>
                <w:lang w:eastAsia="en-AU"/>
              </w:rPr>
              <w:t xml:space="preserve">Approved participants are able to claim incentives for compliant periods during </w:t>
            </w:r>
            <w:r>
              <w:rPr>
                <w:bCs/>
                <w:lang w:eastAsia="en-AU"/>
              </w:rPr>
              <w:br/>
            </w:r>
            <w:r w:rsidRPr="00535CAC">
              <w:rPr>
                <w:bCs/>
                <w:lang w:eastAsia="en-AU"/>
              </w:rPr>
              <w:t>an NRAS year before the allocation is revoked. No incentive will be available for the dwelling for the remainder of the NRAS year and any subsequent NRAS years.</w:t>
            </w:r>
          </w:p>
          <w:p w14:paraId="15C6D821" w14:textId="5E36951D" w:rsidR="00A9206E" w:rsidRPr="00535CAC" w:rsidRDefault="00A9206E" w:rsidP="00E53FBD">
            <w:pPr>
              <w:spacing w:before="120" w:after="120" w:line="240" w:lineRule="auto"/>
              <w:rPr>
                <w:bCs/>
                <w:lang w:eastAsia="en-AU"/>
              </w:rPr>
            </w:pPr>
            <w:r>
              <w:rPr>
                <w:bCs/>
                <w:lang w:eastAsia="en-AU"/>
              </w:rPr>
              <w:t xml:space="preserve">Approved </w:t>
            </w:r>
            <w:r w:rsidRPr="00535CAC">
              <w:rPr>
                <w:bCs/>
                <w:lang w:eastAsia="en-AU"/>
              </w:rPr>
              <w:t>participants were not previously entitled to an incentive for the NRAS year if the allocation was revoked.</w:t>
            </w:r>
          </w:p>
          <w:p w14:paraId="4C6DD44B" w14:textId="305A6789" w:rsidR="00A9206E" w:rsidRPr="00535CAC" w:rsidRDefault="00A9206E" w:rsidP="00E53FBD">
            <w:pPr>
              <w:spacing w:before="120" w:after="120" w:line="240" w:lineRule="auto"/>
              <w:rPr>
                <w:bCs/>
                <w:lang w:eastAsia="en-AU"/>
              </w:rPr>
            </w:pPr>
            <w:r w:rsidRPr="00535CAC">
              <w:rPr>
                <w:rStyle w:val="BookTitle"/>
                <w:bCs/>
                <w:i w:val="0"/>
                <w:iCs w:val="0"/>
                <w:smallCaps w:val="0"/>
                <w:spacing w:val="0"/>
                <w:lang w:eastAsia="en-AU"/>
              </w:rPr>
              <w:t xml:space="preserve">This section </w:t>
            </w:r>
            <w:r w:rsidR="0091700D">
              <w:rPr>
                <w:rStyle w:val="BookTitle"/>
                <w:bCs/>
                <w:i w:val="0"/>
                <w:iCs w:val="0"/>
                <w:smallCaps w:val="0"/>
                <w:spacing w:val="0"/>
                <w:lang w:eastAsia="en-AU"/>
              </w:rPr>
              <w:t xml:space="preserve">allows an </w:t>
            </w:r>
            <w:r w:rsidR="00E53FBD">
              <w:rPr>
                <w:rStyle w:val="BookTitle"/>
                <w:bCs/>
                <w:i w:val="0"/>
                <w:iCs w:val="0"/>
                <w:smallCaps w:val="0"/>
                <w:spacing w:val="0"/>
                <w:lang w:eastAsia="en-AU"/>
              </w:rPr>
              <w:t>approved participant</w:t>
            </w:r>
            <w:r>
              <w:rPr>
                <w:rStyle w:val="BookTitle"/>
                <w:bCs/>
                <w:i w:val="0"/>
                <w:iCs w:val="0"/>
                <w:smallCaps w:val="0"/>
                <w:spacing w:val="0"/>
                <w:lang w:eastAsia="en-AU"/>
              </w:rPr>
              <w:t xml:space="preserve"> </w:t>
            </w:r>
            <w:r w:rsidRPr="00535CAC">
              <w:rPr>
                <w:rStyle w:val="BookTitle"/>
                <w:bCs/>
                <w:i w:val="0"/>
                <w:iCs w:val="0"/>
                <w:smallCaps w:val="0"/>
                <w:spacing w:val="0"/>
                <w:lang w:eastAsia="en-AU"/>
              </w:rPr>
              <w:t>to still claim incentives for compliant periods up to the point of revocation.</w:t>
            </w:r>
          </w:p>
        </w:tc>
      </w:tr>
      <w:tr w:rsidR="00A9206E" w:rsidRPr="006E4142" w14:paraId="47920B6D" w14:textId="77777777" w:rsidTr="006249D9">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D6D49D1" w14:textId="7883CC7B" w:rsidR="00A9206E" w:rsidRPr="00783B2A" w:rsidRDefault="00A9206E" w:rsidP="00E53FBD">
            <w:pPr>
              <w:spacing w:before="120" w:after="120" w:line="240" w:lineRule="auto"/>
              <w:rPr>
                <w:bCs/>
                <w:lang w:eastAsia="en-AU"/>
              </w:rPr>
            </w:pPr>
            <w:r w:rsidRPr="006000C6">
              <w:rPr>
                <w:bCs/>
                <w:lang w:eastAsia="en-AU"/>
              </w:rPr>
              <w:t>Entitlement to receive incentive</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8E68566" w14:textId="3BDEFBD9" w:rsidR="00A9206E" w:rsidRPr="00783B2A" w:rsidRDefault="00A9206E" w:rsidP="00E53FBD">
            <w:pPr>
              <w:spacing w:before="120" w:after="120" w:line="240" w:lineRule="auto"/>
              <w:rPr>
                <w:bCs/>
                <w:lang w:eastAsia="en-AU"/>
              </w:rPr>
            </w:pPr>
            <w:r w:rsidRPr="00783B2A">
              <w:rPr>
                <w:bCs/>
                <w:lang w:eastAsia="en-AU"/>
              </w:rPr>
              <w:t>Section 25</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E9890AB" w14:textId="77777777" w:rsidR="00A9206E" w:rsidRPr="00783B2A" w:rsidRDefault="00A9206E" w:rsidP="00E53FBD">
            <w:pPr>
              <w:spacing w:before="120" w:after="120" w:line="240" w:lineRule="auto"/>
              <w:rPr>
                <w:bCs/>
                <w:lang w:eastAsia="en-AU"/>
              </w:rPr>
            </w:pPr>
            <w:r w:rsidRPr="00783B2A">
              <w:rPr>
                <w:bCs/>
                <w:lang w:eastAsia="en-AU"/>
              </w:rPr>
              <w:t>Section 50</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7DF2B846" w14:textId="42806724" w:rsidR="00A9206E" w:rsidRPr="00783B2A" w:rsidRDefault="00A9206E" w:rsidP="00E53FBD">
            <w:pPr>
              <w:spacing w:before="120" w:after="120" w:line="240" w:lineRule="auto"/>
              <w:rPr>
                <w:bCs/>
                <w:lang w:eastAsia="en-AU"/>
              </w:rPr>
            </w:pPr>
            <w:r w:rsidRPr="00783B2A">
              <w:rPr>
                <w:bCs/>
                <w:lang w:eastAsia="en-AU"/>
              </w:rPr>
              <w:t xml:space="preserve">Section 50 expands the Secretary’s existing powers to place a temporary hold on an approved participant’s entitlement to an incentive. </w:t>
            </w:r>
          </w:p>
          <w:p w14:paraId="6394528F" w14:textId="77777777" w:rsidR="00A9206E" w:rsidRPr="00783B2A" w:rsidRDefault="00A9206E" w:rsidP="00E53FBD">
            <w:pPr>
              <w:spacing w:before="120" w:after="120" w:line="240" w:lineRule="auto"/>
              <w:rPr>
                <w:bCs/>
                <w:lang w:eastAsia="en-AU"/>
              </w:rPr>
            </w:pPr>
            <w:r w:rsidRPr="00783B2A">
              <w:rPr>
                <w:bCs/>
                <w:lang w:eastAsia="en-AU"/>
              </w:rPr>
              <w:t>This covers situations where:</w:t>
            </w:r>
          </w:p>
          <w:p w14:paraId="4C301EFA" w14:textId="5301A99E" w:rsidR="00A9206E" w:rsidRPr="00783B2A" w:rsidRDefault="00A9206E" w:rsidP="00E53FBD">
            <w:pPr>
              <w:pStyle w:val="ListParagraph"/>
              <w:numPr>
                <w:ilvl w:val="0"/>
                <w:numId w:val="52"/>
              </w:numPr>
              <w:spacing w:before="120" w:after="120" w:line="240" w:lineRule="auto"/>
              <w:ind w:left="714" w:hanging="357"/>
              <w:rPr>
                <w:bCs/>
                <w:lang w:eastAsia="en-AU"/>
              </w:rPr>
            </w:pPr>
            <w:r w:rsidRPr="00783B2A">
              <w:rPr>
                <w:bCs/>
                <w:lang w:eastAsia="en-AU"/>
              </w:rPr>
              <w:t xml:space="preserve">a breach is reasonably believed to have been committed; and </w:t>
            </w:r>
          </w:p>
          <w:p w14:paraId="6D212D4A" w14:textId="77777777" w:rsidR="00A9206E" w:rsidRPr="00783B2A" w:rsidRDefault="00A9206E" w:rsidP="00E53FBD">
            <w:pPr>
              <w:pStyle w:val="ListParagraph"/>
              <w:numPr>
                <w:ilvl w:val="0"/>
                <w:numId w:val="52"/>
              </w:numPr>
              <w:spacing w:before="120" w:after="120" w:line="240" w:lineRule="auto"/>
              <w:ind w:left="714" w:hanging="357"/>
              <w:rPr>
                <w:bCs/>
                <w:lang w:eastAsia="en-AU"/>
              </w:rPr>
            </w:pPr>
            <w:r w:rsidRPr="00783B2A">
              <w:rPr>
                <w:bCs/>
                <w:lang w:eastAsia="en-AU"/>
              </w:rPr>
              <w:t>a redirection of incentive has been proposed.</w:t>
            </w:r>
          </w:p>
          <w:p w14:paraId="2CD3733C" w14:textId="22969862" w:rsidR="00A9206E" w:rsidRPr="00783B2A" w:rsidRDefault="00A9206E" w:rsidP="00E53FBD">
            <w:pPr>
              <w:spacing w:before="120" w:after="120" w:line="240" w:lineRule="auto"/>
              <w:rPr>
                <w:bCs/>
                <w:lang w:eastAsia="en-AU"/>
              </w:rPr>
            </w:pPr>
            <w:r w:rsidRPr="00783B2A">
              <w:rPr>
                <w:bCs/>
                <w:lang w:eastAsia="en-AU"/>
              </w:rPr>
              <w:t>Each of the situations that would allow the Secretary to place a temporary hold on an approved participant’s entitlement to receive an incentive is strictly limited in the timeframe for which it can have effect.</w:t>
            </w:r>
          </w:p>
        </w:tc>
      </w:tr>
      <w:tr w:rsidR="00A9206E" w14:paraId="0893A34A" w14:textId="77777777" w:rsidTr="006249D9">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E15BF24" w14:textId="77777777" w:rsidR="00A9206E" w:rsidRPr="00783B2A" w:rsidRDefault="00A9206E" w:rsidP="00E53FBD">
            <w:pPr>
              <w:spacing w:before="120" w:after="120" w:line="240" w:lineRule="auto"/>
              <w:rPr>
                <w:bCs/>
                <w:lang w:eastAsia="en-AU"/>
              </w:rPr>
            </w:pPr>
            <w:r w:rsidRPr="00783B2A">
              <w:rPr>
                <w:bCs/>
                <w:lang w:eastAsia="en-AU"/>
              </w:rPr>
              <w:t>Full amount of incentive</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352BDA5" w14:textId="77777777" w:rsidR="00A9206E" w:rsidRPr="00783B2A" w:rsidRDefault="00A9206E" w:rsidP="00E53FBD">
            <w:pPr>
              <w:spacing w:before="120" w:after="120" w:line="240" w:lineRule="auto"/>
              <w:rPr>
                <w:bCs/>
                <w:lang w:eastAsia="en-AU"/>
              </w:rPr>
            </w:pPr>
            <w:r w:rsidRPr="00783B2A">
              <w:rPr>
                <w:bCs/>
                <w:lang w:eastAsia="en-AU"/>
              </w:rPr>
              <w:t>Section 26</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8421645" w14:textId="77777777" w:rsidR="00A9206E" w:rsidRPr="00783B2A" w:rsidRDefault="00A9206E" w:rsidP="00E53FBD">
            <w:pPr>
              <w:spacing w:before="120" w:after="120" w:line="240" w:lineRule="auto"/>
              <w:rPr>
                <w:bCs/>
                <w:lang w:eastAsia="en-AU"/>
              </w:rPr>
            </w:pPr>
            <w:r w:rsidRPr="00783B2A">
              <w:rPr>
                <w:bCs/>
                <w:lang w:eastAsia="en-AU"/>
              </w:rPr>
              <w:t>Section 52</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5A5D18CD" w14:textId="06E67ACC" w:rsidR="00A9206E" w:rsidRPr="00783B2A" w:rsidRDefault="00A9206E" w:rsidP="00E53FBD">
            <w:pPr>
              <w:spacing w:before="120" w:after="120" w:line="240" w:lineRule="auto"/>
              <w:rPr>
                <w:bCs/>
                <w:lang w:eastAsia="en-AU"/>
              </w:rPr>
            </w:pPr>
            <w:r w:rsidRPr="00783B2A">
              <w:rPr>
                <w:rStyle w:val="BookTitle"/>
                <w:bCs/>
                <w:i w:val="0"/>
                <w:iCs w:val="0"/>
                <w:smallCaps w:val="0"/>
                <w:spacing w:val="0"/>
                <w:lang w:eastAsia="en-AU"/>
              </w:rPr>
              <w:t>This section states the base maximum incentive amount as it relates to the year beginning on</w:t>
            </w:r>
            <w:r w:rsidR="000F5262">
              <w:rPr>
                <w:rStyle w:val="BookTitle"/>
                <w:bCs/>
                <w:i w:val="0"/>
                <w:iCs w:val="0"/>
                <w:smallCaps w:val="0"/>
                <w:spacing w:val="0"/>
                <w:lang w:eastAsia="en-AU"/>
              </w:rPr>
              <w:t> </w:t>
            </w:r>
            <w:r w:rsidRPr="00783B2A">
              <w:rPr>
                <w:rStyle w:val="BookTitle"/>
                <w:bCs/>
                <w:i w:val="0"/>
                <w:iCs w:val="0"/>
                <w:smallCaps w:val="0"/>
                <w:spacing w:val="0"/>
                <w:lang w:eastAsia="en-AU"/>
              </w:rPr>
              <w:t>1</w:t>
            </w:r>
            <w:r w:rsidR="000F5262">
              <w:rPr>
                <w:rStyle w:val="BookTitle"/>
                <w:bCs/>
                <w:i w:val="0"/>
                <w:iCs w:val="0"/>
                <w:smallCaps w:val="0"/>
                <w:spacing w:val="0"/>
                <w:lang w:eastAsia="en-AU"/>
              </w:rPr>
              <w:t> </w:t>
            </w:r>
            <w:r w:rsidRPr="00783B2A">
              <w:rPr>
                <w:rStyle w:val="BookTitle"/>
                <w:bCs/>
                <w:i w:val="0"/>
                <w:iCs w:val="0"/>
                <w:smallCaps w:val="0"/>
                <w:spacing w:val="0"/>
                <w:lang w:eastAsia="en-AU"/>
              </w:rPr>
              <w:t>May 2019</w:t>
            </w:r>
            <w:r w:rsidR="0091700D">
              <w:rPr>
                <w:rStyle w:val="BookTitle"/>
                <w:bCs/>
                <w:i w:val="0"/>
                <w:iCs w:val="0"/>
                <w:smallCaps w:val="0"/>
                <w:spacing w:val="0"/>
                <w:lang w:eastAsia="en-AU"/>
              </w:rPr>
              <w:t xml:space="preserve"> (which is $8,436.07) </w:t>
            </w:r>
            <w:r w:rsidRPr="00783B2A">
              <w:rPr>
                <w:rStyle w:val="BookTitle"/>
                <w:bCs/>
                <w:i w:val="0"/>
                <w:iCs w:val="0"/>
                <w:smallCaps w:val="0"/>
                <w:spacing w:val="0"/>
                <w:lang w:eastAsia="en-AU"/>
              </w:rPr>
              <w:t xml:space="preserve">and for each later year the relevant NRAS incentive index </w:t>
            </w:r>
            <w:r>
              <w:rPr>
                <w:rStyle w:val="BookTitle"/>
                <w:bCs/>
                <w:i w:val="0"/>
                <w:iCs w:val="0"/>
                <w:smallCaps w:val="0"/>
                <w:spacing w:val="0"/>
                <w:lang w:eastAsia="en-AU"/>
              </w:rPr>
              <w:br/>
            </w:r>
            <w:r w:rsidRPr="00783B2A">
              <w:rPr>
                <w:rStyle w:val="BookTitle"/>
                <w:bCs/>
                <w:i w:val="0"/>
                <w:iCs w:val="0"/>
                <w:smallCaps w:val="0"/>
                <w:spacing w:val="0"/>
                <w:lang w:eastAsia="en-AU"/>
              </w:rPr>
              <w:t>is applied.</w:t>
            </w:r>
          </w:p>
        </w:tc>
      </w:tr>
      <w:tr w:rsidR="00A9206E" w14:paraId="35D435F9" w14:textId="77777777" w:rsidTr="006249D9">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2EBFA51" w14:textId="77777777" w:rsidR="00A9206E" w:rsidRPr="00783B2A" w:rsidRDefault="00A9206E" w:rsidP="00E53FBD">
            <w:pPr>
              <w:spacing w:before="120" w:after="120" w:line="240" w:lineRule="auto"/>
              <w:rPr>
                <w:bCs/>
                <w:lang w:eastAsia="en-AU"/>
              </w:rPr>
            </w:pPr>
            <w:r w:rsidRPr="00783B2A">
              <w:rPr>
                <w:bCs/>
                <w:lang w:eastAsia="en-AU"/>
              </w:rPr>
              <w:t>Incentive when approved participant changes</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1EEC440" w14:textId="77777777" w:rsidR="00A9206E" w:rsidRPr="00783B2A" w:rsidRDefault="00A9206E" w:rsidP="00E53FBD">
            <w:pPr>
              <w:spacing w:before="120" w:after="120" w:line="240" w:lineRule="auto"/>
              <w:rPr>
                <w:bCs/>
                <w:lang w:eastAsia="en-AU"/>
              </w:rPr>
            </w:pPr>
            <w:r w:rsidRPr="0084519D">
              <w:rPr>
                <w:bCs/>
                <w:lang w:eastAsia="en-AU"/>
              </w:rPr>
              <w:t>New</w:t>
            </w:r>
            <w:r>
              <w:rPr>
                <w:bCs/>
                <w:lang w:eastAsia="en-AU"/>
              </w:rPr>
              <w:t xml:space="preserve"> s</w:t>
            </w:r>
            <w:r w:rsidRPr="0084519D">
              <w:rPr>
                <w:bCs/>
                <w:lang w:eastAsia="en-AU"/>
              </w:rPr>
              <w:t>ection</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FEBA863" w14:textId="77777777" w:rsidR="00A9206E" w:rsidRPr="006000C6" w:rsidRDefault="00A9206E" w:rsidP="00E53FBD">
            <w:pPr>
              <w:spacing w:before="120" w:after="120" w:line="240" w:lineRule="auto"/>
              <w:rPr>
                <w:bCs/>
                <w:lang w:eastAsia="en-AU"/>
              </w:rPr>
            </w:pPr>
            <w:r w:rsidRPr="006000C6">
              <w:rPr>
                <w:bCs/>
                <w:lang w:eastAsia="en-AU"/>
              </w:rPr>
              <w:t>Section 53</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3321B742" w14:textId="2A26F691" w:rsidR="00A9206E" w:rsidRPr="006000C6" w:rsidRDefault="00A9206E" w:rsidP="00E53FBD">
            <w:pPr>
              <w:spacing w:before="120" w:after="120" w:line="240" w:lineRule="auto"/>
              <w:rPr>
                <w:rStyle w:val="BookTitle"/>
                <w:bCs/>
                <w:i w:val="0"/>
                <w:iCs w:val="0"/>
                <w:smallCaps w:val="0"/>
                <w:spacing w:val="0"/>
                <w:lang w:eastAsia="en-AU"/>
              </w:rPr>
            </w:pPr>
            <w:r w:rsidRPr="00783B2A">
              <w:rPr>
                <w:rStyle w:val="BookTitle"/>
                <w:bCs/>
                <w:i w:val="0"/>
                <w:iCs w:val="0"/>
                <w:smallCaps w:val="0"/>
                <w:spacing w:val="0"/>
                <w:lang w:eastAsia="en-AU"/>
              </w:rPr>
              <w:t>This section allows the Secretary to divide the full value for an incentive on a pro</w:t>
            </w:r>
            <w:r w:rsidRPr="00783B2A">
              <w:rPr>
                <w:rStyle w:val="BookTitle"/>
                <w:bCs/>
                <w:i w:val="0"/>
                <w:iCs w:val="0"/>
                <w:smallCaps w:val="0"/>
                <w:spacing w:val="0"/>
                <w:lang w:eastAsia="en-AU"/>
              </w:rPr>
              <w:noBreakHyphen/>
              <w:t>rata basis for an</w:t>
            </w:r>
            <w:r w:rsidR="000F5262">
              <w:rPr>
                <w:rStyle w:val="BookTitle"/>
                <w:bCs/>
                <w:i w:val="0"/>
                <w:iCs w:val="0"/>
                <w:smallCaps w:val="0"/>
                <w:spacing w:val="0"/>
                <w:lang w:eastAsia="en-AU"/>
              </w:rPr>
              <w:t> </w:t>
            </w:r>
            <w:r w:rsidRPr="00783B2A">
              <w:rPr>
                <w:rStyle w:val="BookTitle"/>
                <w:bCs/>
                <w:i w:val="0"/>
                <w:iCs w:val="0"/>
                <w:smallCaps w:val="0"/>
                <w:spacing w:val="0"/>
                <w:lang w:eastAsia="en-AU"/>
              </w:rPr>
              <w:t>allocation between different approved participants when the allocation has been held by more than one approved participant during a particular period of an NRAS year and each of those approved participants is entitled to an incentive. The amount is divided according to how many days in the period each approved participant held the allocation and was entitled to the incentive</w:t>
            </w:r>
          </w:p>
          <w:p w14:paraId="1EA7AF57" w14:textId="0321D0D0" w:rsidR="0091700D" w:rsidRPr="00783B2A" w:rsidRDefault="00A9206E" w:rsidP="00E53FBD">
            <w:pPr>
              <w:spacing w:before="120" w:after="120" w:line="240" w:lineRule="auto"/>
              <w:rPr>
                <w:bCs/>
                <w:lang w:eastAsia="en-AU"/>
              </w:rPr>
            </w:pPr>
            <w:r w:rsidRPr="00783B2A">
              <w:rPr>
                <w:bCs/>
                <w:lang w:eastAsia="en-AU"/>
              </w:rPr>
              <w:t>This section formalises existing policy practice whe</w:t>
            </w:r>
            <w:r w:rsidRPr="00783B2A">
              <w:rPr>
                <w:rStyle w:val="BookTitle"/>
                <w:bCs/>
                <w:i w:val="0"/>
                <w:iCs w:val="0"/>
                <w:smallCaps w:val="0"/>
                <w:spacing w:val="0"/>
                <w:lang w:eastAsia="en-AU"/>
              </w:rPr>
              <w:t>re an allocation has been transferred between approved participants but the incentive has not been redirected.</w:t>
            </w:r>
          </w:p>
        </w:tc>
      </w:tr>
    </w:tbl>
    <w:p w14:paraId="72979403" w14:textId="77777777" w:rsidR="003C55FE" w:rsidRDefault="003C55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583"/>
        <w:gridCol w:w="1636"/>
        <w:gridCol w:w="1640"/>
        <w:gridCol w:w="9550"/>
      </w:tblGrid>
      <w:tr w:rsidR="00A9206E" w14:paraId="052643AB" w14:textId="77777777" w:rsidTr="006249D9">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7A228B" w14:textId="4A171543" w:rsidR="00A9206E" w:rsidRPr="00783B2A" w:rsidRDefault="00A9206E" w:rsidP="00E53FBD">
            <w:pPr>
              <w:spacing w:before="120" w:after="120" w:line="240" w:lineRule="auto"/>
              <w:rPr>
                <w:bCs/>
                <w:lang w:eastAsia="en-AU"/>
              </w:rPr>
            </w:pPr>
            <w:r w:rsidRPr="00783B2A">
              <w:rPr>
                <w:bCs/>
                <w:lang w:eastAsia="en-AU"/>
              </w:rPr>
              <w:lastRenderedPageBreak/>
              <w:t>Elections by endorsed charitable institutions</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98BEEA3" w14:textId="77777777" w:rsidR="00A9206E" w:rsidRPr="00783B2A" w:rsidRDefault="00A9206E" w:rsidP="00E53FBD">
            <w:pPr>
              <w:spacing w:before="120" w:after="120" w:line="240" w:lineRule="auto"/>
              <w:rPr>
                <w:bCs/>
                <w:lang w:eastAsia="en-AU"/>
              </w:rPr>
            </w:pPr>
            <w:r w:rsidRPr="00783B2A">
              <w:rPr>
                <w:bCs/>
                <w:lang w:eastAsia="en-AU"/>
              </w:rPr>
              <w:t>Section 28A</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84EA946" w14:textId="77777777" w:rsidR="00A9206E" w:rsidRPr="006000C6" w:rsidRDefault="00A9206E" w:rsidP="00E53FBD">
            <w:pPr>
              <w:spacing w:before="120" w:after="120" w:line="240" w:lineRule="auto"/>
              <w:rPr>
                <w:bCs/>
                <w:lang w:eastAsia="en-AU"/>
              </w:rPr>
            </w:pPr>
            <w:r w:rsidRPr="006000C6">
              <w:rPr>
                <w:bCs/>
                <w:lang w:eastAsia="en-AU"/>
              </w:rPr>
              <w:t>Section 55</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0CC0B5E7" w14:textId="77777777" w:rsidR="00A9206E" w:rsidRPr="00783B2A" w:rsidRDefault="00A9206E" w:rsidP="00E53FBD">
            <w:pPr>
              <w:spacing w:before="120" w:after="120" w:line="240" w:lineRule="auto"/>
              <w:rPr>
                <w:bCs/>
                <w:lang w:eastAsia="en-AU"/>
              </w:rPr>
            </w:pPr>
            <w:r w:rsidRPr="00783B2A">
              <w:rPr>
                <w:bCs/>
                <w:lang w:eastAsia="en-AU"/>
              </w:rPr>
              <w:t>This section allows endorsed charitable institutions to make an election to receive the incentive for an allocation as a payment rather than as a refundable tax offset certificate.</w:t>
            </w:r>
          </w:p>
          <w:p w14:paraId="580F1FBB" w14:textId="1D0E5344" w:rsidR="00A9206E" w:rsidRPr="00783B2A" w:rsidRDefault="00A9206E" w:rsidP="00E53FBD">
            <w:pPr>
              <w:spacing w:before="120" w:after="120" w:line="240" w:lineRule="auto"/>
              <w:rPr>
                <w:bCs/>
                <w:lang w:eastAsia="en-AU"/>
              </w:rPr>
            </w:pPr>
            <w:r w:rsidRPr="00783B2A">
              <w:rPr>
                <w:bCs/>
                <w:lang w:eastAsia="en-AU"/>
              </w:rPr>
              <w:t>This section now removes the limit on the number of times an approved participant may make an</w:t>
            </w:r>
            <w:r w:rsidR="000F5262">
              <w:rPr>
                <w:bCs/>
                <w:lang w:eastAsia="en-AU"/>
              </w:rPr>
              <w:t> </w:t>
            </w:r>
            <w:r w:rsidRPr="00783B2A">
              <w:rPr>
                <w:bCs/>
                <w:lang w:eastAsia="en-AU"/>
              </w:rPr>
              <w:t>election (previously limited to once per year).</w:t>
            </w:r>
          </w:p>
          <w:p w14:paraId="57412758" w14:textId="2849FAD1" w:rsidR="00A9206E" w:rsidRPr="00783B2A" w:rsidRDefault="00A9206E" w:rsidP="00E53FBD">
            <w:pPr>
              <w:spacing w:before="120" w:after="120" w:line="240" w:lineRule="auto"/>
              <w:rPr>
                <w:bCs/>
                <w:lang w:eastAsia="en-AU"/>
              </w:rPr>
            </w:pPr>
            <w:r w:rsidRPr="00783B2A">
              <w:rPr>
                <w:bCs/>
                <w:lang w:eastAsia="en-AU"/>
              </w:rPr>
              <w:t>This section also includes a new requirement that an approved participant must notify the</w:t>
            </w:r>
            <w:r w:rsidR="00302B9A">
              <w:rPr>
                <w:bCs/>
                <w:lang w:eastAsia="en-AU"/>
              </w:rPr>
              <w:t xml:space="preserve"> </w:t>
            </w:r>
            <w:r w:rsidRPr="00783B2A">
              <w:rPr>
                <w:bCs/>
                <w:lang w:eastAsia="en-AU"/>
              </w:rPr>
              <w:t>Secretary within 28 days if it ceases to be an endorsed charitable institution.</w:t>
            </w:r>
          </w:p>
        </w:tc>
      </w:tr>
    </w:tbl>
    <w:p w14:paraId="657920FC" w14:textId="3ABE968F" w:rsidR="00163FB6" w:rsidRPr="00F3079F" w:rsidRDefault="0091700D" w:rsidP="00E53FBD">
      <w:pPr>
        <w:spacing w:before="120" w:after="120" w:line="240" w:lineRule="atLeast"/>
        <w:rPr>
          <w:color w:val="7030A0"/>
          <w:sz w:val="28"/>
          <w:szCs w:val="28"/>
        </w:rPr>
      </w:pPr>
      <w:bookmarkStart w:id="7" w:name="_Code_of_Conduct"/>
      <w:bookmarkEnd w:id="7"/>
      <w:r w:rsidRPr="00F3079F">
        <w:rPr>
          <w:rFonts w:eastAsiaTheme="majorEastAsia" w:cstheme="majorBidi"/>
          <w:b/>
          <w:bCs/>
          <w:iCs/>
          <w:color w:val="7030A0"/>
          <w:sz w:val="28"/>
          <w:szCs w:val="28"/>
        </w:rPr>
        <w:t>Obligations to investors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1621"/>
        <w:gridCol w:w="1624"/>
        <w:gridCol w:w="9606"/>
      </w:tblGrid>
      <w:tr w:rsidR="00A9206E" w14:paraId="38AD3A99" w14:textId="77777777" w:rsidTr="006000C6">
        <w:tc>
          <w:tcPr>
            <w:tcW w:w="830" w:type="pct"/>
            <w:shd w:val="clear" w:color="auto" w:fill="E5DFEC" w:themeFill="accent4" w:themeFillTint="33"/>
            <w:tcMar>
              <w:top w:w="0" w:type="dxa"/>
              <w:left w:w="108" w:type="dxa"/>
              <w:bottom w:w="0" w:type="dxa"/>
              <w:right w:w="108" w:type="dxa"/>
            </w:tcMar>
            <w:hideMark/>
          </w:tcPr>
          <w:p w14:paraId="72F33F1B" w14:textId="77777777" w:rsidR="00A9206E" w:rsidRPr="002E35C4" w:rsidRDefault="00A9206E" w:rsidP="00E53FBD">
            <w:pPr>
              <w:spacing w:before="120" w:after="120" w:line="240" w:lineRule="auto"/>
              <w:rPr>
                <w:b/>
                <w:bCs/>
                <w:lang w:eastAsia="en-AU"/>
              </w:rPr>
            </w:pPr>
            <w:r>
              <w:rPr>
                <w:b/>
                <w:bCs/>
                <w:lang w:eastAsia="en-AU"/>
              </w:rPr>
              <w:t>Subject</w:t>
            </w:r>
          </w:p>
        </w:tc>
        <w:tc>
          <w:tcPr>
            <w:tcW w:w="526" w:type="pct"/>
            <w:shd w:val="clear" w:color="auto" w:fill="E5DFEC" w:themeFill="accent4" w:themeFillTint="33"/>
            <w:tcMar>
              <w:top w:w="0" w:type="dxa"/>
              <w:left w:w="108" w:type="dxa"/>
              <w:bottom w:w="0" w:type="dxa"/>
              <w:right w:w="108" w:type="dxa"/>
            </w:tcMar>
            <w:hideMark/>
          </w:tcPr>
          <w:p w14:paraId="78C8EDA9" w14:textId="77777777" w:rsidR="00A9206E" w:rsidRPr="002E35C4" w:rsidRDefault="00A9206E" w:rsidP="00E53FBD">
            <w:pPr>
              <w:spacing w:before="120" w:after="120" w:line="240" w:lineRule="auto"/>
              <w:rPr>
                <w:b/>
                <w:bCs/>
                <w:lang w:eastAsia="en-AU"/>
              </w:rPr>
            </w:pPr>
            <w:r>
              <w:rPr>
                <w:b/>
                <w:bCs/>
                <w:lang w:eastAsia="en-AU"/>
              </w:rPr>
              <w:t>2008 regulations</w:t>
            </w:r>
          </w:p>
        </w:tc>
        <w:tc>
          <w:tcPr>
            <w:tcW w:w="527" w:type="pct"/>
            <w:shd w:val="clear" w:color="auto" w:fill="E5DFEC" w:themeFill="accent4" w:themeFillTint="33"/>
            <w:tcMar>
              <w:top w:w="0" w:type="dxa"/>
              <w:left w:w="108" w:type="dxa"/>
              <w:bottom w:w="0" w:type="dxa"/>
              <w:right w:w="108" w:type="dxa"/>
            </w:tcMar>
            <w:hideMark/>
          </w:tcPr>
          <w:p w14:paraId="4F525A2A" w14:textId="77777777" w:rsidR="00A9206E" w:rsidRPr="002E35C4" w:rsidRDefault="00A9206E" w:rsidP="00E53FBD">
            <w:pPr>
              <w:spacing w:before="120" w:after="120" w:line="240" w:lineRule="auto"/>
              <w:rPr>
                <w:b/>
                <w:bCs/>
                <w:lang w:eastAsia="en-AU"/>
              </w:rPr>
            </w:pPr>
            <w:r>
              <w:rPr>
                <w:b/>
                <w:bCs/>
                <w:lang w:eastAsia="en-AU"/>
              </w:rPr>
              <w:t>2020 regulations</w:t>
            </w:r>
          </w:p>
        </w:tc>
        <w:tc>
          <w:tcPr>
            <w:tcW w:w="3117" w:type="pct"/>
            <w:shd w:val="clear" w:color="auto" w:fill="E5DFEC" w:themeFill="accent4" w:themeFillTint="33"/>
          </w:tcPr>
          <w:p w14:paraId="2559DB25" w14:textId="77777777" w:rsidR="00A9206E" w:rsidRPr="002E35C4" w:rsidRDefault="00A9206E" w:rsidP="00E53FBD">
            <w:pPr>
              <w:spacing w:before="120" w:after="120" w:line="240" w:lineRule="auto"/>
              <w:ind w:left="107"/>
              <w:rPr>
                <w:b/>
                <w:bCs/>
                <w:lang w:eastAsia="en-AU"/>
              </w:rPr>
            </w:pPr>
            <w:r>
              <w:rPr>
                <w:b/>
                <w:bCs/>
                <w:lang w:eastAsia="en-AU"/>
              </w:rPr>
              <w:t>What changed?</w:t>
            </w:r>
          </w:p>
        </w:tc>
      </w:tr>
      <w:tr w:rsidR="00A9206E" w14:paraId="4AD1E21C" w14:textId="77777777" w:rsidTr="006000C6">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8ADE20A" w14:textId="77777777" w:rsidR="00A9206E" w:rsidRPr="00783B2A" w:rsidRDefault="00A9206E" w:rsidP="00E53FBD">
            <w:pPr>
              <w:spacing w:before="120" w:after="120" w:line="240" w:lineRule="auto"/>
              <w:rPr>
                <w:bCs/>
                <w:lang w:eastAsia="en-AU"/>
              </w:rPr>
            </w:pPr>
            <w:r w:rsidRPr="00783B2A">
              <w:rPr>
                <w:bCs/>
                <w:lang w:eastAsia="en-AU"/>
              </w:rPr>
              <w:t xml:space="preserve">Approved participants must pass on State and Territory contributions </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1C57E09" w14:textId="77777777" w:rsidR="00A9206E" w:rsidRPr="00783B2A" w:rsidRDefault="00A9206E" w:rsidP="00E53FBD">
            <w:pPr>
              <w:spacing w:before="120" w:after="120" w:line="240" w:lineRule="auto"/>
              <w:rPr>
                <w:bCs/>
                <w:lang w:eastAsia="en-AU"/>
              </w:rPr>
            </w:pPr>
            <w:r w:rsidRPr="00783B2A">
              <w:rPr>
                <w:bCs/>
                <w:lang w:eastAsia="en-AU"/>
              </w:rPr>
              <w:t>Section 30A</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12BDE8A" w14:textId="2E73D55B" w:rsidR="00A9206E" w:rsidRPr="00783B2A" w:rsidRDefault="00A9206E" w:rsidP="00E53FBD">
            <w:pPr>
              <w:spacing w:before="120" w:after="120" w:line="240" w:lineRule="auto"/>
              <w:rPr>
                <w:bCs/>
                <w:lang w:eastAsia="en-AU"/>
              </w:rPr>
            </w:pPr>
            <w:r w:rsidRPr="00783B2A">
              <w:rPr>
                <w:bCs/>
                <w:lang w:eastAsia="en-AU"/>
              </w:rPr>
              <w:t>Section 63</w:t>
            </w:r>
          </w:p>
        </w:tc>
        <w:tc>
          <w:tcPr>
            <w:tcW w:w="311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5116C" w14:textId="77777777" w:rsidR="00A9206E" w:rsidRPr="00783B2A" w:rsidRDefault="00A9206E" w:rsidP="00E53FBD">
            <w:pPr>
              <w:spacing w:before="120" w:after="120" w:line="240" w:lineRule="auto"/>
              <w:ind w:left="107"/>
              <w:rPr>
                <w:rStyle w:val="BookTitle"/>
                <w:bCs/>
                <w:i w:val="0"/>
                <w:iCs w:val="0"/>
                <w:smallCaps w:val="0"/>
                <w:spacing w:val="0"/>
                <w:lang w:eastAsia="en-AU"/>
              </w:rPr>
            </w:pPr>
            <w:r w:rsidRPr="00783B2A">
              <w:rPr>
                <w:bCs/>
                <w:lang w:eastAsia="en-AU"/>
              </w:rPr>
              <w:t>This section has been expanded to require that</w:t>
            </w:r>
            <w:r>
              <w:rPr>
                <w:bCs/>
                <w:lang w:eastAsia="en-AU"/>
              </w:rPr>
              <w:t xml:space="preserve"> approved participants pass on state and t</w:t>
            </w:r>
            <w:r w:rsidRPr="00783B2A">
              <w:rPr>
                <w:bCs/>
                <w:lang w:eastAsia="en-AU"/>
              </w:rPr>
              <w:t xml:space="preserve">erritory contributions, not just Commonwealth incentives. </w:t>
            </w:r>
          </w:p>
        </w:tc>
      </w:tr>
      <w:tr w:rsidR="00A9206E" w14:paraId="10963255" w14:textId="77777777" w:rsidTr="006000C6">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0DC2C14" w14:textId="77777777" w:rsidR="00A9206E" w:rsidRPr="00783B2A" w:rsidRDefault="00A9206E" w:rsidP="00E53FBD">
            <w:pPr>
              <w:spacing w:before="120" w:after="120" w:line="240" w:lineRule="auto"/>
              <w:rPr>
                <w:bCs/>
                <w:lang w:eastAsia="en-AU"/>
              </w:rPr>
            </w:pPr>
            <w:r w:rsidRPr="00783B2A">
              <w:rPr>
                <w:bCs/>
                <w:lang w:eastAsia="en-AU"/>
              </w:rPr>
              <w:t xml:space="preserve">Approved participant’s obligation to pass </w:t>
            </w:r>
            <w:r>
              <w:rPr>
                <w:bCs/>
                <w:lang w:eastAsia="en-AU"/>
              </w:rPr>
              <w:br/>
            </w:r>
            <w:r w:rsidRPr="00783B2A">
              <w:rPr>
                <w:bCs/>
                <w:lang w:eastAsia="en-AU"/>
              </w:rPr>
              <w:t xml:space="preserve">on incentives in a timely manner </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993E849" w14:textId="77777777" w:rsidR="00A9206E" w:rsidRPr="00783B2A" w:rsidRDefault="00A9206E" w:rsidP="00E53FBD">
            <w:pPr>
              <w:spacing w:before="120" w:after="120" w:line="240" w:lineRule="auto"/>
              <w:rPr>
                <w:bCs/>
                <w:lang w:eastAsia="en-AU"/>
              </w:rPr>
            </w:pPr>
            <w:r w:rsidRPr="00783B2A">
              <w:rPr>
                <w:bCs/>
                <w:lang w:eastAsia="en-AU"/>
              </w:rPr>
              <w:t>Section 30B</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BCD91F5" w14:textId="094732CE" w:rsidR="00A9206E" w:rsidRPr="00783B2A" w:rsidRDefault="00A9206E" w:rsidP="00E53FBD">
            <w:pPr>
              <w:spacing w:before="120" w:after="120" w:line="240" w:lineRule="auto"/>
              <w:rPr>
                <w:bCs/>
                <w:lang w:eastAsia="en-AU"/>
              </w:rPr>
            </w:pPr>
            <w:r w:rsidRPr="00783B2A">
              <w:rPr>
                <w:bCs/>
                <w:lang w:eastAsia="en-AU"/>
              </w:rPr>
              <w:t>Section 64</w:t>
            </w:r>
          </w:p>
        </w:tc>
        <w:tc>
          <w:tcPr>
            <w:tcW w:w="3117" w:type="pct"/>
            <w:tcBorders>
              <w:top w:val="single" w:sz="4" w:space="0" w:color="auto"/>
              <w:left w:val="single" w:sz="4" w:space="0" w:color="auto"/>
              <w:bottom w:val="single" w:sz="4" w:space="0" w:color="auto"/>
              <w:right w:val="single" w:sz="4" w:space="0" w:color="auto"/>
            </w:tcBorders>
            <w:shd w:val="clear" w:color="auto" w:fill="FFFFFF" w:themeFill="background1"/>
          </w:tcPr>
          <w:p w14:paraId="4464F8A5" w14:textId="53C13AD0" w:rsidR="0091700D" w:rsidRDefault="0091700D" w:rsidP="00E53FBD">
            <w:pPr>
              <w:spacing w:before="120" w:after="120" w:line="240" w:lineRule="auto"/>
              <w:ind w:left="107"/>
              <w:rPr>
                <w:rStyle w:val="BookTitle"/>
                <w:bCs/>
                <w:i w:val="0"/>
                <w:iCs w:val="0"/>
                <w:smallCaps w:val="0"/>
                <w:spacing w:val="0"/>
                <w:lang w:eastAsia="en-AU"/>
              </w:rPr>
            </w:pPr>
            <w:r w:rsidRPr="00783B2A">
              <w:rPr>
                <w:bCs/>
                <w:lang w:eastAsia="en-AU"/>
              </w:rPr>
              <w:t xml:space="preserve">This </w:t>
            </w:r>
            <w:r>
              <w:rPr>
                <w:bCs/>
                <w:lang w:eastAsia="en-AU"/>
              </w:rPr>
              <w:t>section</w:t>
            </w:r>
            <w:r w:rsidRPr="00783B2A">
              <w:rPr>
                <w:bCs/>
                <w:lang w:eastAsia="en-AU"/>
              </w:rPr>
              <w:t xml:space="preserve"> has been expanded to require that approved participants pass on State and Territory contributions, not just Commonwealth incentives.</w:t>
            </w:r>
          </w:p>
          <w:p w14:paraId="09C6D569" w14:textId="16072261" w:rsidR="00A9206E" w:rsidRPr="00783B2A" w:rsidRDefault="00A9206E" w:rsidP="00E53FBD">
            <w:pPr>
              <w:spacing w:before="120" w:after="120" w:line="240" w:lineRule="auto"/>
              <w:ind w:left="107"/>
              <w:rPr>
                <w:rStyle w:val="BookTitle"/>
                <w:bCs/>
                <w:i w:val="0"/>
                <w:iCs w:val="0"/>
                <w:smallCaps w:val="0"/>
                <w:spacing w:val="0"/>
                <w:lang w:eastAsia="en-AU"/>
              </w:rPr>
            </w:pPr>
            <w:r w:rsidRPr="00783B2A">
              <w:rPr>
                <w:rStyle w:val="BookTitle"/>
                <w:bCs/>
                <w:i w:val="0"/>
                <w:iCs w:val="0"/>
                <w:smallCaps w:val="0"/>
                <w:spacing w:val="0"/>
                <w:lang w:eastAsia="en-AU"/>
              </w:rPr>
              <w:t xml:space="preserve">Approved participants or gaining approved participants must comply with the requirement to pass on incentives </w:t>
            </w:r>
            <w:r w:rsidRPr="00783B2A">
              <w:rPr>
                <w:bCs/>
                <w:lang w:eastAsia="en-AU"/>
              </w:rPr>
              <w:t xml:space="preserve">or </w:t>
            </w:r>
            <w:r>
              <w:rPr>
                <w:bCs/>
                <w:lang w:eastAsia="en-AU"/>
              </w:rPr>
              <w:t>s</w:t>
            </w:r>
            <w:r w:rsidRPr="00783B2A">
              <w:rPr>
                <w:bCs/>
                <w:lang w:eastAsia="en-AU"/>
              </w:rPr>
              <w:t xml:space="preserve">tate or </w:t>
            </w:r>
            <w:r>
              <w:rPr>
                <w:bCs/>
                <w:lang w:eastAsia="en-AU"/>
              </w:rPr>
              <w:t>t</w:t>
            </w:r>
            <w:r w:rsidRPr="00783B2A">
              <w:rPr>
                <w:bCs/>
                <w:lang w:eastAsia="en-AU"/>
              </w:rPr>
              <w:t xml:space="preserve">erritory contributions </w:t>
            </w:r>
            <w:r w:rsidRPr="00783B2A">
              <w:rPr>
                <w:rStyle w:val="BookTitle"/>
                <w:bCs/>
                <w:i w:val="0"/>
                <w:iCs w:val="0"/>
                <w:smallCaps w:val="0"/>
                <w:spacing w:val="0"/>
                <w:lang w:eastAsia="en-AU"/>
              </w:rPr>
              <w:t xml:space="preserve">within a timely manner. This is required specifically before the end of any period attaching to a legal obligation that requires the incentive </w:t>
            </w:r>
            <w:r w:rsidRPr="00783B2A">
              <w:rPr>
                <w:bCs/>
                <w:lang w:eastAsia="en-AU"/>
              </w:rPr>
              <w:t>or State or Territory contribution</w:t>
            </w:r>
            <w:r w:rsidRPr="00783B2A">
              <w:rPr>
                <w:rStyle w:val="BookTitle"/>
                <w:bCs/>
                <w:i w:val="0"/>
                <w:iCs w:val="0"/>
                <w:smallCaps w:val="0"/>
                <w:spacing w:val="0"/>
                <w:lang w:eastAsia="en-AU"/>
              </w:rPr>
              <w:t xml:space="preserve"> to be passed on, or within 90 days after being given the incentive </w:t>
            </w:r>
            <w:r w:rsidRPr="00783B2A">
              <w:rPr>
                <w:bCs/>
                <w:lang w:eastAsia="en-AU"/>
              </w:rPr>
              <w:t xml:space="preserve">or </w:t>
            </w:r>
            <w:r>
              <w:rPr>
                <w:bCs/>
                <w:lang w:eastAsia="en-AU"/>
              </w:rPr>
              <w:t>s</w:t>
            </w:r>
            <w:r w:rsidRPr="00783B2A">
              <w:rPr>
                <w:bCs/>
                <w:lang w:eastAsia="en-AU"/>
              </w:rPr>
              <w:t xml:space="preserve">tate or </w:t>
            </w:r>
            <w:r>
              <w:rPr>
                <w:bCs/>
                <w:lang w:eastAsia="en-AU"/>
              </w:rPr>
              <w:t>t</w:t>
            </w:r>
            <w:r w:rsidRPr="00783B2A">
              <w:rPr>
                <w:bCs/>
                <w:lang w:eastAsia="en-AU"/>
              </w:rPr>
              <w:t>erritory contribution,</w:t>
            </w:r>
            <w:r w:rsidRPr="00783B2A">
              <w:rPr>
                <w:rStyle w:val="BookTitle"/>
                <w:bCs/>
                <w:i w:val="0"/>
                <w:iCs w:val="0"/>
                <w:smallCaps w:val="0"/>
                <w:spacing w:val="0"/>
                <w:lang w:eastAsia="en-AU"/>
              </w:rPr>
              <w:t xml:space="preserve"> whichever is earlier.</w:t>
            </w:r>
          </w:p>
        </w:tc>
      </w:tr>
      <w:tr w:rsidR="00A9206E" w14:paraId="0FF1FBC6" w14:textId="77777777" w:rsidTr="006000C6">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D15AA16" w14:textId="77777777" w:rsidR="00A9206E" w:rsidRPr="00783B2A" w:rsidRDefault="00A9206E" w:rsidP="00E53FBD">
            <w:pPr>
              <w:spacing w:before="120" w:after="120" w:line="240" w:lineRule="auto"/>
              <w:rPr>
                <w:bCs/>
                <w:lang w:eastAsia="en-AU"/>
              </w:rPr>
            </w:pPr>
            <w:r w:rsidRPr="00783B2A">
              <w:rPr>
                <w:bCs/>
                <w:lang w:eastAsia="en-AU"/>
              </w:rPr>
              <w:t xml:space="preserve">Must pass on State and Territory contributions even if an investor refuses to accept other services. </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32B0B92" w14:textId="77777777" w:rsidR="00A9206E" w:rsidRPr="00783B2A" w:rsidRDefault="00A9206E" w:rsidP="00E53FBD">
            <w:pPr>
              <w:spacing w:before="120" w:after="120" w:line="240" w:lineRule="auto"/>
              <w:rPr>
                <w:bCs/>
                <w:lang w:eastAsia="en-AU"/>
              </w:rPr>
            </w:pPr>
            <w:r w:rsidRPr="00783B2A">
              <w:rPr>
                <w:bCs/>
                <w:lang w:eastAsia="en-AU"/>
              </w:rPr>
              <w:t>Section 30C</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9CB2209" w14:textId="6E335B89" w:rsidR="00A9206E" w:rsidRPr="00783B2A" w:rsidRDefault="00A9206E" w:rsidP="00E53FBD">
            <w:pPr>
              <w:spacing w:before="120" w:after="120" w:line="240" w:lineRule="auto"/>
              <w:rPr>
                <w:bCs/>
                <w:lang w:eastAsia="en-AU"/>
              </w:rPr>
            </w:pPr>
            <w:r w:rsidRPr="00783B2A">
              <w:rPr>
                <w:bCs/>
                <w:lang w:eastAsia="en-AU"/>
              </w:rPr>
              <w:t xml:space="preserve">Section 65 </w:t>
            </w:r>
          </w:p>
        </w:tc>
        <w:tc>
          <w:tcPr>
            <w:tcW w:w="3117" w:type="pct"/>
            <w:tcBorders>
              <w:top w:val="single" w:sz="4" w:space="0" w:color="auto"/>
              <w:left w:val="single" w:sz="4" w:space="0" w:color="auto"/>
              <w:bottom w:val="single" w:sz="4" w:space="0" w:color="auto"/>
              <w:right w:val="single" w:sz="4" w:space="0" w:color="auto"/>
            </w:tcBorders>
            <w:shd w:val="clear" w:color="auto" w:fill="FFFFFF" w:themeFill="background1"/>
          </w:tcPr>
          <w:p w14:paraId="50E57B5A" w14:textId="0114F9BF" w:rsidR="00A9206E" w:rsidRPr="00783B2A" w:rsidRDefault="00A9206E" w:rsidP="00E53FBD">
            <w:pPr>
              <w:spacing w:before="120" w:after="120" w:line="240" w:lineRule="auto"/>
              <w:ind w:left="107"/>
              <w:rPr>
                <w:bCs/>
                <w:lang w:eastAsia="en-AU"/>
              </w:rPr>
            </w:pPr>
            <w:r w:rsidRPr="00783B2A">
              <w:rPr>
                <w:bCs/>
                <w:lang w:eastAsia="en-AU"/>
              </w:rPr>
              <w:t xml:space="preserve">This </w:t>
            </w:r>
            <w:r w:rsidR="006000C6">
              <w:rPr>
                <w:bCs/>
                <w:lang w:eastAsia="en-AU"/>
              </w:rPr>
              <w:t>sectio</w:t>
            </w:r>
            <w:r w:rsidR="006000C6" w:rsidRPr="00783B2A">
              <w:rPr>
                <w:bCs/>
                <w:lang w:eastAsia="en-AU"/>
              </w:rPr>
              <w:t xml:space="preserve">n </w:t>
            </w:r>
            <w:r w:rsidRPr="00783B2A">
              <w:rPr>
                <w:bCs/>
                <w:lang w:eastAsia="en-AU"/>
              </w:rPr>
              <w:t>has been expanded to require that approved participants pass on State and Territory contributions, not just Commonwealth incentives, regardless</w:t>
            </w:r>
            <w:r>
              <w:rPr>
                <w:bCs/>
                <w:lang w:eastAsia="en-AU"/>
              </w:rPr>
              <w:t xml:space="preserve"> of whether </w:t>
            </w:r>
            <w:r w:rsidRPr="00783B2A">
              <w:rPr>
                <w:bCs/>
                <w:lang w:eastAsia="en-AU"/>
              </w:rPr>
              <w:t>they refuse to</w:t>
            </w:r>
            <w:r w:rsidR="000F5262">
              <w:rPr>
                <w:bCs/>
                <w:lang w:eastAsia="en-AU"/>
              </w:rPr>
              <w:t> </w:t>
            </w:r>
            <w:r w:rsidRPr="00783B2A">
              <w:rPr>
                <w:bCs/>
                <w:lang w:eastAsia="en-AU"/>
              </w:rPr>
              <w:t>accept other services from the approved participant.</w:t>
            </w:r>
          </w:p>
        </w:tc>
      </w:tr>
      <w:tr w:rsidR="00A9206E" w14:paraId="623364F2" w14:textId="77777777" w:rsidTr="006000C6">
        <w:tc>
          <w:tcPr>
            <w:tcW w:w="83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1549D17" w14:textId="77777777" w:rsidR="00A9206E" w:rsidRPr="00783B2A" w:rsidRDefault="00A9206E" w:rsidP="00E53FBD">
            <w:pPr>
              <w:spacing w:before="120" w:after="120" w:line="240" w:lineRule="auto"/>
              <w:rPr>
                <w:bCs/>
                <w:lang w:eastAsia="en-AU"/>
              </w:rPr>
            </w:pPr>
            <w:r>
              <w:rPr>
                <w:bCs/>
                <w:lang w:eastAsia="en-AU"/>
              </w:rPr>
              <w:t>Must pass on state and t</w:t>
            </w:r>
            <w:r w:rsidRPr="00783B2A">
              <w:rPr>
                <w:bCs/>
                <w:lang w:eastAsia="en-AU"/>
              </w:rPr>
              <w:t xml:space="preserve">erritory contributions even if bond is not paid. </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61B641B" w14:textId="77777777" w:rsidR="00A9206E" w:rsidRPr="00783B2A" w:rsidRDefault="00A9206E" w:rsidP="00E53FBD">
            <w:pPr>
              <w:spacing w:before="120" w:after="120" w:line="240" w:lineRule="auto"/>
              <w:rPr>
                <w:bCs/>
                <w:lang w:eastAsia="en-AU"/>
              </w:rPr>
            </w:pPr>
            <w:r w:rsidRPr="00783B2A">
              <w:rPr>
                <w:bCs/>
                <w:lang w:eastAsia="en-AU"/>
              </w:rPr>
              <w:t>Section 30D</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3DC3719" w14:textId="77777777" w:rsidR="00A9206E" w:rsidRPr="00783B2A" w:rsidRDefault="00A9206E" w:rsidP="00E53FBD">
            <w:pPr>
              <w:spacing w:before="120" w:after="120" w:line="240" w:lineRule="auto"/>
              <w:rPr>
                <w:bCs/>
                <w:lang w:eastAsia="en-AU"/>
              </w:rPr>
            </w:pPr>
            <w:r w:rsidRPr="00783B2A">
              <w:rPr>
                <w:bCs/>
                <w:lang w:eastAsia="en-AU"/>
              </w:rPr>
              <w:t>Section 66</w:t>
            </w:r>
          </w:p>
        </w:tc>
        <w:tc>
          <w:tcPr>
            <w:tcW w:w="3117" w:type="pct"/>
            <w:tcBorders>
              <w:top w:val="single" w:sz="4" w:space="0" w:color="auto"/>
              <w:left w:val="single" w:sz="4" w:space="0" w:color="auto"/>
              <w:bottom w:val="single" w:sz="4" w:space="0" w:color="auto"/>
              <w:right w:val="single" w:sz="4" w:space="0" w:color="auto"/>
            </w:tcBorders>
            <w:shd w:val="clear" w:color="auto" w:fill="FFFFFF" w:themeFill="background1"/>
          </w:tcPr>
          <w:p w14:paraId="423AAB60" w14:textId="20F4F91D" w:rsidR="00A9206E" w:rsidRPr="00783B2A" w:rsidRDefault="00A9206E" w:rsidP="00E53FBD">
            <w:pPr>
              <w:spacing w:before="120" w:after="120" w:line="240" w:lineRule="auto"/>
              <w:ind w:left="107"/>
              <w:rPr>
                <w:bCs/>
                <w:lang w:eastAsia="en-AU"/>
              </w:rPr>
            </w:pPr>
            <w:r w:rsidRPr="00783B2A">
              <w:rPr>
                <w:bCs/>
                <w:lang w:eastAsia="en-AU"/>
              </w:rPr>
              <w:t xml:space="preserve">This </w:t>
            </w:r>
            <w:r w:rsidR="006000C6">
              <w:rPr>
                <w:bCs/>
                <w:lang w:eastAsia="en-AU"/>
              </w:rPr>
              <w:t>section</w:t>
            </w:r>
            <w:r w:rsidRPr="00783B2A">
              <w:rPr>
                <w:bCs/>
                <w:lang w:eastAsia="en-AU"/>
              </w:rPr>
              <w:t xml:space="preserve"> has been expanded to require that</w:t>
            </w:r>
            <w:r>
              <w:rPr>
                <w:bCs/>
                <w:lang w:eastAsia="en-AU"/>
              </w:rPr>
              <w:t xml:space="preserve"> approved participants pass on state and</w:t>
            </w:r>
            <w:r w:rsidR="00302B9A">
              <w:rPr>
                <w:bCs/>
                <w:lang w:eastAsia="en-AU"/>
              </w:rPr>
              <w:t xml:space="preserve"> </w:t>
            </w:r>
            <w:r>
              <w:rPr>
                <w:bCs/>
                <w:lang w:eastAsia="en-AU"/>
              </w:rPr>
              <w:t>t</w:t>
            </w:r>
            <w:r w:rsidRPr="00783B2A">
              <w:rPr>
                <w:bCs/>
                <w:lang w:eastAsia="en-AU"/>
              </w:rPr>
              <w:t xml:space="preserve">erritory contributions, not just Commonwealth incentives, regardless </w:t>
            </w:r>
            <w:r>
              <w:rPr>
                <w:bCs/>
                <w:lang w:eastAsia="en-AU"/>
              </w:rPr>
              <w:t>of whether</w:t>
            </w:r>
            <w:r w:rsidRPr="00783B2A">
              <w:rPr>
                <w:bCs/>
                <w:lang w:eastAsia="en-AU"/>
              </w:rPr>
              <w:t xml:space="preserve"> the bond is paid to the </w:t>
            </w:r>
            <w:r>
              <w:rPr>
                <w:bCs/>
                <w:lang w:eastAsia="en-AU"/>
              </w:rPr>
              <w:t>approved participant</w:t>
            </w:r>
            <w:r w:rsidRPr="00783B2A">
              <w:rPr>
                <w:bCs/>
                <w:lang w:eastAsia="en-AU"/>
              </w:rPr>
              <w:t>.</w:t>
            </w:r>
          </w:p>
        </w:tc>
      </w:tr>
    </w:tbl>
    <w:p w14:paraId="1F84EDA8" w14:textId="77777777" w:rsidR="003C55FE" w:rsidRDefault="003C55FE" w:rsidP="00E53FBD">
      <w:pPr>
        <w:spacing w:before="120" w:after="120" w:line="240" w:lineRule="atLeast"/>
        <w:rPr>
          <w:rFonts w:eastAsiaTheme="majorEastAsia" w:cstheme="majorBidi"/>
          <w:b/>
          <w:bCs/>
          <w:iCs/>
        </w:rPr>
      </w:pPr>
      <w:bookmarkStart w:id="8" w:name="_Other"/>
      <w:bookmarkStart w:id="9" w:name="_Other_1"/>
      <w:bookmarkEnd w:id="8"/>
      <w:bookmarkEnd w:id="9"/>
    </w:p>
    <w:p w14:paraId="4D14FAEA" w14:textId="77777777" w:rsidR="003C55FE" w:rsidRDefault="003C55FE">
      <w:pPr>
        <w:rPr>
          <w:rFonts w:eastAsiaTheme="majorEastAsia" w:cstheme="majorBidi"/>
          <w:b/>
          <w:bCs/>
          <w:iCs/>
        </w:rPr>
      </w:pPr>
      <w:r>
        <w:rPr>
          <w:rFonts w:eastAsiaTheme="majorEastAsia" w:cstheme="majorBidi"/>
          <w:b/>
          <w:bCs/>
          <w:iCs/>
        </w:rPr>
        <w:br w:type="page"/>
      </w:r>
    </w:p>
    <w:p w14:paraId="71D258DD" w14:textId="499DFD8E" w:rsidR="00163FB6" w:rsidRPr="00F3079F" w:rsidRDefault="00783B2A" w:rsidP="00E53FBD">
      <w:pPr>
        <w:spacing w:before="120" w:after="120" w:line="240" w:lineRule="atLeast"/>
        <w:rPr>
          <w:color w:val="7030A0"/>
          <w:sz w:val="28"/>
          <w:szCs w:val="28"/>
        </w:rPr>
      </w:pPr>
      <w:r w:rsidRPr="00F3079F">
        <w:rPr>
          <w:rFonts w:eastAsiaTheme="majorEastAsia" w:cstheme="majorBidi"/>
          <w:b/>
          <w:bCs/>
          <w:iCs/>
          <w:color w:val="7030A0"/>
          <w:sz w:val="28"/>
          <w:szCs w:val="28"/>
        </w:rPr>
        <w:lastRenderedPageBreak/>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3"/>
        <w:gridCol w:w="1636"/>
        <w:gridCol w:w="1640"/>
        <w:gridCol w:w="9550"/>
      </w:tblGrid>
      <w:tr w:rsidR="00A9206E" w:rsidRPr="00E53FBD" w14:paraId="1D9BA4ED" w14:textId="77777777" w:rsidTr="006000C6">
        <w:tc>
          <w:tcPr>
            <w:tcW w:w="838" w:type="pct"/>
            <w:shd w:val="clear" w:color="auto" w:fill="E5DFEC" w:themeFill="accent4" w:themeFillTint="33"/>
            <w:tcMar>
              <w:top w:w="0" w:type="dxa"/>
              <w:left w:w="108" w:type="dxa"/>
              <w:bottom w:w="0" w:type="dxa"/>
              <w:right w:w="108" w:type="dxa"/>
            </w:tcMar>
            <w:hideMark/>
          </w:tcPr>
          <w:p w14:paraId="2DA80435"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Subject</w:t>
            </w:r>
          </w:p>
        </w:tc>
        <w:tc>
          <w:tcPr>
            <w:tcW w:w="531" w:type="pct"/>
            <w:shd w:val="clear" w:color="auto" w:fill="E5DFEC" w:themeFill="accent4" w:themeFillTint="33"/>
            <w:tcMar>
              <w:top w:w="0" w:type="dxa"/>
              <w:left w:w="108" w:type="dxa"/>
              <w:bottom w:w="0" w:type="dxa"/>
              <w:right w:w="108" w:type="dxa"/>
            </w:tcMar>
            <w:hideMark/>
          </w:tcPr>
          <w:p w14:paraId="21B62AB7"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2008 regulations</w:t>
            </w:r>
          </w:p>
        </w:tc>
        <w:tc>
          <w:tcPr>
            <w:tcW w:w="532" w:type="pct"/>
            <w:shd w:val="clear" w:color="auto" w:fill="E5DFEC" w:themeFill="accent4" w:themeFillTint="33"/>
            <w:tcMar>
              <w:top w:w="0" w:type="dxa"/>
              <w:left w:w="108" w:type="dxa"/>
              <w:bottom w:w="0" w:type="dxa"/>
              <w:right w:w="108" w:type="dxa"/>
            </w:tcMar>
            <w:hideMark/>
          </w:tcPr>
          <w:p w14:paraId="64917091" w14:textId="77777777" w:rsidR="00A9206E" w:rsidRPr="00E53FBD" w:rsidRDefault="00A9206E" w:rsidP="00E53FBD">
            <w:pPr>
              <w:spacing w:before="120" w:after="120" w:line="240" w:lineRule="auto"/>
              <w:rPr>
                <w:rFonts w:cs="Arial"/>
                <w:b/>
                <w:bCs/>
                <w:lang w:eastAsia="en-AU"/>
              </w:rPr>
            </w:pPr>
            <w:r w:rsidRPr="00E53FBD">
              <w:rPr>
                <w:rFonts w:cs="Arial"/>
                <w:b/>
                <w:bCs/>
                <w:lang w:eastAsia="en-AU"/>
              </w:rPr>
              <w:t>2020 regulations</w:t>
            </w:r>
          </w:p>
        </w:tc>
        <w:tc>
          <w:tcPr>
            <w:tcW w:w="3099" w:type="pct"/>
            <w:shd w:val="clear" w:color="auto" w:fill="E5DFEC" w:themeFill="accent4" w:themeFillTint="33"/>
          </w:tcPr>
          <w:p w14:paraId="3A984C75" w14:textId="77777777" w:rsidR="00A9206E" w:rsidRPr="00E53FBD" w:rsidRDefault="00A9206E" w:rsidP="00E53FBD">
            <w:pPr>
              <w:spacing w:before="120" w:after="120" w:line="240" w:lineRule="auto"/>
              <w:ind w:left="107"/>
              <w:rPr>
                <w:rFonts w:cs="Arial"/>
                <w:b/>
                <w:bCs/>
                <w:lang w:eastAsia="en-AU"/>
              </w:rPr>
            </w:pPr>
            <w:r w:rsidRPr="00E53FBD">
              <w:rPr>
                <w:rFonts w:cs="Arial"/>
                <w:b/>
                <w:bCs/>
                <w:lang w:eastAsia="en-AU"/>
              </w:rPr>
              <w:t>What changed?</w:t>
            </w:r>
          </w:p>
        </w:tc>
      </w:tr>
      <w:tr w:rsidR="00A9206E" w:rsidRPr="00E53FBD" w14:paraId="33ED324D" w14:textId="77777777" w:rsidTr="006000C6">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12E7BE" w14:textId="77777777" w:rsidR="00A9206E" w:rsidRPr="00E53FBD" w:rsidRDefault="00A9206E" w:rsidP="00E53FBD">
            <w:pPr>
              <w:spacing w:before="120" w:after="120" w:line="240" w:lineRule="auto"/>
              <w:rPr>
                <w:rFonts w:cs="Arial"/>
                <w:bCs/>
                <w:lang w:eastAsia="en-AU"/>
              </w:rPr>
            </w:pPr>
            <w:r w:rsidRPr="00E53FBD">
              <w:rPr>
                <w:rFonts w:cs="Arial"/>
                <w:bCs/>
                <w:lang w:eastAsia="en-AU"/>
              </w:rPr>
              <w:t xml:space="preserve">Documentation and information required </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175F2" w14:textId="3F0A3F60" w:rsidR="0036684F" w:rsidRPr="00E53FBD" w:rsidRDefault="0036684F" w:rsidP="00E53FBD">
            <w:pPr>
              <w:spacing w:before="120" w:after="120" w:line="240" w:lineRule="auto"/>
              <w:rPr>
                <w:rFonts w:cs="Arial"/>
              </w:rPr>
            </w:pPr>
            <w:r w:rsidRPr="00E53FBD">
              <w:rPr>
                <w:rFonts w:cs="Arial"/>
              </w:rPr>
              <w:t>Section 32A</w:t>
            </w:r>
          </w:p>
          <w:p w14:paraId="072E11A2" w14:textId="622B4F6F" w:rsidR="0036684F" w:rsidRPr="00E53FBD" w:rsidRDefault="0036684F" w:rsidP="00E53FBD">
            <w:pPr>
              <w:spacing w:before="120" w:after="120" w:line="240" w:lineRule="auto"/>
              <w:rPr>
                <w:rFonts w:cs="Arial"/>
              </w:rPr>
            </w:pPr>
            <w:r w:rsidRPr="00E53FBD">
              <w:rPr>
                <w:rFonts w:cs="Arial"/>
              </w:rPr>
              <w:t>S</w:t>
            </w:r>
            <w:r w:rsidR="00E236A3" w:rsidRPr="00E53FBD">
              <w:rPr>
                <w:rFonts w:cs="Arial"/>
              </w:rPr>
              <w:t>ubs</w:t>
            </w:r>
            <w:r w:rsidRPr="00E53FBD">
              <w:rPr>
                <w:rFonts w:cs="Arial"/>
              </w:rPr>
              <w:t>ection 16(2A)</w:t>
            </w:r>
          </w:p>
          <w:p w14:paraId="6CFA7154" w14:textId="3623982B" w:rsidR="00A9206E" w:rsidRPr="00E53FBD" w:rsidRDefault="0036684F" w:rsidP="00E53FBD">
            <w:pPr>
              <w:spacing w:before="120" w:after="120" w:line="240" w:lineRule="auto"/>
              <w:rPr>
                <w:rFonts w:cs="Arial"/>
              </w:rPr>
            </w:pPr>
            <w:r w:rsidRPr="00E53FBD">
              <w:rPr>
                <w:rFonts w:cs="Arial"/>
              </w:rPr>
              <w:t>Section 17</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DA9974"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13</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033DCD63" w14:textId="57A917CE" w:rsidR="00A9206E" w:rsidRPr="00E53FBD" w:rsidRDefault="00A9206E" w:rsidP="00E53FBD">
            <w:pPr>
              <w:spacing w:before="120" w:after="120" w:line="240" w:lineRule="auto"/>
              <w:ind w:left="107"/>
              <w:rPr>
                <w:rFonts w:cs="Arial"/>
                <w:bCs/>
                <w:lang w:eastAsia="en-AU"/>
              </w:rPr>
            </w:pPr>
            <w:r w:rsidRPr="00E53FBD">
              <w:rPr>
                <w:rFonts w:cs="Arial"/>
                <w:bCs/>
                <w:lang w:eastAsia="en-AU"/>
              </w:rPr>
              <w:t>This section provides an approved participant is not eligible to receive an incentive for any period during which, there are outstanding, incomplete or uncorrected</w:t>
            </w:r>
            <w:r w:rsidR="00302B9A" w:rsidRPr="00E53FBD">
              <w:rPr>
                <w:rFonts w:cs="Arial"/>
                <w:bCs/>
                <w:lang w:eastAsia="en-AU"/>
              </w:rPr>
              <w:t xml:space="preserve"> </w:t>
            </w:r>
            <w:r w:rsidRPr="00E53FBD">
              <w:rPr>
                <w:rFonts w:cs="Arial"/>
                <w:bCs/>
                <w:lang w:eastAsia="en-AU"/>
              </w:rPr>
              <w:t xml:space="preserve">documents or information in relation to the allocation. </w:t>
            </w:r>
          </w:p>
          <w:p w14:paraId="2D2A3F26" w14:textId="0D032D4E" w:rsidR="00A9206E" w:rsidRPr="00E53FBD" w:rsidRDefault="00A9206E" w:rsidP="00E53FBD">
            <w:pPr>
              <w:spacing w:before="120" w:after="120" w:line="240" w:lineRule="auto"/>
              <w:ind w:left="107"/>
              <w:rPr>
                <w:rFonts w:cs="Arial"/>
                <w:bCs/>
                <w:lang w:eastAsia="en-AU"/>
              </w:rPr>
            </w:pPr>
            <w:r w:rsidRPr="00E53FBD">
              <w:rPr>
                <w:rFonts w:cs="Arial"/>
                <w:bCs/>
                <w:lang w:eastAsia="en-AU"/>
              </w:rPr>
              <w:t>An exception allows the Secretary to determine an incentive is available if they are satisfied that the approved participant has a reasonable excuse for failing to provide documents or</w:t>
            </w:r>
            <w:r w:rsidR="000F5262" w:rsidRPr="00E53FBD">
              <w:rPr>
                <w:rFonts w:cs="Arial"/>
                <w:bCs/>
                <w:lang w:eastAsia="en-AU"/>
              </w:rPr>
              <w:t> </w:t>
            </w:r>
            <w:r w:rsidRPr="00E53FBD">
              <w:rPr>
                <w:rFonts w:cs="Arial"/>
                <w:bCs/>
                <w:lang w:eastAsia="en-AU"/>
              </w:rPr>
              <w:t>information</w:t>
            </w:r>
          </w:p>
          <w:p w14:paraId="500D4B95" w14:textId="25D6331E" w:rsidR="00A9206E" w:rsidRPr="00E53FBD" w:rsidRDefault="00A9206E" w:rsidP="00E53FBD">
            <w:pPr>
              <w:spacing w:before="120" w:after="120" w:line="240" w:lineRule="auto"/>
              <w:ind w:left="107"/>
              <w:rPr>
                <w:rFonts w:cs="Arial"/>
                <w:bCs/>
                <w:lang w:eastAsia="en-AU"/>
              </w:rPr>
            </w:pPr>
            <w:r w:rsidRPr="00E53FBD">
              <w:rPr>
                <w:rFonts w:cs="Arial"/>
                <w:bCs/>
                <w:lang w:eastAsia="en-AU"/>
              </w:rPr>
              <w:t xml:space="preserve">This section formalises existing policy practice regarding the required </w:t>
            </w:r>
            <w:r w:rsidR="00302B9A" w:rsidRPr="00E53FBD">
              <w:rPr>
                <w:rFonts w:cs="Arial"/>
                <w:bCs/>
                <w:lang w:eastAsia="en-AU"/>
              </w:rPr>
              <w:t xml:space="preserve">documents and </w:t>
            </w:r>
            <w:r w:rsidRPr="00E53FBD">
              <w:rPr>
                <w:rFonts w:cs="Arial"/>
                <w:bCs/>
                <w:lang w:eastAsia="en-AU"/>
              </w:rPr>
              <w:t xml:space="preserve">information. </w:t>
            </w:r>
          </w:p>
          <w:p w14:paraId="163875C7" w14:textId="4DEDB94A" w:rsidR="00A9206E" w:rsidRPr="00E53FBD" w:rsidRDefault="00A9206E" w:rsidP="003C7393">
            <w:pPr>
              <w:spacing w:before="120" w:after="120" w:line="240" w:lineRule="auto"/>
              <w:ind w:left="107"/>
              <w:rPr>
                <w:rFonts w:cs="Arial"/>
                <w:bCs/>
                <w:lang w:eastAsia="en-AU"/>
              </w:rPr>
            </w:pPr>
            <w:r w:rsidRPr="00E53FBD">
              <w:rPr>
                <w:rFonts w:cs="Arial"/>
                <w:bCs/>
                <w:lang w:eastAsia="en-AU"/>
              </w:rPr>
              <w:t>This ensures the Secretary has up-to-date information in relation to each allocation required for NRAS compliance</w:t>
            </w:r>
            <w:r w:rsidRPr="00E53FBD">
              <w:rPr>
                <w:rFonts w:cs="Arial"/>
              </w:rPr>
              <w:t>.</w:t>
            </w:r>
          </w:p>
        </w:tc>
      </w:tr>
      <w:tr w:rsidR="00B92B33" w:rsidRPr="00E53FBD" w14:paraId="5592AC00" w14:textId="77777777" w:rsidTr="00EC1020">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F2DFC1" w14:textId="00C3087A" w:rsidR="00B92B33" w:rsidRPr="00E53FBD" w:rsidRDefault="00B92B33" w:rsidP="00E53FBD">
            <w:pPr>
              <w:spacing w:before="120" w:after="120" w:line="240" w:lineRule="auto"/>
              <w:rPr>
                <w:rFonts w:cs="Arial"/>
                <w:bCs/>
                <w:lang w:eastAsia="en-AU"/>
              </w:rPr>
            </w:pPr>
            <w:r w:rsidRPr="00E53FBD">
              <w:rPr>
                <w:rFonts w:cs="Arial"/>
                <w:bCs/>
                <w:lang w:eastAsia="en-AU"/>
              </w:rPr>
              <w:t>Notification of change of details – approved participants information</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87EC463" w14:textId="07CA9698" w:rsidR="00B92B33" w:rsidRPr="00E53FBD" w:rsidRDefault="00B92B33" w:rsidP="00E53FBD">
            <w:pPr>
              <w:spacing w:before="120" w:after="120" w:line="240" w:lineRule="auto"/>
              <w:rPr>
                <w:rFonts w:cs="Arial"/>
              </w:rPr>
            </w:pPr>
            <w:r w:rsidRPr="00E53FBD">
              <w:rPr>
                <w:rFonts w:cs="Arial"/>
                <w:bCs/>
                <w:lang w:eastAsia="en-AU"/>
              </w:rPr>
              <w:t>New</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0B235" w14:textId="35ACF19C" w:rsidR="00B92B33" w:rsidRPr="00E53FBD" w:rsidRDefault="00B92B33" w:rsidP="00E53FBD">
            <w:pPr>
              <w:spacing w:before="120" w:after="120" w:line="240" w:lineRule="auto"/>
              <w:rPr>
                <w:rFonts w:cs="Arial"/>
                <w:bCs/>
                <w:lang w:eastAsia="en-AU"/>
              </w:rPr>
            </w:pPr>
            <w:r w:rsidRPr="00E53FBD">
              <w:rPr>
                <w:rFonts w:cs="Arial"/>
                <w:bCs/>
                <w:lang w:eastAsia="en-AU"/>
              </w:rPr>
              <w:t>Section 47</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46BDCA0F" w14:textId="77777777" w:rsidR="00B92B33" w:rsidRPr="00E53FBD" w:rsidRDefault="00B92B33" w:rsidP="00E53FBD">
            <w:pPr>
              <w:spacing w:before="120" w:after="120" w:line="240" w:lineRule="auto"/>
              <w:ind w:left="107"/>
              <w:rPr>
                <w:rFonts w:cs="Arial"/>
                <w:bCs/>
                <w:lang w:eastAsia="en-AU"/>
              </w:rPr>
            </w:pPr>
            <w:r w:rsidRPr="00E53FBD">
              <w:rPr>
                <w:rFonts w:cs="Arial"/>
                <w:bCs/>
                <w:lang w:eastAsia="en-AU"/>
              </w:rPr>
              <w:t>Approved participants must notify the Secretary within 28 days of changes to any of the following details:</w:t>
            </w:r>
          </w:p>
          <w:p w14:paraId="79FD79DD" w14:textId="77777777" w:rsidR="00B92B33" w:rsidRPr="00E53FBD" w:rsidRDefault="00B92B33" w:rsidP="00E53FBD">
            <w:pPr>
              <w:pStyle w:val="ListParagraph"/>
              <w:numPr>
                <w:ilvl w:val="0"/>
                <w:numId w:val="47"/>
              </w:numPr>
              <w:spacing w:before="120" w:after="120" w:line="240" w:lineRule="auto"/>
              <w:ind w:left="714" w:hanging="357"/>
              <w:rPr>
                <w:rFonts w:cs="Arial"/>
                <w:bCs/>
                <w:lang w:eastAsia="en-AU"/>
              </w:rPr>
            </w:pPr>
            <w:r w:rsidRPr="00E53FBD">
              <w:rPr>
                <w:rFonts w:cs="Arial"/>
                <w:bCs/>
                <w:lang w:eastAsia="en-AU"/>
              </w:rPr>
              <w:t>contact details of the approved participant, including the address for service;</w:t>
            </w:r>
          </w:p>
          <w:p w14:paraId="0C38FA04" w14:textId="4485B7FA" w:rsidR="00B92B33" w:rsidRPr="00E53FBD" w:rsidRDefault="00B92B33" w:rsidP="00E53FBD">
            <w:pPr>
              <w:pStyle w:val="ListParagraph"/>
              <w:numPr>
                <w:ilvl w:val="0"/>
                <w:numId w:val="47"/>
              </w:numPr>
              <w:spacing w:before="120" w:after="120" w:line="240" w:lineRule="auto"/>
              <w:ind w:left="714" w:hanging="357"/>
              <w:rPr>
                <w:rFonts w:cs="Arial"/>
                <w:bCs/>
                <w:lang w:eastAsia="en-AU"/>
              </w:rPr>
            </w:pPr>
            <w:r w:rsidRPr="00E53FBD">
              <w:rPr>
                <w:rFonts w:cs="Arial"/>
                <w:bCs/>
                <w:lang w:eastAsia="en-AU"/>
              </w:rPr>
              <w:t>the address of the approved participant’s principal place of business, if different from the address for service;</w:t>
            </w:r>
          </w:p>
          <w:p w14:paraId="00DC2022" w14:textId="77777777" w:rsidR="00B92B33" w:rsidRPr="00E53FBD" w:rsidRDefault="00B92B33" w:rsidP="00E53FBD">
            <w:pPr>
              <w:pStyle w:val="ListParagraph"/>
              <w:numPr>
                <w:ilvl w:val="0"/>
                <w:numId w:val="47"/>
              </w:numPr>
              <w:spacing w:before="120" w:after="120" w:line="240" w:lineRule="auto"/>
              <w:ind w:left="714" w:hanging="357"/>
              <w:rPr>
                <w:rFonts w:cs="Arial"/>
                <w:bCs/>
                <w:lang w:eastAsia="en-AU"/>
              </w:rPr>
            </w:pPr>
            <w:r w:rsidRPr="00E53FBD">
              <w:rPr>
                <w:rFonts w:cs="Arial"/>
                <w:bCs/>
                <w:lang w:eastAsia="en-AU"/>
              </w:rPr>
              <w:t>details of any officers of the approved participant; and</w:t>
            </w:r>
          </w:p>
          <w:p w14:paraId="17C96011" w14:textId="77777777" w:rsidR="00B92B33" w:rsidRPr="00E53FBD" w:rsidRDefault="00B92B33" w:rsidP="00E53FBD">
            <w:pPr>
              <w:pStyle w:val="ListParagraph"/>
              <w:numPr>
                <w:ilvl w:val="0"/>
                <w:numId w:val="47"/>
              </w:numPr>
              <w:spacing w:before="120" w:after="120" w:line="240" w:lineRule="auto"/>
              <w:ind w:left="714" w:hanging="357"/>
              <w:rPr>
                <w:rFonts w:cs="Arial"/>
                <w:bCs/>
                <w:lang w:eastAsia="en-AU"/>
              </w:rPr>
            </w:pPr>
            <w:r w:rsidRPr="00E53FBD">
              <w:rPr>
                <w:rFonts w:cs="Arial"/>
                <w:bCs/>
                <w:lang w:eastAsia="en-AU"/>
              </w:rPr>
              <w:t>details of any person authorised to act on the approved participant’s behalf.</w:t>
            </w:r>
          </w:p>
          <w:p w14:paraId="07013D20" w14:textId="5877FE8F" w:rsidR="00B92B33" w:rsidRPr="00E53FBD" w:rsidRDefault="00B92B33" w:rsidP="00E53FBD">
            <w:pPr>
              <w:spacing w:before="120" w:after="120" w:line="240" w:lineRule="auto"/>
              <w:ind w:left="107"/>
              <w:rPr>
                <w:rFonts w:cs="Arial"/>
                <w:bCs/>
                <w:lang w:eastAsia="en-AU"/>
              </w:rPr>
            </w:pPr>
            <w:r w:rsidRPr="00E53FBD">
              <w:rPr>
                <w:rStyle w:val="BookTitle"/>
                <w:rFonts w:cs="Arial"/>
                <w:bCs/>
                <w:i w:val="0"/>
                <w:iCs w:val="0"/>
                <w:smallCaps w:val="0"/>
                <w:spacing w:val="0"/>
                <w:lang w:eastAsia="en-AU"/>
              </w:rPr>
              <w:t xml:space="preserve">This section ensures the Secretary has the approved participant’s most up-to-date contact details, which is important to ensure authorised individuals are making decisions on behalf </w:t>
            </w:r>
            <w:r w:rsidRPr="00E53FBD">
              <w:rPr>
                <w:rFonts w:cs="Arial"/>
              </w:rPr>
              <w:t>of the</w:t>
            </w:r>
            <w:r w:rsidRPr="00E53FBD">
              <w:rPr>
                <w:rStyle w:val="BookTitle"/>
                <w:rFonts w:cs="Arial"/>
                <w:bCs/>
                <w:i w:val="0"/>
                <w:iCs w:val="0"/>
                <w:smallCaps w:val="0"/>
                <w:spacing w:val="0"/>
                <w:lang w:eastAsia="en-AU"/>
              </w:rPr>
              <w:t xml:space="preserve"> approved participant and the correct address is used for giving of notices for the purposes of the Scheme.</w:t>
            </w:r>
          </w:p>
        </w:tc>
      </w:tr>
      <w:tr w:rsidR="00A9206E" w:rsidRPr="00E53FBD" w14:paraId="048D5915" w14:textId="77777777" w:rsidTr="006000C6">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E960CB4" w14:textId="19701A17" w:rsidR="00A9206E" w:rsidRPr="00E53FBD" w:rsidRDefault="00A9206E" w:rsidP="00E53FBD">
            <w:pPr>
              <w:spacing w:before="120" w:after="120" w:line="240" w:lineRule="auto"/>
              <w:rPr>
                <w:rFonts w:cs="Arial"/>
                <w:bCs/>
                <w:lang w:eastAsia="en-AU"/>
              </w:rPr>
            </w:pPr>
            <w:r w:rsidRPr="00E53FBD">
              <w:rPr>
                <w:rFonts w:cs="Arial"/>
                <w:bCs/>
                <w:lang w:eastAsia="en-AU"/>
              </w:rPr>
              <w:t>Notification of change of details – investor information</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D721228" w14:textId="04B20143" w:rsidR="00A9206E" w:rsidRPr="00E53FBD" w:rsidRDefault="00A9206E" w:rsidP="00E53FBD">
            <w:pPr>
              <w:spacing w:before="120" w:after="120" w:line="240" w:lineRule="auto"/>
              <w:rPr>
                <w:rFonts w:cs="Arial"/>
                <w:bCs/>
                <w:lang w:eastAsia="en-AU"/>
              </w:rPr>
            </w:pPr>
            <w:r w:rsidRPr="00E53FBD">
              <w:rPr>
                <w:rFonts w:cs="Arial"/>
                <w:bCs/>
                <w:lang w:eastAsia="en-AU"/>
              </w:rPr>
              <w:t xml:space="preserve">New </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C2F6E49"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48</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32A6B39F" w14:textId="5522FEA0" w:rsidR="00A9206E" w:rsidRPr="00E53FBD" w:rsidRDefault="00A9206E" w:rsidP="00E53FBD">
            <w:pPr>
              <w:spacing w:before="120" w:after="120" w:line="240" w:lineRule="auto"/>
              <w:ind w:left="107"/>
              <w:rPr>
                <w:rFonts w:cs="Arial"/>
                <w:bCs/>
                <w:lang w:eastAsia="en-AU"/>
              </w:rPr>
            </w:pPr>
            <w:r w:rsidRPr="00E53FBD">
              <w:rPr>
                <w:rFonts w:cs="Arial"/>
                <w:bCs/>
                <w:lang w:eastAsia="en-AU"/>
              </w:rPr>
              <w:t>Approved participants must notify the Secretary within 28 days of being notified of changes to</w:t>
            </w:r>
            <w:r w:rsidR="00B92B33" w:rsidRPr="00E53FBD">
              <w:rPr>
                <w:rFonts w:cs="Arial"/>
                <w:bCs/>
                <w:lang w:eastAsia="en-AU"/>
              </w:rPr>
              <w:t> </w:t>
            </w:r>
            <w:r w:rsidRPr="00E53FBD">
              <w:rPr>
                <w:rFonts w:cs="Arial"/>
                <w:bCs/>
                <w:lang w:eastAsia="en-AU"/>
              </w:rPr>
              <w:t>any of the following details:</w:t>
            </w:r>
          </w:p>
          <w:p w14:paraId="4045B114" w14:textId="77777777" w:rsidR="00A9206E" w:rsidRPr="00E53FBD" w:rsidRDefault="00A9206E" w:rsidP="00E53FBD">
            <w:pPr>
              <w:pStyle w:val="ListParagraph"/>
              <w:numPr>
                <w:ilvl w:val="0"/>
                <w:numId w:val="47"/>
              </w:numPr>
              <w:spacing w:before="120" w:after="120" w:line="240" w:lineRule="auto"/>
              <w:ind w:left="714" w:hanging="357"/>
              <w:rPr>
                <w:rFonts w:cs="Arial"/>
                <w:bCs/>
                <w:lang w:eastAsia="en-AU"/>
              </w:rPr>
            </w:pPr>
            <w:r w:rsidRPr="00E53FBD">
              <w:rPr>
                <w:rFonts w:cs="Arial"/>
                <w:bCs/>
                <w:lang w:eastAsia="en-AU"/>
              </w:rPr>
              <w:t>the name and contact details of any investor for a rental dwelling covered by an allocation;</w:t>
            </w:r>
          </w:p>
          <w:p w14:paraId="0B1CF9CC" w14:textId="77777777" w:rsidR="00A9206E" w:rsidRPr="00E53FBD" w:rsidRDefault="00A9206E" w:rsidP="00E53FBD">
            <w:pPr>
              <w:pStyle w:val="ListParagraph"/>
              <w:numPr>
                <w:ilvl w:val="0"/>
                <w:numId w:val="47"/>
              </w:numPr>
              <w:spacing w:before="120" w:after="120" w:line="240" w:lineRule="auto"/>
              <w:ind w:left="714" w:hanging="357"/>
              <w:rPr>
                <w:rFonts w:cs="Arial"/>
                <w:bCs/>
                <w:lang w:eastAsia="en-AU"/>
              </w:rPr>
            </w:pPr>
            <w:r w:rsidRPr="00E53FBD">
              <w:rPr>
                <w:rFonts w:cs="Arial"/>
                <w:bCs/>
                <w:lang w:eastAsia="en-AU"/>
              </w:rPr>
              <w:t>the day on which the person became an investor.</w:t>
            </w:r>
          </w:p>
          <w:p w14:paraId="4CA72FB2" w14:textId="6B1FE6EA" w:rsidR="00A9206E" w:rsidRPr="00E53FBD" w:rsidRDefault="00A9206E" w:rsidP="00E53FBD">
            <w:pPr>
              <w:spacing w:before="120" w:after="120" w:line="240" w:lineRule="auto"/>
              <w:ind w:left="107"/>
              <w:rPr>
                <w:rFonts w:cs="Arial"/>
                <w:bCs/>
                <w:lang w:eastAsia="en-AU"/>
              </w:rPr>
            </w:pPr>
            <w:r w:rsidRPr="00E53FBD">
              <w:rPr>
                <w:rFonts w:cs="Arial"/>
              </w:rPr>
              <w:t xml:space="preserve">This section aims to ensure the interests of investors are protected, and that the Secretary </w:t>
            </w:r>
            <w:r w:rsidR="00EC1020" w:rsidRPr="00E53FBD">
              <w:rPr>
                <w:rFonts w:cs="Arial"/>
              </w:rPr>
              <w:t>is</w:t>
            </w:r>
            <w:r w:rsidR="000F5262" w:rsidRPr="00E53FBD">
              <w:rPr>
                <w:rFonts w:cs="Arial"/>
              </w:rPr>
              <w:t> </w:t>
            </w:r>
            <w:r w:rsidRPr="00E53FBD">
              <w:rPr>
                <w:rFonts w:cs="Arial"/>
              </w:rPr>
              <w:t>aware of situations where there are multiple changes in investor details over the course</w:t>
            </w:r>
            <w:r w:rsidR="00EC1020" w:rsidRPr="00E53FBD">
              <w:rPr>
                <w:rFonts w:cs="Arial"/>
              </w:rPr>
              <w:t xml:space="preserve"> </w:t>
            </w:r>
            <w:r w:rsidRPr="00E53FBD">
              <w:rPr>
                <w:rFonts w:cs="Arial"/>
              </w:rPr>
              <w:t>of</w:t>
            </w:r>
            <w:r w:rsidR="000F5262" w:rsidRPr="00E53FBD">
              <w:rPr>
                <w:rFonts w:cs="Arial"/>
              </w:rPr>
              <w:t> </w:t>
            </w:r>
            <w:r w:rsidRPr="00E53FBD">
              <w:rPr>
                <w:rFonts w:cs="Arial"/>
              </w:rPr>
              <w:t>a</w:t>
            </w:r>
            <w:r w:rsidR="000F5262" w:rsidRPr="00E53FBD">
              <w:rPr>
                <w:rFonts w:cs="Arial"/>
              </w:rPr>
              <w:t> </w:t>
            </w:r>
            <w:r w:rsidRPr="00E53FBD">
              <w:rPr>
                <w:rFonts w:cs="Arial"/>
              </w:rPr>
              <w:t>single NRAS year.</w:t>
            </w:r>
          </w:p>
        </w:tc>
      </w:tr>
      <w:tr w:rsidR="00A9206E" w:rsidRPr="00E53FBD" w14:paraId="5E266986" w14:textId="77777777" w:rsidTr="006000C6">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D9F2C15" w14:textId="77777777" w:rsidR="00A9206E" w:rsidRPr="00E53FBD" w:rsidRDefault="00A9206E" w:rsidP="00E53FBD">
            <w:pPr>
              <w:spacing w:before="120" w:after="120" w:line="240" w:lineRule="auto"/>
              <w:rPr>
                <w:rFonts w:cs="Arial"/>
                <w:bCs/>
                <w:lang w:eastAsia="en-AU"/>
              </w:rPr>
            </w:pPr>
            <w:r w:rsidRPr="00E53FBD">
              <w:rPr>
                <w:rFonts w:cs="Arial"/>
                <w:bCs/>
                <w:lang w:eastAsia="en-AU"/>
              </w:rPr>
              <w:lastRenderedPageBreak/>
              <w:t>Record keeping</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E6AF6F9"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31</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8918407" w14:textId="77777777" w:rsidR="00A9206E" w:rsidRPr="00E53FBD" w:rsidRDefault="00A9206E" w:rsidP="00E53FBD">
            <w:pPr>
              <w:spacing w:before="120" w:after="120" w:line="240" w:lineRule="auto"/>
              <w:rPr>
                <w:rFonts w:cs="Arial"/>
                <w:bCs/>
                <w:lang w:eastAsia="en-AU"/>
              </w:rPr>
            </w:pPr>
            <w:r w:rsidRPr="00E53FBD">
              <w:rPr>
                <w:rFonts w:cs="Arial"/>
                <w:bCs/>
                <w:lang w:eastAsia="en-AU"/>
              </w:rPr>
              <w:t>Section 49</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5182C4A7" w14:textId="41EA9E89" w:rsidR="00A9206E" w:rsidRPr="00E53FBD" w:rsidRDefault="00A9206E" w:rsidP="00E53FBD">
            <w:pPr>
              <w:spacing w:before="120" w:after="120" w:line="240" w:lineRule="auto"/>
              <w:ind w:left="107"/>
              <w:rPr>
                <w:rFonts w:cs="Arial"/>
                <w:bCs/>
                <w:lang w:eastAsia="en-AU"/>
              </w:rPr>
            </w:pPr>
            <w:r w:rsidRPr="00E53FBD">
              <w:rPr>
                <w:rFonts w:cs="Arial"/>
                <w:bCs/>
                <w:lang w:eastAsia="en-AU"/>
              </w:rPr>
              <w:t xml:space="preserve">This section specifies which documents and records should be retained by approved participants for five years. </w:t>
            </w:r>
          </w:p>
        </w:tc>
      </w:tr>
      <w:tr w:rsidR="00A9206E" w:rsidRPr="00E53FBD" w14:paraId="7725E102" w14:textId="77777777" w:rsidTr="006000C6">
        <w:tc>
          <w:tcPr>
            <w:tcW w:w="83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2AB34B7" w14:textId="77777777" w:rsidR="00A9206E" w:rsidRPr="00E53FBD" w:rsidRDefault="00A9206E" w:rsidP="00E53FBD">
            <w:pPr>
              <w:spacing w:before="120" w:after="120" w:line="240" w:lineRule="auto"/>
              <w:rPr>
                <w:rFonts w:cs="Arial"/>
                <w:bCs/>
                <w:lang w:eastAsia="en-AU"/>
              </w:rPr>
            </w:pPr>
            <w:r w:rsidRPr="00E53FBD">
              <w:rPr>
                <w:rFonts w:cs="Arial"/>
                <w:bCs/>
                <w:lang w:eastAsia="en-AU"/>
              </w:rPr>
              <w:t>Details of approved participants and investors</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D120DB2" w14:textId="0DEE541F" w:rsidR="00A9206E" w:rsidRPr="00E53FBD" w:rsidRDefault="00A9206E" w:rsidP="00E53FBD">
            <w:pPr>
              <w:spacing w:before="120" w:after="120" w:line="240" w:lineRule="auto"/>
              <w:rPr>
                <w:rFonts w:cs="Arial"/>
                <w:bCs/>
                <w:lang w:eastAsia="en-AU"/>
              </w:rPr>
            </w:pPr>
            <w:r w:rsidRPr="00E53FBD">
              <w:rPr>
                <w:rFonts w:cs="Arial"/>
                <w:bCs/>
                <w:lang w:eastAsia="en-AU"/>
              </w:rPr>
              <w:t xml:space="preserve">New </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8A44EDE" w14:textId="6C84899C" w:rsidR="00A9206E" w:rsidRPr="00E53FBD" w:rsidRDefault="00A9206E" w:rsidP="00E53FBD">
            <w:pPr>
              <w:spacing w:before="120" w:after="120" w:line="240" w:lineRule="auto"/>
              <w:rPr>
                <w:rFonts w:cs="Arial"/>
                <w:bCs/>
                <w:lang w:eastAsia="en-AU"/>
              </w:rPr>
            </w:pPr>
            <w:r w:rsidRPr="00E53FBD">
              <w:rPr>
                <w:rFonts w:cs="Arial"/>
                <w:bCs/>
                <w:lang w:eastAsia="en-AU"/>
              </w:rPr>
              <w:t>Section 79</w:t>
            </w:r>
          </w:p>
        </w:tc>
        <w:tc>
          <w:tcPr>
            <w:tcW w:w="3099" w:type="pct"/>
            <w:tcBorders>
              <w:top w:val="single" w:sz="4" w:space="0" w:color="auto"/>
              <w:left w:val="single" w:sz="4" w:space="0" w:color="auto"/>
              <w:bottom w:val="single" w:sz="4" w:space="0" w:color="auto"/>
              <w:right w:val="single" w:sz="4" w:space="0" w:color="auto"/>
            </w:tcBorders>
            <w:shd w:val="clear" w:color="auto" w:fill="FFFFFF" w:themeFill="background1"/>
          </w:tcPr>
          <w:p w14:paraId="5900F0B0" w14:textId="3FAD22BD" w:rsidR="00A9206E" w:rsidRPr="00E53FBD" w:rsidRDefault="0091700D" w:rsidP="00E53FBD">
            <w:pPr>
              <w:spacing w:before="120" w:after="120" w:line="240" w:lineRule="auto"/>
              <w:ind w:left="107"/>
              <w:rPr>
                <w:rStyle w:val="BookTitle"/>
                <w:rFonts w:cs="Arial"/>
                <w:bCs/>
                <w:i w:val="0"/>
                <w:iCs w:val="0"/>
                <w:smallCaps w:val="0"/>
                <w:spacing w:val="0"/>
                <w:lang w:eastAsia="en-AU"/>
              </w:rPr>
            </w:pPr>
            <w:r w:rsidRPr="00E53FBD">
              <w:rPr>
                <w:rStyle w:val="BookTitle"/>
                <w:rFonts w:cs="Arial"/>
                <w:bCs/>
                <w:i w:val="0"/>
                <w:iCs w:val="0"/>
                <w:smallCaps w:val="0"/>
                <w:spacing w:val="0"/>
                <w:lang w:eastAsia="en-AU"/>
              </w:rPr>
              <w:t>A</w:t>
            </w:r>
            <w:r w:rsidR="00A9206E" w:rsidRPr="00E53FBD">
              <w:rPr>
                <w:rStyle w:val="BookTitle"/>
                <w:rFonts w:cs="Arial"/>
                <w:bCs/>
                <w:i w:val="0"/>
                <w:iCs w:val="0"/>
                <w:smallCaps w:val="0"/>
                <w:spacing w:val="0"/>
                <w:lang w:eastAsia="en-AU"/>
              </w:rPr>
              <w:t>pproved participant</w:t>
            </w:r>
            <w:r w:rsidRPr="00E53FBD">
              <w:rPr>
                <w:rStyle w:val="BookTitle"/>
                <w:rFonts w:cs="Arial"/>
                <w:bCs/>
                <w:i w:val="0"/>
                <w:iCs w:val="0"/>
                <w:smallCaps w:val="0"/>
                <w:spacing w:val="0"/>
                <w:lang w:eastAsia="en-AU"/>
              </w:rPr>
              <w:t>s</w:t>
            </w:r>
            <w:r w:rsidR="00A9206E" w:rsidRPr="00E53FBD">
              <w:rPr>
                <w:rStyle w:val="BookTitle"/>
                <w:rFonts w:cs="Arial"/>
                <w:bCs/>
                <w:i w:val="0"/>
                <w:iCs w:val="0"/>
                <w:smallCaps w:val="0"/>
                <w:spacing w:val="0"/>
                <w:lang w:eastAsia="en-AU"/>
              </w:rPr>
              <w:t xml:space="preserve"> must provide the Secretary with details of any changes to approved participants and investor’s details by the 28 April 2020.  </w:t>
            </w:r>
          </w:p>
          <w:p w14:paraId="109AE5AB" w14:textId="688FC88A" w:rsidR="00104D0E" w:rsidRPr="00E53FBD" w:rsidRDefault="00A9206E" w:rsidP="00E53FBD">
            <w:pPr>
              <w:spacing w:before="120" w:after="120" w:line="240" w:lineRule="auto"/>
              <w:ind w:left="107"/>
              <w:rPr>
                <w:rFonts w:cs="Arial"/>
                <w:bCs/>
                <w:lang w:eastAsia="en-AU"/>
              </w:rPr>
            </w:pPr>
            <w:r w:rsidRPr="00E53FBD">
              <w:rPr>
                <w:rFonts w:cs="Arial"/>
                <w:bCs/>
                <w:lang w:eastAsia="en-AU"/>
              </w:rPr>
              <w:t xml:space="preserve">This </w:t>
            </w:r>
            <w:r w:rsidR="006000C6" w:rsidRPr="00E53FBD">
              <w:rPr>
                <w:rFonts w:cs="Arial"/>
                <w:bCs/>
                <w:lang w:eastAsia="en-AU"/>
              </w:rPr>
              <w:t xml:space="preserve">section </w:t>
            </w:r>
            <w:r w:rsidRPr="00E53FBD">
              <w:rPr>
                <w:rFonts w:cs="Arial"/>
                <w:bCs/>
                <w:lang w:eastAsia="en-AU"/>
              </w:rPr>
              <w:t>ensures approved participants have reasonable time after the commencement of</w:t>
            </w:r>
            <w:r w:rsidR="000F5262" w:rsidRPr="00E53FBD">
              <w:rPr>
                <w:rFonts w:cs="Arial"/>
                <w:bCs/>
                <w:lang w:eastAsia="en-AU"/>
              </w:rPr>
              <w:t> </w:t>
            </w:r>
            <w:r w:rsidRPr="00E53FBD">
              <w:rPr>
                <w:rFonts w:cs="Arial"/>
                <w:bCs/>
                <w:lang w:eastAsia="en-AU"/>
              </w:rPr>
              <w:t xml:space="preserve">the </w:t>
            </w:r>
            <w:r w:rsidR="0091700D" w:rsidRPr="00E53FBD">
              <w:rPr>
                <w:rFonts w:cs="Arial"/>
                <w:bCs/>
                <w:lang w:eastAsia="en-AU"/>
              </w:rPr>
              <w:t>2020 R</w:t>
            </w:r>
            <w:r w:rsidRPr="00E53FBD">
              <w:rPr>
                <w:rFonts w:cs="Arial"/>
                <w:bCs/>
                <w:lang w:eastAsia="en-AU"/>
              </w:rPr>
              <w:t xml:space="preserve">egulations to </w:t>
            </w:r>
            <w:r w:rsidR="0091700D" w:rsidRPr="00E53FBD">
              <w:rPr>
                <w:rFonts w:cs="Arial"/>
                <w:bCs/>
                <w:lang w:eastAsia="en-AU"/>
              </w:rPr>
              <w:t xml:space="preserve">provide </w:t>
            </w:r>
            <w:r w:rsidRPr="00E53FBD">
              <w:rPr>
                <w:rFonts w:cs="Arial"/>
                <w:bCs/>
                <w:lang w:eastAsia="en-AU"/>
              </w:rPr>
              <w:t xml:space="preserve">the Secretary </w:t>
            </w:r>
            <w:r w:rsidR="0091700D" w:rsidRPr="00E53FBD">
              <w:rPr>
                <w:rFonts w:cs="Arial"/>
                <w:bCs/>
                <w:lang w:eastAsia="en-AU"/>
              </w:rPr>
              <w:t xml:space="preserve">with current information relating to their contact details and relating to investors.  </w:t>
            </w:r>
          </w:p>
          <w:p w14:paraId="1272661B" w14:textId="6FE64F70" w:rsidR="00A9206E" w:rsidRPr="00E53FBD" w:rsidRDefault="0091700D" w:rsidP="00E53FBD">
            <w:pPr>
              <w:spacing w:before="120" w:after="120" w:line="240" w:lineRule="auto"/>
              <w:ind w:left="107"/>
              <w:rPr>
                <w:rStyle w:val="BookTitle"/>
                <w:rFonts w:cs="Arial"/>
                <w:bCs/>
                <w:i w:val="0"/>
                <w:iCs w:val="0"/>
                <w:smallCaps w:val="0"/>
                <w:spacing w:val="0"/>
                <w:lang w:eastAsia="en-AU"/>
              </w:rPr>
            </w:pPr>
            <w:r w:rsidRPr="00E53FBD">
              <w:rPr>
                <w:rFonts w:cs="Arial"/>
                <w:bCs/>
                <w:lang w:eastAsia="en-AU"/>
              </w:rPr>
              <w:t xml:space="preserve">Any subsequent changes to </w:t>
            </w:r>
            <w:r w:rsidR="00104D0E" w:rsidRPr="00E53FBD">
              <w:rPr>
                <w:rFonts w:cs="Arial"/>
                <w:bCs/>
                <w:lang w:eastAsia="en-AU"/>
              </w:rPr>
              <w:t xml:space="preserve">the </w:t>
            </w:r>
            <w:r w:rsidRPr="00E53FBD">
              <w:rPr>
                <w:rFonts w:cs="Arial"/>
                <w:bCs/>
                <w:lang w:eastAsia="en-AU"/>
              </w:rPr>
              <w:t xml:space="preserve">details </w:t>
            </w:r>
            <w:r w:rsidR="00104D0E" w:rsidRPr="00E53FBD">
              <w:rPr>
                <w:rFonts w:cs="Arial"/>
                <w:bCs/>
                <w:lang w:eastAsia="en-AU"/>
              </w:rPr>
              <w:t xml:space="preserve">provided on 28 April 2020 must be notified </w:t>
            </w:r>
            <w:r w:rsidR="00A9206E" w:rsidRPr="00E53FBD">
              <w:rPr>
                <w:rFonts w:cs="Arial"/>
                <w:bCs/>
                <w:lang w:eastAsia="en-AU"/>
              </w:rPr>
              <w:t xml:space="preserve">within 28 days </w:t>
            </w:r>
            <w:r w:rsidR="003C55FE">
              <w:rPr>
                <w:rFonts w:cs="Arial"/>
                <w:bCs/>
                <w:lang w:eastAsia="en-AU"/>
              </w:rPr>
              <w:t>of the change.</w:t>
            </w:r>
          </w:p>
        </w:tc>
      </w:tr>
    </w:tbl>
    <w:p w14:paraId="0336031D" w14:textId="77777777" w:rsidR="00783B2A" w:rsidRDefault="00783B2A" w:rsidP="0014591A"/>
    <w:sectPr w:rsidR="00783B2A" w:rsidSect="006529AF">
      <w:pgSz w:w="16838" w:h="11906" w:orient="landscape" w:code="9"/>
      <w:pgMar w:top="851" w:right="851" w:bottom="849" w:left="568" w:header="0"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FF63" w14:textId="77777777" w:rsidR="0003042C" w:rsidRDefault="0003042C">
      <w:pPr>
        <w:spacing w:after="0" w:line="240" w:lineRule="auto"/>
      </w:pPr>
      <w:r>
        <w:separator/>
      </w:r>
    </w:p>
  </w:endnote>
  <w:endnote w:type="continuationSeparator" w:id="0">
    <w:p w14:paraId="7A24BEE7" w14:textId="77777777" w:rsidR="0003042C" w:rsidRDefault="0003042C">
      <w:pPr>
        <w:spacing w:after="0" w:line="240" w:lineRule="auto"/>
      </w:pPr>
      <w:r>
        <w:continuationSeparator/>
      </w:r>
    </w:p>
  </w:endnote>
  <w:endnote w:type="continuationNotice" w:id="1">
    <w:p w14:paraId="53E022CE" w14:textId="77777777" w:rsidR="0003042C" w:rsidRDefault="00030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404099"/>
      <w:docPartObj>
        <w:docPartGallery w:val="Page Numbers (Bottom of Page)"/>
        <w:docPartUnique/>
      </w:docPartObj>
    </w:sdtPr>
    <w:sdtEndPr>
      <w:rPr>
        <w:noProof/>
      </w:rPr>
    </w:sdtEndPr>
    <w:sdtContent>
      <w:p w14:paraId="5283AB79" w14:textId="1E59868C" w:rsidR="006000C6" w:rsidRDefault="006000C6">
        <w:pPr>
          <w:pStyle w:val="Footer"/>
          <w:jc w:val="right"/>
        </w:pPr>
        <w:r>
          <w:fldChar w:fldCharType="begin"/>
        </w:r>
        <w:r>
          <w:instrText xml:space="preserve"> PAGE   \* MERGEFORMAT </w:instrText>
        </w:r>
        <w:r>
          <w:fldChar w:fldCharType="separate"/>
        </w:r>
        <w:r w:rsidR="00B32C57">
          <w:rPr>
            <w:noProof/>
          </w:rPr>
          <w:t>7</w:t>
        </w:r>
        <w:r>
          <w:rPr>
            <w:noProof/>
          </w:rPr>
          <w:fldChar w:fldCharType="end"/>
        </w:r>
      </w:p>
    </w:sdtContent>
  </w:sdt>
  <w:p w14:paraId="20561AF3" w14:textId="77777777" w:rsidR="006000C6" w:rsidRDefault="0060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510082"/>
      <w:docPartObj>
        <w:docPartGallery w:val="Page Numbers (Bottom of Page)"/>
        <w:docPartUnique/>
      </w:docPartObj>
    </w:sdtPr>
    <w:sdtEndPr>
      <w:rPr>
        <w:noProof/>
      </w:rPr>
    </w:sdtEndPr>
    <w:sdtContent>
      <w:p w14:paraId="1829F1FC" w14:textId="72448488" w:rsidR="006000C6" w:rsidRDefault="006000C6">
        <w:pPr>
          <w:pStyle w:val="Footer"/>
          <w:jc w:val="right"/>
        </w:pPr>
        <w:r>
          <w:fldChar w:fldCharType="begin"/>
        </w:r>
        <w:r>
          <w:instrText xml:space="preserve"> PAGE   \* MERGEFORMAT </w:instrText>
        </w:r>
        <w:r>
          <w:fldChar w:fldCharType="separate"/>
        </w:r>
        <w:r w:rsidR="00B32C57">
          <w:rPr>
            <w:noProof/>
          </w:rPr>
          <w:t>1</w:t>
        </w:r>
        <w:r>
          <w:rPr>
            <w:noProof/>
          </w:rPr>
          <w:fldChar w:fldCharType="end"/>
        </w:r>
      </w:p>
    </w:sdtContent>
  </w:sdt>
  <w:p w14:paraId="1C3519AE" w14:textId="77777777" w:rsidR="006000C6" w:rsidRDefault="0060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08E5" w14:textId="77777777" w:rsidR="0003042C" w:rsidRDefault="0003042C">
      <w:pPr>
        <w:spacing w:after="0" w:line="240" w:lineRule="auto"/>
      </w:pPr>
      <w:r>
        <w:separator/>
      </w:r>
    </w:p>
  </w:footnote>
  <w:footnote w:type="continuationSeparator" w:id="0">
    <w:p w14:paraId="6130FC21" w14:textId="77777777" w:rsidR="0003042C" w:rsidRDefault="0003042C">
      <w:pPr>
        <w:spacing w:after="0" w:line="240" w:lineRule="auto"/>
      </w:pPr>
      <w:r>
        <w:continuationSeparator/>
      </w:r>
    </w:p>
  </w:footnote>
  <w:footnote w:type="continuationNotice" w:id="1">
    <w:p w14:paraId="1685C0CE" w14:textId="77777777" w:rsidR="0003042C" w:rsidRDefault="00030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06D4" w14:textId="77777777" w:rsidR="006000C6" w:rsidRDefault="0060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E4F"/>
    <w:multiLevelType w:val="hybridMultilevel"/>
    <w:tmpl w:val="25161FC0"/>
    <w:lvl w:ilvl="0" w:tplc="875C52D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C1A76"/>
    <w:multiLevelType w:val="hybridMultilevel"/>
    <w:tmpl w:val="889A04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A2F7C"/>
    <w:multiLevelType w:val="hybridMultilevel"/>
    <w:tmpl w:val="B99AC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072B4"/>
    <w:multiLevelType w:val="hybridMultilevel"/>
    <w:tmpl w:val="33104E88"/>
    <w:lvl w:ilvl="0" w:tplc="73C60A9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685A80"/>
    <w:multiLevelType w:val="hybridMultilevel"/>
    <w:tmpl w:val="C2385AE2"/>
    <w:lvl w:ilvl="0" w:tplc="3766AC2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155E7"/>
    <w:multiLevelType w:val="hybridMultilevel"/>
    <w:tmpl w:val="7FA2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E0756"/>
    <w:multiLevelType w:val="hybridMultilevel"/>
    <w:tmpl w:val="1756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F2646"/>
    <w:multiLevelType w:val="hybridMultilevel"/>
    <w:tmpl w:val="2F74FFA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8" w15:restartNumberingAfterBreak="0">
    <w:nsid w:val="184A75D0"/>
    <w:multiLevelType w:val="hybridMultilevel"/>
    <w:tmpl w:val="F30A5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057F6C"/>
    <w:multiLevelType w:val="hybridMultilevel"/>
    <w:tmpl w:val="2C562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8059DF"/>
    <w:multiLevelType w:val="hybridMultilevel"/>
    <w:tmpl w:val="2A10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41A93"/>
    <w:multiLevelType w:val="hybridMultilevel"/>
    <w:tmpl w:val="67628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F0CE6"/>
    <w:multiLevelType w:val="hybridMultilevel"/>
    <w:tmpl w:val="E9ECA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EE1E46"/>
    <w:multiLevelType w:val="hybridMultilevel"/>
    <w:tmpl w:val="40709A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35487"/>
    <w:multiLevelType w:val="hybridMultilevel"/>
    <w:tmpl w:val="2200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674CA"/>
    <w:multiLevelType w:val="hybridMultilevel"/>
    <w:tmpl w:val="9AC2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A6F01"/>
    <w:multiLevelType w:val="hybridMultilevel"/>
    <w:tmpl w:val="99F6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EB6DF6"/>
    <w:multiLevelType w:val="hybridMultilevel"/>
    <w:tmpl w:val="BF26B26E"/>
    <w:lvl w:ilvl="0" w:tplc="0C09000F">
      <w:start w:val="1"/>
      <w:numFmt w:val="decimal"/>
      <w:lvlText w:val="%1."/>
      <w:lvlJc w:val="left"/>
      <w:pPr>
        <w:tabs>
          <w:tab w:val="num" w:pos="360"/>
        </w:tabs>
        <w:ind w:left="360" w:hanging="360"/>
      </w:pPr>
    </w:lvl>
    <w:lvl w:ilvl="1" w:tplc="C13E05FE">
      <w:start w:val="1"/>
      <w:numFmt w:val="lowerLetter"/>
      <w:lvlText w:val="(%2)"/>
      <w:lvlJc w:val="left"/>
      <w:pPr>
        <w:ind w:left="1530" w:hanging="45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F0651A"/>
    <w:multiLevelType w:val="hybridMultilevel"/>
    <w:tmpl w:val="7E202690"/>
    <w:lvl w:ilvl="0" w:tplc="83AE0D58">
      <w:start w:val="1"/>
      <w:numFmt w:val="bullet"/>
      <w:lvlText w:val=""/>
      <w:lvlJc w:val="left"/>
      <w:pPr>
        <w:ind w:left="720" w:hanging="360"/>
      </w:pPr>
      <w:rPr>
        <w:rFonts w:ascii="Symbol" w:hAnsi="Symbol" w:hint="default"/>
      </w:rPr>
    </w:lvl>
    <w:lvl w:ilvl="1" w:tplc="2F10CAFE">
      <w:start w:val="1"/>
      <w:numFmt w:val="bullet"/>
      <w:lvlText w:val="o"/>
      <w:lvlJc w:val="left"/>
      <w:pPr>
        <w:ind w:left="1440" w:hanging="360"/>
      </w:pPr>
      <w:rPr>
        <w:rFonts w:ascii="Courier New" w:hAnsi="Courier New" w:cs="Courier New" w:hint="default"/>
      </w:rPr>
    </w:lvl>
    <w:lvl w:ilvl="2" w:tplc="07CA3F32">
      <w:start w:val="1"/>
      <w:numFmt w:val="bullet"/>
      <w:lvlText w:val=""/>
      <w:lvlJc w:val="left"/>
      <w:pPr>
        <w:ind w:left="2160" w:hanging="360"/>
      </w:pPr>
      <w:rPr>
        <w:rFonts w:ascii="Wingdings" w:hAnsi="Wingdings" w:hint="default"/>
      </w:rPr>
    </w:lvl>
    <w:lvl w:ilvl="3" w:tplc="DADE13B6" w:tentative="1">
      <w:start w:val="1"/>
      <w:numFmt w:val="bullet"/>
      <w:lvlText w:val=""/>
      <w:lvlJc w:val="left"/>
      <w:pPr>
        <w:ind w:left="2880" w:hanging="360"/>
      </w:pPr>
      <w:rPr>
        <w:rFonts w:ascii="Symbol" w:hAnsi="Symbol" w:hint="default"/>
      </w:rPr>
    </w:lvl>
    <w:lvl w:ilvl="4" w:tplc="6D84BC94" w:tentative="1">
      <w:start w:val="1"/>
      <w:numFmt w:val="bullet"/>
      <w:lvlText w:val="o"/>
      <w:lvlJc w:val="left"/>
      <w:pPr>
        <w:ind w:left="3600" w:hanging="360"/>
      </w:pPr>
      <w:rPr>
        <w:rFonts w:ascii="Courier New" w:hAnsi="Courier New" w:cs="Courier New" w:hint="default"/>
      </w:rPr>
    </w:lvl>
    <w:lvl w:ilvl="5" w:tplc="1BCCB264" w:tentative="1">
      <w:start w:val="1"/>
      <w:numFmt w:val="bullet"/>
      <w:lvlText w:val=""/>
      <w:lvlJc w:val="left"/>
      <w:pPr>
        <w:ind w:left="4320" w:hanging="360"/>
      </w:pPr>
      <w:rPr>
        <w:rFonts w:ascii="Wingdings" w:hAnsi="Wingdings" w:hint="default"/>
      </w:rPr>
    </w:lvl>
    <w:lvl w:ilvl="6" w:tplc="592C6B80" w:tentative="1">
      <w:start w:val="1"/>
      <w:numFmt w:val="bullet"/>
      <w:lvlText w:val=""/>
      <w:lvlJc w:val="left"/>
      <w:pPr>
        <w:ind w:left="5040" w:hanging="360"/>
      </w:pPr>
      <w:rPr>
        <w:rFonts w:ascii="Symbol" w:hAnsi="Symbol" w:hint="default"/>
      </w:rPr>
    </w:lvl>
    <w:lvl w:ilvl="7" w:tplc="9196BC2C" w:tentative="1">
      <w:start w:val="1"/>
      <w:numFmt w:val="bullet"/>
      <w:lvlText w:val="o"/>
      <w:lvlJc w:val="left"/>
      <w:pPr>
        <w:ind w:left="5760" w:hanging="360"/>
      </w:pPr>
      <w:rPr>
        <w:rFonts w:ascii="Courier New" w:hAnsi="Courier New" w:cs="Courier New" w:hint="default"/>
      </w:rPr>
    </w:lvl>
    <w:lvl w:ilvl="8" w:tplc="81A62D9E" w:tentative="1">
      <w:start w:val="1"/>
      <w:numFmt w:val="bullet"/>
      <w:lvlText w:val=""/>
      <w:lvlJc w:val="left"/>
      <w:pPr>
        <w:ind w:left="6480" w:hanging="360"/>
      </w:pPr>
      <w:rPr>
        <w:rFonts w:ascii="Wingdings" w:hAnsi="Wingdings" w:hint="default"/>
      </w:rPr>
    </w:lvl>
  </w:abstractNum>
  <w:abstractNum w:abstractNumId="19" w15:restartNumberingAfterBreak="0">
    <w:nsid w:val="310E22F9"/>
    <w:multiLevelType w:val="hybridMultilevel"/>
    <w:tmpl w:val="E8A463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1264DD7"/>
    <w:multiLevelType w:val="hybridMultilevel"/>
    <w:tmpl w:val="398E7760"/>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662381"/>
    <w:multiLevelType w:val="hybridMultilevel"/>
    <w:tmpl w:val="A8EC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BC1B09"/>
    <w:multiLevelType w:val="hybridMultilevel"/>
    <w:tmpl w:val="3FAC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512A3"/>
    <w:multiLevelType w:val="hybridMultilevel"/>
    <w:tmpl w:val="6434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B6329A"/>
    <w:multiLevelType w:val="hybridMultilevel"/>
    <w:tmpl w:val="11A8D724"/>
    <w:lvl w:ilvl="0" w:tplc="73C60A94">
      <w:numFmt w:val="bullet"/>
      <w:lvlText w:val="•"/>
      <w:lvlJc w:val="left"/>
      <w:pPr>
        <w:ind w:left="795" w:hanging="360"/>
      </w:pPr>
      <w:rPr>
        <w:rFonts w:ascii="Arial" w:eastAsia="Calibri" w:hAnsi="Arial" w:cs="Aria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48203AB1"/>
    <w:multiLevelType w:val="hybridMultilevel"/>
    <w:tmpl w:val="C2E6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75BE4"/>
    <w:multiLevelType w:val="hybridMultilevel"/>
    <w:tmpl w:val="21028FB6"/>
    <w:lvl w:ilvl="0" w:tplc="1666899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E421122"/>
    <w:multiLevelType w:val="hybridMultilevel"/>
    <w:tmpl w:val="E5162CE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15:restartNumberingAfterBreak="0">
    <w:nsid w:val="4E684425"/>
    <w:multiLevelType w:val="hybridMultilevel"/>
    <w:tmpl w:val="52AE6478"/>
    <w:lvl w:ilvl="0" w:tplc="3766AC26">
      <w:start w:val="1"/>
      <w:numFmt w:val="lowerLetter"/>
      <w:lvlText w:val="(%1)"/>
      <w:lvlJc w:val="left"/>
      <w:pPr>
        <w:ind w:left="1080" w:hanging="360"/>
      </w:pPr>
      <w:rPr>
        <w:rFonts w:hint="default"/>
      </w:rPr>
    </w:lvl>
    <w:lvl w:ilvl="1" w:tplc="4F1A10B6">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E8A392F"/>
    <w:multiLevelType w:val="hybridMultilevel"/>
    <w:tmpl w:val="1D4082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0AE7446"/>
    <w:multiLevelType w:val="hybridMultilevel"/>
    <w:tmpl w:val="E4D42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18D6098"/>
    <w:multiLevelType w:val="hybridMultilevel"/>
    <w:tmpl w:val="FE1AB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21A7589"/>
    <w:multiLevelType w:val="hybridMultilevel"/>
    <w:tmpl w:val="7602A988"/>
    <w:lvl w:ilvl="0" w:tplc="F9A253DC">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F34684"/>
    <w:multiLevelType w:val="hybridMultilevel"/>
    <w:tmpl w:val="08063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61DD5"/>
    <w:multiLevelType w:val="hybridMultilevel"/>
    <w:tmpl w:val="A03A7E92"/>
    <w:lvl w:ilvl="0" w:tplc="4BD0F5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035DEE"/>
    <w:multiLevelType w:val="hybridMultilevel"/>
    <w:tmpl w:val="1BD06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A73A8D"/>
    <w:multiLevelType w:val="hybridMultilevel"/>
    <w:tmpl w:val="EDA43C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6E1A3A"/>
    <w:multiLevelType w:val="hybridMultilevel"/>
    <w:tmpl w:val="21028FB6"/>
    <w:lvl w:ilvl="0" w:tplc="1666899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D9F6B82"/>
    <w:multiLevelType w:val="hybridMultilevel"/>
    <w:tmpl w:val="5BF8C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5694B33"/>
    <w:multiLevelType w:val="hybridMultilevel"/>
    <w:tmpl w:val="DF06A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90836FA"/>
    <w:multiLevelType w:val="hybridMultilevel"/>
    <w:tmpl w:val="BDD8A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C40671"/>
    <w:multiLevelType w:val="hybridMultilevel"/>
    <w:tmpl w:val="7DF6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C1E086A"/>
    <w:multiLevelType w:val="hybridMultilevel"/>
    <w:tmpl w:val="F1A03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CE85D68"/>
    <w:multiLevelType w:val="hybridMultilevel"/>
    <w:tmpl w:val="ADA0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70285A"/>
    <w:multiLevelType w:val="hybridMultilevel"/>
    <w:tmpl w:val="9ECEF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6E8E081A"/>
    <w:multiLevelType w:val="hybridMultilevel"/>
    <w:tmpl w:val="1278E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0303510"/>
    <w:multiLevelType w:val="hybridMultilevel"/>
    <w:tmpl w:val="DBE0DFCA"/>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7C77A2"/>
    <w:multiLevelType w:val="hybridMultilevel"/>
    <w:tmpl w:val="44E0D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171C9C"/>
    <w:multiLevelType w:val="hybridMultilevel"/>
    <w:tmpl w:val="9348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3661F9"/>
    <w:multiLevelType w:val="hybridMultilevel"/>
    <w:tmpl w:val="D6E00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74E3965"/>
    <w:multiLevelType w:val="hybridMultilevel"/>
    <w:tmpl w:val="0BDE9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AC34B4"/>
    <w:multiLevelType w:val="hybridMultilevel"/>
    <w:tmpl w:val="2E8E42CA"/>
    <w:lvl w:ilvl="0" w:tplc="73C60A9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8"/>
  </w:num>
  <w:num w:numId="3">
    <w:abstractNumId w:val="39"/>
  </w:num>
  <w:num w:numId="4">
    <w:abstractNumId w:val="17"/>
  </w:num>
  <w:num w:numId="5">
    <w:abstractNumId w:val="47"/>
  </w:num>
  <w:num w:numId="6">
    <w:abstractNumId w:val="3"/>
  </w:num>
  <w:num w:numId="7">
    <w:abstractNumId w:val="3"/>
  </w:num>
  <w:num w:numId="8">
    <w:abstractNumId w:val="23"/>
  </w:num>
  <w:num w:numId="9">
    <w:abstractNumId w:val="24"/>
  </w:num>
  <w:num w:numId="10">
    <w:abstractNumId w:val="51"/>
  </w:num>
  <w:num w:numId="11">
    <w:abstractNumId w:val="25"/>
  </w:num>
  <w:num w:numId="12">
    <w:abstractNumId w:val="16"/>
  </w:num>
  <w:num w:numId="13">
    <w:abstractNumId w:val="10"/>
  </w:num>
  <w:num w:numId="14">
    <w:abstractNumId w:val="46"/>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8"/>
  </w:num>
  <w:num w:numId="19">
    <w:abstractNumId w:val="28"/>
  </w:num>
  <w:num w:numId="20">
    <w:abstractNumId w:val="7"/>
  </w:num>
  <w:num w:numId="21">
    <w:abstractNumId w:val="26"/>
  </w:num>
  <w:num w:numId="22">
    <w:abstractNumId w:val="4"/>
  </w:num>
  <w:num w:numId="23">
    <w:abstractNumId w:val="35"/>
  </w:num>
  <w:num w:numId="24">
    <w:abstractNumId w:val="34"/>
  </w:num>
  <w:num w:numId="25">
    <w:abstractNumId w:val="1"/>
  </w:num>
  <w:num w:numId="26">
    <w:abstractNumId w:val="36"/>
  </w:num>
  <w:num w:numId="27">
    <w:abstractNumId w:val="13"/>
  </w:num>
  <w:num w:numId="28">
    <w:abstractNumId w:val="43"/>
  </w:num>
  <w:num w:numId="29">
    <w:abstractNumId w:val="14"/>
  </w:num>
  <w:num w:numId="30">
    <w:abstractNumId w:val="2"/>
  </w:num>
  <w:num w:numId="31">
    <w:abstractNumId w:val="27"/>
  </w:num>
  <w:num w:numId="32">
    <w:abstractNumId w:val="9"/>
  </w:num>
  <w:num w:numId="33">
    <w:abstractNumId w:val="29"/>
  </w:num>
  <w:num w:numId="34">
    <w:abstractNumId w:val="15"/>
  </w:num>
  <w:num w:numId="35">
    <w:abstractNumId w:val="6"/>
  </w:num>
  <w:num w:numId="36">
    <w:abstractNumId w:val="20"/>
  </w:num>
  <w:num w:numId="37">
    <w:abstractNumId w:val="5"/>
  </w:num>
  <w:num w:numId="38">
    <w:abstractNumId w:val="31"/>
  </w:num>
  <w:num w:numId="39">
    <w:abstractNumId w:val="49"/>
  </w:num>
  <w:num w:numId="40">
    <w:abstractNumId w:val="41"/>
  </w:num>
  <w:num w:numId="41">
    <w:abstractNumId w:val="45"/>
  </w:num>
  <w:num w:numId="42">
    <w:abstractNumId w:val="12"/>
  </w:num>
  <w:num w:numId="43">
    <w:abstractNumId w:val="44"/>
  </w:num>
  <w:num w:numId="44">
    <w:abstractNumId w:val="8"/>
  </w:num>
  <w:num w:numId="45">
    <w:abstractNumId w:val="0"/>
  </w:num>
  <w:num w:numId="46">
    <w:abstractNumId w:val="19"/>
  </w:num>
  <w:num w:numId="47">
    <w:abstractNumId w:val="22"/>
  </w:num>
  <w:num w:numId="48">
    <w:abstractNumId w:val="11"/>
  </w:num>
  <w:num w:numId="49">
    <w:abstractNumId w:val="30"/>
  </w:num>
  <w:num w:numId="50">
    <w:abstractNumId w:val="40"/>
  </w:num>
  <w:num w:numId="51">
    <w:abstractNumId w:val="32"/>
  </w:num>
  <w:num w:numId="52">
    <w:abstractNumId w:val="50"/>
  </w:num>
  <w:num w:numId="53">
    <w:abstractNumId w:val="33"/>
  </w:num>
  <w:num w:numId="54">
    <w:abstractNumId w:val="18"/>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8E"/>
    <w:rsid w:val="00012207"/>
    <w:rsid w:val="00013906"/>
    <w:rsid w:val="00021435"/>
    <w:rsid w:val="00026F9C"/>
    <w:rsid w:val="0003042C"/>
    <w:rsid w:val="000365A7"/>
    <w:rsid w:val="00036AB4"/>
    <w:rsid w:val="00045A01"/>
    <w:rsid w:val="00045C0F"/>
    <w:rsid w:val="00046397"/>
    <w:rsid w:val="00051250"/>
    <w:rsid w:val="000552C1"/>
    <w:rsid w:val="000558CA"/>
    <w:rsid w:val="0005632B"/>
    <w:rsid w:val="00057D3C"/>
    <w:rsid w:val="00061057"/>
    <w:rsid w:val="0006116D"/>
    <w:rsid w:val="00061C8B"/>
    <w:rsid w:val="0006416F"/>
    <w:rsid w:val="00064556"/>
    <w:rsid w:val="00066CBA"/>
    <w:rsid w:val="000719C2"/>
    <w:rsid w:val="000802D7"/>
    <w:rsid w:val="00085323"/>
    <w:rsid w:val="00091149"/>
    <w:rsid w:val="00091E79"/>
    <w:rsid w:val="00096A3F"/>
    <w:rsid w:val="000A3FF6"/>
    <w:rsid w:val="000A5AE2"/>
    <w:rsid w:val="000A6987"/>
    <w:rsid w:val="000A78E9"/>
    <w:rsid w:val="000C0FC8"/>
    <w:rsid w:val="000C1FBC"/>
    <w:rsid w:val="000C591D"/>
    <w:rsid w:val="000D1DC9"/>
    <w:rsid w:val="000D79DA"/>
    <w:rsid w:val="000E131A"/>
    <w:rsid w:val="000E31D2"/>
    <w:rsid w:val="000F46BC"/>
    <w:rsid w:val="000F5262"/>
    <w:rsid w:val="000F6C3E"/>
    <w:rsid w:val="000F75B6"/>
    <w:rsid w:val="00103649"/>
    <w:rsid w:val="00104346"/>
    <w:rsid w:val="00104D0E"/>
    <w:rsid w:val="00111190"/>
    <w:rsid w:val="001165F3"/>
    <w:rsid w:val="0011748E"/>
    <w:rsid w:val="00122B3D"/>
    <w:rsid w:val="00122CA1"/>
    <w:rsid w:val="00136ED9"/>
    <w:rsid w:val="0014591A"/>
    <w:rsid w:val="00145D25"/>
    <w:rsid w:val="00157243"/>
    <w:rsid w:val="00163FB6"/>
    <w:rsid w:val="001645F4"/>
    <w:rsid w:val="0016778E"/>
    <w:rsid w:val="0017027C"/>
    <w:rsid w:val="00171799"/>
    <w:rsid w:val="00171A22"/>
    <w:rsid w:val="00172529"/>
    <w:rsid w:val="001768C9"/>
    <w:rsid w:val="00177F47"/>
    <w:rsid w:val="00183E5C"/>
    <w:rsid w:val="00185663"/>
    <w:rsid w:val="001906BE"/>
    <w:rsid w:val="00192580"/>
    <w:rsid w:val="00193E93"/>
    <w:rsid w:val="001A0431"/>
    <w:rsid w:val="001A6D9F"/>
    <w:rsid w:val="001B4655"/>
    <w:rsid w:val="001C506F"/>
    <w:rsid w:val="001D435F"/>
    <w:rsid w:val="001D7B82"/>
    <w:rsid w:val="001E0D5B"/>
    <w:rsid w:val="001E0E42"/>
    <w:rsid w:val="001E466F"/>
    <w:rsid w:val="001E58A0"/>
    <w:rsid w:val="001E630D"/>
    <w:rsid w:val="001F0507"/>
    <w:rsid w:val="001F16D6"/>
    <w:rsid w:val="001F7045"/>
    <w:rsid w:val="0020008F"/>
    <w:rsid w:val="00206DA0"/>
    <w:rsid w:val="00213F71"/>
    <w:rsid w:val="00214D6E"/>
    <w:rsid w:val="002240DF"/>
    <w:rsid w:val="00230EC7"/>
    <w:rsid w:val="00237421"/>
    <w:rsid w:val="00240A02"/>
    <w:rsid w:val="002451F3"/>
    <w:rsid w:val="0024676B"/>
    <w:rsid w:val="002467BF"/>
    <w:rsid w:val="00255316"/>
    <w:rsid w:val="002565FB"/>
    <w:rsid w:val="00262AE4"/>
    <w:rsid w:val="00263BBC"/>
    <w:rsid w:val="002659FC"/>
    <w:rsid w:val="00265E3B"/>
    <w:rsid w:val="0026724C"/>
    <w:rsid w:val="002703DF"/>
    <w:rsid w:val="00274BD1"/>
    <w:rsid w:val="00277D32"/>
    <w:rsid w:val="00283520"/>
    <w:rsid w:val="00284539"/>
    <w:rsid w:val="002926E9"/>
    <w:rsid w:val="0029616F"/>
    <w:rsid w:val="00297882"/>
    <w:rsid w:val="00297A2A"/>
    <w:rsid w:val="002A2859"/>
    <w:rsid w:val="002B24B9"/>
    <w:rsid w:val="002C419F"/>
    <w:rsid w:val="002D2E83"/>
    <w:rsid w:val="002D512A"/>
    <w:rsid w:val="002D5A64"/>
    <w:rsid w:val="002D647A"/>
    <w:rsid w:val="002E35C4"/>
    <w:rsid w:val="002E541F"/>
    <w:rsid w:val="002E5764"/>
    <w:rsid w:val="002E69F9"/>
    <w:rsid w:val="002E72A1"/>
    <w:rsid w:val="002F674E"/>
    <w:rsid w:val="00302B9A"/>
    <w:rsid w:val="003108A6"/>
    <w:rsid w:val="00316B7E"/>
    <w:rsid w:val="00317EA4"/>
    <w:rsid w:val="00326386"/>
    <w:rsid w:val="00327A67"/>
    <w:rsid w:val="00340AEC"/>
    <w:rsid w:val="00352A0B"/>
    <w:rsid w:val="00352CD7"/>
    <w:rsid w:val="00353B9E"/>
    <w:rsid w:val="00363590"/>
    <w:rsid w:val="0036684F"/>
    <w:rsid w:val="00366F6E"/>
    <w:rsid w:val="003751DD"/>
    <w:rsid w:val="00376914"/>
    <w:rsid w:val="00377076"/>
    <w:rsid w:val="00384EAC"/>
    <w:rsid w:val="003907BC"/>
    <w:rsid w:val="003A00DA"/>
    <w:rsid w:val="003B0100"/>
    <w:rsid w:val="003B2BB8"/>
    <w:rsid w:val="003B66B6"/>
    <w:rsid w:val="003C0648"/>
    <w:rsid w:val="003C4A53"/>
    <w:rsid w:val="003C55FE"/>
    <w:rsid w:val="003C7393"/>
    <w:rsid w:val="003C78B8"/>
    <w:rsid w:val="003D34FF"/>
    <w:rsid w:val="003E4D97"/>
    <w:rsid w:val="003F0557"/>
    <w:rsid w:val="003F2672"/>
    <w:rsid w:val="003F655D"/>
    <w:rsid w:val="004008E5"/>
    <w:rsid w:val="00401682"/>
    <w:rsid w:val="004019E4"/>
    <w:rsid w:val="0040232D"/>
    <w:rsid w:val="00403644"/>
    <w:rsid w:val="004103FA"/>
    <w:rsid w:val="00412EB5"/>
    <w:rsid w:val="00413C63"/>
    <w:rsid w:val="0041579A"/>
    <w:rsid w:val="0041659A"/>
    <w:rsid w:val="00425CB2"/>
    <w:rsid w:val="004322AA"/>
    <w:rsid w:val="004338B6"/>
    <w:rsid w:val="0043582B"/>
    <w:rsid w:val="00435B67"/>
    <w:rsid w:val="00436033"/>
    <w:rsid w:val="00436627"/>
    <w:rsid w:val="00436887"/>
    <w:rsid w:val="0044300D"/>
    <w:rsid w:val="004431BC"/>
    <w:rsid w:val="00443961"/>
    <w:rsid w:val="004466BB"/>
    <w:rsid w:val="00454BCB"/>
    <w:rsid w:val="00456A38"/>
    <w:rsid w:val="00460A7F"/>
    <w:rsid w:val="0047740D"/>
    <w:rsid w:val="0048058C"/>
    <w:rsid w:val="00480A19"/>
    <w:rsid w:val="00492CD0"/>
    <w:rsid w:val="00496FFA"/>
    <w:rsid w:val="004A685D"/>
    <w:rsid w:val="004B1107"/>
    <w:rsid w:val="004B54CA"/>
    <w:rsid w:val="004B7BD6"/>
    <w:rsid w:val="004C131A"/>
    <w:rsid w:val="004C2829"/>
    <w:rsid w:val="004C5D2A"/>
    <w:rsid w:val="004D0411"/>
    <w:rsid w:val="004D614C"/>
    <w:rsid w:val="004E4DB0"/>
    <w:rsid w:val="004E5CBF"/>
    <w:rsid w:val="004F1655"/>
    <w:rsid w:val="004F7F96"/>
    <w:rsid w:val="00500F99"/>
    <w:rsid w:val="0050228C"/>
    <w:rsid w:val="00503B2A"/>
    <w:rsid w:val="00503C50"/>
    <w:rsid w:val="00506372"/>
    <w:rsid w:val="00507245"/>
    <w:rsid w:val="005103AE"/>
    <w:rsid w:val="00512290"/>
    <w:rsid w:val="00516139"/>
    <w:rsid w:val="00520C57"/>
    <w:rsid w:val="00522E10"/>
    <w:rsid w:val="00527A53"/>
    <w:rsid w:val="00532362"/>
    <w:rsid w:val="00532F6F"/>
    <w:rsid w:val="00535CAC"/>
    <w:rsid w:val="0053612B"/>
    <w:rsid w:val="00541633"/>
    <w:rsid w:val="005420DD"/>
    <w:rsid w:val="00546690"/>
    <w:rsid w:val="00547F11"/>
    <w:rsid w:val="00551467"/>
    <w:rsid w:val="00555CC2"/>
    <w:rsid w:val="005610EC"/>
    <w:rsid w:val="005624F3"/>
    <w:rsid w:val="0056534E"/>
    <w:rsid w:val="00571B87"/>
    <w:rsid w:val="00574741"/>
    <w:rsid w:val="00577433"/>
    <w:rsid w:val="005803F8"/>
    <w:rsid w:val="005821C9"/>
    <w:rsid w:val="00597ACC"/>
    <w:rsid w:val="005A4122"/>
    <w:rsid w:val="005A4CB3"/>
    <w:rsid w:val="005A51FF"/>
    <w:rsid w:val="005B20E9"/>
    <w:rsid w:val="005C14D0"/>
    <w:rsid w:val="005C3AA9"/>
    <w:rsid w:val="005C552F"/>
    <w:rsid w:val="005C690C"/>
    <w:rsid w:val="005D0D7C"/>
    <w:rsid w:val="005D14AA"/>
    <w:rsid w:val="005D1D41"/>
    <w:rsid w:val="005D5454"/>
    <w:rsid w:val="005E0F7C"/>
    <w:rsid w:val="005E28C3"/>
    <w:rsid w:val="005F1C81"/>
    <w:rsid w:val="005F1FB7"/>
    <w:rsid w:val="005F44EF"/>
    <w:rsid w:val="005F4DA3"/>
    <w:rsid w:val="005F7C4B"/>
    <w:rsid w:val="006000C6"/>
    <w:rsid w:val="00602B92"/>
    <w:rsid w:val="00603CE1"/>
    <w:rsid w:val="006041EE"/>
    <w:rsid w:val="0060562F"/>
    <w:rsid w:val="00605DE9"/>
    <w:rsid w:val="00606D02"/>
    <w:rsid w:val="00611952"/>
    <w:rsid w:val="00611B3E"/>
    <w:rsid w:val="0061495D"/>
    <w:rsid w:val="00622BC0"/>
    <w:rsid w:val="00623418"/>
    <w:rsid w:val="006249D9"/>
    <w:rsid w:val="00627D78"/>
    <w:rsid w:val="00633404"/>
    <w:rsid w:val="0063489E"/>
    <w:rsid w:val="00636932"/>
    <w:rsid w:val="00640D3E"/>
    <w:rsid w:val="006428BF"/>
    <w:rsid w:val="00643604"/>
    <w:rsid w:val="00645E71"/>
    <w:rsid w:val="00646855"/>
    <w:rsid w:val="006529AF"/>
    <w:rsid w:val="00654F91"/>
    <w:rsid w:val="00655A0E"/>
    <w:rsid w:val="00663F86"/>
    <w:rsid w:val="00664794"/>
    <w:rsid w:val="00676CE4"/>
    <w:rsid w:val="0068289A"/>
    <w:rsid w:val="00682A3A"/>
    <w:rsid w:val="00685AD1"/>
    <w:rsid w:val="0069148C"/>
    <w:rsid w:val="0069164A"/>
    <w:rsid w:val="00691698"/>
    <w:rsid w:val="00691D9F"/>
    <w:rsid w:val="006958EB"/>
    <w:rsid w:val="006A2DE9"/>
    <w:rsid w:val="006A4CE7"/>
    <w:rsid w:val="006A54D1"/>
    <w:rsid w:val="006B087B"/>
    <w:rsid w:val="006B20B7"/>
    <w:rsid w:val="006C5838"/>
    <w:rsid w:val="006C5984"/>
    <w:rsid w:val="006C6D3F"/>
    <w:rsid w:val="006D4A88"/>
    <w:rsid w:val="006E4142"/>
    <w:rsid w:val="006E56C1"/>
    <w:rsid w:val="006E5C99"/>
    <w:rsid w:val="006E77A5"/>
    <w:rsid w:val="006F34E7"/>
    <w:rsid w:val="006F3ABA"/>
    <w:rsid w:val="006F3E75"/>
    <w:rsid w:val="006F785D"/>
    <w:rsid w:val="007064A0"/>
    <w:rsid w:val="0070791E"/>
    <w:rsid w:val="00711D2E"/>
    <w:rsid w:val="007129CC"/>
    <w:rsid w:val="0072005B"/>
    <w:rsid w:val="007222E9"/>
    <w:rsid w:val="00727873"/>
    <w:rsid w:val="00727A2D"/>
    <w:rsid w:val="007333BE"/>
    <w:rsid w:val="007345D5"/>
    <w:rsid w:val="00736BB0"/>
    <w:rsid w:val="00752F07"/>
    <w:rsid w:val="00754B4C"/>
    <w:rsid w:val="00754C06"/>
    <w:rsid w:val="00772655"/>
    <w:rsid w:val="007738EE"/>
    <w:rsid w:val="007739CC"/>
    <w:rsid w:val="007749D4"/>
    <w:rsid w:val="00781D54"/>
    <w:rsid w:val="00783B2A"/>
    <w:rsid w:val="00783E2F"/>
    <w:rsid w:val="00784E75"/>
    <w:rsid w:val="00785261"/>
    <w:rsid w:val="007A4BFD"/>
    <w:rsid w:val="007A5E7E"/>
    <w:rsid w:val="007B0256"/>
    <w:rsid w:val="007B2FEF"/>
    <w:rsid w:val="007C03A6"/>
    <w:rsid w:val="007C0B2B"/>
    <w:rsid w:val="007C183D"/>
    <w:rsid w:val="007C3A7A"/>
    <w:rsid w:val="007C5C88"/>
    <w:rsid w:val="007D1F0F"/>
    <w:rsid w:val="007E37D3"/>
    <w:rsid w:val="007E5C8E"/>
    <w:rsid w:val="007E743D"/>
    <w:rsid w:val="007F0D45"/>
    <w:rsid w:val="00800444"/>
    <w:rsid w:val="00800F78"/>
    <w:rsid w:val="008038E1"/>
    <w:rsid w:val="008047BE"/>
    <w:rsid w:val="00814310"/>
    <w:rsid w:val="00816AC7"/>
    <w:rsid w:val="008209C3"/>
    <w:rsid w:val="00840251"/>
    <w:rsid w:val="008428AB"/>
    <w:rsid w:val="00843A65"/>
    <w:rsid w:val="00843C93"/>
    <w:rsid w:val="0084519D"/>
    <w:rsid w:val="00845283"/>
    <w:rsid w:val="008511C7"/>
    <w:rsid w:val="00855729"/>
    <w:rsid w:val="00856B20"/>
    <w:rsid w:val="00857E90"/>
    <w:rsid w:val="00860EC8"/>
    <w:rsid w:val="008614EF"/>
    <w:rsid w:val="00865253"/>
    <w:rsid w:val="008673E6"/>
    <w:rsid w:val="00867551"/>
    <w:rsid w:val="00875E47"/>
    <w:rsid w:val="00893110"/>
    <w:rsid w:val="008A421C"/>
    <w:rsid w:val="008A49E2"/>
    <w:rsid w:val="008A7757"/>
    <w:rsid w:val="008B06C9"/>
    <w:rsid w:val="008B08BB"/>
    <w:rsid w:val="008B25B2"/>
    <w:rsid w:val="008B3B1C"/>
    <w:rsid w:val="008B5CF0"/>
    <w:rsid w:val="008B6BFE"/>
    <w:rsid w:val="008B6FC3"/>
    <w:rsid w:val="008D2732"/>
    <w:rsid w:val="008D503F"/>
    <w:rsid w:val="008D6935"/>
    <w:rsid w:val="008E5FA9"/>
    <w:rsid w:val="008E78A7"/>
    <w:rsid w:val="008F0564"/>
    <w:rsid w:val="008F0BD6"/>
    <w:rsid w:val="008F1988"/>
    <w:rsid w:val="008F3AF3"/>
    <w:rsid w:val="00900DF2"/>
    <w:rsid w:val="00905005"/>
    <w:rsid w:val="00906CB6"/>
    <w:rsid w:val="00906DFB"/>
    <w:rsid w:val="009105FD"/>
    <w:rsid w:val="0091246F"/>
    <w:rsid w:val="0091700D"/>
    <w:rsid w:val="0091708B"/>
    <w:rsid w:val="00920056"/>
    <w:rsid w:val="009225F0"/>
    <w:rsid w:val="0092291C"/>
    <w:rsid w:val="009236B7"/>
    <w:rsid w:val="00927F15"/>
    <w:rsid w:val="009410D2"/>
    <w:rsid w:val="00946473"/>
    <w:rsid w:val="00951E3E"/>
    <w:rsid w:val="00954081"/>
    <w:rsid w:val="00956A92"/>
    <w:rsid w:val="00960B99"/>
    <w:rsid w:val="00962C9A"/>
    <w:rsid w:val="00965074"/>
    <w:rsid w:val="00965D8C"/>
    <w:rsid w:val="00971B9C"/>
    <w:rsid w:val="00974ACE"/>
    <w:rsid w:val="00974FB8"/>
    <w:rsid w:val="00977DCA"/>
    <w:rsid w:val="0098110F"/>
    <w:rsid w:val="00986BF2"/>
    <w:rsid w:val="00986DBE"/>
    <w:rsid w:val="00986EEF"/>
    <w:rsid w:val="00993953"/>
    <w:rsid w:val="009B31C8"/>
    <w:rsid w:val="009D2347"/>
    <w:rsid w:val="009D343F"/>
    <w:rsid w:val="009E7836"/>
    <w:rsid w:val="00A05707"/>
    <w:rsid w:val="00A11632"/>
    <w:rsid w:val="00A12EFC"/>
    <w:rsid w:val="00A16D7D"/>
    <w:rsid w:val="00A21A16"/>
    <w:rsid w:val="00A23645"/>
    <w:rsid w:val="00A2442E"/>
    <w:rsid w:val="00A265ED"/>
    <w:rsid w:val="00A306D8"/>
    <w:rsid w:val="00A365AF"/>
    <w:rsid w:val="00A37FB7"/>
    <w:rsid w:val="00A4267B"/>
    <w:rsid w:val="00A508D8"/>
    <w:rsid w:val="00A53D80"/>
    <w:rsid w:val="00A64E0D"/>
    <w:rsid w:val="00A66E8E"/>
    <w:rsid w:val="00A6742D"/>
    <w:rsid w:val="00A67B63"/>
    <w:rsid w:val="00A74BD8"/>
    <w:rsid w:val="00A75E58"/>
    <w:rsid w:val="00A9206E"/>
    <w:rsid w:val="00A92853"/>
    <w:rsid w:val="00AA22DF"/>
    <w:rsid w:val="00AA2762"/>
    <w:rsid w:val="00AA2CD1"/>
    <w:rsid w:val="00AA3293"/>
    <w:rsid w:val="00AA3B0B"/>
    <w:rsid w:val="00AA4164"/>
    <w:rsid w:val="00AB4C65"/>
    <w:rsid w:val="00AB6016"/>
    <w:rsid w:val="00AC6CEF"/>
    <w:rsid w:val="00AD0198"/>
    <w:rsid w:val="00AD2162"/>
    <w:rsid w:val="00AD57B1"/>
    <w:rsid w:val="00AD7121"/>
    <w:rsid w:val="00AF1386"/>
    <w:rsid w:val="00AF2F5C"/>
    <w:rsid w:val="00B0102B"/>
    <w:rsid w:val="00B07FE8"/>
    <w:rsid w:val="00B11E68"/>
    <w:rsid w:val="00B137CE"/>
    <w:rsid w:val="00B16DC1"/>
    <w:rsid w:val="00B25B26"/>
    <w:rsid w:val="00B2647F"/>
    <w:rsid w:val="00B27CF0"/>
    <w:rsid w:val="00B32C57"/>
    <w:rsid w:val="00B355AC"/>
    <w:rsid w:val="00B40043"/>
    <w:rsid w:val="00B52837"/>
    <w:rsid w:val="00B543C2"/>
    <w:rsid w:val="00B60BD3"/>
    <w:rsid w:val="00B61F38"/>
    <w:rsid w:val="00B7065C"/>
    <w:rsid w:val="00B81396"/>
    <w:rsid w:val="00B81AB9"/>
    <w:rsid w:val="00B81F88"/>
    <w:rsid w:val="00B9051A"/>
    <w:rsid w:val="00B92B33"/>
    <w:rsid w:val="00B930AF"/>
    <w:rsid w:val="00B94C19"/>
    <w:rsid w:val="00B973CF"/>
    <w:rsid w:val="00BA0C73"/>
    <w:rsid w:val="00BA2DB9"/>
    <w:rsid w:val="00BA444A"/>
    <w:rsid w:val="00BA4AEA"/>
    <w:rsid w:val="00BA4BC9"/>
    <w:rsid w:val="00BA4E26"/>
    <w:rsid w:val="00BB5A15"/>
    <w:rsid w:val="00BB6FAD"/>
    <w:rsid w:val="00BC03A6"/>
    <w:rsid w:val="00BC6F0C"/>
    <w:rsid w:val="00BD039A"/>
    <w:rsid w:val="00BD13E8"/>
    <w:rsid w:val="00BD3717"/>
    <w:rsid w:val="00BE017D"/>
    <w:rsid w:val="00BE7148"/>
    <w:rsid w:val="00BF263E"/>
    <w:rsid w:val="00BF603D"/>
    <w:rsid w:val="00C02767"/>
    <w:rsid w:val="00C0377B"/>
    <w:rsid w:val="00C06ED4"/>
    <w:rsid w:val="00C11462"/>
    <w:rsid w:val="00C11DD0"/>
    <w:rsid w:val="00C12ACE"/>
    <w:rsid w:val="00C164C4"/>
    <w:rsid w:val="00C25451"/>
    <w:rsid w:val="00C25F7B"/>
    <w:rsid w:val="00C334B7"/>
    <w:rsid w:val="00C416AD"/>
    <w:rsid w:val="00C46791"/>
    <w:rsid w:val="00C5455A"/>
    <w:rsid w:val="00C55DAB"/>
    <w:rsid w:val="00C624AF"/>
    <w:rsid w:val="00C65E74"/>
    <w:rsid w:val="00C673B3"/>
    <w:rsid w:val="00C70C03"/>
    <w:rsid w:val="00C76548"/>
    <w:rsid w:val="00C829A2"/>
    <w:rsid w:val="00C9144A"/>
    <w:rsid w:val="00C91BBE"/>
    <w:rsid w:val="00C929A7"/>
    <w:rsid w:val="00CA52F6"/>
    <w:rsid w:val="00CA667C"/>
    <w:rsid w:val="00CB1367"/>
    <w:rsid w:val="00CB7130"/>
    <w:rsid w:val="00CD35E2"/>
    <w:rsid w:val="00CF5B17"/>
    <w:rsid w:val="00CF6065"/>
    <w:rsid w:val="00CF7C83"/>
    <w:rsid w:val="00D03FDC"/>
    <w:rsid w:val="00D04E79"/>
    <w:rsid w:val="00D1541C"/>
    <w:rsid w:val="00D22671"/>
    <w:rsid w:val="00D2489B"/>
    <w:rsid w:val="00D25715"/>
    <w:rsid w:val="00D26C21"/>
    <w:rsid w:val="00D30EFD"/>
    <w:rsid w:val="00D37D6B"/>
    <w:rsid w:val="00D40962"/>
    <w:rsid w:val="00D42BBB"/>
    <w:rsid w:val="00D449BA"/>
    <w:rsid w:val="00D53DAE"/>
    <w:rsid w:val="00D5595E"/>
    <w:rsid w:val="00D55E5E"/>
    <w:rsid w:val="00D6255D"/>
    <w:rsid w:val="00D62E3C"/>
    <w:rsid w:val="00D7113E"/>
    <w:rsid w:val="00D73730"/>
    <w:rsid w:val="00D775FF"/>
    <w:rsid w:val="00D77ABB"/>
    <w:rsid w:val="00D8030F"/>
    <w:rsid w:val="00D8045C"/>
    <w:rsid w:val="00D81C23"/>
    <w:rsid w:val="00D8227A"/>
    <w:rsid w:val="00D82B1B"/>
    <w:rsid w:val="00D83063"/>
    <w:rsid w:val="00D8493B"/>
    <w:rsid w:val="00D9052D"/>
    <w:rsid w:val="00D966BF"/>
    <w:rsid w:val="00DA6576"/>
    <w:rsid w:val="00DB03D0"/>
    <w:rsid w:val="00DB2C50"/>
    <w:rsid w:val="00DD359E"/>
    <w:rsid w:val="00DD39C7"/>
    <w:rsid w:val="00DD5927"/>
    <w:rsid w:val="00DD747F"/>
    <w:rsid w:val="00DE31FA"/>
    <w:rsid w:val="00DE7949"/>
    <w:rsid w:val="00E02060"/>
    <w:rsid w:val="00E0343E"/>
    <w:rsid w:val="00E06C29"/>
    <w:rsid w:val="00E14899"/>
    <w:rsid w:val="00E165BA"/>
    <w:rsid w:val="00E17679"/>
    <w:rsid w:val="00E236A3"/>
    <w:rsid w:val="00E34064"/>
    <w:rsid w:val="00E357D1"/>
    <w:rsid w:val="00E36230"/>
    <w:rsid w:val="00E363AF"/>
    <w:rsid w:val="00E37712"/>
    <w:rsid w:val="00E422ED"/>
    <w:rsid w:val="00E43B86"/>
    <w:rsid w:val="00E44311"/>
    <w:rsid w:val="00E5307C"/>
    <w:rsid w:val="00E53FBD"/>
    <w:rsid w:val="00E54FB9"/>
    <w:rsid w:val="00E574D6"/>
    <w:rsid w:val="00E6261C"/>
    <w:rsid w:val="00E657F8"/>
    <w:rsid w:val="00E6622C"/>
    <w:rsid w:val="00E73001"/>
    <w:rsid w:val="00E74DA4"/>
    <w:rsid w:val="00E77D07"/>
    <w:rsid w:val="00E82D0A"/>
    <w:rsid w:val="00E82FD7"/>
    <w:rsid w:val="00E86C8D"/>
    <w:rsid w:val="00E966DE"/>
    <w:rsid w:val="00E9674E"/>
    <w:rsid w:val="00EA3486"/>
    <w:rsid w:val="00EA3893"/>
    <w:rsid w:val="00EB1DE3"/>
    <w:rsid w:val="00EB4E94"/>
    <w:rsid w:val="00EB77B6"/>
    <w:rsid w:val="00EC1020"/>
    <w:rsid w:val="00EC164B"/>
    <w:rsid w:val="00EC1E6C"/>
    <w:rsid w:val="00EC6C38"/>
    <w:rsid w:val="00ED3585"/>
    <w:rsid w:val="00ED399D"/>
    <w:rsid w:val="00ED585B"/>
    <w:rsid w:val="00EE241E"/>
    <w:rsid w:val="00EE3C82"/>
    <w:rsid w:val="00EE419A"/>
    <w:rsid w:val="00EE436C"/>
    <w:rsid w:val="00EE710F"/>
    <w:rsid w:val="00EF090D"/>
    <w:rsid w:val="00EF32C9"/>
    <w:rsid w:val="00EF374C"/>
    <w:rsid w:val="00EF474B"/>
    <w:rsid w:val="00EF7854"/>
    <w:rsid w:val="00F01610"/>
    <w:rsid w:val="00F01852"/>
    <w:rsid w:val="00F03E52"/>
    <w:rsid w:val="00F068FE"/>
    <w:rsid w:val="00F1315B"/>
    <w:rsid w:val="00F20249"/>
    <w:rsid w:val="00F249E3"/>
    <w:rsid w:val="00F25414"/>
    <w:rsid w:val="00F3079F"/>
    <w:rsid w:val="00F3089A"/>
    <w:rsid w:val="00F312F2"/>
    <w:rsid w:val="00F33B38"/>
    <w:rsid w:val="00F41086"/>
    <w:rsid w:val="00F430DD"/>
    <w:rsid w:val="00F5401E"/>
    <w:rsid w:val="00F60072"/>
    <w:rsid w:val="00F608AA"/>
    <w:rsid w:val="00F61A43"/>
    <w:rsid w:val="00F6351B"/>
    <w:rsid w:val="00F65B31"/>
    <w:rsid w:val="00F67393"/>
    <w:rsid w:val="00F674AC"/>
    <w:rsid w:val="00F71346"/>
    <w:rsid w:val="00F75525"/>
    <w:rsid w:val="00F8392A"/>
    <w:rsid w:val="00F84DEA"/>
    <w:rsid w:val="00F911A7"/>
    <w:rsid w:val="00F911E5"/>
    <w:rsid w:val="00F92D35"/>
    <w:rsid w:val="00F93912"/>
    <w:rsid w:val="00FA0857"/>
    <w:rsid w:val="00FA70AD"/>
    <w:rsid w:val="00FB13F4"/>
    <w:rsid w:val="00FB1EEB"/>
    <w:rsid w:val="00FB530D"/>
    <w:rsid w:val="00FC1432"/>
    <w:rsid w:val="00FC1934"/>
    <w:rsid w:val="00FD6F33"/>
    <w:rsid w:val="00FE0129"/>
    <w:rsid w:val="00FE0CB0"/>
    <w:rsid w:val="00FF051D"/>
    <w:rsid w:val="00FF5764"/>
    <w:rsid w:val="00FF7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E233D"/>
  <w15:docId w15:val="{9C767C74-300D-446B-86D7-44ACD30D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3"/>
    <w:rPr>
      <w:rFonts w:ascii="Arial" w:hAnsi="Arial"/>
    </w:rPr>
  </w:style>
  <w:style w:type="paragraph" w:styleId="Heading1">
    <w:name w:val="heading 1"/>
    <w:aliases w:val="TPs Lvl 2"/>
    <w:basedOn w:val="Normal"/>
    <w:next w:val="Normal"/>
    <w:link w:val="Heading1Char"/>
    <w:uiPriority w:val="9"/>
    <w:qFormat/>
    <w:rsid w:val="003F2672"/>
    <w:pPr>
      <w:spacing w:before="240" w:after="360" w:line="240" w:lineRule="auto"/>
      <w:contextualSpacing/>
      <w:outlineLvl w:val="0"/>
    </w:pPr>
    <w:rPr>
      <w:rFonts w:ascii="Georgia" w:eastAsia="Times New Roman" w:hAnsi="Georgia" w:cs="Arial"/>
      <w:bCs/>
      <w:color w:val="005A70"/>
      <w:kern w:val="28"/>
      <w:sz w:val="72"/>
      <w:szCs w:val="32"/>
      <w:lang w:eastAsia="en-AU"/>
    </w:rPr>
  </w:style>
  <w:style w:type="paragraph" w:styleId="Heading2">
    <w:name w:val="heading 2"/>
    <w:basedOn w:val="Normal"/>
    <w:next w:val="Normal"/>
    <w:link w:val="Heading2Char"/>
    <w:uiPriority w:val="9"/>
    <w:unhideWhenUsed/>
    <w:qFormat/>
    <w:rsid w:val="003F2672"/>
    <w:pPr>
      <w:spacing w:before="360" w:after="180" w:line="280" w:lineRule="atLeast"/>
      <w:outlineLvl w:val="1"/>
    </w:pPr>
    <w:rPr>
      <w:rFonts w:ascii="Georgia" w:eastAsia="Times New Roman" w:hAnsi="Georgia" w:cs="Times New Roman"/>
      <w:color w:val="215868" w:themeColor="accent5" w:themeShade="80"/>
      <w:spacing w:val="4"/>
      <w:sz w:val="40"/>
      <w:szCs w:val="36"/>
      <w:lang w:eastAsia="en-AU"/>
    </w:rPr>
  </w:style>
  <w:style w:type="paragraph" w:styleId="Heading3">
    <w:name w:val="heading 3"/>
    <w:basedOn w:val="Normal"/>
    <w:next w:val="Normal"/>
    <w:link w:val="Heading3Char"/>
    <w:uiPriority w:val="9"/>
    <w:unhideWhenUsed/>
    <w:qFormat/>
    <w:rsid w:val="003F2672"/>
    <w:pPr>
      <w:keepNext/>
      <w:keepLines/>
      <w:spacing w:before="240" w:after="180" w:line="240" w:lineRule="auto"/>
      <w:contextualSpacing/>
      <w:outlineLvl w:val="2"/>
    </w:pPr>
    <w:rPr>
      <w:rFonts w:ascii="Georgia" w:eastAsia="Times New Roman" w:hAnsi="Georgia" w:cs="Arial"/>
      <w:bCs/>
      <w:iCs/>
      <w:color w:val="005A70"/>
      <w:spacing w:val="4"/>
      <w:sz w:val="32"/>
      <w:szCs w:val="28"/>
      <w:lang w:eastAsia="en-AU"/>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s Lvl 2 Char"/>
    <w:basedOn w:val="DefaultParagraphFont"/>
    <w:link w:val="Heading1"/>
    <w:uiPriority w:val="9"/>
    <w:rsid w:val="003F2672"/>
    <w:rPr>
      <w:rFonts w:ascii="Georgia" w:eastAsia="Times New Roman" w:hAnsi="Georgia" w:cs="Arial"/>
      <w:bCs/>
      <w:color w:val="005A70"/>
      <w:kern w:val="28"/>
      <w:sz w:val="72"/>
      <w:szCs w:val="32"/>
      <w:lang w:eastAsia="en-AU"/>
    </w:rPr>
  </w:style>
  <w:style w:type="character" w:customStyle="1" w:styleId="Heading2Char">
    <w:name w:val="Heading 2 Char"/>
    <w:basedOn w:val="DefaultParagraphFont"/>
    <w:link w:val="Heading2"/>
    <w:uiPriority w:val="9"/>
    <w:rsid w:val="003F2672"/>
    <w:rPr>
      <w:rFonts w:ascii="Georgia" w:eastAsia="Times New Roman" w:hAnsi="Georgia" w:cs="Times New Roman"/>
      <w:color w:val="215868" w:themeColor="accent5" w:themeShade="80"/>
      <w:spacing w:val="4"/>
      <w:sz w:val="40"/>
      <w:szCs w:val="3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3F2672"/>
    <w:rPr>
      <w:rFonts w:ascii="Georgia" w:eastAsia="Times New Roman" w:hAnsi="Georgia" w:cs="Arial"/>
      <w:bCs/>
      <w:iCs/>
      <w:color w:val="005A70"/>
      <w:spacing w:val="4"/>
      <w:sz w:val="32"/>
      <w:szCs w:val="28"/>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11748E"/>
    <w:pPr>
      <w:tabs>
        <w:tab w:val="center" w:pos="4513"/>
        <w:tab w:val="right" w:pos="9026"/>
      </w:tabs>
      <w:spacing w:after="0" w:line="240" w:lineRule="auto"/>
    </w:pPr>
    <w:rPr>
      <w:rFonts w:eastAsia="Times New Roman" w:cs="Times New Roman"/>
      <w:spacing w:val="4"/>
      <w:sz w:val="24"/>
      <w:szCs w:val="24"/>
      <w:lang w:eastAsia="en-AU"/>
    </w:rPr>
  </w:style>
  <w:style w:type="character" w:customStyle="1" w:styleId="HeaderChar">
    <w:name w:val="Header Char"/>
    <w:basedOn w:val="DefaultParagraphFont"/>
    <w:link w:val="Header"/>
    <w:rsid w:val="0011748E"/>
    <w:rPr>
      <w:rFonts w:ascii="Arial" w:eastAsia="Times New Roman" w:hAnsi="Arial" w:cs="Times New Roman"/>
      <w:spacing w:val="4"/>
      <w:sz w:val="24"/>
      <w:szCs w:val="24"/>
      <w:lang w:eastAsia="en-AU"/>
    </w:rPr>
  </w:style>
  <w:style w:type="table" w:styleId="TableGrid">
    <w:name w:val="Table Grid"/>
    <w:basedOn w:val="TableNormal"/>
    <w:rsid w:val="0011748E"/>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8E"/>
    <w:rPr>
      <w:rFonts w:ascii="Tahoma" w:hAnsi="Tahoma" w:cs="Tahoma"/>
      <w:sz w:val="16"/>
      <w:szCs w:val="16"/>
    </w:rPr>
  </w:style>
  <w:style w:type="paragraph" w:styleId="Footer">
    <w:name w:val="footer"/>
    <w:basedOn w:val="Normal"/>
    <w:link w:val="FooterChar"/>
    <w:uiPriority w:val="99"/>
    <w:unhideWhenUsed/>
    <w:rsid w:val="0012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3D"/>
    <w:rPr>
      <w:rFonts w:ascii="Arial" w:hAnsi="Arial"/>
    </w:rPr>
  </w:style>
  <w:style w:type="paragraph" w:styleId="NormalWeb">
    <w:name w:val="Normal (Web)"/>
    <w:basedOn w:val="Normal"/>
    <w:uiPriority w:val="99"/>
    <w:rsid w:val="00F84DEA"/>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416AD"/>
    <w:rPr>
      <w:sz w:val="16"/>
      <w:szCs w:val="16"/>
    </w:rPr>
  </w:style>
  <w:style w:type="paragraph" w:styleId="CommentText">
    <w:name w:val="annotation text"/>
    <w:basedOn w:val="Normal"/>
    <w:link w:val="CommentTextChar"/>
    <w:uiPriority w:val="99"/>
    <w:semiHidden/>
    <w:unhideWhenUsed/>
    <w:rsid w:val="00C416AD"/>
    <w:pPr>
      <w:spacing w:line="240" w:lineRule="auto"/>
    </w:pPr>
    <w:rPr>
      <w:sz w:val="20"/>
      <w:szCs w:val="20"/>
    </w:rPr>
  </w:style>
  <w:style w:type="character" w:customStyle="1" w:styleId="CommentTextChar">
    <w:name w:val="Comment Text Char"/>
    <w:basedOn w:val="DefaultParagraphFont"/>
    <w:link w:val="CommentText"/>
    <w:uiPriority w:val="99"/>
    <w:semiHidden/>
    <w:rsid w:val="00C416AD"/>
    <w:rPr>
      <w:rFonts w:ascii="Arial" w:hAnsi="Arial"/>
      <w:sz w:val="20"/>
      <w:szCs w:val="20"/>
    </w:rPr>
  </w:style>
  <w:style w:type="paragraph" w:styleId="CommentSubject">
    <w:name w:val="annotation subject"/>
    <w:basedOn w:val="CommentText"/>
    <w:next w:val="CommentText"/>
    <w:link w:val="CommentSubjectChar"/>
    <w:uiPriority w:val="99"/>
    <w:unhideWhenUsed/>
    <w:rsid w:val="00C416AD"/>
    <w:rPr>
      <w:b/>
      <w:bCs/>
    </w:rPr>
  </w:style>
  <w:style w:type="character" w:customStyle="1" w:styleId="CommentSubjectChar">
    <w:name w:val="Comment Subject Char"/>
    <w:basedOn w:val="CommentTextChar"/>
    <w:link w:val="CommentSubject"/>
    <w:uiPriority w:val="99"/>
    <w:rsid w:val="00C416AD"/>
    <w:rPr>
      <w:rFonts w:ascii="Arial" w:hAnsi="Arial"/>
      <w:b/>
      <w:bCs/>
      <w:sz w:val="20"/>
      <w:szCs w:val="20"/>
    </w:rPr>
  </w:style>
  <w:style w:type="character" w:styleId="Hyperlink">
    <w:name w:val="Hyperlink"/>
    <w:basedOn w:val="DefaultParagraphFont"/>
    <w:uiPriority w:val="99"/>
    <w:unhideWhenUsed/>
    <w:rsid w:val="00905005"/>
    <w:rPr>
      <w:color w:val="0000FF" w:themeColor="hyperlink"/>
      <w:u w:val="single"/>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locked/>
    <w:rsid w:val="00BA4E26"/>
    <w:rPr>
      <w:rFonts w:ascii="Arial" w:hAnsi="Arial"/>
    </w:rPr>
  </w:style>
  <w:style w:type="paragraph" w:styleId="Revision">
    <w:name w:val="Revision"/>
    <w:hidden/>
    <w:uiPriority w:val="99"/>
    <w:semiHidden/>
    <w:rsid w:val="00A23645"/>
    <w:pPr>
      <w:spacing w:after="0" w:line="240" w:lineRule="auto"/>
    </w:pPr>
    <w:rPr>
      <w:rFonts w:ascii="Arial" w:hAnsi="Arial"/>
    </w:rPr>
  </w:style>
  <w:style w:type="paragraph" w:customStyle="1" w:styleId="ESExplanationText">
    <w:name w:val="ES Explanation Text"/>
    <w:basedOn w:val="Normal"/>
    <w:qFormat/>
    <w:rsid w:val="00B137CE"/>
    <w:pPr>
      <w:spacing w:before="180" w:after="0" w:line="240" w:lineRule="auto"/>
    </w:pPr>
    <w:rPr>
      <w:rFonts w:ascii="Times New Roman" w:eastAsia="Times New Roman" w:hAnsi="Times New Roman" w:cs="Times New Roman"/>
      <w:sz w:val="24"/>
      <w:szCs w:val="24"/>
      <w:lang w:eastAsia="en-AU"/>
    </w:rPr>
  </w:style>
  <w:style w:type="paragraph" w:styleId="ListBullet">
    <w:name w:val="List Bullet"/>
    <w:aliases w:val="TPs Lvl 1"/>
    <w:basedOn w:val="ListParagraph"/>
    <w:uiPriority w:val="1"/>
    <w:unhideWhenUsed/>
    <w:qFormat/>
    <w:rsid w:val="006C5984"/>
    <w:pPr>
      <w:tabs>
        <w:tab w:val="center" w:pos="4873"/>
      </w:tabs>
      <w:ind w:hanging="360"/>
      <w:contextualSpacing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3619">
      <w:bodyDiv w:val="1"/>
      <w:marLeft w:val="0"/>
      <w:marRight w:val="0"/>
      <w:marTop w:val="0"/>
      <w:marBottom w:val="0"/>
      <w:divBdr>
        <w:top w:val="none" w:sz="0" w:space="0" w:color="auto"/>
        <w:left w:val="none" w:sz="0" w:space="0" w:color="auto"/>
        <w:bottom w:val="none" w:sz="0" w:space="0" w:color="auto"/>
        <w:right w:val="none" w:sz="0" w:space="0" w:color="auto"/>
      </w:divBdr>
    </w:div>
    <w:div w:id="189034413">
      <w:bodyDiv w:val="1"/>
      <w:marLeft w:val="0"/>
      <w:marRight w:val="0"/>
      <w:marTop w:val="0"/>
      <w:marBottom w:val="0"/>
      <w:divBdr>
        <w:top w:val="none" w:sz="0" w:space="0" w:color="auto"/>
        <w:left w:val="none" w:sz="0" w:space="0" w:color="auto"/>
        <w:bottom w:val="none" w:sz="0" w:space="0" w:color="auto"/>
        <w:right w:val="none" w:sz="0" w:space="0" w:color="auto"/>
      </w:divBdr>
    </w:div>
    <w:div w:id="225532468">
      <w:bodyDiv w:val="1"/>
      <w:marLeft w:val="0"/>
      <w:marRight w:val="0"/>
      <w:marTop w:val="0"/>
      <w:marBottom w:val="0"/>
      <w:divBdr>
        <w:top w:val="none" w:sz="0" w:space="0" w:color="auto"/>
        <w:left w:val="none" w:sz="0" w:space="0" w:color="auto"/>
        <w:bottom w:val="none" w:sz="0" w:space="0" w:color="auto"/>
        <w:right w:val="none" w:sz="0" w:space="0" w:color="auto"/>
      </w:divBdr>
    </w:div>
    <w:div w:id="226116476">
      <w:bodyDiv w:val="1"/>
      <w:marLeft w:val="0"/>
      <w:marRight w:val="0"/>
      <w:marTop w:val="0"/>
      <w:marBottom w:val="0"/>
      <w:divBdr>
        <w:top w:val="none" w:sz="0" w:space="0" w:color="auto"/>
        <w:left w:val="none" w:sz="0" w:space="0" w:color="auto"/>
        <w:bottom w:val="none" w:sz="0" w:space="0" w:color="auto"/>
        <w:right w:val="none" w:sz="0" w:space="0" w:color="auto"/>
      </w:divBdr>
    </w:div>
    <w:div w:id="242031836">
      <w:bodyDiv w:val="1"/>
      <w:marLeft w:val="0"/>
      <w:marRight w:val="0"/>
      <w:marTop w:val="0"/>
      <w:marBottom w:val="0"/>
      <w:divBdr>
        <w:top w:val="none" w:sz="0" w:space="0" w:color="auto"/>
        <w:left w:val="none" w:sz="0" w:space="0" w:color="auto"/>
        <w:bottom w:val="none" w:sz="0" w:space="0" w:color="auto"/>
        <w:right w:val="none" w:sz="0" w:space="0" w:color="auto"/>
      </w:divBdr>
    </w:div>
    <w:div w:id="249435684">
      <w:bodyDiv w:val="1"/>
      <w:marLeft w:val="0"/>
      <w:marRight w:val="0"/>
      <w:marTop w:val="0"/>
      <w:marBottom w:val="0"/>
      <w:divBdr>
        <w:top w:val="none" w:sz="0" w:space="0" w:color="auto"/>
        <w:left w:val="none" w:sz="0" w:space="0" w:color="auto"/>
        <w:bottom w:val="none" w:sz="0" w:space="0" w:color="auto"/>
        <w:right w:val="none" w:sz="0" w:space="0" w:color="auto"/>
      </w:divBdr>
    </w:div>
    <w:div w:id="327440430">
      <w:bodyDiv w:val="1"/>
      <w:marLeft w:val="0"/>
      <w:marRight w:val="0"/>
      <w:marTop w:val="0"/>
      <w:marBottom w:val="0"/>
      <w:divBdr>
        <w:top w:val="none" w:sz="0" w:space="0" w:color="auto"/>
        <w:left w:val="none" w:sz="0" w:space="0" w:color="auto"/>
        <w:bottom w:val="none" w:sz="0" w:space="0" w:color="auto"/>
        <w:right w:val="none" w:sz="0" w:space="0" w:color="auto"/>
      </w:divBdr>
      <w:divsChild>
        <w:div w:id="1138033595">
          <w:marLeft w:val="0"/>
          <w:marRight w:val="0"/>
          <w:marTop w:val="0"/>
          <w:marBottom w:val="0"/>
          <w:divBdr>
            <w:top w:val="none" w:sz="0" w:space="0" w:color="auto"/>
            <w:left w:val="none" w:sz="0" w:space="0" w:color="auto"/>
            <w:bottom w:val="none" w:sz="0" w:space="0" w:color="auto"/>
            <w:right w:val="none" w:sz="0" w:space="0" w:color="auto"/>
          </w:divBdr>
          <w:divsChild>
            <w:div w:id="1463421874">
              <w:marLeft w:val="0"/>
              <w:marRight w:val="0"/>
              <w:marTop w:val="0"/>
              <w:marBottom w:val="0"/>
              <w:divBdr>
                <w:top w:val="none" w:sz="0" w:space="0" w:color="auto"/>
                <w:left w:val="none" w:sz="0" w:space="0" w:color="auto"/>
                <w:bottom w:val="none" w:sz="0" w:space="0" w:color="auto"/>
                <w:right w:val="none" w:sz="0" w:space="0" w:color="auto"/>
              </w:divBdr>
              <w:divsChild>
                <w:div w:id="1058940596">
                  <w:marLeft w:val="0"/>
                  <w:marRight w:val="0"/>
                  <w:marTop w:val="0"/>
                  <w:marBottom w:val="0"/>
                  <w:divBdr>
                    <w:top w:val="none" w:sz="0" w:space="0" w:color="auto"/>
                    <w:left w:val="none" w:sz="0" w:space="0" w:color="auto"/>
                    <w:bottom w:val="none" w:sz="0" w:space="0" w:color="auto"/>
                    <w:right w:val="none" w:sz="0" w:space="0" w:color="auto"/>
                  </w:divBdr>
                  <w:divsChild>
                    <w:div w:id="1739134345">
                      <w:marLeft w:val="0"/>
                      <w:marRight w:val="0"/>
                      <w:marTop w:val="100"/>
                      <w:marBottom w:val="0"/>
                      <w:divBdr>
                        <w:top w:val="none" w:sz="0" w:space="0" w:color="auto"/>
                        <w:left w:val="none" w:sz="0" w:space="0" w:color="auto"/>
                        <w:bottom w:val="none" w:sz="0" w:space="0" w:color="auto"/>
                        <w:right w:val="none" w:sz="0" w:space="0" w:color="auto"/>
                      </w:divBdr>
                      <w:divsChild>
                        <w:div w:id="1653632104">
                          <w:marLeft w:val="0"/>
                          <w:marRight w:val="0"/>
                          <w:marTop w:val="0"/>
                          <w:marBottom w:val="0"/>
                          <w:divBdr>
                            <w:top w:val="none" w:sz="0" w:space="0" w:color="auto"/>
                            <w:left w:val="none" w:sz="0" w:space="0" w:color="auto"/>
                            <w:bottom w:val="none" w:sz="0" w:space="0" w:color="auto"/>
                            <w:right w:val="none" w:sz="0" w:space="0" w:color="auto"/>
                          </w:divBdr>
                          <w:divsChild>
                            <w:div w:id="1901869423">
                              <w:marLeft w:val="0"/>
                              <w:marRight w:val="0"/>
                              <w:marTop w:val="0"/>
                              <w:marBottom w:val="0"/>
                              <w:divBdr>
                                <w:top w:val="none" w:sz="0" w:space="0" w:color="auto"/>
                                <w:left w:val="none" w:sz="0" w:space="0" w:color="auto"/>
                                <w:bottom w:val="none" w:sz="0" w:space="0" w:color="auto"/>
                                <w:right w:val="none" w:sz="0" w:space="0" w:color="auto"/>
                              </w:divBdr>
                              <w:divsChild>
                                <w:div w:id="2138912675">
                                  <w:marLeft w:val="-6000"/>
                                  <w:marRight w:val="0"/>
                                  <w:marTop w:val="0"/>
                                  <w:marBottom w:val="0"/>
                                  <w:divBdr>
                                    <w:top w:val="none" w:sz="0" w:space="0" w:color="auto"/>
                                    <w:left w:val="none" w:sz="0" w:space="0" w:color="auto"/>
                                    <w:bottom w:val="none" w:sz="0" w:space="0" w:color="auto"/>
                                    <w:right w:val="none" w:sz="0" w:space="0" w:color="auto"/>
                                  </w:divBdr>
                                  <w:divsChild>
                                    <w:div w:id="836044453">
                                      <w:marLeft w:val="4290"/>
                                      <w:marRight w:val="0"/>
                                      <w:marTop w:val="0"/>
                                      <w:marBottom w:val="0"/>
                                      <w:divBdr>
                                        <w:top w:val="none" w:sz="0" w:space="0" w:color="auto"/>
                                        <w:left w:val="none" w:sz="0" w:space="0" w:color="auto"/>
                                        <w:bottom w:val="none" w:sz="0" w:space="0" w:color="auto"/>
                                        <w:right w:val="none" w:sz="0" w:space="0" w:color="auto"/>
                                      </w:divBdr>
                                      <w:divsChild>
                                        <w:div w:id="30427573">
                                          <w:marLeft w:val="0"/>
                                          <w:marRight w:val="0"/>
                                          <w:marTop w:val="0"/>
                                          <w:marBottom w:val="0"/>
                                          <w:divBdr>
                                            <w:top w:val="none" w:sz="0" w:space="0" w:color="auto"/>
                                            <w:left w:val="none" w:sz="0" w:space="0" w:color="auto"/>
                                            <w:bottom w:val="none" w:sz="0" w:space="0" w:color="auto"/>
                                            <w:right w:val="none" w:sz="0" w:space="0" w:color="auto"/>
                                          </w:divBdr>
                                          <w:divsChild>
                                            <w:div w:id="541484396">
                                              <w:marLeft w:val="0"/>
                                              <w:marRight w:val="0"/>
                                              <w:marTop w:val="0"/>
                                              <w:marBottom w:val="0"/>
                                              <w:divBdr>
                                                <w:top w:val="none" w:sz="0" w:space="0" w:color="auto"/>
                                                <w:left w:val="none" w:sz="0" w:space="0" w:color="auto"/>
                                                <w:bottom w:val="none" w:sz="0" w:space="0" w:color="auto"/>
                                                <w:right w:val="none" w:sz="0" w:space="0" w:color="auto"/>
                                              </w:divBdr>
                                              <w:divsChild>
                                                <w:div w:id="853496351">
                                                  <w:marLeft w:val="0"/>
                                                  <w:marRight w:val="0"/>
                                                  <w:marTop w:val="0"/>
                                                  <w:marBottom w:val="0"/>
                                                  <w:divBdr>
                                                    <w:top w:val="none" w:sz="0" w:space="0" w:color="auto"/>
                                                    <w:left w:val="none" w:sz="0" w:space="0" w:color="auto"/>
                                                    <w:bottom w:val="none" w:sz="0" w:space="0" w:color="auto"/>
                                                    <w:right w:val="none" w:sz="0" w:space="0" w:color="auto"/>
                                                  </w:divBdr>
                                                  <w:divsChild>
                                                    <w:div w:id="1159494299">
                                                      <w:marLeft w:val="0"/>
                                                      <w:marRight w:val="0"/>
                                                      <w:marTop w:val="300"/>
                                                      <w:marBottom w:val="0"/>
                                                      <w:divBdr>
                                                        <w:top w:val="none" w:sz="0" w:space="0" w:color="auto"/>
                                                        <w:left w:val="none" w:sz="0" w:space="0" w:color="auto"/>
                                                        <w:bottom w:val="none" w:sz="0" w:space="0" w:color="auto"/>
                                                        <w:right w:val="none" w:sz="0" w:space="0" w:color="auto"/>
                                                      </w:divBdr>
                                                      <w:divsChild>
                                                        <w:div w:id="1996370983">
                                                          <w:marLeft w:val="0"/>
                                                          <w:marRight w:val="0"/>
                                                          <w:marTop w:val="0"/>
                                                          <w:marBottom w:val="0"/>
                                                          <w:divBdr>
                                                            <w:top w:val="none" w:sz="0" w:space="0" w:color="auto"/>
                                                            <w:left w:val="none" w:sz="0" w:space="0" w:color="auto"/>
                                                            <w:bottom w:val="none" w:sz="0" w:space="0" w:color="auto"/>
                                                            <w:right w:val="none" w:sz="0" w:space="0" w:color="auto"/>
                                                          </w:divBdr>
                                                          <w:divsChild>
                                                            <w:div w:id="1228999347">
                                                              <w:marLeft w:val="0"/>
                                                              <w:marRight w:val="0"/>
                                                              <w:marTop w:val="0"/>
                                                              <w:marBottom w:val="0"/>
                                                              <w:divBdr>
                                                                <w:top w:val="none" w:sz="0" w:space="0" w:color="auto"/>
                                                                <w:left w:val="none" w:sz="0" w:space="0" w:color="auto"/>
                                                                <w:bottom w:val="none" w:sz="0" w:space="0" w:color="auto"/>
                                                                <w:right w:val="none" w:sz="0" w:space="0" w:color="auto"/>
                                                              </w:divBdr>
                                                              <w:divsChild>
                                                                <w:div w:id="637154072">
                                                                  <w:marLeft w:val="0"/>
                                                                  <w:marRight w:val="0"/>
                                                                  <w:marTop w:val="0"/>
                                                                  <w:marBottom w:val="0"/>
                                                                  <w:divBdr>
                                                                    <w:top w:val="none" w:sz="0" w:space="0" w:color="auto"/>
                                                                    <w:left w:val="none" w:sz="0" w:space="0" w:color="auto"/>
                                                                    <w:bottom w:val="none" w:sz="0" w:space="0" w:color="auto"/>
                                                                    <w:right w:val="none" w:sz="0" w:space="0" w:color="auto"/>
                                                                  </w:divBdr>
                                                                  <w:divsChild>
                                                                    <w:div w:id="9512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9493406">
      <w:bodyDiv w:val="1"/>
      <w:marLeft w:val="0"/>
      <w:marRight w:val="0"/>
      <w:marTop w:val="0"/>
      <w:marBottom w:val="0"/>
      <w:divBdr>
        <w:top w:val="none" w:sz="0" w:space="0" w:color="auto"/>
        <w:left w:val="none" w:sz="0" w:space="0" w:color="auto"/>
        <w:bottom w:val="none" w:sz="0" w:space="0" w:color="auto"/>
        <w:right w:val="none" w:sz="0" w:space="0" w:color="auto"/>
      </w:divBdr>
    </w:div>
    <w:div w:id="606698124">
      <w:bodyDiv w:val="1"/>
      <w:marLeft w:val="0"/>
      <w:marRight w:val="0"/>
      <w:marTop w:val="0"/>
      <w:marBottom w:val="0"/>
      <w:divBdr>
        <w:top w:val="none" w:sz="0" w:space="0" w:color="auto"/>
        <w:left w:val="none" w:sz="0" w:space="0" w:color="auto"/>
        <w:bottom w:val="none" w:sz="0" w:space="0" w:color="auto"/>
        <w:right w:val="none" w:sz="0" w:space="0" w:color="auto"/>
      </w:divBdr>
    </w:div>
    <w:div w:id="678966713">
      <w:bodyDiv w:val="1"/>
      <w:marLeft w:val="0"/>
      <w:marRight w:val="0"/>
      <w:marTop w:val="0"/>
      <w:marBottom w:val="0"/>
      <w:divBdr>
        <w:top w:val="none" w:sz="0" w:space="0" w:color="auto"/>
        <w:left w:val="none" w:sz="0" w:space="0" w:color="auto"/>
        <w:bottom w:val="none" w:sz="0" w:space="0" w:color="auto"/>
        <w:right w:val="none" w:sz="0" w:space="0" w:color="auto"/>
      </w:divBdr>
    </w:div>
    <w:div w:id="698820594">
      <w:bodyDiv w:val="1"/>
      <w:marLeft w:val="0"/>
      <w:marRight w:val="0"/>
      <w:marTop w:val="0"/>
      <w:marBottom w:val="0"/>
      <w:divBdr>
        <w:top w:val="none" w:sz="0" w:space="0" w:color="auto"/>
        <w:left w:val="none" w:sz="0" w:space="0" w:color="auto"/>
        <w:bottom w:val="none" w:sz="0" w:space="0" w:color="auto"/>
        <w:right w:val="none" w:sz="0" w:space="0" w:color="auto"/>
      </w:divBdr>
    </w:div>
    <w:div w:id="755588843">
      <w:bodyDiv w:val="1"/>
      <w:marLeft w:val="0"/>
      <w:marRight w:val="0"/>
      <w:marTop w:val="0"/>
      <w:marBottom w:val="0"/>
      <w:divBdr>
        <w:top w:val="none" w:sz="0" w:space="0" w:color="auto"/>
        <w:left w:val="none" w:sz="0" w:space="0" w:color="auto"/>
        <w:bottom w:val="none" w:sz="0" w:space="0" w:color="auto"/>
        <w:right w:val="none" w:sz="0" w:space="0" w:color="auto"/>
      </w:divBdr>
    </w:div>
    <w:div w:id="777915844">
      <w:bodyDiv w:val="1"/>
      <w:marLeft w:val="0"/>
      <w:marRight w:val="0"/>
      <w:marTop w:val="0"/>
      <w:marBottom w:val="0"/>
      <w:divBdr>
        <w:top w:val="none" w:sz="0" w:space="0" w:color="auto"/>
        <w:left w:val="none" w:sz="0" w:space="0" w:color="auto"/>
        <w:bottom w:val="none" w:sz="0" w:space="0" w:color="auto"/>
        <w:right w:val="none" w:sz="0" w:space="0" w:color="auto"/>
      </w:divBdr>
    </w:div>
    <w:div w:id="986402513">
      <w:bodyDiv w:val="1"/>
      <w:marLeft w:val="0"/>
      <w:marRight w:val="0"/>
      <w:marTop w:val="0"/>
      <w:marBottom w:val="0"/>
      <w:divBdr>
        <w:top w:val="none" w:sz="0" w:space="0" w:color="auto"/>
        <w:left w:val="none" w:sz="0" w:space="0" w:color="auto"/>
        <w:bottom w:val="none" w:sz="0" w:space="0" w:color="auto"/>
        <w:right w:val="none" w:sz="0" w:space="0" w:color="auto"/>
      </w:divBdr>
    </w:div>
    <w:div w:id="998728249">
      <w:bodyDiv w:val="1"/>
      <w:marLeft w:val="0"/>
      <w:marRight w:val="0"/>
      <w:marTop w:val="0"/>
      <w:marBottom w:val="0"/>
      <w:divBdr>
        <w:top w:val="none" w:sz="0" w:space="0" w:color="auto"/>
        <w:left w:val="none" w:sz="0" w:space="0" w:color="auto"/>
        <w:bottom w:val="none" w:sz="0" w:space="0" w:color="auto"/>
        <w:right w:val="none" w:sz="0" w:space="0" w:color="auto"/>
      </w:divBdr>
    </w:div>
    <w:div w:id="1033461565">
      <w:bodyDiv w:val="1"/>
      <w:marLeft w:val="0"/>
      <w:marRight w:val="0"/>
      <w:marTop w:val="0"/>
      <w:marBottom w:val="0"/>
      <w:divBdr>
        <w:top w:val="none" w:sz="0" w:space="0" w:color="auto"/>
        <w:left w:val="none" w:sz="0" w:space="0" w:color="auto"/>
        <w:bottom w:val="none" w:sz="0" w:space="0" w:color="auto"/>
        <w:right w:val="none" w:sz="0" w:space="0" w:color="auto"/>
      </w:divBdr>
    </w:div>
    <w:div w:id="1043942123">
      <w:bodyDiv w:val="1"/>
      <w:marLeft w:val="0"/>
      <w:marRight w:val="0"/>
      <w:marTop w:val="0"/>
      <w:marBottom w:val="0"/>
      <w:divBdr>
        <w:top w:val="none" w:sz="0" w:space="0" w:color="auto"/>
        <w:left w:val="none" w:sz="0" w:space="0" w:color="auto"/>
        <w:bottom w:val="none" w:sz="0" w:space="0" w:color="auto"/>
        <w:right w:val="none" w:sz="0" w:space="0" w:color="auto"/>
      </w:divBdr>
    </w:div>
    <w:div w:id="1133207049">
      <w:bodyDiv w:val="1"/>
      <w:marLeft w:val="0"/>
      <w:marRight w:val="0"/>
      <w:marTop w:val="0"/>
      <w:marBottom w:val="0"/>
      <w:divBdr>
        <w:top w:val="none" w:sz="0" w:space="0" w:color="auto"/>
        <w:left w:val="none" w:sz="0" w:space="0" w:color="auto"/>
        <w:bottom w:val="none" w:sz="0" w:space="0" w:color="auto"/>
        <w:right w:val="none" w:sz="0" w:space="0" w:color="auto"/>
      </w:divBdr>
    </w:div>
    <w:div w:id="1195390311">
      <w:bodyDiv w:val="1"/>
      <w:marLeft w:val="0"/>
      <w:marRight w:val="0"/>
      <w:marTop w:val="0"/>
      <w:marBottom w:val="0"/>
      <w:divBdr>
        <w:top w:val="none" w:sz="0" w:space="0" w:color="auto"/>
        <w:left w:val="none" w:sz="0" w:space="0" w:color="auto"/>
        <w:bottom w:val="none" w:sz="0" w:space="0" w:color="auto"/>
        <w:right w:val="none" w:sz="0" w:space="0" w:color="auto"/>
      </w:divBdr>
    </w:div>
    <w:div w:id="1274633626">
      <w:bodyDiv w:val="1"/>
      <w:marLeft w:val="0"/>
      <w:marRight w:val="0"/>
      <w:marTop w:val="0"/>
      <w:marBottom w:val="0"/>
      <w:divBdr>
        <w:top w:val="none" w:sz="0" w:space="0" w:color="auto"/>
        <w:left w:val="none" w:sz="0" w:space="0" w:color="auto"/>
        <w:bottom w:val="none" w:sz="0" w:space="0" w:color="auto"/>
        <w:right w:val="none" w:sz="0" w:space="0" w:color="auto"/>
      </w:divBdr>
    </w:div>
    <w:div w:id="1280377924">
      <w:bodyDiv w:val="1"/>
      <w:marLeft w:val="0"/>
      <w:marRight w:val="0"/>
      <w:marTop w:val="0"/>
      <w:marBottom w:val="0"/>
      <w:divBdr>
        <w:top w:val="none" w:sz="0" w:space="0" w:color="auto"/>
        <w:left w:val="none" w:sz="0" w:space="0" w:color="auto"/>
        <w:bottom w:val="none" w:sz="0" w:space="0" w:color="auto"/>
        <w:right w:val="none" w:sz="0" w:space="0" w:color="auto"/>
      </w:divBdr>
    </w:div>
    <w:div w:id="1378358572">
      <w:bodyDiv w:val="1"/>
      <w:marLeft w:val="0"/>
      <w:marRight w:val="0"/>
      <w:marTop w:val="0"/>
      <w:marBottom w:val="0"/>
      <w:divBdr>
        <w:top w:val="none" w:sz="0" w:space="0" w:color="auto"/>
        <w:left w:val="none" w:sz="0" w:space="0" w:color="auto"/>
        <w:bottom w:val="none" w:sz="0" w:space="0" w:color="auto"/>
        <w:right w:val="none" w:sz="0" w:space="0" w:color="auto"/>
      </w:divBdr>
    </w:div>
    <w:div w:id="1520466510">
      <w:bodyDiv w:val="1"/>
      <w:marLeft w:val="0"/>
      <w:marRight w:val="0"/>
      <w:marTop w:val="0"/>
      <w:marBottom w:val="0"/>
      <w:divBdr>
        <w:top w:val="none" w:sz="0" w:space="0" w:color="auto"/>
        <w:left w:val="none" w:sz="0" w:space="0" w:color="auto"/>
        <w:bottom w:val="none" w:sz="0" w:space="0" w:color="auto"/>
        <w:right w:val="none" w:sz="0" w:space="0" w:color="auto"/>
      </w:divBdr>
    </w:div>
    <w:div w:id="1529098548">
      <w:bodyDiv w:val="1"/>
      <w:marLeft w:val="0"/>
      <w:marRight w:val="0"/>
      <w:marTop w:val="0"/>
      <w:marBottom w:val="0"/>
      <w:divBdr>
        <w:top w:val="none" w:sz="0" w:space="0" w:color="auto"/>
        <w:left w:val="none" w:sz="0" w:space="0" w:color="auto"/>
        <w:bottom w:val="none" w:sz="0" w:space="0" w:color="auto"/>
        <w:right w:val="none" w:sz="0" w:space="0" w:color="auto"/>
      </w:divBdr>
    </w:div>
    <w:div w:id="1532257998">
      <w:bodyDiv w:val="1"/>
      <w:marLeft w:val="0"/>
      <w:marRight w:val="0"/>
      <w:marTop w:val="0"/>
      <w:marBottom w:val="0"/>
      <w:divBdr>
        <w:top w:val="none" w:sz="0" w:space="0" w:color="auto"/>
        <w:left w:val="none" w:sz="0" w:space="0" w:color="auto"/>
        <w:bottom w:val="none" w:sz="0" w:space="0" w:color="auto"/>
        <w:right w:val="none" w:sz="0" w:space="0" w:color="auto"/>
      </w:divBdr>
    </w:div>
    <w:div w:id="1543441125">
      <w:bodyDiv w:val="1"/>
      <w:marLeft w:val="0"/>
      <w:marRight w:val="0"/>
      <w:marTop w:val="0"/>
      <w:marBottom w:val="0"/>
      <w:divBdr>
        <w:top w:val="none" w:sz="0" w:space="0" w:color="auto"/>
        <w:left w:val="none" w:sz="0" w:space="0" w:color="auto"/>
        <w:bottom w:val="none" w:sz="0" w:space="0" w:color="auto"/>
        <w:right w:val="none" w:sz="0" w:space="0" w:color="auto"/>
      </w:divBdr>
    </w:div>
    <w:div w:id="1573196520">
      <w:bodyDiv w:val="1"/>
      <w:marLeft w:val="0"/>
      <w:marRight w:val="0"/>
      <w:marTop w:val="0"/>
      <w:marBottom w:val="0"/>
      <w:divBdr>
        <w:top w:val="none" w:sz="0" w:space="0" w:color="auto"/>
        <w:left w:val="none" w:sz="0" w:space="0" w:color="auto"/>
        <w:bottom w:val="none" w:sz="0" w:space="0" w:color="auto"/>
        <w:right w:val="none" w:sz="0" w:space="0" w:color="auto"/>
      </w:divBdr>
    </w:div>
    <w:div w:id="1641881925">
      <w:bodyDiv w:val="1"/>
      <w:marLeft w:val="0"/>
      <w:marRight w:val="0"/>
      <w:marTop w:val="0"/>
      <w:marBottom w:val="0"/>
      <w:divBdr>
        <w:top w:val="none" w:sz="0" w:space="0" w:color="auto"/>
        <w:left w:val="none" w:sz="0" w:space="0" w:color="auto"/>
        <w:bottom w:val="none" w:sz="0" w:space="0" w:color="auto"/>
        <w:right w:val="none" w:sz="0" w:space="0" w:color="auto"/>
      </w:divBdr>
    </w:div>
    <w:div w:id="1704329252">
      <w:bodyDiv w:val="1"/>
      <w:marLeft w:val="0"/>
      <w:marRight w:val="0"/>
      <w:marTop w:val="0"/>
      <w:marBottom w:val="0"/>
      <w:divBdr>
        <w:top w:val="none" w:sz="0" w:space="0" w:color="auto"/>
        <w:left w:val="none" w:sz="0" w:space="0" w:color="auto"/>
        <w:bottom w:val="none" w:sz="0" w:space="0" w:color="auto"/>
        <w:right w:val="none" w:sz="0" w:space="0" w:color="auto"/>
      </w:divBdr>
    </w:div>
    <w:div w:id="1943606415">
      <w:bodyDiv w:val="1"/>
      <w:marLeft w:val="0"/>
      <w:marRight w:val="0"/>
      <w:marTop w:val="0"/>
      <w:marBottom w:val="0"/>
      <w:divBdr>
        <w:top w:val="none" w:sz="0" w:space="0" w:color="auto"/>
        <w:left w:val="none" w:sz="0" w:space="0" w:color="auto"/>
        <w:bottom w:val="none" w:sz="0" w:space="0" w:color="auto"/>
        <w:right w:val="none" w:sz="0" w:space="0" w:color="auto"/>
      </w:divBdr>
    </w:div>
    <w:div w:id="1963421457">
      <w:bodyDiv w:val="1"/>
      <w:marLeft w:val="0"/>
      <w:marRight w:val="0"/>
      <w:marTop w:val="0"/>
      <w:marBottom w:val="0"/>
      <w:divBdr>
        <w:top w:val="none" w:sz="0" w:space="0" w:color="auto"/>
        <w:left w:val="none" w:sz="0" w:space="0" w:color="auto"/>
        <w:bottom w:val="none" w:sz="0" w:space="0" w:color="auto"/>
        <w:right w:val="none" w:sz="0" w:space="0" w:color="auto"/>
      </w:divBdr>
    </w:div>
    <w:div w:id="1984658480">
      <w:bodyDiv w:val="1"/>
      <w:marLeft w:val="0"/>
      <w:marRight w:val="0"/>
      <w:marTop w:val="0"/>
      <w:marBottom w:val="0"/>
      <w:divBdr>
        <w:top w:val="none" w:sz="0" w:space="0" w:color="auto"/>
        <w:left w:val="none" w:sz="0" w:space="0" w:color="auto"/>
        <w:bottom w:val="none" w:sz="0" w:space="0" w:color="auto"/>
        <w:right w:val="none" w:sz="0" w:space="0" w:color="auto"/>
      </w:divBdr>
    </w:div>
    <w:div w:id="20571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06c5a57-8f5c-4de1-a895-399cda7859bc">
      <UserInfo>
        <DisplayName>ELLIOTT, Trevor</DisplayName>
        <AccountId>413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927C-5CAC-40C1-B54B-C37F99C2D8FC}">
  <ds:schemaRefs>
    <ds:schemaRef ds:uri="http://schemas.microsoft.com/office/2006/documentManagement/types"/>
    <ds:schemaRef ds:uri="http://schemas.openxmlformats.org/package/2006/metadata/core-properties"/>
    <ds:schemaRef ds:uri="http://purl.org/dc/elements/1.1/"/>
    <ds:schemaRef ds:uri="906c5a57-8f5c-4de1-a895-399cda7859bc"/>
    <ds:schemaRef ds:uri="http://schemas.microsoft.com/office/infopath/2007/PartnerControls"/>
    <ds:schemaRef ds:uri="http://purl.org/dc/terms/"/>
    <ds:schemaRef ds:uri="da13057a-72c5-49de-bee4-ff261e81e83e"/>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F30031-6F2B-42AE-8F14-0C5CD53F5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3C5F3-9433-4320-BF11-959CF19F012B}">
  <ds:schemaRefs>
    <ds:schemaRef ds:uri="http://schemas.microsoft.com/sharepoint/v3/contenttype/forms"/>
  </ds:schemaRefs>
</ds:datastoreItem>
</file>

<file path=customXml/itemProps4.xml><?xml version="1.0" encoding="utf-8"?>
<ds:datastoreItem xmlns:ds="http://schemas.openxmlformats.org/officeDocument/2006/customXml" ds:itemID="{5320FF40-4600-4A3E-BF2F-B72270680976}">
  <ds:schemaRefs>
    <ds:schemaRef ds:uri="http://schemas.microsoft.com/sharepoint/events"/>
  </ds:schemaRefs>
</ds:datastoreItem>
</file>

<file path=customXml/itemProps5.xml><?xml version="1.0" encoding="utf-8"?>
<ds:datastoreItem xmlns:ds="http://schemas.openxmlformats.org/officeDocument/2006/customXml" ds:itemID="{9A2C65D8-562D-4D7B-B9AE-B531AFD0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2967</Words>
  <Characters>16539</Characters>
  <Application>Microsoft Office Word</Application>
  <DocSecurity>0</DocSecurity>
  <Lines>477</Lines>
  <Paragraphs>261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HARREX, Sarah</dc:creator>
  <cp:keywords>[SEC=OFFICIAL]</cp:keywords>
  <cp:lastModifiedBy>ASCENCIO NAVARRO, David</cp:lastModifiedBy>
  <cp:revision>6</cp:revision>
  <cp:lastPrinted>2020-03-18T05:34:00Z</cp:lastPrinted>
  <dcterms:created xsi:type="dcterms:W3CDTF">2020-04-01T00:11:00Z</dcterms:created>
  <dcterms:modified xsi:type="dcterms:W3CDTF">2022-07-13T03:44:00Z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971BF0A62E154D54899EC543108BA61F</vt:lpwstr>
  </property>
  <property fmtid="{D5CDD505-2E9C-101B-9397-08002B2CF9AE}" pid="10" name="PM_ProtectiveMarkingValue_Footer">
    <vt:lpwstr>OFFICIAL</vt:lpwstr>
  </property>
  <property fmtid="{D5CDD505-2E9C-101B-9397-08002B2CF9AE}" pid="11" name="PM_Originator_Hash_SHA1">
    <vt:lpwstr>2472B23DD73C4C4AA3AFF8BAA407407A5E72F7DA</vt:lpwstr>
  </property>
  <property fmtid="{D5CDD505-2E9C-101B-9397-08002B2CF9AE}" pid="12" name="PM_OriginationTimeStamp">
    <vt:lpwstr>2022-07-13T03:44:53Z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AF3C5C8AD42DC0195C4130D746FDA7BA</vt:lpwstr>
  </property>
  <property fmtid="{D5CDD505-2E9C-101B-9397-08002B2CF9AE}" pid="22" name="PM_Hash_Salt">
    <vt:lpwstr>A4260B40125AB7C3A4E74D110DBC6ED4</vt:lpwstr>
  </property>
  <property fmtid="{D5CDD505-2E9C-101B-9397-08002B2CF9AE}" pid="23" name="PM_Hash_SHA1">
    <vt:lpwstr>3723F5B848C92FC93121D3104F39DEE9CE152291</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UNOFFICIAL</vt:lpwstr>
  </property>
  <property fmtid="{D5CDD505-2E9C-101B-9397-08002B2CF9AE}" pid="28" name="PM_Qualifier_Prev">
    <vt:lpwstr/>
  </property>
</Properties>
</file>