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bookmarkStart w:id="1" w:name="_GoBack"/>
      <w:bookmarkEnd w:id="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w:t>
      </w:r>
      <w:r w:rsidR="00BF190B">
        <w:rPr>
          <w:rFonts w:asciiTheme="minorHAnsi" w:hAnsiTheme="minorHAnsi" w:cs="Calibri"/>
          <w:sz w:val="32"/>
          <w:szCs w:val="32"/>
        </w:rPr>
        <w:t>1</w:t>
      </w:r>
      <w:r>
        <w:rPr>
          <w:rFonts w:asciiTheme="minorHAnsi" w:hAnsiTheme="minorHAnsi" w:cs="Calibri"/>
          <w:sz w:val="32"/>
          <w:szCs w:val="32"/>
        </w:rPr>
        <w:t xml:space="preserve"> </w:t>
      </w:r>
      <w:r w:rsidR="001C2133">
        <w:rPr>
          <w:rFonts w:asciiTheme="minorHAnsi" w:hAnsiTheme="minorHAnsi" w:cs="Calibri"/>
          <w:sz w:val="32"/>
          <w:szCs w:val="32"/>
        </w:rPr>
        <w:t>March</w:t>
      </w:r>
      <w:r w:rsidR="00B95BC2">
        <w:rPr>
          <w:rFonts w:asciiTheme="minorHAnsi" w:hAnsiTheme="minorHAnsi" w:cs="Calibri"/>
          <w:sz w:val="32"/>
          <w:szCs w:val="32"/>
        </w:rPr>
        <w:t xml:space="preserve"> 202</w:t>
      </w:r>
      <w:r w:rsidR="001C2133">
        <w:rPr>
          <w:rFonts w:asciiTheme="minorHAnsi" w:hAnsiTheme="minorHAnsi" w:cs="Calibri"/>
          <w:sz w:val="32"/>
          <w:szCs w:val="32"/>
        </w:rPr>
        <w:t>1</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2" w:name="top"/>
      <w:bookmarkEnd w:id="2"/>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1C2133">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2A6AA2">
              <w:rPr>
                <w:rFonts w:ascii="Calibri" w:hAnsi="Calibri" w:cs="Microsoft Sans Serif"/>
                <w:sz w:val="22"/>
                <w:szCs w:val="22"/>
              </w:rPr>
              <w:t>31</w:t>
            </w:r>
            <w:r w:rsidR="00663F72">
              <w:rPr>
                <w:rFonts w:ascii="Calibri" w:hAnsi="Calibri" w:cs="Microsoft Sans Serif"/>
                <w:sz w:val="22"/>
                <w:szCs w:val="22"/>
              </w:rPr>
              <w:t xml:space="preserve"> </w:t>
            </w:r>
            <w:r w:rsidR="001C2133">
              <w:rPr>
                <w:rFonts w:ascii="Calibri" w:hAnsi="Calibri" w:cs="Microsoft Sans Serif"/>
                <w:sz w:val="22"/>
                <w:szCs w:val="22"/>
              </w:rPr>
              <w:t>March</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w:t>
            </w:r>
            <w:r w:rsidR="001C2133">
              <w:rPr>
                <w:rFonts w:ascii="Calibri" w:hAnsi="Calibri" w:cs="Microsoft Sans Serif"/>
                <w:sz w:val="22"/>
                <w:szCs w:val="22"/>
              </w:rPr>
              <w:t>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E47755">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w:t>
            </w:r>
            <w:r w:rsidR="00155398" w:rsidRPr="00FC7BC4">
              <w:rPr>
                <w:rFonts w:ascii="Calibri" w:hAnsi="Calibri" w:cs="Microsoft Sans Serif"/>
                <w:sz w:val="22"/>
                <w:szCs w:val="22"/>
              </w:rPr>
              <w:t xml:space="preserve"> of</w:t>
            </w:r>
            <w:r w:rsidR="003220DA" w:rsidRPr="00FC7BC4">
              <w:rPr>
                <w:rFonts w:ascii="Calibri" w:hAnsi="Calibri" w:cs="Microsoft Sans Serif"/>
                <w:sz w:val="22"/>
                <w:szCs w:val="22"/>
              </w:rPr>
              <w:t xml:space="preserve"> active</w:t>
            </w:r>
            <w:r w:rsidR="00155398" w:rsidRPr="00FC7BC4">
              <w:rPr>
                <w:rFonts w:ascii="Calibri" w:hAnsi="Calibri" w:cs="Microsoft Sans Serif"/>
                <w:sz w:val="22"/>
                <w:szCs w:val="22"/>
              </w:rPr>
              <w:t xml:space="preserve"> </w:t>
            </w:r>
            <w:r w:rsidR="00737BF4" w:rsidRPr="00FC7BC4">
              <w:rPr>
                <w:rFonts w:ascii="Calibri" w:hAnsi="Calibri" w:cs="Microsoft Sans Serif"/>
                <w:sz w:val="22"/>
                <w:szCs w:val="22"/>
              </w:rPr>
              <w:t>allocations</w:t>
            </w:r>
            <w:r w:rsidR="00155398" w:rsidRPr="00FC7BC4">
              <w:rPr>
                <w:rFonts w:ascii="Calibri" w:hAnsi="Calibri" w:cs="Microsoft Sans Serif"/>
                <w:sz w:val="22"/>
                <w:szCs w:val="22"/>
              </w:rPr>
              <w:t xml:space="preserve">: </w:t>
            </w:r>
            <w:r w:rsidR="00593809">
              <w:rPr>
                <w:rFonts w:ascii="Calibri" w:hAnsi="Calibri" w:cs="Microsoft Sans Serif"/>
                <w:sz w:val="22"/>
                <w:szCs w:val="22"/>
              </w:rPr>
              <w:t>32,037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w:t>
            </w:r>
            <w:r w:rsidR="00737BF4" w:rsidRPr="00FC7BC4">
              <w:rPr>
                <w:rFonts w:ascii="Calibri" w:hAnsi="Calibri" w:cs="Microsoft Sans Serif"/>
                <w:sz w:val="22"/>
                <w:szCs w:val="22"/>
              </w:rPr>
              <w:t>provisional allocations</w:t>
            </w:r>
            <w:r w:rsidR="002125CD" w:rsidRPr="00FC7BC4">
              <w:rPr>
                <w:rFonts w:ascii="Calibri" w:hAnsi="Calibri" w:cs="Microsoft Sans Serif"/>
                <w:sz w:val="22"/>
                <w:szCs w:val="22"/>
              </w:rPr>
              <w:t xml:space="preserve">: </w:t>
            </w:r>
            <w:r w:rsidR="00FC7BC4" w:rsidRPr="00FC7BC4">
              <w:rPr>
                <w:rFonts w:ascii="Calibri" w:hAnsi="Calibri" w:cs="Microsoft Sans Serif"/>
                <w:sz w:val="22"/>
                <w:szCs w:val="22"/>
              </w:rPr>
              <w:t>893</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A65C76"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Total a</w:t>
            </w:r>
            <w:r w:rsidR="00737BF4" w:rsidRPr="00FC7BC4">
              <w:rPr>
                <w:rFonts w:ascii="Calibri" w:hAnsi="Calibri" w:cs="Microsoft Sans Serif"/>
                <w:sz w:val="22"/>
                <w:szCs w:val="22"/>
              </w:rPr>
              <w:t xml:space="preserve">llocations </w:t>
            </w:r>
            <w:r w:rsidR="00155398" w:rsidRPr="00FC7BC4">
              <w:rPr>
                <w:rFonts w:ascii="Calibri" w:hAnsi="Calibri" w:cs="Microsoft Sans Serif"/>
                <w:sz w:val="22"/>
                <w:szCs w:val="22"/>
              </w:rPr>
              <w:t xml:space="preserve">: </w:t>
            </w:r>
            <w:r w:rsidR="00FC7BC4" w:rsidRPr="00FC7BC4">
              <w:rPr>
                <w:rFonts w:ascii="Calibri" w:hAnsi="Calibri" w:cs="Microsoft Sans Serif"/>
                <w:sz w:val="22"/>
                <w:szCs w:val="22"/>
              </w:rPr>
              <w:t>32,930</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FC7BC4" w:rsidRDefault="00B424EE"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ceased allocations: </w:t>
            </w:r>
            <w:r w:rsidR="00FC7BC4" w:rsidRPr="00FC7BC4">
              <w:rPr>
                <w:rFonts w:ascii="Calibri" w:hAnsi="Calibri" w:cs="Microsoft Sans Serif"/>
                <w:sz w:val="22"/>
                <w:szCs w:val="22"/>
              </w:rPr>
              <w:t>3,659</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w:t>
            </w:r>
            <w:r w:rsidR="008B2230" w:rsidRPr="00FC7BC4">
              <w:rPr>
                <w:rFonts w:ascii="Calibri" w:hAnsi="Calibri" w:cs="Microsoft Sans Serif"/>
                <w:sz w:val="22"/>
                <w:szCs w:val="22"/>
              </w:rPr>
              <w:t xml:space="preserve">er of approved participants: </w:t>
            </w:r>
            <w:r w:rsidR="00C02F37" w:rsidRPr="00FC7BC4">
              <w:rPr>
                <w:rFonts w:ascii="Calibri" w:hAnsi="Calibri" w:cs="Microsoft Sans Serif"/>
                <w:sz w:val="22"/>
                <w:szCs w:val="22"/>
              </w:rPr>
              <w:t>11</w:t>
            </w:r>
            <w:r w:rsidR="00FC7BC4" w:rsidRPr="00FC7BC4">
              <w:rPr>
                <w:rFonts w:ascii="Calibri" w:hAnsi="Calibri" w:cs="Microsoft Sans Serif"/>
                <w:sz w:val="22"/>
                <w:szCs w:val="22"/>
              </w:rPr>
              <w:t>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4B723A">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approved participants who have </w:t>
            </w:r>
            <w:r w:rsidR="00737BF4" w:rsidRPr="00FC7BC4">
              <w:rPr>
                <w:rFonts w:ascii="Calibri" w:hAnsi="Calibri" w:cs="Microsoft Sans Serif"/>
                <w:sz w:val="22"/>
                <w:szCs w:val="22"/>
              </w:rPr>
              <w:t xml:space="preserve">allocations </w:t>
            </w:r>
            <w:r w:rsidR="00C02F37" w:rsidRPr="00FC7BC4">
              <w:rPr>
                <w:rFonts w:ascii="Calibri" w:hAnsi="Calibri" w:cs="Microsoft Sans Serif"/>
                <w:sz w:val="22"/>
                <w:szCs w:val="22"/>
              </w:rPr>
              <w:t>in multiple jurisdictions: 10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FC7BC4" w:rsidRDefault="00AE3AE7" w:rsidP="008D3D8C">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for profit/other </w:t>
            </w:r>
            <w:r w:rsidR="004B723A" w:rsidRPr="00FC7BC4">
              <w:rPr>
                <w:rFonts w:ascii="Calibri" w:hAnsi="Calibri" w:cs="Microsoft Sans Serif"/>
                <w:sz w:val="22"/>
                <w:szCs w:val="22"/>
              </w:rPr>
              <w:t>approved participants:</w:t>
            </w:r>
            <w:r w:rsidR="00A95788" w:rsidRPr="00FC7BC4">
              <w:rPr>
                <w:rFonts w:ascii="Calibri" w:hAnsi="Calibri" w:cs="Microsoft Sans Serif"/>
                <w:sz w:val="22"/>
                <w:szCs w:val="22"/>
              </w:rPr>
              <w:t xml:space="preserve"> </w:t>
            </w:r>
            <w:r w:rsidR="00FC7BC4" w:rsidRPr="00FC7BC4">
              <w:rPr>
                <w:rFonts w:ascii="Calibri" w:hAnsi="Calibri" w:cs="Microsoft Sans Serif"/>
                <w:sz w:val="22"/>
                <w:szCs w:val="22"/>
              </w:rPr>
              <w:t>36</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8B61E4">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 of approved participants who are endorsed charities:</w:t>
            </w:r>
            <w:r w:rsidR="003A2185" w:rsidRPr="00FC7BC4">
              <w:rPr>
                <w:rFonts w:ascii="Calibri" w:hAnsi="Calibri" w:cs="Microsoft Sans Serif"/>
                <w:sz w:val="22"/>
                <w:szCs w:val="22"/>
              </w:rPr>
              <w:t xml:space="preserve"> </w:t>
            </w:r>
            <w:r w:rsidR="00663F72" w:rsidRPr="00FC7BC4">
              <w:rPr>
                <w:rFonts w:ascii="Calibri" w:hAnsi="Calibri" w:cs="Microsoft Sans Serif"/>
                <w:sz w:val="22"/>
                <w:szCs w:val="22"/>
              </w:rPr>
              <w:t>7</w:t>
            </w:r>
            <w:r w:rsidR="00FC7BC4" w:rsidRPr="00FC7BC4">
              <w:rPr>
                <w:rFonts w:ascii="Calibri" w:hAnsi="Calibri" w:cs="Microsoft Sans Serif"/>
                <w:sz w:val="22"/>
                <w:szCs w:val="22"/>
              </w:rPr>
              <w:t>6</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65"/>
        <w:gridCol w:w="1564"/>
        <w:gridCol w:w="1029"/>
        <w:gridCol w:w="2166"/>
        <w:gridCol w:w="1030"/>
        <w:gridCol w:w="1449"/>
        <w:gridCol w:w="1029"/>
      </w:tblGrid>
      <w:tr w:rsidR="00853714" w:rsidRPr="00B175E0" w:rsidTr="00E47755">
        <w:trPr>
          <w:trHeight w:val="227"/>
          <w:tblHeader/>
        </w:trPr>
        <w:tc>
          <w:tcPr>
            <w:tcW w:w="753" w:type="pct"/>
            <w:shd w:val="clear" w:color="DCE6F1" w:fill="DCE6F1"/>
            <w:noWrap/>
            <w:vAlign w:val="center"/>
            <w:hideMark/>
          </w:tcPr>
          <w:p w:rsidR="00853714" w:rsidRDefault="00853714" w:rsidP="00853714">
            <w:pPr>
              <w:rPr>
                <w:rFonts w:ascii="Calibri" w:hAnsi="Calibri" w:cs="Calibri"/>
                <w:b/>
                <w:bCs/>
                <w:color w:val="000000"/>
                <w:sz w:val="18"/>
                <w:szCs w:val="18"/>
              </w:rPr>
            </w:pPr>
            <w:r>
              <w:rPr>
                <w:rFonts w:ascii="Calibri" w:hAnsi="Calibri" w:cs="Calibri"/>
                <w:b/>
                <w:bCs/>
                <w:color w:val="000000"/>
                <w:sz w:val="18"/>
                <w:szCs w:val="18"/>
              </w:rPr>
              <w:t>State</w:t>
            </w:r>
          </w:p>
        </w:tc>
        <w:tc>
          <w:tcPr>
            <w:tcW w:w="80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113"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4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NSW</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5,568</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16.91%</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108</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0.33%</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5,676</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17.24%</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Vic.</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5,440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16.52%</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5,440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16.52%</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Qld.</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9,551</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29.00%</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9,551</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29.00%</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WA</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4,266</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12.95%</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735</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2.23%</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5,001</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15.19%</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SA</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3,074</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9.33%</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3,074</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9.33%</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Tas.</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1,307</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3.97%</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1,307</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3.97%</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ACT</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1,824</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5.54%</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1,824</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5.54%</w:t>
            </w:r>
          </w:p>
        </w:tc>
      </w:tr>
      <w:tr w:rsidR="00CC2C4C" w:rsidRPr="00B175E0" w:rsidTr="00E47755">
        <w:trPr>
          <w:trHeight w:val="227"/>
        </w:trPr>
        <w:tc>
          <w:tcPr>
            <w:tcW w:w="753" w:type="pct"/>
            <w:shd w:val="clear" w:color="auto" w:fill="auto"/>
            <w:noWrap/>
            <w:vAlign w:val="center"/>
          </w:tcPr>
          <w:p w:rsidR="00CC2C4C" w:rsidRDefault="00CC2C4C" w:rsidP="00CC2C4C">
            <w:pPr>
              <w:rPr>
                <w:rFonts w:ascii="Calibri" w:hAnsi="Calibri" w:cs="Calibri"/>
                <w:color w:val="000000"/>
                <w:sz w:val="18"/>
                <w:szCs w:val="18"/>
              </w:rPr>
            </w:pPr>
            <w:r>
              <w:rPr>
                <w:rFonts w:ascii="Calibri" w:hAnsi="Calibri" w:cs="Calibri"/>
                <w:color w:val="000000"/>
                <w:sz w:val="18"/>
                <w:szCs w:val="18"/>
              </w:rPr>
              <w:t>NT</w:t>
            </w:r>
          </w:p>
        </w:tc>
        <w:tc>
          <w:tcPr>
            <w:tcW w:w="80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1,007</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3.06%</w:t>
            </w:r>
          </w:p>
        </w:tc>
        <w:tc>
          <w:tcPr>
            <w:tcW w:w="1113"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50</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0.15%</w:t>
            </w:r>
          </w:p>
        </w:tc>
        <w:tc>
          <w:tcPr>
            <w:tcW w:w="744"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1,057</w:t>
            </w:r>
          </w:p>
        </w:tc>
        <w:tc>
          <w:tcPr>
            <w:tcW w:w="529" w:type="pct"/>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3.21%</w:t>
            </w:r>
          </w:p>
        </w:tc>
      </w:tr>
      <w:tr w:rsidR="00CC2C4C" w:rsidRPr="00B175E0" w:rsidTr="00E47755">
        <w:trPr>
          <w:trHeight w:val="227"/>
        </w:trPr>
        <w:tc>
          <w:tcPr>
            <w:tcW w:w="753" w:type="pct"/>
            <w:shd w:val="clear" w:color="DCE6F1" w:fill="DCE6F1"/>
            <w:noWrap/>
            <w:vAlign w:val="center"/>
          </w:tcPr>
          <w:p w:rsidR="00CC2C4C" w:rsidRDefault="00CC2C4C" w:rsidP="00CC2C4C">
            <w:pPr>
              <w:rPr>
                <w:rFonts w:ascii="Calibri" w:hAnsi="Calibri" w:cs="Calibri"/>
                <w:b/>
                <w:bCs/>
                <w:color w:val="000000"/>
                <w:sz w:val="18"/>
                <w:szCs w:val="18"/>
              </w:rPr>
            </w:pPr>
            <w:r>
              <w:rPr>
                <w:rFonts w:ascii="Calibri" w:hAnsi="Calibri" w:cs="Calibri"/>
                <w:b/>
                <w:bCs/>
                <w:color w:val="000000"/>
                <w:sz w:val="18"/>
                <w:szCs w:val="18"/>
              </w:rPr>
              <w:t>Total</w:t>
            </w:r>
          </w:p>
        </w:tc>
        <w:tc>
          <w:tcPr>
            <w:tcW w:w="804"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32,037</w:t>
            </w:r>
          </w:p>
        </w:tc>
        <w:tc>
          <w:tcPr>
            <w:tcW w:w="529"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97.29%</w:t>
            </w:r>
          </w:p>
        </w:tc>
        <w:tc>
          <w:tcPr>
            <w:tcW w:w="1113"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893</w:t>
            </w:r>
          </w:p>
        </w:tc>
        <w:tc>
          <w:tcPr>
            <w:tcW w:w="529"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2.71%</w:t>
            </w:r>
          </w:p>
        </w:tc>
        <w:tc>
          <w:tcPr>
            <w:tcW w:w="744"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32,930</w:t>
            </w:r>
          </w:p>
        </w:tc>
        <w:tc>
          <w:tcPr>
            <w:tcW w:w="529" w:type="pct"/>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50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4218"/>
        <w:gridCol w:w="1116"/>
        <w:gridCol w:w="1116"/>
        <w:gridCol w:w="1116"/>
        <w:gridCol w:w="1116"/>
        <w:gridCol w:w="1108"/>
      </w:tblGrid>
      <w:tr w:rsidR="00CC2C4C" w:rsidRPr="0093568F" w:rsidTr="00CC2C4C">
        <w:trPr>
          <w:trHeight w:val="255"/>
        </w:trPr>
        <w:tc>
          <w:tcPr>
            <w:tcW w:w="2154" w:type="pct"/>
            <w:shd w:val="clear" w:color="DCE6F1" w:fill="DCE6F1"/>
            <w:noWrap/>
            <w:vAlign w:val="center"/>
          </w:tcPr>
          <w:p w:rsidR="00CC2C4C" w:rsidRPr="001010B9" w:rsidRDefault="00CC2C4C" w:rsidP="00CC2C4C">
            <w:pPr>
              <w:rPr>
                <w:rFonts w:asciiTheme="minorHAnsi" w:hAnsiTheme="minorHAnsi"/>
                <w:b/>
                <w:sz w:val="18"/>
                <w:szCs w:val="18"/>
              </w:rPr>
            </w:pPr>
            <w:r w:rsidRPr="001010B9">
              <w:rPr>
                <w:rFonts w:asciiTheme="minorHAnsi" w:hAnsiTheme="minorHAnsi"/>
                <w:b/>
                <w:sz w:val="18"/>
                <w:szCs w:val="18"/>
              </w:rPr>
              <w:t>NRAS Summary</w:t>
            </w:r>
          </w:p>
        </w:tc>
        <w:tc>
          <w:tcPr>
            <w:tcW w:w="570" w:type="pct"/>
            <w:shd w:val="clear" w:color="DCE6F1" w:fill="DCE6F1"/>
            <w:vAlign w:val="bottom"/>
          </w:tcPr>
          <w:p w:rsidR="00CC2C4C" w:rsidRDefault="00CC2C4C" w:rsidP="00CC2C4C">
            <w:pPr>
              <w:jc w:val="right"/>
              <w:rPr>
                <w:rFonts w:ascii="Calibri" w:hAnsi="Calibri" w:cs="Microsoft Sans Serif"/>
                <w:b/>
                <w:bCs/>
                <w:sz w:val="18"/>
                <w:szCs w:val="18"/>
              </w:rPr>
            </w:pPr>
            <w:r>
              <w:rPr>
                <w:rFonts w:ascii="Calibri" w:hAnsi="Calibri" w:cs="Microsoft Sans Serif"/>
                <w:b/>
                <w:bCs/>
                <w:sz w:val="18"/>
                <w:szCs w:val="18"/>
              </w:rPr>
              <w:t>March Qtr. 2020</w:t>
            </w:r>
          </w:p>
        </w:tc>
        <w:tc>
          <w:tcPr>
            <w:tcW w:w="570" w:type="pct"/>
            <w:shd w:val="clear" w:color="DCE6F1" w:fill="DCE6F1"/>
            <w:vAlign w:val="bottom"/>
          </w:tcPr>
          <w:p w:rsidR="00CC2C4C" w:rsidRDefault="00CC2C4C" w:rsidP="00CC2C4C">
            <w:pPr>
              <w:jc w:val="right"/>
              <w:rPr>
                <w:rFonts w:ascii="Calibri" w:hAnsi="Calibri" w:cs="Microsoft Sans Serif"/>
                <w:b/>
                <w:bCs/>
                <w:sz w:val="18"/>
                <w:szCs w:val="18"/>
              </w:rPr>
            </w:pPr>
            <w:r>
              <w:rPr>
                <w:rFonts w:ascii="Calibri" w:hAnsi="Calibri" w:cs="Microsoft Sans Serif"/>
                <w:b/>
                <w:bCs/>
                <w:sz w:val="18"/>
                <w:szCs w:val="18"/>
              </w:rPr>
              <w:t>Jun Qtr. 2020</w:t>
            </w:r>
          </w:p>
        </w:tc>
        <w:tc>
          <w:tcPr>
            <w:tcW w:w="570" w:type="pct"/>
            <w:shd w:val="clear" w:color="DCE6F1" w:fill="DCE6F1"/>
            <w:vAlign w:val="bottom"/>
          </w:tcPr>
          <w:p w:rsidR="00CC2C4C" w:rsidRDefault="00CC2C4C" w:rsidP="00CC2C4C">
            <w:pPr>
              <w:jc w:val="right"/>
              <w:rPr>
                <w:rFonts w:ascii="Calibri" w:hAnsi="Calibri" w:cs="Microsoft Sans Serif"/>
                <w:b/>
                <w:bCs/>
                <w:sz w:val="18"/>
                <w:szCs w:val="18"/>
              </w:rPr>
            </w:pPr>
            <w:r>
              <w:rPr>
                <w:rFonts w:ascii="Calibri" w:hAnsi="Calibri" w:cs="Microsoft Sans Serif"/>
                <w:b/>
                <w:bCs/>
                <w:sz w:val="18"/>
                <w:szCs w:val="18"/>
              </w:rPr>
              <w:t>Sep Qtr. 2020</w:t>
            </w:r>
          </w:p>
        </w:tc>
        <w:tc>
          <w:tcPr>
            <w:tcW w:w="570" w:type="pct"/>
            <w:shd w:val="clear" w:color="DCE6F1" w:fill="DCE6F1"/>
            <w:vAlign w:val="bottom"/>
          </w:tcPr>
          <w:p w:rsidR="00CC2C4C" w:rsidRDefault="00CC2C4C" w:rsidP="00CC2C4C">
            <w:pPr>
              <w:jc w:val="right"/>
              <w:rPr>
                <w:rFonts w:ascii="Calibri" w:hAnsi="Calibri" w:cs="Microsoft Sans Serif"/>
                <w:b/>
                <w:bCs/>
                <w:sz w:val="18"/>
                <w:szCs w:val="18"/>
              </w:rPr>
            </w:pPr>
            <w:r>
              <w:rPr>
                <w:rFonts w:ascii="Calibri" w:hAnsi="Calibri" w:cs="Microsoft Sans Serif"/>
                <w:b/>
                <w:bCs/>
                <w:sz w:val="18"/>
                <w:szCs w:val="18"/>
              </w:rPr>
              <w:t>Dec Qtr. 2020</w:t>
            </w:r>
          </w:p>
        </w:tc>
        <w:tc>
          <w:tcPr>
            <w:tcW w:w="566" w:type="pct"/>
            <w:shd w:val="clear" w:color="DCE6F1" w:fill="DCE6F1"/>
            <w:vAlign w:val="bottom"/>
          </w:tcPr>
          <w:p w:rsidR="00CC2C4C" w:rsidRDefault="00CC2C4C" w:rsidP="00CC2C4C">
            <w:pPr>
              <w:jc w:val="right"/>
              <w:rPr>
                <w:rFonts w:ascii="Calibri" w:hAnsi="Calibri" w:cs="Microsoft Sans Serif"/>
                <w:b/>
                <w:bCs/>
                <w:sz w:val="18"/>
                <w:szCs w:val="18"/>
              </w:rPr>
            </w:pPr>
            <w:r>
              <w:rPr>
                <w:rFonts w:ascii="Calibri" w:hAnsi="Calibri" w:cs="Microsoft Sans Serif"/>
                <w:b/>
                <w:bCs/>
                <w:sz w:val="18"/>
                <w:szCs w:val="18"/>
              </w:rPr>
              <w:t>Mar Qtr. 2021</w:t>
            </w:r>
          </w:p>
        </w:tc>
      </w:tr>
      <w:tr w:rsidR="00CC2C4C" w:rsidRPr="0093568F" w:rsidTr="00CC2C4C">
        <w:trPr>
          <w:trHeight w:val="255"/>
        </w:trPr>
        <w:tc>
          <w:tcPr>
            <w:tcW w:w="2154" w:type="pct"/>
            <w:shd w:val="clear" w:color="auto" w:fill="auto"/>
            <w:noWrap/>
          </w:tcPr>
          <w:p w:rsidR="00CC2C4C" w:rsidRPr="0093568F" w:rsidRDefault="00CC2C4C" w:rsidP="00CC2C4C">
            <w:pPr>
              <w:rPr>
                <w:rFonts w:asciiTheme="minorHAnsi" w:hAnsiTheme="minorHAnsi"/>
                <w:sz w:val="18"/>
                <w:szCs w:val="18"/>
              </w:rPr>
            </w:pPr>
            <w:r>
              <w:rPr>
                <w:rFonts w:asciiTheme="minorHAnsi" w:hAnsiTheme="minorHAnsi"/>
                <w:sz w:val="18"/>
                <w:szCs w:val="18"/>
              </w:rPr>
              <w:t>Active allocations</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33,743</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33,468</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33,121</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32,835</w:t>
            </w:r>
          </w:p>
        </w:tc>
        <w:tc>
          <w:tcPr>
            <w:tcW w:w="566"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32,037</w:t>
            </w:r>
          </w:p>
        </w:tc>
      </w:tr>
      <w:tr w:rsidR="00CC2C4C" w:rsidRPr="0093568F" w:rsidTr="00CC2C4C">
        <w:trPr>
          <w:trHeight w:val="255"/>
        </w:trPr>
        <w:tc>
          <w:tcPr>
            <w:tcW w:w="2154" w:type="pct"/>
            <w:shd w:val="clear" w:color="auto" w:fill="auto"/>
            <w:noWrap/>
          </w:tcPr>
          <w:p w:rsidR="00CC2C4C" w:rsidRPr="0093568F" w:rsidRDefault="00CC2C4C" w:rsidP="00CC2C4C">
            <w:pPr>
              <w:rPr>
                <w:rFonts w:asciiTheme="minorHAnsi" w:hAnsiTheme="minorHAnsi"/>
                <w:sz w:val="18"/>
                <w:szCs w:val="18"/>
              </w:rPr>
            </w:pPr>
            <w:r>
              <w:rPr>
                <w:rFonts w:asciiTheme="minorHAnsi" w:hAnsiTheme="minorHAnsi"/>
                <w:sz w:val="18"/>
                <w:szCs w:val="18"/>
              </w:rPr>
              <w:t>Provisional allocations</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1,257</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1,189</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1,050</w:t>
            </w:r>
          </w:p>
        </w:tc>
        <w:tc>
          <w:tcPr>
            <w:tcW w:w="570"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970</w:t>
            </w:r>
          </w:p>
        </w:tc>
        <w:tc>
          <w:tcPr>
            <w:tcW w:w="566" w:type="pct"/>
            <w:vAlign w:val="bottom"/>
          </w:tcPr>
          <w:p w:rsidR="00CC2C4C" w:rsidRPr="002D5FDD" w:rsidRDefault="00CC2C4C" w:rsidP="00CC2C4C">
            <w:pPr>
              <w:jc w:val="right"/>
              <w:rPr>
                <w:rFonts w:ascii="Calibri" w:hAnsi="Calibri" w:cs="Microsoft Sans Serif"/>
                <w:sz w:val="18"/>
                <w:szCs w:val="18"/>
              </w:rPr>
            </w:pPr>
            <w:r>
              <w:rPr>
                <w:rFonts w:ascii="Calibri" w:hAnsi="Calibri" w:cs="Microsoft Sans Serif"/>
                <w:sz w:val="18"/>
                <w:szCs w:val="18"/>
              </w:rPr>
              <w:t>893</w:t>
            </w:r>
          </w:p>
        </w:tc>
      </w:tr>
      <w:tr w:rsidR="00CC2C4C" w:rsidRPr="0093568F" w:rsidTr="00CC2C4C">
        <w:trPr>
          <w:trHeight w:val="255"/>
        </w:trPr>
        <w:tc>
          <w:tcPr>
            <w:tcW w:w="2154" w:type="pct"/>
            <w:shd w:val="clear" w:color="auto" w:fill="DBE5F1" w:themeFill="accent1" w:themeFillTint="33"/>
            <w:noWrap/>
            <w:vAlign w:val="center"/>
          </w:tcPr>
          <w:p w:rsidR="00CC2C4C" w:rsidRPr="0026536D" w:rsidRDefault="00CC2C4C" w:rsidP="00CC2C4C">
            <w:pPr>
              <w:rPr>
                <w:rFonts w:asciiTheme="minorHAnsi" w:hAnsiTheme="minorHAnsi"/>
                <w:b/>
                <w:sz w:val="18"/>
                <w:szCs w:val="18"/>
              </w:rPr>
            </w:pPr>
            <w:r>
              <w:rPr>
                <w:rFonts w:asciiTheme="minorHAnsi" w:hAnsiTheme="minorHAnsi"/>
                <w:b/>
                <w:sz w:val="18"/>
                <w:szCs w:val="18"/>
              </w:rPr>
              <w:t>Total</w:t>
            </w:r>
          </w:p>
        </w:tc>
        <w:tc>
          <w:tcPr>
            <w:tcW w:w="570" w:type="pct"/>
            <w:shd w:val="clear" w:color="auto" w:fill="DBE5F1" w:themeFill="accent1" w:themeFillTint="33"/>
            <w:vAlign w:val="bottom"/>
          </w:tcPr>
          <w:p w:rsidR="00CC2C4C" w:rsidRPr="002D5FDD" w:rsidRDefault="00CC2C4C" w:rsidP="00CC2C4C">
            <w:pPr>
              <w:jc w:val="right"/>
              <w:rPr>
                <w:rFonts w:ascii="Calibri" w:hAnsi="Calibri" w:cs="Microsoft Sans Serif"/>
                <w:b/>
                <w:sz w:val="18"/>
                <w:szCs w:val="18"/>
              </w:rPr>
            </w:pPr>
            <w:r>
              <w:rPr>
                <w:rFonts w:ascii="Calibri" w:hAnsi="Calibri" w:cs="Microsoft Sans Serif"/>
                <w:b/>
                <w:sz w:val="18"/>
                <w:szCs w:val="18"/>
              </w:rPr>
              <w:t>35,000</w:t>
            </w:r>
          </w:p>
        </w:tc>
        <w:tc>
          <w:tcPr>
            <w:tcW w:w="570" w:type="pct"/>
            <w:shd w:val="clear" w:color="auto" w:fill="DBE5F1" w:themeFill="accent1" w:themeFillTint="33"/>
            <w:vAlign w:val="bottom"/>
          </w:tcPr>
          <w:p w:rsidR="00CC2C4C" w:rsidRPr="002D5FDD" w:rsidRDefault="00CC2C4C" w:rsidP="00CC2C4C">
            <w:pPr>
              <w:jc w:val="right"/>
              <w:rPr>
                <w:rFonts w:ascii="Calibri" w:hAnsi="Calibri" w:cs="Microsoft Sans Serif"/>
                <w:b/>
                <w:sz w:val="18"/>
                <w:szCs w:val="18"/>
              </w:rPr>
            </w:pPr>
            <w:r>
              <w:rPr>
                <w:rFonts w:ascii="Calibri" w:hAnsi="Calibri" w:cs="Microsoft Sans Serif"/>
                <w:b/>
                <w:sz w:val="18"/>
                <w:szCs w:val="18"/>
              </w:rPr>
              <w:t>34,657</w:t>
            </w:r>
          </w:p>
        </w:tc>
        <w:tc>
          <w:tcPr>
            <w:tcW w:w="570" w:type="pct"/>
            <w:shd w:val="clear" w:color="auto" w:fill="DBE5F1" w:themeFill="accent1" w:themeFillTint="33"/>
            <w:vAlign w:val="bottom"/>
          </w:tcPr>
          <w:p w:rsidR="00CC2C4C" w:rsidRPr="002D5FDD" w:rsidRDefault="00CC2C4C" w:rsidP="00CC2C4C">
            <w:pPr>
              <w:jc w:val="right"/>
              <w:rPr>
                <w:rFonts w:ascii="Calibri" w:hAnsi="Calibri" w:cs="Microsoft Sans Serif"/>
                <w:b/>
                <w:sz w:val="18"/>
                <w:szCs w:val="18"/>
              </w:rPr>
            </w:pPr>
            <w:r>
              <w:rPr>
                <w:rFonts w:ascii="Calibri" w:hAnsi="Calibri" w:cs="Microsoft Sans Serif"/>
                <w:b/>
                <w:sz w:val="18"/>
                <w:szCs w:val="18"/>
              </w:rPr>
              <w:t>34,171</w:t>
            </w:r>
          </w:p>
        </w:tc>
        <w:tc>
          <w:tcPr>
            <w:tcW w:w="570" w:type="pct"/>
            <w:shd w:val="clear" w:color="auto" w:fill="DBE5F1" w:themeFill="accent1" w:themeFillTint="33"/>
            <w:vAlign w:val="bottom"/>
          </w:tcPr>
          <w:p w:rsidR="00CC2C4C" w:rsidRPr="002D5FDD" w:rsidRDefault="00CC2C4C" w:rsidP="00CC2C4C">
            <w:pPr>
              <w:jc w:val="right"/>
              <w:rPr>
                <w:rFonts w:ascii="Calibri" w:hAnsi="Calibri" w:cs="Microsoft Sans Serif"/>
                <w:b/>
                <w:sz w:val="18"/>
                <w:szCs w:val="18"/>
              </w:rPr>
            </w:pPr>
            <w:r>
              <w:rPr>
                <w:rFonts w:ascii="Calibri" w:hAnsi="Calibri" w:cs="Microsoft Sans Serif"/>
                <w:b/>
                <w:sz w:val="18"/>
                <w:szCs w:val="18"/>
              </w:rPr>
              <w:t>33,805</w:t>
            </w:r>
          </w:p>
        </w:tc>
        <w:tc>
          <w:tcPr>
            <w:tcW w:w="566" w:type="pct"/>
            <w:shd w:val="clear" w:color="auto" w:fill="DBE5F1" w:themeFill="accent1" w:themeFillTint="33"/>
            <w:vAlign w:val="bottom"/>
          </w:tcPr>
          <w:p w:rsidR="00CC2C4C" w:rsidRPr="002D5FDD" w:rsidRDefault="00CC2C4C" w:rsidP="00CC2C4C">
            <w:pPr>
              <w:jc w:val="right"/>
              <w:rPr>
                <w:rFonts w:ascii="Calibri" w:hAnsi="Calibri" w:cs="Microsoft Sans Serif"/>
                <w:b/>
                <w:sz w:val="18"/>
                <w:szCs w:val="18"/>
              </w:rPr>
            </w:pPr>
            <w:r>
              <w:rPr>
                <w:rFonts w:ascii="Calibri" w:hAnsi="Calibri" w:cs="Microsoft Sans Serif"/>
                <w:b/>
                <w:sz w:val="18"/>
                <w:szCs w:val="18"/>
              </w:rPr>
              <w:t>32,930</w:t>
            </w:r>
          </w:p>
        </w:tc>
      </w:tr>
    </w:tbl>
    <w:p w:rsidR="00544EDF" w:rsidRPr="00544EDF" w:rsidRDefault="00D83B1F" w:rsidP="00544EDF">
      <w:pPr>
        <w:pStyle w:val="Heading2"/>
      </w:pPr>
      <w:r>
        <w:rPr>
          <w:rFonts w:asciiTheme="minorHAnsi" w:hAnsiTheme="minorHAnsi"/>
        </w:rPr>
        <w:t>3</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974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305"/>
        <w:gridCol w:w="1306"/>
        <w:gridCol w:w="1306"/>
        <w:gridCol w:w="1306"/>
        <w:gridCol w:w="1306"/>
        <w:gridCol w:w="1306"/>
        <w:gridCol w:w="1306"/>
      </w:tblGrid>
      <w:tr w:rsidR="00D47C68" w:rsidRPr="0093568F" w:rsidTr="00E47755">
        <w:trPr>
          <w:trHeight w:val="225"/>
        </w:trPr>
        <w:tc>
          <w:tcPr>
            <w:tcW w:w="606" w:type="dxa"/>
            <w:vMerge w:val="restart"/>
            <w:shd w:val="clear" w:color="000000" w:fill="DCE6F1"/>
            <w:noWrap/>
            <w:vAlign w:val="center"/>
          </w:tcPr>
          <w:p w:rsidR="00D47C68" w:rsidRPr="0093568F" w:rsidRDefault="00D47C68"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41" w:type="dxa"/>
            <w:gridSpan w:val="7"/>
            <w:shd w:val="clear" w:color="000000" w:fill="DCE6F1"/>
          </w:tcPr>
          <w:p w:rsidR="00D47C68" w:rsidRPr="0093568F" w:rsidRDefault="00D47C68"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624101" w:rsidRPr="0093568F" w:rsidTr="00E47755">
        <w:trPr>
          <w:trHeight w:val="225"/>
        </w:trPr>
        <w:tc>
          <w:tcPr>
            <w:tcW w:w="606" w:type="dxa"/>
            <w:vMerge/>
            <w:shd w:val="clear" w:color="000000" w:fill="DCE6F1"/>
            <w:noWrap/>
            <w:vAlign w:val="bottom"/>
            <w:hideMark/>
          </w:tcPr>
          <w:p w:rsidR="00D47C68" w:rsidRPr="0093568F" w:rsidRDefault="00D47C68" w:rsidP="00D47C68">
            <w:pPr>
              <w:rPr>
                <w:rFonts w:asciiTheme="minorHAnsi" w:hAnsiTheme="minorHAnsi" w:cs="Microsoft Sans Serif"/>
                <w:b/>
                <w:bCs/>
                <w:sz w:val="18"/>
                <w:szCs w:val="18"/>
              </w:rPr>
            </w:pPr>
          </w:p>
        </w:tc>
        <w:tc>
          <w:tcPr>
            <w:tcW w:w="1305"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2021</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2022</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2023</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2024</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2025</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2026</w:t>
            </w:r>
          </w:p>
        </w:tc>
        <w:tc>
          <w:tcPr>
            <w:tcW w:w="1306" w:type="dxa"/>
            <w:shd w:val="clear" w:color="000000" w:fill="DCE6F1"/>
            <w:vAlign w:val="bottom"/>
            <w:hideMark/>
          </w:tcPr>
          <w:p w:rsidR="00D47C68" w:rsidRDefault="00D47C68" w:rsidP="00D47C68">
            <w:pPr>
              <w:jc w:val="right"/>
              <w:rPr>
                <w:rFonts w:ascii="Calibri" w:hAnsi="Calibri" w:cs="Calibri"/>
                <w:b/>
                <w:bCs/>
                <w:color w:val="000000"/>
                <w:sz w:val="18"/>
                <w:szCs w:val="18"/>
              </w:rPr>
            </w:pPr>
            <w:r>
              <w:rPr>
                <w:rFonts w:ascii="Calibri" w:hAnsi="Calibri" w:cs="Calibri"/>
                <w:b/>
                <w:bCs/>
                <w:color w:val="000000"/>
                <w:sz w:val="18"/>
                <w:szCs w:val="18"/>
              </w:rPr>
              <w:t>Total</w:t>
            </w:r>
          </w:p>
        </w:tc>
      </w:tr>
      <w:tr w:rsidR="00CC2C4C" w:rsidRPr="0093568F" w:rsidTr="00E47755">
        <w:trPr>
          <w:cantSplit/>
          <w:trHeight w:val="227"/>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280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457</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605</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1,140</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1,186</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2,008</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5,676</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257</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1,296</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1,356</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2,143</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388</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5,440</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912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2,692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2,499</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2,845</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603</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9,551</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154</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352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1,110</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920</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891</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1,574</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5,001</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430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517</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806</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240</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3,074</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117</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25</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321</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98</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596</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1,307</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22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746</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93</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542</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60</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361</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1,824</w:t>
            </w:r>
          </w:p>
        </w:tc>
      </w:tr>
      <w:tr w:rsidR="00CC2C4C" w:rsidRPr="0093568F" w:rsidTr="00E47755">
        <w:trPr>
          <w:cantSplit/>
          <w:trHeight w:val="225"/>
        </w:trPr>
        <w:tc>
          <w:tcPr>
            <w:tcW w:w="606" w:type="dxa"/>
            <w:shd w:val="clear" w:color="auto" w:fill="auto"/>
            <w:noWrap/>
            <w:vAlign w:val="bottom"/>
            <w:hideMark/>
          </w:tcPr>
          <w:p w:rsidR="00CC2C4C" w:rsidRPr="0093568F" w:rsidRDefault="00CC2C4C" w:rsidP="00CC2C4C">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305"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12</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125</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188</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532</w:t>
            </w:r>
          </w:p>
        </w:tc>
        <w:tc>
          <w:tcPr>
            <w:tcW w:w="1306" w:type="dxa"/>
            <w:tcBorders>
              <w:top w:val="nil"/>
              <w:left w:val="nil"/>
              <w:bottom w:val="single" w:sz="8" w:space="0" w:color="auto"/>
              <w:right w:val="single" w:sz="8" w:space="0" w:color="auto"/>
            </w:tcBorders>
            <w:shd w:val="clear" w:color="auto" w:fill="auto"/>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50</w:t>
            </w:r>
          </w:p>
        </w:tc>
        <w:tc>
          <w:tcPr>
            <w:tcW w:w="1306" w:type="dxa"/>
            <w:tcBorders>
              <w:top w:val="nil"/>
              <w:left w:val="nil"/>
              <w:bottom w:val="single" w:sz="8" w:space="0" w:color="auto"/>
              <w:right w:val="single" w:sz="8" w:space="0" w:color="auto"/>
            </w:tcBorders>
            <w:shd w:val="clear" w:color="auto" w:fill="auto"/>
            <w:noWrap/>
            <w:vAlign w:val="center"/>
          </w:tcPr>
          <w:p w:rsidR="00CC2C4C" w:rsidRDefault="00CC2C4C" w:rsidP="00CC2C4C">
            <w:pPr>
              <w:jc w:val="right"/>
              <w:rPr>
                <w:rFonts w:ascii="Calibri" w:hAnsi="Calibri" w:cs="Calibri"/>
                <w:color w:val="000000"/>
                <w:sz w:val="18"/>
                <w:szCs w:val="18"/>
              </w:rPr>
            </w:pPr>
            <w:r>
              <w:rPr>
                <w:rFonts w:ascii="Calibri" w:hAnsi="Calibri" w:cs="Calibri"/>
                <w:color w:val="000000"/>
                <w:sz w:val="18"/>
                <w:szCs w:val="18"/>
              </w:rPr>
              <w:t>1,057</w:t>
            </w:r>
          </w:p>
        </w:tc>
      </w:tr>
      <w:tr w:rsidR="00CC2C4C" w:rsidRPr="0093568F" w:rsidTr="00E47755">
        <w:trPr>
          <w:cantSplit/>
          <w:trHeight w:val="225"/>
        </w:trPr>
        <w:tc>
          <w:tcPr>
            <w:tcW w:w="606" w:type="dxa"/>
            <w:shd w:val="clear" w:color="auto" w:fill="DBE5F1" w:themeFill="accent1" w:themeFillTint="33"/>
            <w:noWrap/>
            <w:vAlign w:val="bottom"/>
          </w:tcPr>
          <w:p w:rsidR="00CC2C4C" w:rsidRPr="00624101" w:rsidRDefault="00CC2C4C" w:rsidP="00CC2C4C">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305" w:type="dxa"/>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2,184</w:t>
            </w:r>
          </w:p>
        </w:tc>
        <w:tc>
          <w:tcPr>
            <w:tcW w:w="1306" w:type="dxa"/>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6,360</w:t>
            </w:r>
          </w:p>
        </w:tc>
        <w:tc>
          <w:tcPr>
            <w:tcW w:w="1306" w:type="dxa"/>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6,619</w:t>
            </w:r>
          </w:p>
        </w:tc>
        <w:tc>
          <w:tcPr>
            <w:tcW w:w="1306" w:type="dxa"/>
            <w:tcBorders>
              <w:top w:val="nil"/>
              <w:left w:val="nil"/>
              <w:bottom w:val="single" w:sz="8" w:space="0" w:color="auto"/>
              <w:right w:val="single" w:sz="8" w:space="0" w:color="auto"/>
            </w:tcBorders>
            <w:shd w:val="clear" w:color="000000" w:fill="DCE6F1"/>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9,178</w:t>
            </w:r>
          </w:p>
        </w:tc>
        <w:tc>
          <w:tcPr>
            <w:tcW w:w="1306" w:type="dxa"/>
            <w:tcBorders>
              <w:top w:val="nil"/>
              <w:left w:val="nil"/>
              <w:bottom w:val="single" w:sz="8" w:space="0" w:color="auto"/>
              <w:right w:val="single" w:sz="8" w:space="0" w:color="auto"/>
            </w:tcBorders>
            <w:shd w:val="clear" w:color="000000" w:fill="DCE6F1"/>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3,998</w:t>
            </w:r>
          </w:p>
        </w:tc>
        <w:tc>
          <w:tcPr>
            <w:tcW w:w="1306" w:type="dxa"/>
            <w:tcBorders>
              <w:top w:val="nil"/>
              <w:left w:val="nil"/>
              <w:bottom w:val="single" w:sz="8" w:space="0" w:color="auto"/>
              <w:right w:val="single" w:sz="8" w:space="0" w:color="auto"/>
            </w:tcBorders>
            <w:shd w:val="clear" w:color="000000" w:fill="DCE6F1"/>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4,591</w:t>
            </w:r>
          </w:p>
        </w:tc>
        <w:tc>
          <w:tcPr>
            <w:tcW w:w="1306" w:type="dxa"/>
            <w:tcBorders>
              <w:top w:val="nil"/>
              <w:left w:val="nil"/>
              <w:bottom w:val="single" w:sz="8" w:space="0" w:color="auto"/>
              <w:right w:val="single" w:sz="8" w:space="0" w:color="auto"/>
            </w:tcBorders>
            <w:shd w:val="clear" w:color="000000" w:fill="DCE6F1"/>
            <w:noWrap/>
            <w:vAlign w:val="center"/>
          </w:tcPr>
          <w:p w:rsidR="00CC2C4C" w:rsidRDefault="00CC2C4C" w:rsidP="00CC2C4C">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913E7D" w:rsidRDefault="00D83B1F" w:rsidP="0065465D">
      <w:pPr>
        <w:pStyle w:val="Heading2"/>
        <w:spacing w:before="120" w:after="0"/>
        <w:rPr>
          <w:rFonts w:asciiTheme="minorHAnsi" w:hAnsiTheme="minorHAnsi"/>
        </w:rPr>
      </w:pPr>
      <w:r>
        <w:rPr>
          <w:rFonts w:asciiTheme="minorHAnsi" w:hAnsiTheme="minorHAnsi"/>
        </w:rPr>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4377F3" w:rsidRDefault="00CC2C4C" w:rsidP="0065465D">
      <w:pPr>
        <w:rPr>
          <w:rFonts w:eastAsiaTheme="majorEastAsia"/>
        </w:rPr>
      </w:pPr>
      <w:r>
        <w:rPr>
          <w:noProof/>
        </w:rPr>
        <w:drawing>
          <wp:inline distT="0" distB="0" distL="0" distR="0" wp14:anchorId="686703D9" wp14:editId="5AEAF5C4">
            <wp:extent cx="6192520" cy="3270250"/>
            <wp:effectExtent l="0" t="0" r="17780" b="6350"/>
            <wp:docPr id="1" name="Chart 1" title="Number of allocations remaining nationally by calendar year as at 31 March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7F3" w:rsidRDefault="004377F3">
      <w:pPr>
        <w:spacing w:after="200" w:line="276" w:lineRule="auto"/>
        <w:rPr>
          <w:rFonts w:eastAsiaTheme="majorEastAsia"/>
        </w:rPr>
      </w:pPr>
      <w:r>
        <w:rPr>
          <w:rFonts w:eastAsiaTheme="majorEastAsia"/>
        </w:rPr>
        <w:br w:type="page"/>
      </w:r>
    </w:p>
    <w:p w:rsidR="00541610" w:rsidRPr="00D83B1F" w:rsidRDefault="00D83B1F" w:rsidP="00125C69">
      <w:pPr>
        <w:pStyle w:val="Heading2"/>
        <w:spacing w:before="120"/>
        <w:rPr>
          <w:rFonts w:asciiTheme="minorHAnsi" w:hAnsiTheme="minorHAnsi"/>
        </w:rPr>
      </w:pPr>
      <w:r>
        <w:rPr>
          <w:rFonts w:asciiTheme="minorHAnsi" w:hAnsiTheme="minorHAnsi"/>
        </w:rPr>
        <w:lastRenderedPageBreak/>
        <w:t>5</w:t>
      </w:r>
      <w:r w:rsidR="00B65423" w:rsidRPr="0093568F">
        <w:rPr>
          <w:rFonts w:asciiTheme="minorHAnsi" w:hAnsiTheme="minorHAnsi"/>
        </w:rPr>
        <w:t>. Overview by round</w:t>
      </w:r>
    </w:p>
    <w:tbl>
      <w:tblPr>
        <w:tblW w:w="92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6"/>
        <w:gridCol w:w="628"/>
        <w:gridCol w:w="850"/>
        <w:gridCol w:w="850"/>
        <w:gridCol w:w="850"/>
        <w:gridCol w:w="850"/>
        <w:gridCol w:w="850"/>
        <w:gridCol w:w="850"/>
        <w:gridCol w:w="850"/>
        <w:gridCol w:w="850"/>
      </w:tblGrid>
      <w:tr w:rsidR="00F50BE3" w:rsidRPr="003F2190" w:rsidTr="00593809">
        <w:trPr>
          <w:cantSplit/>
          <w:trHeight w:val="193"/>
        </w:trPr>
        <w:tc>
          <w:tcPr>
            <w:tcW w:w="2246" w:type="dxa"/>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24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176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168</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311</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199</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95</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183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1,132</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Active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176</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168</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311</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199</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95</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183</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1,132</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399</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1,407</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1,111</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96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609</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58</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3,714</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Active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399</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1,407</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1,111</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96</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609</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58</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34</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3,714</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255</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2,941</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2,912</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1,427</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100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480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8,668</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Active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255</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2,941</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2,912</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1,427</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480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553</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8,668</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4,293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672</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5,064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2,776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1,944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888</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1,224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320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17,181</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Active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4,201</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672</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5,064</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2,041</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1,944</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888</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1,224</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270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16,304</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92</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735</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877</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252</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153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503</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326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178</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86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184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2,235</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Active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537</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252</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153</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503</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326</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178</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86</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184</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2,219</w:t>
            </w:r>
          </w:p>
        </w:tc>
      </w:tr>
      <w:tr w:rsidR="00BF4206" w:rsidRPr="003F2190" w:rsidTr="00593809">
        <w:trPr>
          <w:cantSplit/>
          <w:trHeight w:val="193"/>
        </w:trPr>
        <w:tc>
          <w:tcPr>
            <w:tcW w:w="2246" w:type="dxa"/>
            <w:shd w:val="clear" w:color="auto" w:fill="auto"/>
            <w:noWrap/>
            <w:vAlign w:val="center"/>
            <w:hideMark/>
          </w:tcPr>
          <w:p w:rsidR="00BF4206" w:rsidRPr="003F2190" w:rsidRDefault="00BF4206" w:rsidP="00BF4206">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245"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16</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F4206" w:rsidRDefault="00BF4206" w:rsidP="00BF4206">
            <w:pPr>
              <w:jc w:val="right"/>
              <w:rPr>
                <w:rFonts w:ascii="Calibri" w:hAnsi="Calibri" w:cs="Calibri"/>
                <w:color w:val="000000"/>
                <w:sz w:val="18"/>
                <w:szCs w:val="18"/>
              </w:rPr>
            </w:pPr>
            <w:r>
              <w:rPr>
                <w:rFonts w:ascii="Calibri" w:hAnsi="Calibri" w:cs="Calibri"/>
                <w:color w:val="000000"/>
                <w:sz w:val="18"/>
                <w:szCs w:val="18"/>
              </w:rPr>
              <w:t>16</w:t>
            </w:r>
          </w:p>
        </w:tc>
      </w:tr>
      <w:tr w:rsidR="00BF4206" w:rsidRPr="003F2190" w:rsidTr="00593809">
        <w:trPr>
          <w:cantSplit/>
          <w:trHeight w:val="193"/>
        </w:trPr>
        <w:tc>
          <w:tcPr>
            <w:tcW w:w="2246" w:type="dxa"/>
            <w:shd w:val="clear" w:color="000000" w:fill="DBE5F1"/>
            <w:noWrap/>
            <w:vAlign w:val="center"/>
            <w:hideMark/>
          </w:tcPr>
          <w:p w:rsidR="00BF4206" w:rsidRPr="003F2190" w:rsidRDefault="00BF4206" w:rsidP="00BF4206">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245"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5,676</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5,440</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9,551</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5,001</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3,074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1,307</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1,824</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1,057</w:t>
            </w:r>
          </w:p>
        </w:tc>
        <w:tc>
          <w:tcPr>
            <w:tcW w:w="850" w:type="dxa"/>
            <w:tcBorders>
              <w:top w:val="nil"/>
              <w:left w:val="nil"/>
              <w:bottom w:val="single" w:sz="8" w:space="0" w:color="auto"/>
              <w:right w:val="single" w:sz="8" w:space="0" w:color="auto"/>
            </w:tcBorders>
            <w:shd w:val="clear" w:color="000000" w:fill="DBE5F1"/>
            <w:noWrap/>
            <w:vAlign w:val="center"/>
            <w:hideMark/>
          </w:tcPr>
          <w:p w:rsidR="00BF4206" w:rsidRDefault="00BF4206" w:rsidP="00BF4206">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1100B8" w:rsidRPr="00593809" w:rsidRDefault="001100B8" w:rsidP="00D42291">
      <w:pPr>
        <w:jc w:val="right"/>
        <w:rPr>
          <w:rFonts w:asciiTheme="minorHAnsi" w:eastAsiaTheme="majorEastAsia" w:hAnsiTheme="minorHAnsi" w:cstheme="majorBidi"/>
          <w:b/>
          <w:bCs/>
          <w:sz w:val="16"/>
          <w:szCs w:val="16"/>
        </w:rPr>
      </w:pPr>
    </w:p>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2"/>
        <w:gridCol w:w="1534"/>
        <w:gridCol w:w="1262"/>
        <w:gridCol w:w="1341"/>
        <w:gridCol w:w="1198"/>
        <w:gridCol w:w="1173"/>
        <w:gridCol w:w="1232"/>
      </w:tblGrid>
      <w:tr w:rsidR="00F50BE3" w:rsidRPr="00F50BE3" w:rsidTr="00F25033">
        <w:trPr>
          <w:trHeight w:val="268"/>
        </w:trPr>
        <w:tc>
          <w:tcPr>
            <w:tcW w:w="0" w:type="auto"/>
            <w:vMerge w:val="restart"/>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bottom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F25033">
        <w:trPr>
          <w:trHeight w:val="191"/>
        </w:trPr>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r>
      <w:tr w:rsidR="007917AA" w:rsidRPr="00F50BE3" w:rsidTr="00267317">
        <w:trPr>
          <w:trHeight w:val="191"/>
        </w:trPr>
        <w:tc>
          <w:tcPr>
            <w:tcW w:w="0" w:type="auto"/>
            <w:shd w:val="clear" w:color="auto" w:fill="auto"/>
            <w:noWrap/>
            <w:vAlign w:val="center"/>
            <w:hideMark/>
          </w:tcPr>
          <w:p w:rsidR="007917AA" w:rsidRPr="00F50BE3" w:rsidRDefault="007917AA" w:rsidP="007917AA">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24,854</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77.58%</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68.42%</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25,465</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77.33%</w:t>
            </w:r>
          </w:p>
        </w:tc>
      </w:tr>
      <w:tr w:rsidR="007917AA" w:rsidRPr="00F50BE3" w:rsidTr="00267317">
        <w:trPr>
          <w:trHeight w:val="191"/>
        </w:trPr>
        <w:tc>
          <w:tcPr>
            <w:tcW w:w="0" w:type="auto"/>
            <w:shd w:val="clear" w:color="auto" w:fill="auto"/>
            <w:noWrap/>
            <w:vAlign w:val="center"/>
            <w:hideMark/>
          </w:tcPr>
          <w:p w:rsidR="007917AA" w:rsidRPr="00F50BE3" w:rsidRDefault="007917AA" w:rsidP="007917AA">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4,446</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4,549</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13.81%</w:t>
            </w:r>
          </w:p>
        </w:tc>
      </w:tr>
      <w:tr w:rsidR="007917AA" w:rsidRPr="00F50BE3" w:rsidTr="00267317">
        <w:trPr>
          <w:trHeight w:val="191"/>
        </w:trPr>
        <w:tc>
          <w:tcPr>
            <w:tcW w:w="0" w:type="auto"/>
            <w:shd w:val="clear" w:color="auto" w:fill="auto"/>
            <w:noWrap/>
            <w:vAlign w:val="center"/>
            <w:hideMark/>
          </w:tcPr>
          <w:p w:rsidR="007917AA" w:rsidRPr="00F50BE3" w:rsidRDefault="007917AA" w:rsidP="007917AA">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2,456</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2,546</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7.73%</w:t>
            </w:r>
          </w:p>
        </w:tc>
      </w:tr>
      <w:tr w:rsidR="007917AA" w:rsidRPr="00F50BE3" w:rsidTr="00267317">
        <w:trPr>
          <w:trHeight w:val="191"/>
        </w:trPr>
        <w:tc>
          <w:tcPr>
            <w:tcW w:w="0" w:type="auto"/>
            <w:shd w:val="clear" w:color="auto" w:fill="auto"/>
            <w:noWrap/>
            <w:vAlign w:val="center"/>
            <w:hideMark/>
          </w:tcPr>
          <w:p w:rsidR="007917AA" w:rsidRPr="00F50BE3" w:rsidRDefault="007917AA" w:rsidP="007917AA">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0.85%</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0.91%</w:t>
            </w:r>
          </w:p>
        </w:tc>
      </w:tr>
      <w:tr w:rsidR="007917AA" w:rsidRPr="00F50BE3" w:rsidTr="00267317">
        <w:trPr>
          <w:trHeight w:val="191"/>
        </w:trPr>
        <w:tc>
          <w:tcPr>
            <w:tcW w:w="0" w:type="auto"/>
            <w:shd w:val="clear" w:color="auto" w:fill="auto"/>
            <w:noWrap/>
            <w:vAlign w:val="center"/>
            <w:hideMark/>
          </w:tcPr>
          <w:p w:rsidR="007917AA" w:rsidRPr="00F50BE3" w:rsidRDefault="007917AA" w:rsidP="007917AA">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0.03%</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single" w:sz="8" w:space="0" w:color="auto"/>
              <w:right w:val="single" w:sz="8" w:space="0" w:color="auto"/>
            </w:tcBorders>
            <w:shd w:val="clear" w:color="auto" w:fill="auto"/>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0.22%</w:t>
            </w:r>
          </w:p>
        </w:tc>
      </w:tr>
      <w:tr w:rsidR="007917AA" w:rsidRPr="00F50BE3" w:rsidTr="00267317">
        <w:trPr>
          <w:trHeight w:val="191"/>
        </w:trPr>
        <w:tc>
          <w:tcPr>
            <w:tcW w:w="0" w:type="auto"/>
            <w:shd w:val="clear" w:color="000000" w:fill="DCE6F1"/>
            <w:noWrap/>
            <w:vAlign w:val="center"/>
            <w:hideMark/>
          </w:tcPr>
          <w:p w:rsidR="007917AA" w:rsidRPr="00F50BE3" w:rsidRDefault="007917AA" w:rsidP="007917AA">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32,037</w:t>
            </w:r>
          </w:p>
        </w:tc>
        <w:tc>
          <w:tcPr>
            <w:tcW w:w="0" w:type="auto"/>
            <w:tcBorders>
              <w:top w:val="nil"/>
              <w:left w:val="nil"/>
              <w:bottom w:val="single" w:sz="8" w:space="0" w:color="auto"/>
              <w:right w:val="single" w:sz="8" w:space="0" w:color="auto"/>
            </w:tcBorders>
            <w:shd w:val="clear" w:color="000000" w:fill="DCE6F1"/>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893</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32,930</w:t>
            </w:r>
          </w:p>
        </w:tc>
        <w:tc>
          <w:tcPr>
            <w:tcW w:w="0" w:type="auto"/>
            <w:tcBorders>
              <w:top w:val="nil"/>
              <w:left w:val="nil"/>
              <w:bottom w:val="single" w:sz="8" w:space="0" w:color="auto"/>
              <w:right w:val="single" w:sz="8" w:space="0" w:color="auto"/>
            </w:tcBorders>
            <w:shd w:val="clear" w:color="000000" w:fill="DCE6F1"/>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6F672C" w:rsidRPr="00593809" w:rsidRDefault="006F672C">
      <w:pPr>
        <w:spacing w:after="200" w:line="276" w:lineRule="auto"/>
        <w:rPr>
          <w:rFonts w:asciiTheme="minorHAnsi" w:eastAsiaTheme="majorEastAsia" w:hAnsiTheme="minorHAnsi" w:cstheme="majorBidi"/>
          <w:bCs/>
          <w:sz w:val="16"/>
          <w:szCs w:val="16"/>
          <w:highlight w:val="yellow"/>
        </w:rPr>
      </w:pPr>
    </w:p>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89"/>
        <w:gridCol w:w="1298"/>
        <w:gridCol w:w="1485"/>
        <w:gridCol w:w="1390"/>
        <w:gridCol w:w="1390"/>
        <w:gridCol w:w="1390"/>
        <w:gridCol w:w="1390"/>
      </w:tblGrid>
      <w:tr w:rsidR="006A6E4A" w:rsidRPr="006F003F" w:rsidTr="00202E35">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4,969</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681</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26</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5,676</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4,684</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752</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5,440</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7,310</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1,357</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882</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9,551</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4,136</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376</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242</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186</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61</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5,001</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2,561</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272</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217</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23</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3,074</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1,092</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215</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1,307</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1,805</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19</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1,824</w:t>
            </w:r>
          </w:p>
        </w:tc>
      </w:tr>
      <w:tr w:rsidR="007917AA" w:rsidRPr="006F003F" w:rsidTr="007540EB">
        <w:trPr>
          <w:trHeight w:val="20"/>
        </w:trPr>
        <w:tc>
          <w:tcPr>
            <w:tcW w:w="714" w:type="pct"/>
            <w:shd w:val="clear" w:color="auto" w:fill="auto"/>
            <w:noWrap/>
            <w:vAlign w:val="bottom"/>
          </w:tcPr>
          <w:p w:rsidR="007917AA" w:rsidRPr="006F003F" w:rsidRDefault="007917AA" w:rsidP="007917AA">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960</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88</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w:t>
            </w:r>
          </w:p>
        </w:tc>
        <w:tc>
          <w:tcPr>
            <w:tcW w:w="714" w:type="pct"/>
            <w:tcBorders>
              <w:top w:val="nil"/>
              <w:left w:val="nil"/>
              <w:bottom w:val="single" w:sz="8" w:space="0" w:color="auto"/>
              <w:right w:val="single" w:sz="8" w:space="0" w:color="auto"/>
            </w:tcBorders>
            <w:shd w:val="clear" w:color="auto" w:fill="auto"/>
            <w:noWrap/>
            <w:vAlign w:val="center"/>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1,057</w:t>
            </w:r>
          </w:p>
        </w:tc>
      </w:tr>
      <w:tr w:rsidR="007917AA" w:rsidRPr="00001E20" w:rsidTr="007540EB">
        <w:trPr>
          <w:trHeight w:val="20"/>
        </w:trPr>
        <w:tc>
          <w:tcPr>
            <w:tcW w:w="714" w:type="pct"/>
            <w:shd w:val="clear" w:color="DCE6F1" w:fill="DCE6F1"/>
            <w:noWrap/>
            <w:vAlign w:val="bottom"/>
          </w:tcPr>
          <w:p w:rsidR="007917AA" w:rsidRPr="006F003F" w:rsidRDefault="007917AA" w:rsidP="007917AA">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25,465</w:t>
            </w:r>
          </w:p>
        </w:tc>
        <w:tc>
          <w:tcPr>
            <w:tcW w:w="763" w:type="pct"/>
            <w:tcBorders>
              <w:top w:val="nil"/>
              <w:left w:val="nil"/>
              <w:bottom w:val="single" w:sz="8" w:space="0" w:color="auto"/>
              <w:right w:val="single" w:sz="8" w:space="0" w:color="auto"/>
            </w:tcBorders>
            <w:shd w:val="clear" w:color="000000" w:fill="DCE6F1"/>
            <w:noWrap/>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4,549</w:t>
            </w:r>
          </w:p>
        </w:tc>
        <w:tc>
          <w:tcPr>
            <w:tcW w:w="714" w:type="pct"/>
            <w:tcBorders>
              <w:top w:val="nil"/>
              <w:left w:val="nil"/>
              <w:bottom w:val="single" w:sz="8" w:space="0" w:color="auto"/>
              <w:right w:val="single" w:sz="8" w:space="0" w:color="auto"/>
            </w:tcBorders>
            <w:shd w:val="clear" w:color="000000" w:fill="DCE6F1"/>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2,546</w:t>
            </w:r>
          </w:p>
        </w:tc>
        <w:tc>
          <w:tcPr>
            <w:tcW w:w="714" w:type="pct"/>
            <w:tcBorders>
              <w:top w:val="nil"/>
              <w:left w:val="nil"/>
              <w:bottom w:val="single" w:sz="8" w:space="0" w:color="auto"/>
              <w:right w:val="single" w:sz="8" w:space="0" w:color="auto"/>
            </w:tcBorders>
            <w:shd w:val="clear" w:color="000000" w:fill="DCE6F1"/>
            <w:noWrap/>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299</w:t>
            </w:r>
          </w:p>
        </w:tc>
        <w:tc>
          <w:tcPr>
            <w:tcW w:w="714" w:type="pct"/>
            <w:tcBorders>
              <w:top w:val="nil"/>
              <w:left w:val="nil"/>
              <w:bottom w:val="single" w:sz="8" w:space="0" w:color="auto"/>
              <w:right w:val="single" w:sz="8" w:space="0" w:color="auto"/>
            </w:tcBorders>
            <w:shd w:val="clear" w:color="000000" w:fill="DCE6F1"/>
            <w:noWrap/>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71</w:t>
            </w:r>
          </w:p>
        </w:tc>
        <w:tc>
          <w:tcPr>
            <w:tcW w:w="714" w:type="pct"/>
            <w:tcBorders>
              <w:top w:val="nil"/>
              <w:left w:val="nil"/>
              <w:bottom w:val="single" w:sz="8" w:space="0" w:color="auto"/>
              <w:right w:val="single" w:sz="8" w:space="0" w:color="auto"/>
            </w:tcBorders>
            <w:shd w:val="clear" w:color="000000" w:fill="DCE6F1"/>
            <w:noWrap/>
            <w:vAlign w:val="center"/>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D83B1F" w:rsidRPr="00593809" w:rsidRDefault="00D83B1F" w:rsidP="009E3DF9">
      <w:pPr>
        <w:rPr>
          <w:rFonts w:asciiTheme="minorHAnsi" w:eastAsiaTheme="majorEastAsia" w:hAnsiTheme="minorHAnsi" w:cstheme="majorBidi"/>
          <w:b/>
          <w:bCs/>
          <w:sz w:val="16"/>
          <w:szCs w:val="16"/>
          <w:highlight w:val="yellow"/>
        </w:rPr>
      </w:pPr>
    </w:p>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1095"/>
        <w:gridCol w:w="1220"/>
        <w:gridCol w:w="1069"/>
        <w:gridCol w:w="999"/>
        <w:gridCol w:w="1096"/>
        <w:gridCol w:w="1220"/>
        <w:gridCol w:w="1069"/>
        <w:gridCol w:w="999"/>
      </w:tblGrid>
      <w:tr w:rsidR="004009EF" w:rsidRPr="004009EF" w:rsidTr="00202E35">
        <w:trPr>
          <w:trHeight w:val="300"/>
        </w:trPr>
        <w:tc>
          <w:tcPr>
            <w:tcW w:w="975" w:type="dxa"/>
            <w:vMerge w:val="restart"/>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202E35">
        <w:trPr>
          <w:trHeight w:val="430"/>
        </w:trPr>
        <w:tc>
          <w:tcPr>
            <w:tcW w:w="975" w:type="dxa"/>
            <w:vMerge/>
            <w:vAlign w:val="center"/>
            <w:hideMark/>
          </w:tcPr>
          <w:p w:rsidR="004009EF" w:rsidRPr="004009EF" w:rsidRDefault="004009EF" w:rsidP="004009EF">
            <w:pPr>
              <w:rPr>
                <w:rFonts w:ascii="Calibri" w:hAnsi="Calibri" w:cs="Calibri"/>
                <w:b/>
                <w:bCs/>
                <w:color w:val="000000"/>
                <w:sz w:val="18"/>
                <w:szCs w:val="18"/>
              </w:rPr>
            </w:pP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3,153</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3,206</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98.35%</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2,415</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2,470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97.77%</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3,982</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3,982</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4,461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4,461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5,090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5,090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99.07%</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2,662</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3,382</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78.71%</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227"/>
        </w:trPr>
        <w:tc>
          <w:tcPr>
            <w:tcW w:w="975" w:type="dxa"/>
            <w:shd w:val="clear" w:color="auto" w:fill="auto"/>
            <w:noWrap/>
            <w:vAlign w:val="center"/>
            <w:hideMark/>
          </w:tcPr>
          <w:p w:rsidR="007917AA" w:rsidRPr="004009EF" w:rsidRDefault="007917AA" w:rsidP="007917AA">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83.39%</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7917AA" w:rsidRDefault="007917AA" w:rsidP="007917AA">
            <w:pPr>
              <w:jc w:val="right"/>
              <w:rPr>
                <w:rFonts w:ascii="Calibri" w:hAnsi="Calibri" w:cs="Calibri"/>
                <w:color w:val="000000"/>
                <w:sz w:val="18"/>
                <w:szCs w:val="18"/>
              </w:rPr>
            </w:pPr>
            <w:r>
              <w:rPr>
                <w:rFonts w:ascii="Calibri" w:hAnsi="Calibri" w:cs="Calibri"/>
                <w:color w:val="000000"/>
                <w:sz w:val="18"/>
                <w:szCs w:val="18"/>
              </w:rPr>
              <w:t>100.00%</w:t>
            </w:r>
          </w:p>
        </w:tc>
      </w:tr>
      <w:tr w:rsidR="007917AA" w:rsidRPr="004009EF" w:rsidTr="007540EB">
        <w:trPr>
          <w:trHeight w:val="300"/>
        </w:trPr>
        <w:tc>
          <w:tcPr>
            <w:tcW w:w="975" w:type="dxa"/>
            <w:shd w:val="clear" w:color="000000" w:fill="DCE6F1"/>
            <w:noWrap/>
            <w:vAlign w:val="center"/>
            <w:hideMark/>
          </w:tcPr>
          <w:p w:rsidR="007917AA" w:rsidRPr="004009EF" w:rsidRDefault="007917AA" w:rsidP="007917AA">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16,730</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118</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16,848</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99.30%</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15,307</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775</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16,082</w:t>
            </w:r>
          </w:p>
        </w:tc>
        <w:tc>
          <w:tcPr>
            <w:tcW w:w="0" w:type="auto"/>
            <w:tcBorders>
              <w:top w:val="nil"/>
              <w:left w:val="nil"/>
              <w:bottom w:val="single" w:sz="8" w:space="0" w:color="auto"/>
              <w:right w:val="single" w:sz="8" w:space="0" w:color="auto"/>
            </w:tcBorders>
            <w:shd w:val="clear" w:color="000000" w:fill="DCE6F1"/>
            <w:noWrap/>
            <w:vAlign w:val="center"/>
            <w:hideMark/>
          </w:tcPr>
          <w:p w:rsidR="007917AA" w:rsidRDefault="007917AA" w:rsidP="007917AA">
            <w:pPr>
              <w:jc w:val="right"/>
              <w:rPr>
                <w:rFonts w:ascii="Calibri" w:hAnsi="Calibri" w:cs="Calibri"/>
                <w:b/>
                <w:bCs/>
                <w:color w:val="000000"/>
                <w:sz w:val="18"/>
                <w:szCs w:val="18"/>
              </w:rPr>
            </w:pPr>
            <w:r>
              <w:rPr>
                <w:rFonts w:ascii="Calibri" w:hAnsi="Calibri" w:cs="Calibri"/>
                <w:b/>
                <w:bCs/>
                <w:color w:val="000000"/>
                <w:sz w:val="18"/>
                <w:szCs w:val="18"/>
              </w:rPr>
              <w:t>95.18%</w:t>
            </w:r>
          </w:p>
        </w:tc>
      </w:tr>
    </w:tbl>
    <w:p w:rsidR="00541610" w:rsidRDefault="00541610" w:rsidP="00C12247">
      <w:pPr>
        <w:pStyle w:val="Heading2"/>
        <w:rPr>
          <w:rFonts w:asciiTheme="minorHAnsi" w:hAnsiTheme="minorHAnsi"/>
        </w:rPr>
      </w:pPr>
      <w:r w:rsidRPr="00370E4F">
        <w:rPr>
          <w:rFonts w:asciiTheme="minorHAnsi" w:hAnsiTheme="minorHAnsi"/>
        </w:rPr>
        <w:lastRenderedPageBreak/>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0"/>
        <w:gridCol w:w="760"/>
        <w:gridCol w:w="807"/>
        <w:gridCol w:w="762"/>
        <w:gridCol w:w="768"/>
        <w:gridCol w:w="764"/>
        <w:gridCol w:w="762"/>
        <w:gridCol w:w="764"/>
        <w:gridCol w:w="762"/>
        <w:gridCol w:w="764"/>
        <w:gridCol w:w="764"/>
        <w:gridCol w:w="1018"/>
      </w:tblGrid>
      <w:tr w:rsidR="001010B9" w:rsidRPr="0093568F" w:rsidTr="00267317">
        <w:trPr>
          <w:trHeight w:val="227"/>
        </w:trPr>
        <w:tc>
          <w:tcPr>
            <w:tcW w:w="548"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1"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267317">
        <w:trPr>
          <w:trHeight w:val="227"/>
        </w:trPr>
        <w:tc>
          <w:tcPr>
            <w:tcW w:w="548"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1"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2,709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397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1,495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949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37</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5,676</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2,984</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271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924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5,440</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2,919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3,346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3,134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9,551</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1,309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225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949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1,013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995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494</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5,001</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786</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1,548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667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3,074</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246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1,307</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438</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1,237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44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1,824</w:t>
            </w:r>
          </w:p>
        </w:tc>
      </w:tr>
      <w:tr w:rsidR="00267317" w:rsidRPr="0093568F" w:rsidTr="00267317">
        <w:trPr>
          <w:trHeight w:val="227"/>
        </w:trPr>
        <w:tc>
          <w:tcPr>
            <w:tcW w:w="548" w:type="pct"/>
            <w:noWrap/>
            <w:tcMar>
              <w:top w:w="0" w:type="dxa"/>
              <w:left w:w="108" w:type="dxa"/>
              <w:bottom w:w="0" w:type="dxa"/>
              <w:right w:w="108" w:type="dxa"/>
            </w:tcMar>
            <w:vAlign w:val="bottom"/>
            <w:hideMark/>
          </w:tcPr>
          <w:p w:rsidR="00267317" w:rsidRPr="0093568F" w:rsidRDefault="00267317" w:rsidP="00267317">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577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1,057</w:t>
            </w:r>
          </w:p>
        </w:tc>
      </w:tr>
      <w:tr w:rsidR="00267317" w:rsidRPr="00001E20" w:rsidTr="00267317">
        <w:trPr>
          <w:trHeight w:val="227"/>
        </w:trPr>
        <w:tc>
          <w:tcPr>
            <w:tcW w:w="548" w:type="pct"/>
            <w:shd w:val="clear" w:color="auto" w:fill="DBE5F1" w:themeFill="accent1" w:themeFillTint="33"/>
            <w:noWrap/>
            <w:tcMar>
              <w:top w:w="0" w:type="dxa"/>
              <w:left w:w="108" w:type="dxa"/>
              <w:bottom w:w="0" w:type="dxa"/>
              <w:right w:w="108" w:type="dxa"/>
            </w:tcMar>
            <w:vAlign w:val="center"/>
            <w:hideMark/>
          </w:tcPr>
          <w:p w:rsidR="00267317" w:rsidRPr="00001E20" w:rsidRDefault="00267317" w:rsidP="00267317">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11,854</w:t>
            </w:r>
          </w:p>
        </w:tc>
        <w:tc>
          <w:tcPr>
            <w:tcW w:w="41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302</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6,905</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33</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6,162</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0</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7,098</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531</w:t>
            </w:r>
          </w:p>
        </w:tc>
        <w:tc>
          <w:tcPr>
            <w:tcW w:w="52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08"/>
        <w:gridCol w:w="2040"/>
        <w:gridCol w:w="2342"/>
        <w:gridCol w:w="2042"/>
      </w:tblGrid>
      <w:tr w:rsidR="00D83B1F" w:rsidRPr="00D83B1F" w:rsidTr="00202E35">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267317" w:rsidRPr="00D83B1F" w:rsidTr="007540EB">
        <w:trPr>
          <w:trHeight w:val="227"/>
        </w:trPr>
        <w:tc>
          <w:tcPr>
            <w:tcW w:w="1700" w:type="pct"/>
            <w:shd w:val="clear" w:color="auto" w:fill="auto"/>
            <w:noWrap/>
            <w:vAlign w:val="bottom"/>
            <w:hideMark/>
          </w:tcPr>
          <w:p w:rsidR="00267317" w:rsidRPr="00D83B1F" w:rsidRDefault="00267317" w:rsidP="00267317">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11,854</w:t>
            </w:r>
          </w:p>
        </w:tc>
        <w:tc>
          <w:tcPr>
            <w:tcW w:w="1203"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302</w:t>
            </w:r>
          </w:p>
        </w:tc>
        <w:tc>
          <w:tcPr>
            <w:tcW w:w="1049"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12,156</w:t>
            </w:r>
          </w:p>
        </w:tc>
      </w:tr>
      <w:tr w:rsidR="00267317" w:rsidRPr="00D83B1F" w:rsidTr="007540EB">
        <w:trPr>
          <w:trHeight w:val="227"/>
        </w:trPr>
        <w:tc>
          <w:tcPr>
            <w:tcW w:w="1700" w:type="pct"/>
            <w:shd w:val="clear" w:color="auto" w:fill="auto"/>
            <w:noWrap/>
            <w:vAlign w:val="bottom"/>
            <w:hideMark/>
          </w:tcPr>
          <w:p w:rsidR="00267317" w:rsidRPr="00D83B1F" w:rsidRDefault="00267317" w:rsidP="00267317">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45</w:t>
            </w:r>
          </w:p>
        </w:tc>
      </w:tr>
      <w:tr w:rsidR="00267317" w:rsidRPr="00D83B1F" w:rsidTr="007540EB">
        <w:trPr>
          <w:trHeight w:val="227"/>
        </w:trPr>
        <w:tc>
          <w:tcPr>
            <w:tcW w:w="1700" w:type="pct"/>
            <w:shd w:val="clear" w:color="auto" w:fill="auto"/>
            <w:noWrap/>
            <w:vAlign w:val="bottom"/>
            <w:hideMark/>
          </w:tcPr>
          <w:p w:rsidR="00267317" w:rsidRPr="00D83B1F" w:rsidRDefault="00267317" w:rsidP="00267317">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6,905</w:t>
            </w:r>
          </w:p>
        </w:tc>
        <w:tc>
          <w:tcPr>
            <w:tcW w:w="1203"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33</w:t>
            </w:r>
          </w:p>
        </w:tc>
        <w:tc>
          <w:tcPr>
            <w:tcW w:w="1049"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6,938</w:t>
            </w:r>
          </w:p>
        </w:tc>
      </w:tr>
      <w:tr w:rsidR="00267317" w:rsidRPr="00D83B1F" w:rsidTr="007540EB">
        <w:trPr>
          <w:trHeight w:val="227"/>
        </w:trPr>
        <w:tc>
          <w:tcPr>
            <w:tcW w:w="1700" w:type="pct"/>
            <w:shd w:val="clear" w:color="auto" w:fill="auto"/>
            <w:noWrap/>
            <w:vAlign w:val="bottom"/>
            <w:hideMark/>
          </w:tcPr>
          <w:p w:rsidR="00267317" w:rsidRPr="00D83B1F" w:rsidRDefault="00267317" w:rsidP="00267317">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6,162</w:t>
            </w:r>
          </w:p>
        </w:tc>
        <w:tc>
          <w:tcPr>
            <w:tcW w:w="1203"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1049"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6,162</w:t>
            </w:r>
          </w:p>
        </w:tc>
      </w:tr>
      <w:tr w:rsidR="00267317" w:rsidRPr="00D83B1F" w:rsidTr="007540EB">
        <w:trPr>
          <w:trHeight w:val="227"/>
        </w:trPr>
        <w:tc>
          <w:tcPr>
            <w:tcW w:w="1700" w:type="pct"/>
            <w:shd w:val="clear" w:color="auto" w:fill="auto"/>
            <w:noWrap/>
            <w:vAlign w:val="bottom"/>
            <w:hideMark/>
          </w:tcPr>
          <w:p w:rsidR="00267317" w:rsidRPr="00D83B1F" w:rsidRDefault="00267317" w:rsidP="00267317">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7,098</w:t>
            </w:r>
          </w:p>
        </w:tc>
        <w:tc>
          <w:tcPr>
            <w:tcW w:w="1203"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531</w:t>
            </w:r>
          </w:p>
        </w:tc>
        <w:tc>
          <w:tcPr>
            <w:tcW w:w="1049"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7,629</w:t>
            </w:r>
          </w:p>
        </w:tc>
      </w:tr>
      <w:tr w:rsidR="00267317" w:rsidRPr="00D83B1F" w:rsidTr="007540EB">
        <w:trPr>
          <w:trHeight w:val="227"/>
        </w:trPr>
        <w:tc>
          <w:tcPr>
            <w:tcW w:w="1700" w:type="pct"/>
            <w:shd w:val="clear" w:color="DCE6F1" w:fill="DCE6F1"/>
            <w:noWrap/>
            <w:vAlign w:val="bottom"/>
            <w:hideMark/>
          </w:tcPr>
          <w:p w:rsidR="00267317" w:rsidRPr="00D83B1F" w:rsidRDefault="00267317" w:rsidP="00267317">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32,037</w:t>
            </w:r>
          </w:p>
        </w:tc>
        <w:tc>
          <w:tcPr>
            <w:tcW w:w="1203"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893</w:t>
            </w:r>
          </w:p>
        </w:tc>
        <w:tc>
          <w:tcPr>
            <w:tcW w:w="1049"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6"/>
        <w:gridCol w:w="1216"/>
        <w:gridCol w:w="1216"/>
        <w:gridCol w:w="1216"/>
        <w:gridCol w:w="1217"/>
        <w:gridCol w:w="1217"/>
        <w:gridCol w:w="1217"/>
        <w:gridCol w:w="1217"/>
      </w:tblGrid>
      <w:tr w:rsidR="00C6639B" w:rsidRPr="0093568F" w:rsidTr="00202E35">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1,534</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1,173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2,034</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673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237</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25</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5,676</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1,261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1,688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1,788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614</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89</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5,440</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152</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1,581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2,409</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4,130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1,278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9,551</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1,012</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1,156</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1,551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1,068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212</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5,001</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324</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901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1,473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297</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6</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3,074</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770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35</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373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126</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1,307</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1,237</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160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211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123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85</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1,824</w:t>
            </w:r>
          </w:p>
        </w:tc>
      </w:tr>
      <w:tr w:rsidR="00267317" w:rsidRPr="0093568F" w:rsidTr="00267317">
        <w:trPr>
          <w:trHeight w:val="20"/>
        </w:trPr>
        <w:tc>
          <w:tcPr>
            <w:tcW w:w="625" w:type="pct"/>
            <w:shd w:val="clear" w:color="auto" w:fill="auto"/>
            <w:noWrap/>
            <w:vAlign w:val="bottom"/>
            <w:hideMark/>
          </w:tcPr>
          <w:p w:rsidR="00267317" w:rsidRPr="0093568F" w:rsidRDefault="00267317" w:rsidP="00267317">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161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313</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361</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204</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18</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267317" w:rsidRDefault="00267317" w:rsidP="00267317">
            <w:pPr>
              <w:jc w:val="right"/>
              <w:rPr>
                <w:rFonts w:ascii="Calibri" w:hAnsi="Calibri" w:cs="Calibri"/>
                <w:color w:val="000000"/>
                <w:sz w:val="18"/>
                <w:szCs w:val="18"/>
              </w:rPr>
            </w:pPr>
            <w:r>
              <w:rPr>
                <w:rFonts w:ascii="Calibri" w:hAnsi="Calibri" w:cs="Calibri"/>
                <w:color w:val="000000"/>
                <w:sz w:val="18"/>
                <w:szCs w:val="18"/>
              </w:rPr>
              <w:t>1,057</w:t>
            </w:r>
          </w:p>
        </w:tc>
      </w:tr>
      <w:tr w:rsidR="00267317" w:rsidRPr="0093568F" w:rsidTr="00267317">
        <w:trPr>
          <w:trHeight w:val="20"/>
        </w:trPr>
        <w:tc>
          <w:tcPr>
            <w:tcW w:w="625" w:type="pct"/>
            <w:shd w:val="clear" w:color="DCE6F1" w:fill="DCE6F1"/>
            <w:noWrap/>
            <w:vAlign w:val="bottom"/>
            <w:hideMark/>
          </w:tcPr>
          <w:p w:rsidR="00267317" w:rsidRPr="0093568F" w:rsidRDefault="00267317" w:rsidP="00267317">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6,200</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6,430</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9,628</w:t>
            </w:r>
          </w:p>
        </w:tc>
        <w:tc>
          <w:tcPr>
            <w:tcW w:w="625" w:type="pct"/>
            <w:tcBorders>
              <w:top w:val="nil"/>
              <w:left w:val="nil"/>
              <w:bottom w:val="single" w:sz="8" w:space="0" w:color="auto"/>
              <w:right w:val="single" w:sz="8" w:space="0" w:color="auto"/>
            </w:tcBorders>
            <w:shd w:val="clear" w:color="000000" w:fill="DBE5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8,411</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2,142</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119</w:t>
            </w:r>
          </w:p>
        </w:tc>
        <w:tc>
          <w:tcPr>
            <w:tcW w:w="625" w:type="pct"/>
            <w:tcBorders>
              <w:top w:val="nil"/>
              <w:left w:val="nil"/>
              <w:bottom w:val="single" w:sz="8" w:space="0" w:color="auto"/>
              <w:right w:val="single" w:sz="8" w:space="0" w:color="auto"/>
            </w:tcBorders>
            <w:shd w:val="clear" w:color="000000" w:fill="DCE6F1"/>
            <w:noWrap/>
            <w:vAlign w:val="center"/>
          </w:tcPr>
          <w:p w:rsidR="00267317" w:rsidRDefault="00267317" w:rsidP="00267317">
            <w:pPr>
              <w:jc w:val="right"/>
              <w:rPr>
                <w:rFonts w:ascii="Calibri" w:hAnsi="Calibri" w:cs="Calibri"/>
                <w:b/>
                <w:bCs/>
                <w:color w:val="000000"/>
                <w:sz w:val="18"/>
                <w:szCs w:val="18"/>
              </w:rPr>
            </w:pPr>
            <w:r>
              <w:rPr>
                <w:rFonts w:ascii="Calibri" w:hAnsi="Calibri" w:cs="Calibri"/>
                <w:b/>
                <w:bCs/>
                <w:color w:val="000000"/>
                <w:sz w:val="18"/>
                <w:szCs w:val="18"/>
              </w:rPr>
              <w:t>32,930</w:t>
            </w:r>
          </w:p>
        </w:tc>
      </w:tr>
    </w:tbl>
    <w:p w:rsidR="00605203" w:rsidRDefault="00605203" w:rsidP="00593809">
      <w:pPr>
        <w:pStyle w:val="Heading1"/>
        <w:jc w:val="left"/>
        <w:rPr>
          <w:rFonts w:asciiTheme="minorHAnsi" w:hAnsiTheme="minorHAnsi"/>
        </w:rPr>
      </w:pPr>
      <w:bookmarkStart w:id="3" w:name="_Toc269105802"/>
      <w:bookmarkStart w:id="4" w:name="_Toc291661148"/>
      <w:bookmarkStart w:id="5" w:name="_Toc291661149"/>
    </w:p>
    <w:p w:rsidR="00BA7EA8" w:rsidRDefault="00BA7EA8">
      <w:pPr>
        <w:spacing w:after="200" w:line="276" w:lineRule="auto"/>
        <w:rPr>
          <w:rFonts w:asciiTheme="minorHAnsi" w:eastAsiaTheme="majorEastAsia" w:hAnsiTheme="minorHAnsi" w:cstheme="majorBidi"/>
          <w:b/>
          <w:bCs/>
          <w:sz w:val="32"/>
          <w:szCs w:val="28"/>
        </w:rPr>
      </w:pPr>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B56059">
        <w:rPr>
          <w:rFonts w:asciiTheme="minorHAnsi" w:hAnsiTheme="minorHAnsi"/>
        </w:rPr>
        <w:lastRenderedPageBreak/>
        <w:t>A</w:t>
      </w:r>
      <w:r w:rsidR="00F02655" w:rsidRPr="00B56059">
        <w:rPr>
          <w:rFonts w:asciiTheme="minorHAnsi" w:hAnsiTheme="minorHAnsi"/>
        </w:rPr>
        <w:t>llocations</w:t>
      </w:r>
      <w:r w:rsidR="00D8420C">
        <w:rPr>
          <w:rFonts w:asciiTheme="minorHAnsi" w:hAnsiTheme="minorHAnsi"/>
        </w:rPr>
        <w:t xml:space="preserve"> ceasing (calendar year)</w:t>
      </w:r>
      <w:r w:rsidR="00F02655" w:rsidRPr="00B56059">
        <w:rPr>
          <w:rFonts w:asciiTheme="minorHAnsi" w:hAnsiTheme="minorHAnsi"/>
        </w:rPr>
        <w:t xml:space="preserve"> by </w:t>
      </w:r>
      <w:r w:rsidR="00450EC1" w:rsidRPr="00B56059">
        <w:rPr>
          <w:rFonts w:asciiTheme="minorHAnsi" w:hAnsiTheme="minorHAnsi"/>
        </w:rPr>
        <w:t>approved p</w:t>
      </w:r>
      <w:r w:rsidR="00F02655" w:rsidRPr="00B56059">
        <w:rPr>
          <w:rFonts w:asciiTheme="minorHAnsi" w:hAnsiTheme="minorHAnsi"/>
        </w:rPr>
        <w:t xml:space="preserve">articipant and </w:t>
      </w:r>
      <w:r w:rsidR="00900EC5" w:rsidRPr="00B56059">
        <w:rPr>
          <w:rFonts w:asciiTheme="minorHAnsi" w:hAnsiTheme="minorHAnsi"/>
        </w:rPr>
        <w:t>state/t</w:t>
      </w:r>
      <w:r w:rsidR="00F02655" w:rsidRPr="00B56059">
        <w:rPr>
          <w:rFonts w:asciiTheme="minorHAnsi" w:hAnsiTheme="minorHAnsi"/>
        </w:rPr>
        <w:t>erritory</w:t>
      </w:r>
    </w:p>
    <w:tbl>
      <w:tblPr>
        <w:tblW w:w="9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8"/>
        <w:gridCol w:w="680"/>
        <w:gridCol w:w="680"/>
        <w:gridCol w:w="680"/>
        <w:gridCol w:w="680"/>
        <w:gridCol w:w="680"/>
        <w:gridCol w:w="680"/>
        <w:gridCol w:w="771"/>
      </w:tblGrid>
      <w:tr w:rsidR="00D82094" w:rsidRPr="00716845" w:rsidTr="00202E35">
        <w:trPr>
          <w:trHeight w:val="57"/>
          <w:tblHeader/>
        </w:trPr>
        <w:tc>
          <w:tcPr>
            <w:tcW w:w="4388" w:type="dxa"/>
            <w:shd w:val="clear" w:color="000000" w:fill="538DD5"/>
            <w:noWrap/>
            <w:vAlign w:val="center"/>
            <w:hideMark/>
          </w:tcPr>
          <w:p w:rsidR="00D82094" w:rsidRPr="00716845" w:rsidRDefault="00D82094"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280</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5,676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Arara Properties Pty Ltd  ATF Pulbrook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264</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Bamreta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BaptistCare NSW &amp; 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BlueCHP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828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City of Canada Bay Council</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678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Link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C.K.S.Unit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78</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Wentworth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Zinkohl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257</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5,440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Glenuc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414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HousingFirst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lastRenderedPageBreak/>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r w:rsidR="00332FF3">
              <w:rPr>
                <w:rFonts w:ascii="Calibri" w:hAnsi="Calibri" w:cs="Calibri"/>
                <w:color w:val="000000"/>
                <w:sz w:val="18"/>
                <w:szCs w:val="18"/>
              </w:rPr>
              <w:t>,</w:t>
            </w:r>
            <w:r>
              <w:rPr>
                <w:rFonts w:ascii="Calibri" w:hAnsi="Calibri" w:cs="Calibri"/>
                <w:color w:val="000000"/>
                <w:sz w:val="18"/>
                <w:szCs w:val="18"/>
              </w:rPr>
              <w:t>257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912</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9,551</w:t>
            </w:r>
          </w:p>
        </w:tc>
      </w:tr>
      <w:tr w:rsidR="004D3CAC" w:rsidRPr="00716845" w:rsidTr="00FC7BC4">
        <w:trPr>
          <w:trHeight w:val="57"/>
        </w:trPr>
        <w:tc>
          <w:tcPr>
            <w:tcW w:w="4388" w:type="dxa"/>
            <w:shd w:val="clear" w:color="auto" w:fill="FFFFFF" w:themeFill="background1"/>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677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1,062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2,535</w:t>
            </w:r>
          </w:p>
        </w:tc>
      </w:tr>
      <w:tr w:rsidR="004D3CAC" w:rsidRPr="00716845" w:rsidTr="00FC7BC4">
        <w:trPr>
          <w:trHeight w:val="57"/>
        </w:trPr>
        <w:tc>
          <w:tcPr>
            <w:tcW w:w="4388" w:type="dxa"/>
            <w:shd w:val="clear" w:color="auto" w:fill="FFFFFF" w:themeFill="background1"/>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1,281</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345</w:t>
            </w:r>
          </w:p>
        </w:tc>
      </w:tr>
      <w:tr w:rsidR="004D3CAC" w:rsidRPr="00716845" w:rsidTr="00FC7BC4">
        <w:trPr>
          <w:trHeight w:val="57"/>
        </w:trPr>
        <w:tc>
          <w:tcPr>
            <w:tcW w:w="4388" w:type="dxa"/>
            <w:shd w:val="clear" w:color="auto" w:fill="FFFFFF" w:themeFill="background1"/>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Coast2Bay Housing Group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486</w:t>
            </w:r>
          </w:p>
        </w:tc>
      </w:tr>
      <w:tr w:rsidR="004D3CAC" w:rsidRPr="00716845" w:rsidTr="00FC7BC4">
        <w:trPr>
          <w:trHeight w:val="57"/>
        </w:trPr>
        <w:tc>
          <w:tcPr>
            <w:tcW w:w="4388" w:type="dxa"/>
            <w:shd w:val="clear" w:color="auto" w:fill="FFFFFF" w:themeFill="background1"/>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Community Housing (QLD)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39</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166</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Compass Housing Services Co (Queensland)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159</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Connect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Crown property Pty Ltd Atf The Crown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Mystart Pty Ltd as trustee for the Mystart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r w:rsidR="00332FF3">
              <w:rPr>
                <w:rFonts w:ascii="Calibri" w:hAnsi="Calibri" w:cs="Calibri"/>
                <w:color w:val="000000"/>
                <w:sz w:val="18"/>
                <w:szCs w:val="18"/>
              </w:rPr>
              <w:t>,</w:t>
            </w:r>
            <w:r>
              <w:rPr>
                <w:rFonts w:ascii="Calibri" w:hAnsi="Calibri" w:cs="Calibri"/>
                <w:color w:val="000000"/>
                <w:sz w:val="18"/>
                <w:szCs w:val="18"/>
              </w:rPr>
              <w:t>159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Prescare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Bral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899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Kenjad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154</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5,001</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46</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369</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839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Heyspring Land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r>
      <w:tr w:rsidR="004D3CAC" w:rsidRPr="00716845" w:rsidTr="00FC7BC4">
        <w:trPr>
          <w:trHeight w:val="57"/>
        </w:trPr>
        <w:tc>
          <w:tcPr>
            <w:tcW w:w="4388" w:type="dxa"/>
            <w:shd w:val="clear" w:color="auto" w:fill="auto"/>
            <w:noWrap/>
            <w:vAlign w:val="center"/>
          </w:tcPr>
          <w:p w:rsidR="004D3CAC" w:rsidRDefault="004D3CAC" w:rsidP="004D3CAC">
            <w:pPr>
              <w:rPr>
                <w:rFonts w:ascii="Calibri" w:hAnsi="Calibri" w:cs="Calibri"/>
                <w:color w:val="000000"/>
                <w:sz w:val="18"/>
                <w:szCs w:val="18"/>
              </w:rPr>
            </w:pPr>
            <w:r w:rsidRPr="004D3CAC">
              <w:rPr>
                <w:rFonts w:ascii="Calibri" w:hAnsi="Calibri" w:cs="Calibri"/>
                <w:color w:val="000000"/>
                <w:sz w:val="18"/>
                <w:szCs w:val="18"/>
              </w:rPr>
              <w:t>Housing Choices Western Australia Limited</w:t>
            </w:r>
          </w:p>
        </w:tc>
        <w:tc>
          <w:tcPr>
            <w:tcW w:w="680" w:type="dxa"/>
            <w:tcBorders>
              <w:top w:val="nil"/>
              <w:left w:val="nil"/>
              <w:bottom w:val="single" w:sz="8" w:space="0" w:color="auto"/>
              <w:right w:val="single" w:sz="8" w:space="0" w:color="auto"/>
            </w:tcBorders>
            <w:shd w:val="clear" w:color="auto" w:fill="auto"/>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137</w:t>
            </w:r>
          </w:p>
        </w:tc>
        <w:tc>
          <w:tcPr>
            <w:tcW w:w="771"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781</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r w:rsidR="00332FF3">
              <w:rPr>
                <w:rFonts w:ascii="Calibri" w:hAnsi="Calibri" w:cs="Calibri"/>
                <w:color w:val="000000"/>
                <w:sz w:val="18"/>
                <w:szCs w:val="18"/>
              </w:rPr>
              <w:t>,</w:t>
            </w:r>
            <w:r>
              <w:rPr>
                <w:rFonts w:ascii="Calibri" w:hAnsi="Calibri" w:cs="Calibri"/>
                <w:color w:val="000000"/>
                <w:sz w:val="18"/>
                <w:szCs w:val="18"/>
              </w:rPr>
              <w:t>083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r w:rsidR="00332FF3">
              <w:rPr>
                <w:rFonts w:ascii="Calibri" w:hAnsi="Calibri" w:cs="Calibri"/>
                <w:color w:val="000000"/>
                <w:sz w:val="18"/>
                <w:szCs w:val="18"/>
              </w:rPr>
              <w:t>,</w:t>
            </w:r>
            <w:r>
              <w:rPr>
                <w:rFonts w:ascii="Calibri" w:hAnsi="Calibri" w:cs="Calibri"/>
                <w:color w:val="000000"/>
                <w:sz w:val="18"/>
                <w:szCs w:val="18"/>
              </w:rPr>
              <w:t>000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Yaran Residential Investments Pty Ltd as Trustee for the Yaran Residential Inves</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430</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3,074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Adelaide Benevolent &amp; Strangers' Friend Society Inc</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r>
      <w:tr w:rsidR="004D3CAC" w:rsidRPr="00716845" w:rsidTr="00FC7BC4">
        <w:trPr>
          <w:trHeight w:val="57"/>
        </w:trPr>
        <w:tc>
          <w:tcPr>
            <w:tcW w:w="4388" w:type="dxa"/>
            <w:shd w:val="clear" w:color="000000" w:fill="FFFFFF"/>
            <w:noWrap/>
            <w:vAlign w:val="center"/>
            <w:hideMark/>
          </w:tcPr>
          <w:p w:rsidR="004D3CAC" w:rsidRDefault="004D3CAC" w:rsidP="00332FF3">
            <w:pPr>
              <w:rPr>
                <w:rFonts w:ascii="Calibri" w:hAnsi="Calibri" w:cs="Calibri"/>
                <w:color w:val="000000"/>
                <w:sz w:val="18"/>
                <w:szCs w:val="18"/>
              </w:rPr>
            </w:pPr>
            <w:r>
              <w:rPr>
                <w:rFonts w:ascii="Calibri" w:hAnsi="Calibri" w:cs="Calibri"/>
                <w:color w:val="000000"/>
                <w:sz w:val="18"/>
                <w:szCs w:val="18"/>
              </w:rPr>
              <w:t>Affordable</w:t>
            </w:r>
            <w:r w:rsidR="00332FF3">
              <w:rPr>
                <w:rFonts w:ascii="Calibri" w:hAnsi="Calibri" w:cs="Calibri"/>
                <w:color w:val="000000"/>
                <w:sz w:val="18"/>
                <w:szCs w:val="18"/>
              </w:rPr>
              <w:t xml:space="preserv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70</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368</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Bedford Phoenix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Minda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lastRenderedPageBreak/>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1,444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James Brown Memorial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YourPlace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117</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1,307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 Bayne and RE Fergusson and FJ Grant in partnership</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46</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Mali Property Group Pty Ltd atf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sidRPr="002F37F0">
              <w:rPr>
                <w:rFonts w:ascii="Calibri" w:hAnsi="Calibri" w:cs="Calibri"/>
                <w:color w:val="000000"/>
                <w:sz w:val="18"/>
                <w:szCs w:val="18"/>
              </w:rPr>
              <w:t>Roman Catholic Church Trust Corporation of the Archdiocese of Hobart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Marks Home's Inc</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Ikon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770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22</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1,824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r>
      <w:tr w:rsidR="004D3CAC" w:rsidRPr="00716845" w:rsidTr="00FC7BC4">
        <w:trPr>
          <w:trHeight w:val="57"/>
        </w:trPr>
        <w:tc>
          <w:tcPr>
            <w:tcW w:w="4388" w:type="dxa"/>
            <w:shd w:val="clear" w:color="auto" w:fill="auto"/>
            <w:noWrap/>
            <w:vAlign w:val="center"/>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230</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605</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1,057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Charles Darwin University</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577</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240</w:t>
            </w:r>
          </w:p>
        </w:tc>
      </w:tr>
      <w:tr w:rsidR="004D3CAC" w:rsidRPr="00716845" w:rsidTr="00FC7BC4">
        <w:trPr>
          <w:trHeight w:val="57"/>
        </w:trPr>
        <w:tc>
          <w:tcPr>
            <w:tcW w:w="4388" w:type="dxa"/>
            <w:shd w:val="clear" w:color="000000" w:fill="548DD4"/>
            <w:noWrap/>
            <w:vAlign w:val="center"/>
            <w:hideMark/>
          </w:tcPr>
          <w:p w:rsidR="004D3CAC" w:rsidRDefault="004D3CAC" w:rsidP="004D3CAC">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tcBorders>
              <w:top w:val="nil"/>
              <w:left w:val="nil"/>
              <w:bottom w:val="single" w:sz="8" w:space="0" w:color="auto"/>
              <w:right w:val="single" w:sz="8" w:space="0" w:color="auto"/>
            </w:tcBorders>
            <w:shd w:val="clear" w:color="000000" w:fill="548DD4"/>
            <w:noWrap/>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2,184</w:t>
            </w:r>
          </w:p>
        </w:tc>
        <w:tc>
          <w:tcPr>
            <w:tcW w:w="680" w:type="dxa"/>
            <w:tcBorders>
              <w:top w:val="nil"/>
              <w:left w:val="nil"/>
              <w:bottom w:val="single" w:sz="8" w:space="0" w:color="auto"/>
              <w:right w:val="single" w:sz="8" w:space="0" w:color="auto"/>
            </w:tcBorders>
            <w:shd w:val="clear" w:color="000000" w:fill="548DD4"/>
            <w:noWrap/>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6,360</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32,930</w:t>
            </w:r>
          </w:p>
        </w:tc>
      </w:tr>
    </w:tbl>
    <w:p w:rsidR="00716845" w:rsidRDefault="00716845">
      <w:pPr>
        <w:spacing w:after="200" w:line="276" w:lineRule="auto"/>
        <w:rPr>
          <w:rFonts w:asciiTheme="minorHAnsi" w:eastAsiaTheme="majorEastAsia" w:hAnsiTheme="minorHAnsi" w:cstheme="majorBidi"/>
          <w:b/>
          <w:bCs/>
          <w:sz w:val="32"/>
          <w:szCs w:val="28"/>
        </w:rPr>
      </w:pPr>
    </w:p>
    <w:p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rsidR="00541610" w:rsidRDefault="00D86BB6" w:rsidP="00541610">
      <w:pPr>
        <w:pStyle w:val="Heading1"/>
        <w:rPr>
          <w:rFonts w:asciiTheme="minorHAnsi" w:hAnsiTheme="minorHAnsi"/>
        </w:rPr>
      </w:pPr>
      <w:r w:rsidRPr="00E46CAE">
        <w:rPr>
          <w:rFonts w:asciiTheme="minorHAnsi" w:hAnsiTheme="minorHAnsi"/>
        </w:rPr>
        <w:lastRenderedPageBreak/>
        <w:t>A</w:t>
      </w:r>
      <w:r w:rsidR="00541610" w:rsidRPr="00E46CAE">
        <w:rPr>
          <w:rFonts w:asciiTheme="minorHAnsi" w:hAnsiTheme="minorHAnsi"/>
        </w:rPr>
        <w:t>llocation</w:t>
      </w:r>
      <w:r w:rsidR="00450EC1" w:rsidRPr="00E46CAE">
        <w:rPr>
          <w:rFonts w:asciiTheme="minorHAnsi" w:hAnsiTheme="minorHAnsi"/>
        </w:rPr>
        <w:t>s</w:t>
      </w:r>
      <w:r w:rsidR="00F53F9F">
        <w:rPr>
          <w:rFonts w:asciiTheme="minorHAnsi" w:hAnsiTheme="minorHAnsi"/>
        </w:rPr>
        <w:t xml:space="preserve"> ceasing (calendar year) </w:t>
      </w:r>
      <w:r w:rsidR="00541610" w:rsidRPr="00E46CAE">
        <w:rPr>
          <w:rFonts w:asciiTheme="minorHAnsi" w:hAnsiTheme="minorHAnsi"/>
        </w:rPr>
        <w:t xml:space="preserve">by </w:t>
      </w:r>
      <w:r w:rsidR="00450EC1" w:rsidRPr="00E46CAE">
        <w:rPr>
          <w:rFonts w:asciiTheme="minorHAnsi" w:hAnsiTheme="minorHAnsi"/>
        </w:rPr>
        <w:t>s</w:t>
      </w:r>
      <w:r w:rsidR="00541610" w:rsidRPr="00E46CAE">
        <w:rPr>
          <w:rFonts w:asciiTheme="minorHAnsi" w:hAnsiTheme="minorHAnsi"/>
        </w:rPr>
        <w:t>uburb</w:t>
      </w:r>
    </w:p>
    <w:tbl>
      <w:tblPr>
        <w:tblW w:w="912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69"/>
        <w:gridCol w:w="737"/>
        <w:gridCol w:w="737"/>
        <w:gridCol w:w="737"/>
        <w:gridCol w:w="737"/>
        <w:gridCol w:w="737"/>
        <w:gridCol w:w="737"/>
        <w:gridCol w:w="737"/>
      </w:tblGrid>
      <w:tr w:rsidR="006E1F8A" w:rsidRPr="00CD5BB9" w:rsidTr="00202E35">
        <w:trPr>
          <w:trHeight w:val="20"/>
          <w:tblHeader/>
        </w:trPr>
        <w:tc>
          <w:tcPr>
            <w:tcW w:w="3969" w:type="dxa"/>
            <w:shd w:val="clear" w:color="000000" w:fill="538DD5"/>
            <w:noWrap/>
            <w:vAlign w:val="center"/>
            <w:hideMark/>
          </w:tcPr>
          <w:bookmarkEnd w:id="5"/>
          <w:p w:rsidR="006E1F8A" w:rsidRPr="00CD5BB9" w:rsidRDefault="006E1F8A"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1.NSW</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280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457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1,140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1,186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2,008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5,676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ABERDARE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ALBION PARK RAIL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BOURKELANDS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CAMBRIDGE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CAMERON PA</w:t>
            </w:r>
            <w:r>
              <w:rPr>
                <w:rFonts w:ascii="Calibri" w:hAnsi="Calibri" w:cs="Calibri"/>
                <w:sz w:val="18"/>
                <w:szCs w:val="18"/>
              </w:rPr>
              <w:t>R</w:t>
            </w:r>
            <w:r w:rsidRPr="002F37F0">
              <w:rPr>
                <w:rFonts w:ascii="Calibri" w:hAnsi="Calibri" w:cs="Calibri"/>
                <w:sz w:val="18"/>
                <w:szCs w:val="18"/>
              </w:rPr>
              <w:t>K</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CANLEY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DENHAM COURT</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DENHAMS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DULWICH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ELANORA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ELERMORE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EPPING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GRIFFITH</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HORSLEY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JAMISONTOWN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KOORINGAL</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LEICHARDT</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MIRANDA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MORTLAKE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MULGOA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NEWCASTLE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NEWCASTLE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TAMWORTH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32FF3"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32FF3"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STRATHFIELD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ULTIMO</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WARNERVALE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WENTWORTHVILLE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78</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WESTMEAD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WYOMING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94</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2.Vic.</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257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1,296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1,356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2,143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388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5,440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ALPHINGTON</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CRAIGIEBURN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DONCASTER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ECHUCA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ESSENDON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GOLDEN SQUARE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HORSHAM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MAIDEN GULLY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MALVERN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MCKINNON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MENTONE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MILDURA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NORTH 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NUNAWADING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PAKENHAM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PRAHRAN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171"/>
              <w:rPr>
                <w:rFonts w:ascii="Calibri" w:hAnsi="Calibri" w:cs="Calibri"/>
                <w:color w:val="000000"/>
                <w:sz w:val="18"/>
                <w:szCs w:val="18"/>
              </w:rPr>
            </w:pPr>
            <w:r>
              <w:rPr>
                <w:rFonts w:ascii="Calibri" w:hAnsi="Calibri" w:cs="Calibri"/>
                <w:color w:val="000000"/>
                <w:sz w:val="18"/>
                <w:szCs w:val="18"/>
              </w:rPr>
              <w:t>TRAVANCORE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WANTIRNA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171"/>
              <w:rPr>
                <w:rFonts w:ascii="Calibri" w:hAnsi="Calibri" w:cs="Calibri"/>
                <w:color w:val="000000"/>
                <w:sz w:val="18"/>
                <w:szCs w:val="18"/>
              </w:rPr>
            </w:pPr>
            <w:r>
              <w:rPr>
                <w:rFonts w:ascii="Calibri" w:hAnsi="Calibri" w:cs="Calibri"/>
                <w:color w:val="000000"/>
                <w:sz w:val="18"/>
                <w:szCs w:val="18"/>
              </w:rPr>
              <w:t>WONTHAGGI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3.Qld.</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912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2,692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2,499</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2,845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9,551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ALDERLEY</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ALEXANDRA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ASHMORE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AVOCA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BALD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BEAUDESERT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BELGIAN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BIRTINYA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BLI BLI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CANNONVALE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CAPALABA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CARSELDINE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CHINCHILLA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COOMERA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117</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CRESTMEAD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DARLING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DYSART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HELIDON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HILLCREST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KALKIE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KINGSTON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LAWNTON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 CENTRAL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MANGO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MIDDLE 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MUDJIMBA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MURGON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NAMBOUR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NIRIMBA</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IPSWICH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PALM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PARK 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REDBANK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MACLEAN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TOWNSVILLE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MOUNTAIN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TORBANLEA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WAKERLEY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WATERFORD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WINDSOR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WOOLLOONGABBA</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YORKEYS KNOB</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90</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4.WA</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154</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352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1,110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920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891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1,574</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5,001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ALKIMOS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ARMADALE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ASHBY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ATWELL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AUBIN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AUSTRALIND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AVELEY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BALDIVIS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BALLAJURA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BANKSIA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BASSENDEAN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BECKENHAM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BEECHBORO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BEELIAR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BERESFORD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BERTRAM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BILINGURR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BOYANUP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BRABHAM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BRIDGETOWN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BROOME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BRUCE ROCK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BUNBURY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BURSWOOD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BUSSELTON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BUTLER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BYFORD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CABLE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CAMILLO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CANNING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CAPEL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CAREY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CARINE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CARNARVON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CAVERSHAM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CHAMPION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CLARKSON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CLOVERDALE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COODANUP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COOLBELLUP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CORAL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CRAWLEY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DALYELLUP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DARDANUP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DARKAN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DAYTON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DUDLEY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DUMBLEYUNG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DUNSBOROUGH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CANNINGTON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EGLINTON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ELLENBROOK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EMBLETON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ERSKINE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ESPERANCE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FALCON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FERNDALE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FORRESTFIELD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FREMANTLE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GERALDTON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GLENFIELD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GOLDEN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GOSNELLS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GREENFIELDS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HAMILTON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HAMMOND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HARRISDALE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HIGHGATE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HILBERT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HILLMAN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HOCKING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HUNTINGDALE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INGLEWOOD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JINDALEE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JOONDALUP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KELMSCOTT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KENWICK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KEWDALE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KOONDOOLA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KUKERIN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KWINANA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KWINANA TOWN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LAKE GRACE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LAKELANDS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LANDSDALE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LANGFORD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LATHLAIN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LEEDERVILLE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LITTLE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MADDINGTON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MADELEY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MADORA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MANDURAH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MARANGAROO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MARGARET 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MAYLANDS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MEDINA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MELVILLE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MERRIWA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MIDDLETON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MIDLAND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MIRA MAR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MIRRABOOKA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MOUNT NASURA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MT BARKER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MT NASURA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NEDLANDS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NEWDEGATE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NEWMAN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NOLLAMARA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NORTH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NORTHBRIDGE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PEARSALL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PIARA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PINJARRA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RIDGEWOOD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RIVERVALE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ROCKINGHAM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ROEBOURNE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SECRET 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SEVILLE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SHOALWATER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SOMERVILLE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SOUTH HEDLAND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SOUTHERN 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SPEARWOOD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SUCCESS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SUNSET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SWAN 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000000" w:fill="FFFFFF"/>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TAPPING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THORNLIE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TUART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UTAKARRA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WAGGRAKINE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WAIKIKI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WANDI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WANDINA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WELLARD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WEST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WESTMINSTER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000000" w:fill="FFFFFF"/>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WHITE GUM VALLEY</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WILLIAMS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WONTHELLA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WOODANILLING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YANGEBUP</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5.SA</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430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517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806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1,079</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240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3,074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CHRISTIES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CLARENCE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CRAIGBURN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EVANSTON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FULLARTON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GAWLER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GLANDORE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GLENELG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GOOLWA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GOOLWA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GUMERACHA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HENLEY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JAMESTOWN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LOCKLEYS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MORPHETTVILLE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51652B">
            <w:pPr>
              <w:jc w:val="right"/>
              <w:rPr>
                <w:rFonts w:ascii="Calibri" w:hAnsi="Calibri" w:cs="Calibri"/>
                <w:color w:val="000000"/>
                <w:sz w:val="16"/>
                <w:szCs w:val="16"/>
              </w:rPr>
            </w:pPr>
            <w:r>
              <w:rPr>
                <w:rFonts w:ascii="Calibri" w:hAnsi="Calibri" w:cs="Calibri"/>
                <w:color w:val="000000"/>
                <w:sz w:val="16"/>
                <w:szCs w:val="16"/>
              </w:rPr>
              <w:t>3</w:t>
            </w:r>
            <w:r w:rsidR="0051652B">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51652B">
            <w:pPr>
              <w:jc w:val="right"/>
              <w:rPr>
                <w:rFonts w:ascii="Calibri" w:hAnsi="Calibri" w:cs="Calibri"/>
                <w:color w:val="000000"/>
                <w:sz w:val="16"/>
                <w:szCs w:val="16"/>
              </w:rPr>
            </w:pPr>
            <w:r>
              <w:rPr>
                <w:rFonts w:ascii="Calibri" w:hAnsi="Calibri" w:cs="Calibri"/>
                <w:bCs/>
                <w:color w:val="000000"/>
                <w:sz w:val="16"/>
                <w:szCs w:val="16"/>
              </w:rPr>
              <w:t>5</w:t>
            </w:r>
            <w:r w:rsidR="0051652B">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MYRTLE 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PARK HOLME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NOARLUNGA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PIRIE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202E35"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6.Tas.</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117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25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321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596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1,307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AUSTINS FERRY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BELLERIVE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BLACKMANS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CLARENDON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DELORAINE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HOWRAH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 MEADOWS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LEGANA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MIDWAY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 NORFOLK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NUBEENA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RISDON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SHOREWELL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TRIABUNNA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000000" w:fill="DCE6F1"/>
            <w:noWrap/>
            <w:vAlign w:val="center"/>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7.ACT</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746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542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361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1,824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AC564D">
        <w:trPr>
          <w:trHeight w:val="20"/>
        </w:trPr>
        <w:tc>
          <w:tcPr>
            <w:tcW w:w="3969" w:type="dxa"/>
            <w:tcBorders>
              <w:bottom w:val="single" w:sz="8" w:space="0" w:color="auto"/>
            </w:tcBorders>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AC564D" w:rsidRPr="00202E35" w:rsidTr="00AC564D">
        <w:trPr>
          <w:trHeight w:val="20"/>
        </w:trPr>
        <w:tc>
          <w:tcPr>
            <w:tcW w:w="3969" w:type="dxa"/>
            <w:tcBorders>
              <w:top w:val="single" w:sz="8" w:space="0" w:color="auto"/>
              <w:left w:val="nil"/>
              <w:bottom w:val="nil"/>
              <w:right w:val="nil"/>
            </w:tcBorders>
            <w:shd w:val="clear" w:color="auto" w:fill="auto"/>
            <w:noWrap/>
            <w:vAlign w:val="center"/>
          </w:tcPr>
          <w:p w:rsidR="00AC564D" w:rsidRDefault="00AC564D" w:rsidP="00FA0D3A">
            <w:pPr>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c>
          <w:tcPr>
            <w:tcW w:w="737" w:type="dxa"/>
            <w:tcBorders>
              <w:top w:val="single" w:sz="8" w:space="0" w:color="auto"/>
              <w:left w:val="nil"/>
              <w:bottom w:val="nil"/>
              <w:right w:val="nil"/>
            </w:tcBorders>
            <w:shd w:val="clear" w:color="auto" w:fill="auto"/>
            <w:noWrap/>
            <w:vAlign w:val="center"/>
          </w:tcPr>
          <w:p w:rsidR="00AC564D" w:rsidRDefault="00AC564D" w:rsidP="00FA0D3A">
            <w:pPr>
              <w:jc w:val="right"/>
              <w:rPr>
                <w:rFonts w:ascii="Calibri" w:hAnsi="Calibri" w:cs="Calibri"/>
                <w:b/>
                <w:bCs/>
                <w:color w:val="000000"/>
                <w:sz w:val="18"/>
                <w:szCs w:val="18"/>
              </w:rPr>
            </w:pPr>
          </w:p>
        </w:tc>
      </w:tr>
      <w:tr w:rsidR="00FA0D3A" w:rsidRPr="00202E35" w:rsidTr="00AC564D">
        <w:trPr>
          <w:trHeight w:val="20"/>
        </w:trPr>
        <w:tc>
          <w:tcPr>
            <w:tcW w:w="3969" w:type="dxa"/>
            <w:tcBorders>
              <w:top w:val="nil"/>
            </w:tcBorders>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lastRenderedPageBreak/>
              <w:t>8.NT</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125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188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532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1,057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JOHNSTON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KARAMA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353A98" w:rsidTr="00593809">
        <w:trPr>
          <w:trHeight w:val="20"/>
        </w:trPr>
        <w:tc>
          <w:tcPr>
            <w:tcW w:w="3969" w:type="dxa"/>
            <w:shd w:val="clear" w:color="000000" w:fill="548DD4"/>
            <w:noWrap/>
            <w:vAlign w:val="center"/>
            <w:hideMark/>
          </w:tcPr>
          <w:p w:rsidR="00FA0D3A" w:rsidRPr="00353A98" w:rsidRDefault="00FA0D3A" w:rsidP="00FA0D3A">
            <w:pPr>
              <w:rPr>
                <w:rFonts w:ascii="Calibri" w:hAnsi="Calibri" w:cs="Calibri"/>
                <w:b/>
                <w:bCs/>
                <w:color w:val="FFFFFF" w:themeColor="background1"/>
                <w:sz w:val="18"/>
                <w:szCs w:val="18"/>
              </w:rPr>
            </w:pPr>
            <w:r w:rsidRPr="00353A98">
              <w:rPr>
                <w:rFonts w:ascii="Calibri" w:hAnsi="Calibri" w:cs="Calibri"/>
                <w:b/>
                <w:bCs/>
                <w:color w:val="FFFFFF" w:themeColor="background1"/>
                <w:sz w:val="18"/>
                <w:szCs w:val="18"/>
              </w:rPr>
              <w:t>Grand Total</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2,184</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6,360</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6,619</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9,178</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3,998</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4,591</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32,930</w:t>
            </w:r>
          </w:p>
        </w:tc>
      </w:tr>
    </w:tbl>
    <w:p w:rsidR="001323B7" w:rsidRPr="00353A98" w:rsidRDefault="001323B7" w:rsidP="000B12CE">
      <w:pPr>
        <w:tabs>
          <w:tab w:val="left" w:pos="3255"/>
        </w:tabs>
        <w:rPr>
          <w:color w:val="FFFFFF" w:themeColor="background1"/>
          <w:sz w:val="2"/>
          <w:szCs w:val="2"/>
        </w:rPr>
      </w:pPr>
    </w:p>
    <w:sectPr w:rsidR="001323B7" w:rsidRPr="00353A98"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EB" w:rsidRDefault="00EA56EB">
      <w:r>
        <w:separator/>
      </w:r>
    </w:p>
    <w:p w:rsidR="00EA56EB" w:rsidRDefault="00EA56EB"/>
  </w:endnote>
  <w:endnote w:type="continuationSeparator" w:id="0">
    <w:p w:rsidR="00EA56EB" w:rsidRDefault="00EA56EB">
      <w:r>
        <w:continuationSeparator/>
      </w:r>
    </w:p>
    <w:p w:rsidR="00EA56EB" w:rsidRDefault="00EA5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09" w:rsidRPr="00C912F6" w:rsidRDefault="00593809">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E14713">
      <w:rPr>
        <w:rFonts w:ascii="Calibri" w:hAnsi="Calibri" w:cs="Calibri"/>
        <w:b/>
        <w:noProof/>
        <w:sz w:val="20"/>
        <w:szCs w:val="20"/>
      </w:rPr>
      <w:t>1</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09" w:rsidRDefault="00593809"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EB" w:rsidRDefault="00EA56EB">
      <w:r>
        <w:separator/>
      </w:r>
    </w:p>
    <w:p w:rsidR="00EA56EB" w:rsidRDefault="00EA56EB"/>
  </w:footnote>
  <w:footnote w:type="continuationSeparator" w:id="0">
    <w:p w:rsidR="00EA56EB" w:rsidRDefault="00EA56EB">
      <w:r>
        <w:continuationSeparator/>
      </w:r>
    </w:p>
    <w:p w:rsidR="00EA56EB" w:rsidRDefault="00EA56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09" w:rsidRPr="00137BC7" w:rsidRDefault="00593809"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50E7"/>
    <w:rsid w:val="000251F3"/>
    <w:rsid w:val="000254BD"/>
    <w:rsid w:val="000256F7"/>
    <w:rsid w:val="00025B0A"/>
    <w:rsid w:val="00026188"/>
    <w:rsid w:val="000278DC"/>
    <w:rsid w:val="00027960"/>
    <w:rsid w:val="0003245B"/>
    <w:rsid w:val="00032DAA"/>
    <w:rsid w:val="000348DC"/>
    <w:rsid w:val="0003653B"/>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55E5"/>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1F6"/>
    <w:rsid w:val="00093BA0"/>
    <w:rsid w:val="00093C3B"/>
    <w:rsid w:val="00095765"/>
    <w:rsid w:val="00096ACA"/>
    <w:rsid w:val="00097C69"/>
    <w:rsid w:val="000A19B3"/>
    <w:rsid w:val="000A1DE0"/>
    <w:rsid w:val="000A2E10"/>
    <w:rsid w:val="000A4FD3"/>
    <w:rsid w:val="000A5710"/>
    <w:rsid w:val="000A61DD"/>
    <w:rsid w:val="000A7DF0"/>
    <w:rsid w:val="000B12CE"/>
    <w:rsid w:val="000B1CC8"/>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1FB9"/>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1B84"/>
    <w:rsid w:val="001B4522"/>
    <w:rsid w:val="001B6919"/>
    <w:rsid w:val="001B69BE"/>
    <w:rsid w:val="001B75E6"/>
    <w:rsid w:val="001C12A6"/>
    <w:rsid w:val="001C1384"/>
    <w:rsid w:val="001C2133"/>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44E1"/>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1F7839"/>
    <w:rsid w:val="0020149C"/>
    <w:rsid w:val="00201BBE"/>
    <w:rsid w:val="00202E35"/>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317"/>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28"/>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6AA2"/>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7F0"/>
    <w:rsid w:val="002F3F8A"/>
    <w:rsid w:val="002F42A3"/>
    <w:rsid w:val="002F4AE5"/>
    <w:rsid w:val="002F7389"/>
    <w:rsid w:val="002F799E"/>
    <w:rsid w:val="002F7FB2"/>
    <w:rsid w:val="0030089F"/>
    <w:rsid w:val="00300BF1"/>
    <w:rsid w:val="00300DDE"/>
    <w:rsid w:val="00303321"/>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2FF3"/>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473"/>
    <w:rsid w:val="0034397F"/>
    <w:rsid w:val="00343B94"/>
    <w:rsid w:val="00345BC6"/>
    <w:rsid w:val="00345E52"/>
    <w:rsid w:val="003472C5"/>
    <w:rsid w:val="00347E29"/>
    <w:rsid w:val="003506C2"/>
    <w:rsid w:val="003506E7"/>
    <w:rsid w:val="0035153C"/>
    <w:rsid w:val="003520CC"/>
    <w:rsid w:val="003539FD"/>
    <w:rsid w:val="00353A98"/>
    <w:rsid w:val="0035621D"/>
    <w:rsid w:val="00356635"/>
    <w:rsid w:val="00356C2B"/>
    <w:rsid w:val="00356EC6"/>
    <w:rsid w:val="003575EC"/>
    <w:rsid w:val="0036140C"/>
    <w:rsid w:val="0036189C"/>
    <w:rsid w:val="00361BCB"/>
    <w:rsid w:val="00361C59"/>
    <w:rsid w:val="00365B6F"/>
    <w:rsid w:val="003706D2"/>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B798C"/>
    <w:rsid w:val="003C1558"/>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476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617"/>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5D9"/>
    <w:rsid w:val="004C1C91"/>
    <w:rsid w:val="004C3E3D"/>
    <w:rsid w:val="004C4815"/>
    <w:rsid w:val="004C4B12"/>
    <w:rsid w:val="004C4E60"/>
    <w:rsid w:val="004C61B1"/>
    <w:rsid w:val="004C66E7"/>
    <w:rsid w:val="004C7A80"/>
    <w:rsid w:val="004D06A9"/>
    <w:rsid w:val="004D3CAC"/>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35C"/>
    <w:rsid w:val="0051652B"/>
    <w:rsid w:val="00516E33"/>
    <w:rsid w:val="00517461"/>
    <w:rsid w:val="00520F1C"/>
    <w:rsid w:val="0052109F"/>
    <w:rsid w:val="0052169C"/>
    <w:rsid w:val="0052412E"/>
    <w:rsid w:val="0052418C"/>
    <w:rsid w:val="005247E1"/>
    <w:rsid w:val="00524B3D"/>
    <w:rsid w:val="005346FF"/>
    <w:rsid w:val="00535FEE"/>
    <w:rsid w:val="005365BD"/>
    <w:rsid w:val="005376B9"/>
    <w:rsid w:val="00540D35"/>
    <w:rsid w:val="0054141D"/>
    <w:rsid w:val="005414CD"/>
    <w:rsid w:val="00541610"/>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3809"/>
    <w:rsid w:val="00594032"/>
    <w:rsid w:val="00594ECC"/>
    <w:rsid w:val="00596E2C"/>
    <w:rsid w:val="00597790"/>
    <w:rsid w:val="005A0F29"/>
    <w:rsid w:val="005A1CF4"/>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E6C7D"/>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101"/>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1CE4"/>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59E4"/>
    <w:rsid w:val="006D6D1C"/>
    <w:rsid w:val="006D7D31"/>
    <w:rsid w:val="006D7EAE"/>
    <w:rsid w:val="006E104F"/>
    <w:rsid w:val="006E1A49"/>
    <w:rsid w:val="006E1E85"/>
    <w:rsid w:val="006E1F8A"/>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0EB"/>
    <w:rsid w:val="007543CD"/>
    <w:rsid w:val="00754834"/>
    <w:rsid w:val="00755122"/>
    <w:rsid w:val="00755BBA"/>
    <w:rsid w:val="007567BC"/>
    <w:rsid w:val="00760501"/>
    <w:rsid w:val="00760592"/>
    <w:rsid w:val="00762C3E"/>
    <w:rsid w:val="00763A3B"/>
    <w:rsid w:val="00767587"/>
    <w:rsid w:val="00771379"/>
    <w:rsid w:val="0077389C"/>
    <w:rsid w:val="0077427D"/>
    <w:rsid w:val="007750FD"/>
    <w:rsid w:val="00777202"/>
    <w:rsid w:val="00777660"/>
    <w:rsid w:val="00780A16"/>
    <w:rsid w:val="00780ECF"/>
    <w:rsid w:val="00781D19"/>
    <w:rsid w:val="00782186"/>
    <w:rsid w:val="00784183"/>
    <w:rsid w:val="00785261"/>
    <w:rsid w:val="007857D8"/>
    <w:rsid w:val="00786BF2"/>
    <w:rsid w:val="00787059"/>
    <w:rsid w:val="007872EC"/>
    <w:rsid w:val="007917AA"/>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714"/>
    <w:rsid w:val="0085391D"/>
    <w:rsid w:val="00853A34"/>
    <w:rsid w:val="00854BC5"/>
    <w:rsid w:val="00854F59"/>
    <w:rsid w:val="00855045"/>
    <w:rsid w:val="00855098"/>
    <w:rsid w:val="00855FC7"/>
    <w:rsid w:val="0086056B"/>
    <w:rsid w:val="008609AB"/>
    <w:rsid w:val="00861B26"/>
    <w:rsid w:val="00862114"/>
    <w:rsid w:val="0086275A"/>
    <w:rsid w:val="00862F7B"/>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1E4"/>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07A"/>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369C"/>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6D5E"/>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17B"/>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2AD7"/>
    <w:rsid w:val="00AB3F51"/>
    <w:rsid w:val="00AB4886"/>
    <w:rsid w:val="00AB57D3"/>
    <w:rsid w:val="00AB74A4"/>
    <w:rsid w:val="00AC1D36"/>
    <w:rsid w:val="00AC282B"/>
    <w:rsid w:val="00AC2C2E"/>
    <w:rsid w:val="00AC3429"/>
    <w:rsid w:val="00AC3D63"/>
    <w:rsid w:val="00AC4FA7"/>
    <w:rsid w:val="00AC564D"/>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32E8"/>
    <w:rsid w:val="00B04A86"/>
    <w:rsid w:val="00B04F82"/>
    <w:rsid w:val="00B0715B"/>
    <w:rsid w:val="00B07FAB"/>
    <w:rsid w:val="00B10659"/>
    <w:rsid w:val="00B10A71"/>
    <w:rsid w:val="00B11982"/>
    <w:rsid w:val="00B12BEE"/>
    <w:rsid w:val="00B16B21"/>
    <w:rsid w:val="00B16EA8"/>
    <w:rsid w:val="00B175D9"/>
    <w:rsid w:val="00B175E0"/>
    <w:rsid w:val="00B17738"/>
    <w:rsid w:val="00B17D8D"/>
    <w:rsid w:val="00B20132"/>
    <w:rsid w:val="00B20315"/>
    <w:rsid w:val="00B215A0"/>
    <w:rsid w:val="00B23E62"/>
    <w:rsid w:val="00B24A0B"/>
    <w:rsid w:val="00B25541"/>
    <w:rsid w:val="00B260F3"/>
    <w:rsid w:val="00B266BC"/>
    <w:rsid w:val="00B276FE"/>
    <w:rsid w:val="00B27945"/>
    <w:rsid w:val="00B31BC1"/>
    <w:rsid w:val="00B33193"/>
    <w:rsid w:val="00B33468"/>
    <w:rsid w:val="00B33FAE"/>
    <w:rsid w:val="00B3475E"/>
    <w:rsid w:val="00B35802"/>
    <w:rsid w:val="00B36BC4"/>
    <w:rsid w:val="00B37BBB"/>
    <w:rsid w:val="00B37F6D"/>
    <w:rsid w:val="00B40D86"/>
    <w:rsid w:val="00B41880"/>
    <w:rsid w:val="00B423C5"/>
    <w:rsid w:val="00B424EE"/>
    <w:rsid w:val="00B434CA"/>
    <w:rsid w:val="00B43A22"/>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D22"/>
    <w:rsid w:val="00B91065"/>
    <w:rsid w:val="00B91343"/>
    <w:rsid w:val="00B9228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4000"/>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2AE"/>
    <w:rsid w:val="00BE63D9"/>
    <w:rsid w:val="00BE6CA8"/>
    <w:rsid w:val="00BE7148"/>
    <w:rsid w:val="00BF190B"/>
    <w:rsid w:val="00BF27E8"/>
    <w:rsid w:val="00BF32B3"/>
    <w:rsid w:val="00BF416B"/>
    <w:rsid w:val="00BF4206"/>
    <w:rsid w:val="00C00456"/>
    <w:rsid w:val="00C02F37"/>
    <w:rsid w:val="00C034E1"/>
    <w:rsid w:val="00C05BD6"/>
    <w:rsid w:val="00C07057"/>
    <w:rsid w:val="00C077FD"/>
    <w:rsid w:val="00C07A22"/>
    <w:rsid w:val="00C07E3D"/>
    <w:rsid w:val="00C12247"/>
    <w:rsid w:val="00C13198"/>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C4C"/>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0B6"/>
    <w:rsid w:val="00D201E6"/>
    <w:rsid w:val="00D21097"/>
    <w:rsid w:val="00D21DDA"/>
    <w:rsid w:val="00D225D7"/>
    <w:rsid w:val="00D23426"/>
    <w:rsid w:val="00D236B1"/>
    <w:rsid w:val="00D24199"/>
    <w:rsid w:val="00D245DF"/>
    <w:rsid w:val="00D24883"/>
    <w:rsid w:val="00D24FFB"/>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6F58"/>
    <w:rsid w:val="00D47C68"/>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2094"/>
    <w:rsid w:val="00D82B67"/>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6FE3"/>
    <w:rsid w:val="00E07FCB"/>
    <w:rsid w:val="00E10278"/>
    <w:rsid w:val="00E10A80"/>
    <w:rsid w:val="00E14713"/>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6D87"/>
    <w:rsid w:val="00E27D52"/>
    <w:rsid w:val="00E3185E"/>
    <w:rsid w:val="00E33A32"/>
    <w:rsid w:val="00E359E3"/>
    <w:rsid w:val="00E35FC8"/>
    <w:rsid w:val="00E37884"/>
    <w:rsid w:val="00E408CF"/>
    <w:rsid w:val="00E4196E"/>
    <w:rsid w:val="00E42C56"/>
    <w:rsid w:val="00E42E89"/>
    <w:rsid w:val="00E4318F"/>
    <w:rsid w:val="00E443FF"/>
    <w:rsid w:val="00E44DFE"/>
    <w:rsid w:val="00E46CAE"/>
    <w:rsid w:val="00E47755"/>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56EB"/>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F0183"/>
    <w:rsid w:val="00EF0775"/>
    <w:rsid w:val="00EF0BBA"/>
    <w:rsid w:val="00EF33E9"/>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033"/>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415"/>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3E64"/>
    <w:rsid w:val="00F85228"/>
    <w:rsid w:val="00F85260"/>
    <w:rsid w:val="00F85CF1"/>
    <w:rsid w:val="00F8681E"/>
    <w:rsid w:val="00F8684B"/>
    <w:rsid w:val="00F86B31"/>
    <w:rsid w:val="00F8745A"/>
    <w:rsid w:val="00F879C7"/>
    <w:rsid w:val="00F87DA6"/>
    <w:rsid w:val="00F9298E"/>
    <w:rsid w:val="00F93694"/>
    <w:rsid w:val="00F94249"/>
    <w:rsid w:val="00F95A95"/>
    <w:rsid w:val="00F96252"/>
    <w:rsid w:val="00F97564"/>
    <w:rsid w:val="00FA0D3A"/>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C7BC4"/>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44646">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13142309">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48911809">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11354103">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296952930">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02809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176117867">
      <w:bodyDiv w:val="1"/>
      <w:marLeft w:val="0"/>
      <w:marRight w:val="0"/>
      <w:marTop w:val="0"/>
      <w:marBottom w:val="0"/>
      <w:divBdr>
        <w:top w:val="none" w:sz="0" w:space="0" w:color="auto"/>
        <w:left w:val="none" w:sz="0" w:space="0" w:color="auto"/>
        <w:bottom w:val="none" w:sz="0" w:space="0" w:color="auto"/>
        <w:right w:val="none" w:sz="0" w:space="0" w:color="auto"/>
      </w:divBdr>
    </w:div>
    <w:div w:id="1189567069">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389299421">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76221844">
      <w:bodyDiv w:val="1"/>
      <w:marLeft w:val="0"/>
      <w:marRight w:val="0"/>
      <w:marTop w:val="0"/>
      <w:marBottom w:val="0"/>
      <w:divBdr>
        <w:top w:val="none" w:sz="0" w:space="0" w:color="auto"/>
        <w:left w:val="none" w:sz="0" w:space="0" w:color="auto"/>
        <w:bottom w:val="none" w:sz="0" w:space="0" w:color="auto"/>
        <w:right w:val="none" w:sz="0" w:space="0" w:color="auto"/>
      </w:divBdr>
    </w:div>
    <w:div w:id="1481115022">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1071975">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797065605">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06724385">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0055\AppData\Local\Arc\Offline%20Records%20(PR)\NRAS%20-%203.%20~%20SOCIAL%20WELFARE%20SERVICES%20-%20REPORTING%20-%20Routine%20Operational(5)\program%20operations%2031%20March%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Number of allocations remaining nationally by calendar year as at </a:t>
            </a:r>
            <a:br>
              <a:rPr lang="en-AU" sz="1400" b="0" i="0" baseline="0">
                <a:effectLst/>
              </a:rPr>
            </a:br>
            <a:r>
              <a:rPr lang="en-AU" sz="1400" b="0" i="0" baseline="0">
                <a:effectLst/>
              </a:rPr>
              <a:t>31 March 2021</a:t>
            </a:r>
            <a:endParaRPr lang="en-A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4'!$A$31</c:f>
              <c:strCache>
                <c:ptCount val="1"/>
                <c:pt idx="0">
                  <c:v>Number of allocations ceasing per celander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4'!$B$30:$G$30</c:f>
              <c:numCache>
                <c:formatCode>General</c:formatCode>
                <c:ptCount val="6"/>
                <c:pt idx="0">
                  <c:v>2021</c:v>
                </c:pt>
                <c:pt idx="1">
                  <c:v>2022</c:v>
                </c:pt>
                <c:pt idx="2">
                  <c:v>2023</c:v>
                </c:pt>
                <c:pt idx="3">
                  <c:v>2024</c:v>
                </c:pt>
                <c:pt idx="4">
                  <c:v>2025</c:v>
                </c:pt>
                <c:pt idx="5">
                  <c:v>2026</c:v>
                </c:pt>
              </c:numCache>
            </c:numRef>
          </c:cat>
          <c:val>
            <c:numRef>
              <c:f>'Tables 3 and 4'!$B$31:$G$31</c:f>
              <c:numCache>
                <c:formatCode>#,##0</c:formatCode>
                <c:ptCount val="6"/>
                <c:pt idx="0">
                  <c:v>-2184</c:v>
                </c:pt>
                <c:pt idx="1">
                  <c:v>-6360</c:v>
                </c:pt>
                <c:pt idx="2">
                  <c:v>-6619</c:v>
                </c:pt>
                <c:pt idx="3">
                  <c:v>-9178</c:v>
                </c:pt>
                <c:pt idx="4">
                  <c:v>-3998</c:v>
                </c:pt>
                <c:pt idx="5">
                  <c:v>-4591</c:v>
                </c:pt>
              </c:numCache>
            </c:numRef>
          </c:val>
          <c:extLst>
            <c:ext xmlns:c16="http://schemas.microsoft.com/office/drawing/2014/chart" uri="{C3380CC4-5D6E-409C-BE32-E72D297353CC}">
              <c16:uniqueId val="{00000000-D02E-49A4-B9F4-51021D797D99}"/>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4'!$A$32</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4'!$B$30:$G$30</c:f>
              <c:numCache>
                <c:formatCode>General</c:formatCode>
                <c:ptCount val="6"/>
                <c:pt idx="0">
                  <c:v>2021</c:v>
                </c:pt>
                <c:pt idx="1">
                  <c:v>2022</c:v>
                </c:pt>
                <c:pt idx="2">
                  <c:v>2023</c:v>
                </c:pt>
                <c:pt idx="3">
                  <c:v>2024</c:v>
                </c:pt>
                <c:pt idx="4">
                  <c:v>2025</c:v>
                </c:pt>
                <c:pt idx="5">
                  <c:v>2026</c:v>
                </c:pt>
              </c:numCache>
            </c:numRef>
          </c:cat>
          <c:val>
            <c:numRef>
              <c:f>'Tables 3 and 4'!$B$32:$G$32</c:f>
              <c:numCache>
                <c:formatCode>#,##0</c:formatCode>
                <c:ptCount val="6"/>
                <c:pt idx="0">
                  <c:v>30746</c:v>
                </c:pt>
                <c:pt idx="1">
                  <c:v>24386</c:v>
                </c:pt>
                <c:pt idx="2">
                  <c:v>17767</c:v>
                </c:pt>
                <c:pt idx="3">
                  <c:v>8589</c:v>
                </c:pt>
                <c:pt idx="4">
                  <c:v>4591</c:v>
                </c:pt>
                <c:pt idx="5">
                  <c:v>0</c:v>
                </c:pt>
              </c:numCache>
            </c:numRef>
          </c:val>
          <c:smooth val="0"/>
          <c:extLst>
            <c:ext xmlns:c16="http://schemas.microsoft.com/office/drawing/2014/chart" uri="{C3380CC4-5D6E-409C-BE32-E72D297353CC}">
              <c16:uniqueId val="{00000001-D02E-49A4-B9F4-51021D797D99}"/>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D8FA-1B83-4994-B2CC-92769D46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2021-04-19T06:29:00Z</dcterms:created>
  <dcterms:modified xsi:type="dcterms:W3CDTF">2021-04-19T06:29:00Z</dcterms:modified>
</cp:coreProperties>
</file>