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4D46" w14:textId="77777777" w:rsidR="00D0783E" w:rsidRDefault="00393388" w:rsidP="001606F3">
      <w:pPr>
        <w:jc w:val="center"/>
        <w:rPr>
          <w:rFonts w:cs="Arial"/>
          <w:color w:val="FFFFFF"/>
        </w:rPr>
      </w:pPr>
      <w:r>
        <w:rPr>
          <w:noProof/>
          <w:color w:val="000000"/>
        </w:rPr>
        <w:drawing>
          <wp:inline distT="0" distB="0" distL="0" distR="0" wp14:anchorId="28C1A50D" wp14:editId="27E5B1BA">
            <wp:extent cx="3923665" cy="2722880"/>
            <wp:effectExtent l="0" t="0" r="635" b="127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665" cy="2722880"/>
                    </a:xfrm>
                    <a:prstGeom prst="rect">
                      <a:avLst/>
                    </a:prstGeom>
                    <a:noFill/>
                    <a:ln>
                      <a:noFill/>
                    </a:ln>
                  </pic:spPr>
                </pic:pic>
              </a:graphicData>
            </a:graphic>
          </wp:inline>
        </w:drawing>
      </w:r>
      <w:r w:rsidR="00D0783E" w:rsidRPr="007F6BD6">
        <w:rPr>
          <w:rFonts w:cs="Arial"/>
          <w:color w:val="FFFFFF"/>
        </w:rPr>
        <w:t>A</w:t>
      </w:r>
    </w:p>
    <w:p w14:paraId="635A4CE5" w14:textId="4AFF417A" w:rsidR="00D15D4B" w:rsidRPr="00D15D4B" w:rsidRDefault="00D15D4B" w:rsidP="00D15D4B">
      <w:pPr>
        <w:pStyle w:val="Heading1"/>
        <w:spacing w:before="600"/>
      </w:pPr>
      <w:bookmarkStart w:id="0" w:name="_Toc22038022"/>
      <w:bookmarkStart w:id="1" w:name="_Toc22038089"/>
      <w:r w:rsidRPr="00D15D4B">
        <w:t>National Panel of Assessors Performance Framework Guidelines</w:t>
      </w:r>
      <w:bookmarkEnd w:id="0"/>
      <w:bookmarkEnd w:id="1"/>
      <w:r w:rsidRPr="00D15D4B">
        <w:t xml:space="preserve"> </w:t>
      </w:r>
    </w:p>
    <w:p w14:paraId="1A44DE8F" w14:textId="6BA0FB6A" w:rsidR="00D0783E" w:rsidRDefault="00AA41B1" w:rsidP="00D15D4B">
      <w:pPr>
        <w:pStyle w:val="DocumentTitle"/>
        <w:spacing w:after="4080"/>
        <w:rPr>
          <w:color w:val="auto"/>
          <w:sz w:val="36"/>
          <w:szCs w:val="36"/>
        </w:rPr>
      </w:pPr>
      <w:r w:rsidRPr="00D15D4B">
        <w:rPr>
          <w:color w:val="auto"/>
          <w:sz w:val="36"/>
          <w:szCs w:val="36"/>
        </w:rPr>
        <w:t>V1.</w:t>
      </w:r>
      <w:r w:rsidR="00E272B7">
        <w:rPr>
          <w:color w:val="auto"/>
          <w:sz w:val="36"/>
          <w:szCs w:val="36"/>
        </w:rPr>
        <w:t>4</w:t>
      </w:r>
    </w:p>
    <w:p w14:paraId="5F1AE6F8" w14:textId="77777777" w:rsidR="00D15D4B" w:rsidRDefault="00D15D4B" w:rsidP="004C26BE">
      <w:pPr>
        <w:spacing w:after="1440"/>
      </w:pPr>
      <w:r>
        <w:rPr>
          <w:noProof/>
        </w:rPr>
        <mc:AlternateContent>
          <mc:Choice Requires="wps">
            <w:drawing>
              <wp:inline distT="0" distB="0" distL="0" distR="0" wp14:anchorId="31DFE36B" wp14:editId="75245835">
                <wp:extent cx="5486400" cy="1068081"/>
                <wp:effectExtent l="0" t="0" r="19050" b="1778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8081"/>
                        </a:xfrm>
                        <a:prstGeom prst="rect">
                          <a:avLst/>
                        </a:prstGeom>
                        <a:solidFill>
                          <a:srgbClr val="FFFFFF"/>
                        </a:solidFill>
                        <a:ln w="9525">
                          <a:solidFill>
                            <a:srgbClr val="000000"/>
                          </a:solidFill>
                          <a:miter lim="800000"/>
                          <a:headEnd/>
                          <a:tailEnd/>
                        </a:ln>
                      </wps:spPr>
                      <wps:txbx>
                        <w:txbxContent>
                          <w:p w14:paraId="76BF4A69" w14:textId="77777777" w:rsidR="008136F4" w:rsidRPr="00D2305C" w:rsidRDefault="008136F4" w:rsidP="004C26BE">
                            <w:pPr>
                              <w:pStyle w:val="Default"/>
                            </w:pPr>
                            <w:r w:rsidRPr="00D2305C">
                              <w:rPr>
                                <w:b/>
                              </w:rPr>
                              <w:t>Disclaimer</w:t>
                            </w:r>
                            <w:r>
                              <w:rPr>
                                <w:b/>
                              </w:rPr>
                              <w:t xml:space="preserve">: </w:t>
                            </w:r>
                            <w:r w:rsidRPr="007F2A01">
                              <w:rPr>
                                <w:sz w:val="22"/>
                                <w:szCs w:val="22"/>
                              </w:rPr>
                              <w:t>This document is not a stand-alone document and does not contain the entirety of Disability Employment National Panel of Assessors Providers’ obligations. It should be read in conjunction with the Disability Employment National Panel of Assessors Grant Program Agreement (2018-2023) and any relevant Guidelines or reference material issued by the Department under or in connection with the Grant Agreement of Standing Offer.</w:t>
                            </w:r>
                          </w:p>
                        </w:txbxContent>
                      </wps:txbx>
                      <wps:bodyPr rot="0" vert="horz" wrap="square" lIns="91440" tIns="45720" rIns="91440" bIns="45720" anchor="t" anchorCtr="0" upright="1">
                        <a:noAutofit/>
                      </wps:bodyPr>
                    </wps:wsp>
                  </a:graphicData>
                </a:graphic>
              </wp:inline>
            </w:drawing>
          </mc:Choice>
          <mc:Fallback>
            <w:pict>
              <v:shapetype w14:anchorId="31DFE36B" id="_x0000_t202" coordsize="21600,21600" o:spt="202" path="m,l,21600r21600,l21600,xe">
                <v:stroke joinstyle="miter"/>
                <v:path gradientshapeok="t" o:connecttype="rect"/>
              </v:shapetype>
              <v:shape id="Text Box 4" o:spid="_x0000_s1026" type="#_x0000_t202" style="width:6in;height: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">
                <v:textbox>
                  <w:txbxContent>
                    <w:p w14:paraId="76BF4A69" w14:textId="77777777" w:rsidR="008136F4" w:rsidRPr="00D2305C" w:rsidRDefault="008136F4" w:rsidP="004C26BE">
                      <w:pPr>
                        <w:pStyle w:val="Default"/>
                      </w:pPr>
                      <w:r w:rsidRPr="00D2305C">
                        <w:rPr>
                          <w:b/>
                        </w:rPr>
                        <w:t>Disclaimer</w:t>
                      </w:r>
                      <w:r>
                        <w:rPr>
                          <w:b/>
                        </w:rPr>
                        <w:t xml:space="preserve">: </w:t>
                      </w:r>
                      <w:r w:rsidRPr="007F2A01">
                        <w:rPr>
                          <w:sz w:val="22"/>
                          <w:szCs w:val="22"/>
                        </w:rPr>
                        <w:t>This document is not a stand-alone document and does not contain the entirety of Disability Employment National Panel of Assessors Providers’ obligations. It should be read in conjunction with the Disability Employment National Panel of Assessors Grant Program Agreement (2018-2023) and any relevant Guidelines or reference material issued by the Department under or in connection with the Grant Agreement of Standing Offer.</w:t>
                      </w:r>
                    </w:p>
                  </w:txbxContent>
                </v:textbox>
                <w10:anchorlock/>
              </v:shape>
            </w:pict>
          </mc:Fallback>
        </mc:AlternateContent>
      </w:r>
      <w:r>
        <w:br w:type="page"/>
      </w:r>
    </w:p>
    <w:p w14:paraId="320D4140" w14:textId="31DD56D4" w:rsidR="008136F4" w:rsidRDefault="003B73BA">
      <w:pPr>
        <w:pStyle w:val="TOC1"/>
        <w:rPr>
          <w:rFonts w:asciiTheme="minorHAnsi" w:eastAsiaTheme="minorEastAsia" w:hAnsiTheme="minorHAnsi" w:cstheme="minorBidi"/>
          <w:b w:val="0"/>
          <w:szCs w:val="22"/>
        </w:rPr>
      </w:pPr>
      <w:r>
        <w:lastRenderedPageBreak/>
        <w:fldChar w:fldCharType="begin"/>
      </w:r>
      <w:r>
        <w:instrText xml:space="preserve"> TOC \o "1-3" \h \z \u </w:instrText>
      </w:r>
      <w:r>
        <w:fldChar w:fldCharType="separate"/>
      </w:r>
      <w:hyperlink w:anchor="_Toc22038089" w:history="1">
        <w:r w:rsidR="008136F4" w:rsidRPr="00DA6653">
          <w:rPr>
            <w:rStyle w:val="Hyperlink"/>
          </w:rPr>
          <w:t>National Panel of Assessors Performance Framework Guidelines</w:t>
        </w:r>
        <w:r w:rsidR="008136F4">
          <w:rPr>
            <w:webHidden/>
          </w:rPr>
          <w:tab/>
        </w:r>
        <w:r w:rsidR="008136F4">
          <w:rPr>
            <w:webHidden/>
          </w:rPr>
          <w:fldChar w:fldCharType="begin"/>
        </w:r>
        <w:r w:rsidR="008136F4">
          <w:rPr>
            <w:webHidden/>
          </w:rPr>
          <w:instrText xml:space="preserve"> PAGEREF _Toc22038089 \h </w:instrText>
        </w:r>
        <w:r w:rsidR="008136F4">
          <w:rPr>
            <w:webHidden/>
          </w:rPr>
        </w:r>
        <w:r w:rsidR="008136F4">
          <w:rPr>
            <w:webHidden/>
          </w:rPr>
          <w:fldChar w:fldCharType="separate"/>
        </w:r>
        <w:r w:rsidR="002D20C7">
          <w:rPr>
            <w:webHidden/>
          </w:rPr>
          <w:t>1</w:t>
        </w:r>
        <w:r w:rsidR="008136F4">
          <w:rPr>
            <w:webHidden/>
          </w:rPr>
          <w:fldChar w:fldCharType="end"/>
        </w:r>
      </w:hyperlink>
    </w:p>
    <w:p w14:paraId="418CFEE1" w14:textId="605B45D0" w:rsidR="008136F4" w:rsidRDefault="00E55E5B">
      <w:pPr>
        <w:pStyle w:val="TOC2"/>
        <w:rPr>
          <w:rFonts w:asciiTheme="minorHAnsi" w:eastAsiaTheme="minorEastAsia" w:hAnsiTheme="minorHAnsi" w:cstheme="minorBidi"/>
          <w:szCs w:val="22"/>
        </w:rPr>
      </w:pPr>
      <w:hyperlink w:anchor="_Toc22038090" w:history="1">
        <w:r w:rsidR="008136F4" w:rsidRPr="00DA6653">
          <w:rPr>
            <w:rStyle w:val="Hyperlink"/>
          </w:rPr>
          <w:t>National Panel of Assessors Performance Framework Guidelines and Ongoing Support Assessments Quality Framework</w:t>
        </w:r>
        <w:r w:rsidR="008136F4">
          <w:rPr>
            <w:webHidden/>
          </w:rPr>
          <w:tab/>
        </w:r>
        <w:r w:rsidR="008136F4">
          <w:rPr>
            <w:webHidden/>
          </w:rPr>
          <w:fldChar w:fldCharType="begin"/>
        </w:r>
        <w:r w:rsidR="008136F4">
          <w:rPr>
            <w:webHidden/>
          </w:rPr>
          <w:instrText xml:space="preserve"> PAGEREF _Toc22038090 \h </w:instrText>
        </w:r>
        <w:r w:rsidR="008136F4">
          <w:rPr>
            <w:webHidden/>
          </w:rPr>
        </w:r>
        <w:r w:rsidR="008136F4">
          <w:rPr>
            <w:webHidden/>
          </w:rPr>
          <w:fldChar w:fldCharType="separate"/>
        </w:r>
        <w:r w:rsidR="002D20C7">
          <w:rPr>
            <w:webHidden/>
          </w:rPr>
          <w:t>2</w:t>
        </w:r>
        <w:r w:rsidR="008136F4">
          <w:rPr>
            <w:webHidden/>
          </w:rPr>
          <w:fldChar w:fldCharType="end"/>
        </w:r>
      </w:hyperlink>
    </w:p>
    <w:p w14:paraId="591AD447" w14:textId="088BF26B" w:rsidR="008136F4" w:rsidRDefault="00E55E5B">
      <w:pPr>
        <w:pStyle w:val="TOC3"/>
        <w:tabs>
          <w:tab w:val="right" w:pos="9060"/>
        </w:tabs>
        <w:rPr>
          <w:rFonts w:asciiTheme="minorHAnsi" w:eastAsiaTheme="minorEastAsia" w:hAnsiTheme="minorHAnsi" w:cstheme="minorBidi"/>
          <w:noProof/>
          <w:szCs w:val="22"/>
        </w:rPr>
      </w:pPr>
      <w:hyperlink w:anchor="_Toc22038091" w:history="1">
        <w:r w:rsidR="008136F4" w:rsidRPr="00DA6653">
          <w:rPr>
            <w:rStyle w:val="Hyperlink"/>
            <w:noProof/>
          </w:rPr>
          <w:t>Document Change History</w:t>
        </w:r>
        <w:r w:rsidR="008136F4">
          <w:rPr>
            <w:noProof/>
            <w:webHidden/>
          </w:rPr>
          <w:tab/>
        </w:r>
        <w:r w:rsidR="008136F4">
          <w:rPr>
            <w:noProof/>
            <w:webHidden/>
          </w:rPr>
          <w:fldChar w:fldCharType="begin"/>
        </w:r>
        <w:r w:rsidR="008136F4">
          <w:rPr>
            <w:noProof/>
            <w:webHidden/>
          </w:rPr>
          <w:instrText xml:space="preserve"> PAGEREF _Toc22038091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754EA020" w14:textId="50A3D77B" w:rsidR="008136F4" w:rsidRDefault="00E55E5B">
      <w:pPr>
        <w:pStyle w:val="TOC3"/>
        <w:tabs>
          <w:tab w:val="right" w:pos="9060"/>
        </w:tabs>
        <w:rPr>
          <w:rFonts w:asciiTheme="minorHAnsi" w:eastAsiaTheme="minorEastAsia" w:hAnsiTheme="minorHAnsi" w:cstheme="minorBidi"/>
          <w:noProof/>
          <w:szCs w:val="22"/>
        </w:rPr>
      </w:pPr>
      <w:hyperlink w:anchor="_Toc22038092" w:history="1">
        <w:r w:rsidR="008136F4" w:rsidRPr="00DA6653">
          <w:rPr>
            <w:rStyle w:val="Hyperlink"/>
            <w:noProof/>
          </w:rPr>
          <w:t>Explanatory Note</w:t>
        </w:r>
        <w:r w:rsidR="008136F4">
          <w:rPr>
            <w:noProof/>
            <w:webHidden/>
          </w:rPr>
          <w:tab/>
        </w:r>
        <w:r w:rsidR="008136F4">
          <w:rPr>
            <w:noProof/>
            <w:webHidden/>
          </w:rPr>
          <w:fldChar w:fldCharType="begin"/>
        </w:r>
        <w:r w:rsidR="008136F4">
          <w:rPr>
            <w:noProof/>
            <w:webHidden/>
          </w:rPr>
          <w:instrText xml:space="preserve"> PAGEREF _Toc22038092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6461E0E3" w14:textId="4D3BB2EF" w:rsidR="008136F4" w:rsidRDefault="00E55E5B">
      <w:pPr>
        <w:pStyle w:val="TOC3"/>
        <w:tabs>
          <w:tab w:val="right" w:pos="9060"/>
        </w:tabs>
        <w:rPr>
          <w:rFonts w:asciiTheme="minorHAnsi" w:eastAsiaTheme="minorEastAsia" w:hAnsiTheme="minorHAnsi" w:cstheme="minorBidi"/>
          <w:noProof/>
          <w:szCs w:val="22"/>
        </w:rPr>
      </w:pPr>
      <w:hyperlink w:anchor="_Toc22038093" w:history="1">
        <w:r w:rsidR="008136F4" w:rsidRPr="00DA6653">
          <w:rPr>
            <w:rStyle w:val="Hyperlink"/>
            <w:noProof/>
          </w:rPr>
          <w:t>Background</w:t>
        </w:r>
        <w:r w:rsidR="008136F4">
          <w:rPr>
            <w:noProof/>
            <w:webHidden/>
          </w:rPr>
          <w:tab/>
        </w:r>
        <w:r w:rsidR="008136F4">
          <w:rPr>
            <w:noProof/>
            <w:webHidden/>
          </w:rPr>
          <w:fldChar w:fldCharType="begin"/>
        </w:r>
        <w:r w:rsidR="008136F4">
          <w:rPr>
            <w:noProof/>
            <w:webHidden/>
          </w:rPr>
          <w:instrText xml:space="preserve"> PAGEREF _Toc22038093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19FD48A6" w14:textId="37EE9FBA" w:rsidR="008136F4" w:rsidRDefault="00E55E5B">
      <w:pPr>
        <w:pStyle w:val="TOC3"/>
        <w:tabs>
          <w:tab w:val="right" w:pos="9060"/>
        </w:tabs>
        <w:rPr>
          <w:rFonts w:asciiTheme="minorHAnsi" w:eastAsiaTheme="minorEastAsia" w:hAnsiTheme="minorHAnsi" w:cstheme="minorBidi"/>
          <w:noProof/>
          <w:szCs w:val="22"/>
        </w:rPr>
      </w:pPr>
      <w:hyperlink w:anchor="_Toc22038094" w:history="1">
        <w:r w:rsidR="008136F4" w:rsidRPr="00DA6653">
          <w:rPr>
            <w:rStyle w:val="Hyperlink"/>
            <w:noProof/>
          </w:rPr>
          <w:t>NPA Performance Framework</w:t>
        </w:r>
        <w:r w:rsidR="008136F4">
          <w:rPr>
            <w:noProof/>
            <w:webHidden/>
          </w:rPr>
          <w:tab/>
        </w:r>
        <w:r w:rsidR="008136F4">
          <w:rPr>
            <w:noProof/>
            <w:webHidden/>
          </w:rPr>
          <w:fldChar w:fldCharType="begin"/>
        </w:r>
        <w:r w:rsidR="008136F4">
          <w:rPr>
            <w:noProof/>
            <w:webHidden/>
          </w:rPr>
          <w:instrText xml:space="preserve"> PAGEREF _Toc22038094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24D8B62A" w14:textId="385E395F" w:rsidR="008136F4" w:rsidRDefault="00E55E5B">
      <w:pPr>
        <w:pStyle w:val="TOC3"/>
        <w:tabs>
          <w:tab w:val="right" w:pos="9060"/>
        </w:tabs>
        <w:rPr>
          <w:rFonts w:asciiTheme="minorHAnsi" w:eastAsiaTheme="minorEastAsia" w:hAnsiTheme="minorHAnsi" w:cstheme="minorBidi"/>
          <w:noProof/>
          <w:szCs w:val="22"/>
        </w:rPr>
      </w:pPr>
      <w:hyperlink w:anchor="_Toc22038095" w:history="1">
        <w:r w:rsidR="008136F4" w:rsidRPr="00DA6653">
          <w:rPr>
            <w:rStyle w:val="Hyperlink"/>
            <w:noProof/>
          </w:rPr>
          <w:t>Key Objectives of the Framework</w:t>
        </w:r>
        <w:r w:rsidR="008136F4">
          <w:rPr>
            <w:noProof/>
            <w:webHidden/>
          </w:rPr>
          <w:tab/>
        </w:r>
        <w:r w:rsidR="008136F4">
          <w:rPr>
            <w:noProof/>
            <w:webHidden/>
          </w:rPr>
          <w:fldChar w:fldCharType="begin"/>
        </w:r>
        <w:r w:rsidR="008136F4">
          <w:rPr>
            <w:noProof/>
            <w:webHidden/>
          </w:rPr>
          <w:instrText xml:space="preserve"> PAGEREF _Toc22038095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28D12307" w14:textId="536A402D" w:rsidR="008136F4" w:rsidRDefault="00E55E5B">
      <w:pPr>
        <w:pStyle w:val="TOC3"/>
        <w:tabs>
          <w:tab w:val="right" w:pos="9060"/>
        </w:tabs>
        <w:rPr>
          <w:rFonts w:asciiTheme="minorHAnsi" w:eastAsiaTheme="minorEastAsia" w:hAnsiTheme="minorHAnsi" w:cstheme="minorBidi"/>
          <w:noProof/>
          <w:szCs w:val="22"/>
        </w:rPr>
      </w:pPr>
      <w:hyperlink w:anchor="_Toc22038096" w:history="1">
        <w:r w:rsidR="008136F4" w:rsidRPr="00DA6653">
          <w:rPr>
            <w:rStyle w:val="Hyperlink"/>
            <w:noProof/>
          </w:rPr>
          <w:t>Performance Management</w:t>
        </w:r>
        <w:r w:rsidR="008136F4">
          <w:rPr>
            <w:noProof/>
            <w:webHidden/>
          </w:rPr>
          <w:tab/>
        </w:r>
        <w:r w:rsidR="008136F4">
          <w:rPr>
            <w:noProof/>
            <w:webHidden/>
          </w:rPr>
          <w:fldChar w:fldCharType="begin"/>
        </w:r>
        <w:r w:rsidR="008136F4">
          <w:rPr>
            <w:noProof/>
            <w:webHidden/>
          </w:rPr>
          <w:instrText xml:space="preserve"> PAGEREF _Toc22038096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7A399F1A" w14:textId="099C790B" w:rsidR="008136F4" w:rsidRDefault="00E55E5B">
      <w:pPr>
        <w:pStyle w:val="TOC3"/>
        <w:tabs>
          <w:tab w:val="right" w:pos="9060"/>
        </w:tabs>
        <w:rPr>
          <w:rFonts w:asciiTheme="minorHAnsi" w:eastAsiaTheme="minorEastAsia" w:hAnsiTheme="minorHAnsi" w:cstheme="minorBidi"/>
          <w:noProof/>
          <w:szCs w:val="22"/>
        </w:rPr>
      </w:pPr>
      <w:hyperlink w:anchor="_Toc22038097" w:history="1">
        <w:r w:rsidR="008136F4" w:rsidRPr="00DA6653">
          <w:rPr>
            <w:rStyle w:val="Hyperlink"/>
            <w:noProof/>
          </w:rPr>
          <w:t>NPA Key Performance Indicators</w:t>
        </w:r>
        <w:r w:rsidR="008136F4">
          <w:rPr>
            <w:noProof/>
            <w:webHidden/>
          </w:rPr>
          <w:tab/>
        </w:r>
        <w:r w:rsidR="008136F4">
          <w:rPr>
            <w:noProof/>
            <w:webHidden/>
          </w:rPr>
          <w:fldChar w:fldCharType="begin"/>
        </w:r>
        <w:r w:rsidR="008136F4">
          <w:rPr>
            <w:noProof/>
            <w:webHidden/>
          </w:rPr>
          <w:instrText xml:space="preserve"> PAGEREF _Toc22038097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0F99A74D" w14:textId="6A47F7C8" w:rsidR="008136F4" w:rsidRDefault="00E55E5B">
      <w:pPr>
        <w:pStyle w:val="TOC3"/>
        <w:tabs>
          <w:tab w:val="right" w:pos="9060"/>
        </w:tabs>
        <w:rPr>
          <w:rFonts w:asciiTheme="minorHAnsi" w:eastAsiaTheme="minorEastAsia" w:hAnsiTheme="minorHAnsi" w:cstheme="minorBidi"/>
          <w:noProof/>
          <w:szCs w:val="22"/>
        </w:rPr>
      </w:pPr>
      <w:hyperlink w:anchor="_Toc22038098" w:history="1">
        <w:r w:rsidR="008136F4" w:rsidRPr="00DA6653">
          <w:rPr>
            <w:rStyle w:val="Hyperlink"/>
            <w:noProof/>
          </w:rPr>
          <w:t>Efficiency and Effectiveness</w:t>
        </w:r>
        <w:r w:rsidR="008136F4">
          <w:rPr>
            <w:noProof/>
            <w:webHidden/>
          </w:rPr>
          <w:tab/>
        </w:r>
        <w:r w:rsidR="008136F4">
          <w:rPr>
            <w:noProof/>
            <w:webHidden/>
          </w:rPr>
          <w:fldChar w:fldCharType="begin"/>
        </w:r>
        <w:r w:rsidR="008136F4">
          <w:rPr>
            <w:noProof/>
            <w:webHidden/>
          </w:rPr>
          <w:instrText xml:space="preserve"> PAGEREF _Toc22038098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14B3FC62" w14:textId="32A787F2" w:rsidR="008136F4" w:rsidRDefault="00E55E5B">
      <w:pPr>
        <w:pStyle w:val="TOC3"/>
        <w:tabs>
          <w:tab w:val="right" w:pos="9060"/>
        </w:tabs>
        <w:rPr>
          <w:rFonts w:asciiTheme="minorHAnsi" w:eastAsiaTheme="minorEastAsia" w:hAnsiTheme="minorHAnsi" w:cstheme="minorBidi"/>
          <w:noProof/>
          <w:szCs w:val="22"/>
        </w:rPr>
      </w:pPr>
      <w:hyperlink w:anchor="_Toc22038099" w:history="1">
        <w:r w:rsidR="008136F4" w:rsidRPr="00DA6653">
          <w:rPr>
            <w:rStyle w:val="Hyperlink"/>
            <w:noProof/>
          </w:rPr>
          <w:t>Assessment Quality Framework</w:t>
        </w:r>
        <w:r w:rsidR="008136F4">
          <w:rPr>
            <w:noProof/>
            <w:webHidden/>
          </w:rPr>
          <w:tab/>
        </w:r>
        <w:r w:rsidR="008136F4">
          <w:rPr>
            <w:noProof/>
            <w:webHidden/>
          </w:rPr>
          <w:fldChar w:fldCharType="begin"/>
        </w:r>
        <w:r w:rsidR="008136F4">
          <w:rPr>
            <w:noProof/>
            <w:webHidden/>
          </w:rPr>
          <w:instrText xml:space="preserve"> PAGEREF _Toc22038099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57E5F30C" w14:textId="734F881C" w:rsidR="008136F4" w:rsidRDefault="00E55E5B">
      <w:pPr>
        <w:pStyle w:val="TOC3"/>
        <w:tabs>
          <w:tab w:val="right" w:pos="9060"/>
        </w:tabs>
        <w:rPr>
          <w:rFonts w:asciiTheme="minorHAnsi" w:eastAsiaTheme="minorEastAsia" w:hAnsiTheme="minorHAnsi" w:cstheme="minorBidi"/>
          <w:noProof/>
          <w:szCs w:val="22"/>
        </w:rPr>
      </w:pPr>
      <w:hyperlink w:anchor="_Toc22038100" w:history="1">
        <w:r w:rsidR="008136F4" w:rsidRPr="00DA6653">
          <w:rPr>
            <w:rStyle w:val="Hyperlink"/>
            <w:noProof/>
          </w:rPr>
          <w:t>Quality of Assessment Reports</w:t>
        </w:r>
        <w:r w:rsidR="008136F4">
          <w:rPr>
            <w:noProof/>
            <w:webHidden/>
          </w:rPr>
          <w:tab/>
        </w:r>
        <w:r w:rsidR="008136F4">
          <w:rPr>
            <w:noProof/>
            <w:webHidden/>
          </w:rPr>
          <w:fldChar w:fldCharType="begin"/>
        </w:r>
        <w:r w:rsidR="008136F4">
          <w:rPr>
            <w:noProof/>
            <w:webHidden/>
          </w:rPr>
          <w:instrText xml:space="preserve"> PAGEREF _Toc22038100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2BA9FD16" w14:textId="362D2BCC" w:rsidR="008136F4" w:rsidRDefault="00E55E5B">
      <w:pPr>
        <w:pStyle w:val="TOC3"/>
        <w:tabs>
          <w:tab w:val="right" w:pos="9060"/>
        </w:tabs>
        <w:rPr>
          <w:rFonts w:asciiTheme="minorHAnsi" w:eastAsiaTheme="minorEastAsia" w:hAnsiTheme="minorHAnsi" w:cstheme="minorBidi"/>
          <w:noProof/>
          <w:szCs w:val="22"/>
        </w:rPr>
      </w:pPr>
      <w:hyperlink w:anchor="_Toc22038101" w:history="1">
        <w:r w:rsidR="008136F4" w:rsidRPr="00DA6653">
          <w:rPr>
            <w:rStyle w:val="Hyperlink"/>
            <w:noProof/>
          </w:rPr>
          <w:t>Comprehensiveness</w:t>
        </w:r>
        <w:r w:rsidR="008136F4">
          <w:rPr>
            <w:noProof/>
            <w:webHidden/>
          </w:rPr>
          <w:tab/>
        </w:r>
        <w:r w:rsidR="008136F4">
          <w:rPr>
            <w:noProof/>
            <w:webHidden/>
          </w:rPr>
          <w:fldChar w:fldCharType="begin"/>
        </w:r>
        <w:r w:rsidR="008136F4">
          <w:rPr>
            <w:noProof/>
            <w:webHidden/>
          </w:rPr>
          <w:instrText xml:space="preserve"> PAGEREF _Toc22038101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335EF3C8" w14:textId="5FFE2141" w:rsidR="008136F4" w:rsidRDefault="00E55E5B">
      <w:pPr>
        <w:pStyle w:val="TOC3"/>
        <w:tabs>
          <w:tab w:val="right" w:pos="9060"/>
        </w:tabs>
        <w:rPr>
          <w:rFonts w:asciiTheme="minorHAnsi" w:eastAsiaTheme="minorEastAsia" w:hAnsiTheme="minorHAnsi" w:cstheme="minorBidi"/>
          <w:noProof/>
          <w:szCs w:val="22"/>
        </w:rPr>
      </w:pPr>
      <w:hyperlink w:anchor="_Toc22038102" w:history="1">
        <w:r w:rsidR="008136F4" w:rsidRPr="00DA6653">
          <w:rPr>
            <w:rStyle w:val="Hyperlink"/>
            <w:noProof/>
          </w:rPr>
          <w:t>Consistency</w:t>
        </w:r>
        <w:r w:rsidR="008136F4">
          <w:rPr>
            <w:noProof/>
            <w:webHidden/>
          </w:rPr>
          <w:tab/>
        </w:r>
        <w:r w:rsidR="008136F4">
          <w:rPr>
            <w:noProof/>
            <w:webHidden/>
          </w:rPr>
          <w:fldChar w:fldCharType="begin"/>
        </w:r>
        <w:r w:rsidR="008136F4">
          <w:rPr>
            <w:noProof/>
            <w:webHidden/>
          </w:rPr>
          <w:instrText xml:space="preserve"> PAGEREF _Toc22038102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5CBB21BC" w14:textId="6A73A2DC" w:rsidR="008136F4" w:rsidRDefault="00E55E5B">
      <w:pPr>
        <w:pStyle w:val="TOC3"/>
        <w:tabs>
          <w:tab w:val="right" w:pos="9060"/>
        </w:tabs>
        <w:rPr>
          <w:rFonts w:asciiTheme="minorHAnsi" w:eastAsiaTheme="minorEastAsia" w:hAnsiTheme="minorHAnsi" w:cstheme="minorBidi"/>
          <w:noProof/>
          <w:szCs w:val="22"/>
        </w:rPr>
      </w:pPr>
      <w:hyperlink w:anchor="_Toc22038103" w:history="1">
        <w:r w:rsidR="008136F4" w:rsidRPr="00DA6653">
          <w:rPr>
            <w:rStyle w:val="Hyperlink"/>
            <w:noProof/>
          </w:rPr>
          <w:t>Appropriateness</w:t>
        </w:r>
        <w:r w:rsidR="008136F4">
          <w:rPr>
            <w:noProof/>
            <w:webHidden/>
          </w:rPr>
          <w:tab/>
        </w:r>
        <w:r w:rsidR="008136F4">
          <w:rPr>
            <w:noProof/>
            <w:webHidden/>
          </w:rPr>
          <w:fldChar w:fldCharType="begin"/>
        </w:r>
        <w:r w:rsidR="008136F4">
          <w:rPr>
            <w:noProof/>
            <w:webHidden/>
          </w:rPr>
          <w:instrText xml:space="preserve"> PAGEREF _Toc22038103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120A2096" w14:textId="1C9782B7" w:rsidR="008136F4" w:rsidRDefault="00E55E5B">
      <w:pPr>
        <w:pStyle w:val="TOC3"/>
        <w:tabs>
          <w:tab w:val="right" w:pos="9060"/>
        </w:tabs>
        <w:rPr>
          <w:rFonts w:asciiTheme="minorHAnsi" w:eastAsiaTheme="minorEastAsia" w:hAnsiTheme="minorHAnsi" w:cstheme="minorBidi"/>
          <w:noProof/>
          <w:szCs w:val="22"/>
        </w:rPr>
      </w:pPr>
      <w:hyperlink w:anchor="_Toc22038104" w:history="1">
        <w:r w:rsidR="008136F4" w:rsidRPr="00DA6653">
          <w:rPr>
            <w:rStyle w:val="Hyperlink"/>
            <w:noProof/>
          </w:rPr>
          <w:t>Quality of Provider Capability</w:t>
        </w:r>
        <w:r w:rsidR="008136F4">
          <w:rPr>
            <w:noProof/>
            <w:webHidden/>
          </w:rPr>
          <w:tab/>
        </w:r>
        <w:r w:rsidR="008136F4">
          <w:rPr>
            <w:noProof/>
            <w:webHidden/>
          </w:rPr>
          <w:fldChar w:fldCharType="begin"/>
        </w:r>
        <w:r w:rsidR="008136F4">
          <w:rPr>
            <w:noProof/>
            <w:webHidden/>
          </w:rPr>
          <w:instrText xml:space="preserve"> PAGEREF _Toc22038104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2990D490" w14:textId="3DB4AAFB" w:rsidR="008136F4" w:rsidRDefault="00E55E5B">
      <w:pPr>
        <w:pStyle w:val="TOC3"/>
        <w:tabs>
          <w:tab w:val="right" w:pos="9060"/>
        </w:tabs>
        <w:rPr>
          <w:rFonts w:asciiTheme="minorHAnsi" w:eastAsiaTheme="minorEastAsia" w:hAnsiTheme="minorHAnsi" w:cstheme="minorBidi"/>
          <w:noProof/>
          <w:szCs w:val="22"/>
        </w:rPr>
      </w:pPr>
      <w:hyperlink w:anchor="_Toc22038105" w:history="1">
        <w:r w:rsidR="008136F4" w:rsidRPr="00DA6653">
          <w:rPr>
            <w:rStyle w:val="Hyperlink"/>
            <w:noProof/>
          </w:rPr>
          <w:t>Other Performance Information</w:t>
        </w:r>
        <w:r w:rsidR="008136F4">
          <w:rPr>
            <w:noProof/>
            <w:webHidden/>
          </w:rPr>
          <w:tab/>
        </w:r>
        <w:r w:rsidR="008136F4">
          <w:rPr>
            <w:noProof/>
            <w:webHidden/>
          </w:rPr>
          <w:fldChar w:fldCharType="begin"/>
        </w:r>
        <w:r w:rsidR="008136F4">
          <w:rPr>
            <w:noProof/>
            <w:webHidden/>
          </w:rPr>
          <w:instrText xml:space="preserve"> PAGEREF _Toc22038105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34376963" w14:textId="23BBF49D" w:rsidR="008136F4" w:rsidRDefault="00E55E5B">
      <w:pPr>
        <w:pStyle w:val="TOC3"/>
        <w:tabs>
          <w:tab w:val="right" w:pos="9060"/>
        </w:tabs>
        <w:rPr>
          <w:rFonts w:asciiTheme="minorHAnsi" w:eastAsiaTheme="minorEastAsia" w:hAnsiTheme="minorHAnsi" w:cstheme="minorBidi"/>
          <w:noProof/>
          <w:szCs w:val="22"/>
        </w:rPr>
      </w:pPr>
      <w:hyperlink w:anchor="_Toc22038106" w:history="1">
        <w:r w:rsidR="008136F4" w:rsidRPr="00DA6653">
          <w:rPr>
            <w:rStyle w:val="Hyperlink"/>
            <w:noProof/>
          </w:rPr>
          <w:t>Performance Information for Providers</w:t>
        </w:r>
        <w:r w:rsidR="008136F4">
          <w:rPr>
            <w:noProof/>
            <w:webHidden/>
          </w:rPr>
          <w:tab/>
        </w:r>
        <w:r w:rsidR="008136F4">
          <w:rPr>
            <w:noProof/>
            <w:webHidden/>
          </w:rPr>
          <w:fldChar w:fldCharType="begin"/>
        </w:r>
        <w:r w:rsidR="008136F4">
          <w:rPr>
            <w:noProof/>
            <w:webHidden/>
          </w:rPr>
          <w:instrText xml:space="preserve"> PAGEREF _Toc22038106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4CD2C2F8" w14:textId="381A3C8D" w:rsidR="008136F4" w:rsidRDefault="00E55E5B">
      <w:pPr>
        <w:pStyle w:val="TOC3"/>
        <w:tabs>
          <w:tab w:val="right" w:pos="9060"/>
        </w:tabs>
        <w:rPr>
          <w:rFonts w:asciiTheme="minorHAnsi" w:eastAsiaTheme="minorEastAsia" w:hAnsiTheme="minorHAnsi" w:cstheme="minorBidi"/>
          <w:noProof/>
          <w:szCs w:val="22"/>
        </w:rPr>
      </w:pPr>
      <w:hyperlink w:anchor="_Toc22038107" w:history="1">
        <w:r w:rsidR="008136F4" w:rsidRPr="00DA6653">
          <w:rPr>
            <w:rStyle w:val="Hyperlink"/>
            <w:noProof/>
          </w:rPr>
          <w:t>Attachment A – SWS - Performance Evaluation Method</w:t>
        </w:r>
        <w:r w:rsidR="008136F4">
          <w:rPr>
            <w:noProof/>
            <w:webHidden/>
          </w:rPr>
          <w:tab/>
        </w:r>
        <w:r w:rsidR="008136F4">
          <w:rPr>
            <w:noProof/>
            <w:webHidden/>
          </w:rPr>
          <w:fldChar w:fldCharType="begin"/>
        </w:r>
        <w:r w:rsidR="008136F4">
          <w:rPr>
            <w:noProof/>
            <w:webHidden/>
          </w:rPr>
          <w:instrText xml:space="preserve"> PAGEREF _Toc22038107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4C8E9349" w14:textId="315D792D" w:rsidR="008136F4" w:rsidRDefault="00E55E5B">
      <w:pPr>
        <w:pStyle w:val="TOC3"/>
        <w:tabs>
          <w:tab w:val="right" w:pos="9060"/>
        </w:tabs>
        <w:rPr>
          <w:rFonts w:asciiTheme="minorHAnsi" w:eastAsiaTheme="minorEastAsia" w:hAnsiTheme="minorHAnsi" w:cstheme="minorBidi"/>
          <w:noProof/>
          <w:szCs w:val="22"/>
        </w:rPr>
      </w:pPr>
      <w:hyperlink w:anchor="_Toc22038108" w:history="1">
        <w:r w:rsidR="008136F4" w:rsidRPr="00DA6653">
          <w:rPr>
            <w:rStyle w:val="Hyperlink"/>
            <w:noProof/>
          </w:rPr>
          <w:t>Timeliness of Work Order Acceptance</w:t>
        </w:r>
        <w:r w:rsidR="008136F4">
          <w:rPr>
            <w:noProof/>
            <w:webHidden/>
          </w:rPr>
          <w:tab/>
        </w:r>
        <w:r w:rsidR="008136F4">
          <w:rPr>
            <w:noProof/>
            <w:webHidden/>
          </w:rPr>
          <w:fldChar w:fldCharType="begin"/>
        </w:r>
        <w:r w:rsidR="008136F4">
          <w:rPr>
            <w:noProof/>
            <w:webHidden/>
          </w:rPr>
          <w:instrText xml:space="preserve"> PAGEREF _Toc22038108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14B546A4" w14:textId="61312D83" w:rsidR="008136F4" w:rsidRDefault="00E55E5B">
      <w:pPr>
        <w:pStyle w:val="TOC3"/>
        <w:tabs>
          <w:tab w:val="right" w:pos="9060"/>
        </w:tabs>
        <w:rPr>
          <w:rFonts w:asciiTheme="minorHAnsi" w:eastAsiaTheme="minorEastAsia" w:hAnsiTheme="minorHAnsi" w:cstheme="minorBidi"/>
          <w:noProof/>
          <w:szCs w:val="22"/>
        </w:rPr>
      </w:pPr>
      <w:hyperlink w:anchor="_Toc22038109" w:history="1">
        <w:r w:rsidR="008136F4" w:rsidRPr="00DA6653">
          <w:rPr>
            <w:rStyle w:val="Hyperlink"/>
            <w:noProof/>
          </w:rPr>
          <w:t>Attachment B – OSA - Performance Evaluation Method</w:t>
        </w:r>
        <w:r w:rsidR="008136F4">
          <w:rPr>
            <w:noProof/>
            <w:webHidden/>
          </w:rPr>
          <w:tab/>
        </w:r>
        <w:r w:rsidR="008136F4">
          <w:rPr>
            <w:noProof/>
            <w:webHidden/>
          </w:rPr>
          <w:fldChar w:fldCharType="begin"/>
        </w:r>
        <w:r w:rsidR="008136F4">
          <w:rPr>
            <w:noProof/>
            <w:webHidden/>
          </w:rPr>
          <w:instrText xml:space="preserve"> PAGEREF _Toc22038109 \h </w:instrText>
        </w:r>
        <w:r w:rsidR="008136F4">
          <w:rPr>
            <w:noProof/>
            <w:webHidden/>
          </w:rPr>
        </w:r>
        <w:r w:rsidR="008136F4">
          <w:rPr>
            <w:noProof/>
            <w:webHidden/>
          </w:rPr>
          <w:fldChar w:fldCharType="separate"/>
        </w:r>
        <w:r w:rsidR="002D20C7">
          <w:rPr>
            <w:noProof/>
            <w:webHidden/>
          </w:rPr>
          <w:t>2</w:t>
        </w:r>
        <w:r w:rsidR="008136F4">
          <w:rPr>
            <w:noProof/>
            <w:webHidden/>
          </w:rPr>
          <w:fldChar w:fldCharType="end"/>
        </w:r>
      </w:hyperlink>
    </w:p>
    <w:p w14:paraId="740F2C79" w14:textId="38E5A310" w:rsidR="003B73BA" w:rsidRDefault="003B73BA" w:rsidP="004C26BE">
      <w:pPr>
        <w:rPr>
          <w:noProof/>
        </w:rPr>
      </w:pPr>
      <w:r>
        <w:rPr>
          <w:noProof/>
        </w:rPr>
        <w:fldChar w:fldCharType="end"/>
      </w:r>
    </w:p>
    <w:p w14:paraId="052A19E4" w14:textId="77777777" w:rsidR="003B73BA" w:rsidRDefault="003B73BA">
      <w:pPr>
        <w:rPr>
          <w:noProof/>
        </w:rPr>
      </w:pPr>
      <w:r>
        <w:rPr>
          <w:noProof/>
        </w:rPr>
        <w:br w:type="page"/>
      </w:r>
    </w:p>
    <w:p w14:paraId="3B300417" w14:textId="61BBC9BA" w:rsidR="004C26BE" w:rsidRPr="000F2CF2" w:rsidRDefault="008240E7" w:rsidP="000F2CF2">
      <w:pPr>
        <w:pStyle w:val="Heading2"/>
        <w:spacing w:after="120"/>
        <w:rPr>
          <w:color w:val="auto"/>
        </w:rPr>
      </w:pPr>
      <w:bookmarkStart w:id="2" w:name="_Toc22038023"/>
      <w:bookmarkStart w:id="3" w:name="_Toc22038090"/>
      <w:r>
        <w:rPr>
          <w:color w:val="auto"/>
        </w:rPr>
        <w:lastRenderedPageBreak/>
        <w:t>NPA</w:t>
      </w:r>
      <w:r w:rsidR="004C26BE" w:rsidRPr="000F2CF2">
        <w:rPr>
          <w:color w:val="auto"/>
        </w:rPr>
        <w:t xml:space="preserve"> Performance Framework Guidelines and Ongoing Support Assessments Quality Framework</w:t>
      </w:r>
      <w:bookmarkEnd w:id="2"/>
      <w:bookmarkEnd w:id="3"/>
    </w:p>
    <w:p w14:paraId="3C19AC0A" w14:textId="77777777" w:rsidR="008254C4" w:rsidRPr="00D15D4B" w:rsidRDefault="00D0783E" w:rsidP="000F2CF2">
      <w:pPr>
        <w:pStyle w:val="Heading3"/>
        <w:spacing w:before="0" w:after="120"/>
      </w:pPr>
      <w:bookmarkStart w:id="4" w:name="_Toc22038024"/>
      <w:bookmarkStart w:id="5" w:name="_Toc22038091"/>
      <w:r w:rsidRPr="00D15D4B">
        <w:t>Document Change History</w:t>
      </w:r>
      <w:bookmarkEnd w:id="4"/>
      <w:bookmarkEnd w:id="5"/>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Shows the change history of the document"/>
      </w:tblPr>
      <w:tblGrid>
        <w:gridCol w:w="949"/>
        <w:gridCol w:w="1881"/>
        <w:gridCol w:w="1701"/>
        <w:gridCol w:w="3491"/>
      </w:tblGrid>
      <w:tr w:rsidR="00AA41B1" w:rsidRPr="00AC1D5D" w14:paraId="2ADF4D9D" w14:textId="77777777" w:rsidTr="00144EA6">
        <w:trPr>
          <w:tblHeader/>
          <w:jc w:val="center"/>
        </w:trPr>
        <w:tc>
          <w:tcPr>
            <w:tcW w:w="949" w:type="dxa"/>
            <w:shd w:val="clear" w:color="auto" w:fill="auto"/>
            <w:vAlign w:val="center"/>
          </w:tcPr>
          <w:p w14:paraId="3FE9D2A0" w14:textId="77777777" w:rsidR="00AA41B1" w:rsidRPr="00D15D4B" w:rsidRDefault="00AA41B1" w:rsidP="00D15D4B">
            <w:pPr>
              <w:pStyle w:val="TableHeadingCentred"/>
              <w:spacing w:before="120" w:after="120"/>
              <w:rPr>
                <w:color w:val="auto"/>
              </w:rPr>
            </w:pPr>
            <w:r w:rsidRPr="00D15D4B">
              <w:rPr>
                <w:color w:val="auto"/>
              </w:rPr>
              <w:t>Version</w:t>
            </w:r>
          </w:p>
        </w:tc>
        <w:tc>
          <w:tcPr>
            <w:tcW w:w="1881" w:type="dxa"/>
            <w:shd w:val="clear" w:color="auto" w:fill="auto"/>
            <w:vAlign w:val="center"/>
          </w:tcPr>
          <w:p w14:paraId="0842198C" w14:textId="77777777" w:rsidR="00AA41B1" w:rsidRPr="00D15D4B" w:rsidRDefault="00D15D4B" w:rsidP="00D15D4B">
            <w:pPr>
              <w:pStyle w:val="TableHeadingCentred"/>
              <w:spacing w:before="120" w:after="120"/>
              <w:rPr>
                <w:color w:val="auto"/>
              </w:rPr>
            </w:pPr>
            <w:r>
              <w:rPr>
                <w:color w:val="auto"/>
              </w:rPr>
              <w:t>Effective</w:t>
            </w:r>
            <w:r w:rsidR="00AA41B1" w:rsidRPr="00D15D4B">
              <w:rPr>
                <w:color w:val="auto"/>
              </w:rPr>
              <w:t xml:space="preserve"> Date</w:t>
            </w:r>
          </w:p>
        </w:tc>
        <w:tc>
          <w:tcPr>
            <w:tcW w:w="1701" w:type="dxa"/>
            <w:shd w:val="clear" w:color="auto" w:fill="auto"/>
            <w:vAlign w:val="center"/>
          </w:tcPr>
          <w:p w14:paraId="6ADAC608" w14:textId="77777777" w:rsidR="00AA41B1" w:rsidRPr="00D15D4B" w:rsidRDefault="00D15D4B" w:rsidP="00D15D4B">
            <w:pPr>
              <w:pStyle w:val="TableHeadingCentred"/>
              <w:spacing w:before="120" w:after="120"/>
              <w:rPr>
                <w:color w:val="auto"/>
              </w:rPr>
            </w:pPr>
            <w:r>
              <w:rPr>
                <w:color w:val="auto"/>
              </w:rPr>
              <w:t xml:space="preserve">End </w:t>
            </w:r>
            <w:r w:rsidR="00AA41B1" w:rsidRPr="00D15D4B">
              <w:rPr>
                <w:color w:val="auto"/>
              </w:rPr>
              <w:t>Date</w:t>
            </w:r>
          </w:p>
        </w:tc>
        <w:tc>
          <w:tcPr>
            <w:tcW w:w="3491" w:type="dxa"/>
            <w:shd w:val="clear" w:color="auto" w:fill="auto"/>
            <w:vAlign w:val="center"/>
          </w:tcPr>
          <w:p w14:paraId="65EC0742" w14:textId="77777777" w:rsidR="00AA41B1" w:rsidRPr="00D15D4B" w:rsidRDefault="00AA41B1" w:rsidP="00D15D4B">
            <w:pPr>
              <w:pStyle w:val="TableHeadingCentred"/>
              <w:spacing w:before="120" w:after="120"/>
              <w:rPr>
                <w:color w:val="auto"/>
              </w:rPr>
            </w:pPr>
            <w:r w:rsidRPr="00D15D4B">
              <w:rPr>
                <w:color w:val="auto"/>
              </w:rPr>
              <w:t>Change &amp; Location</w:t>
            </w:r>
          </w:p>
        </w:tc>
      </w:tr>
      <w:tr w:rsidR="00AA41B1" w:rsidRPr="008622DA" w14:paraId="302A9482" w14:textId="77777777" w:rsidTr="00144EA6">
        <w:trPr>
          <w:jc w:val="center"/>
        </w:trPr>
        <w:tc>
          <w:tcPr>
            <w:tcW w:w="949" w:type="dxa"/>
            <w:vAlign w:val="center"/>
          </w:tcPr>
          <w:p w14:paraId="53B14352" w14:textId="77777777" w:rsidR="00AA41B1" w:rsidRDefault="00AA41B1" w:rsidP="00D15D4B">
            <w:pPr>
              <w:pStyle w:val="Tabletext"/>
              <w:spacing w:before="120" w:after="120"/>
            </w:pPr>
            <w:r>
              <w:t>1.0</w:t>
            </w:r>
          </w:p>
        </w:tc>
        <w:tc>
          <w:tcPr>
            <w:tcW w:w="1881" w:type="dxa"/>
            <w:shd w:val="clear" w:color="auto" w:fill="auto"/>
            <w:vAlign w:val="center"/>
          </w:tcPr>
          <w:p w14:paraId="52707EF9" w14:textId="77777777" w:rsidR="00AA41B1" w:rsidRPr="009F5950" w:rsidRDefault="00AA41B1" w:rsidP="00D15D4B">
            <w:pPr>
              <w:pStyle w:val="Tabletext"/>
              <w:spacing w:before="120" w:after="120"/>
            </w:pPr>
            <w:r>
              <w:t>1 July 2018</w:t>
            </w:r>
          </w:p>
        </w:tc>
        <w:tc>
          <w:tcPr>
            <w:tcW w:w="1701" w:type="dxa"/>
            <w:vAlign w:val="center"/>
          </w:tcPr>
          <w:p w14:paraId="40C3FCA9" w14:textId="23B2B4B9" w:rsidR="00AA41B1" w:rsidRPr="009F5950" w:rsidRDefault="00144EA6" w:rsidP="00D15D4B">
            <w:pPr>
              <w:pStyle w:val="Tabletext"/>
              <w:spacing w:before="120" w:after="120"/>
            </w:pPr>
            <w:r>
              <w:t>2 December 2018</w:t>
            </w:r>
          </w:p>
        </w:tc>
        <w:tc>
          <w:tcPr>
            <w:tcW w:w="3491" w:type="dxa"/>
            <w:vAlign w:val="center"/>
          </w:tcPr>
          <w:p w14:paraId="39C0AFF1" w14:textId="77777777" w:rsidR="00AA41B1" w:rsidRDefault="00AA41B1" w:rsidP="00D15D4B">
            <w:pPr>
              <w:pStyle w:val="Tabletext"/>
              <w:spacing w:before="120" w:after="120"/>
              <w:rPr>
                <w:rFonts w:cs="Arial"/>
              </w:rPr>
            </w:pPr>
            <w:r>
              <w:rPr>
                <w:rFonts w:cs="Arial"/>
              </w:rPr>
              <w:t>Original Version</w:t>
            </w:r>
          </w:p>
        </w:tc>
      </w:tr>
      <w:tr w:rsidR="00144EA6" w:rsidRPr="008622DA" w14:paraId="757A2BEC" w14:textId="77777777" w:rsidTr="00144EA6">
        <w:trPr>
          <w:jc w:val="center"/>
        </w:trPr>
        <w:tc>
          <w:tcPr>
            <w:tcW w:w="949" w:type="dxa"/>
            <w:vAlign w:val="center"/>
          </w:tcPr>
          <w:p w14:paraId="742396AE" w14:textId="21C4FB1E" w:rsidR="00144EA6" w:rsidRDefault="00144EA6" w:rsidP="00D15D4B">
            <w:pPr>
              <w:pStyle w:val="Tabletext"/>
              <w:spacing w:before="120" w:after="120"/>
            </w:pPr>
            <w:r>
              <w:t>1.1</w:t>
            </w:r>
          </w:p>
        </w:tc>
        <w:tc>
          <w:tcPr>
            <w:tcW w:w="1881" w:type="dxa"/>
            <w:shd w:val="clear" w:color="auto" w:fill="auto"/>
            <w:vAlign w:val="center"/>
          </w:tcPr>
          <w:p w14:paraId="14589370" w14:textId="04293DD9" w:rsidR="00144EA6" w:rsidRDefault="00144EA6" w:rsidP="00D15D4B">
            <w:pPr>
              <w:pStyle w:val="Tabletext"/>
              <w:spacing w:before="120" w:after="120"/>
            </w:pPr>
            <w:r>
              <w:t>3 December 2018</w:t>
            </w:r>
          </w:p>
        </w:tc>
        <w:tc>
          <w:tcPr>
            <w:tcW w:w="1701" w:type="dxa"/>
            <w:vAlign w:val="center"/>
          </w:tcPr>
          <w:p w14:paraId="251CFDD7" w14:textId="77777777" w:rsidR="00144EA6" w:rsidRPr="009F5950" w:rsidRDefault="00F41ABD" w:rsidP="00D15D4B">
            <w:pPr>
              <w:pStyle w:val="Tabletext"/>
              <w:spacing w:before="120" w:after="120"/>
            </w:pPr>
            <w:r>
              <w:t>3 March 2019</w:t>
            </w:r>
          </w:p>
        </w:tc>
        <w:tc>
          <w:tcPr>
            <w:tcW w:w="3491" w:type="dxa"/>
            <w:vAlign w:val="center"/>
          </w:tcPr>
          <w:p w14:paraId="6442E5E3" w14:textId="36D9D669" w:rsidR="00144EA6" w:rsidRDefault="00144EA6" w:rsidP="00D15D4B">
            <w:pPr>
              <w:pStyle w:val="Tabletext"/>
              <w:spacing w:before="120" w:after="120"/>
              <w:rPr>
                <w:rFonts w:cs="Arial"/>
              </w:rPr>
            </w:pPr>
            <w:r>
              <w:rPr>
                <w:rFonts w:cs="Arial"/>
              </w:rPr>
              <w:t>Updated terminology throughout document</w:t>
            </w:r>
          </w:p>
        </w:tc>
      </w:tr>
      <w:tr w:rsidR="00F41ABD" w:rsidRPr="008622DA" w14:paraId="0F62AD69" w14:textId="77777777" w:rsidTr="00144EA6">
        <w:trPr>
          <w:jc w:val="center"/>
        </w:trPr>
        <w:tc>
          <w:tcPr>
            <w:tcW w:w="949" w:type="dxa"/>
            <w:vAlign w:val="center"/>
          </w:tcPr>
          <w:p w14:paraId="4911260A" w14:textId="093521BB" w:rsidR="00F41ABD" w:rsidRDefault="00F41ABD" w:rsidP="00D15D4B">
            <w:pPr>
              <w:pStyle w:val="Tabletext"/>
              <w:spacing w:before="120" w:after="120"/>
            </w:pPr>
            <w:r>
              <w:t>1.2</w:t>
            </w:r>
          </w:p>
        </w:tc>
        <w:tc>
          <w:tcPr>
            <w:tcW w:w="1881" w:type="dxa"/>
            <w:shd w:val="clear" w:color="auto" w:fill="auto"/>
            <w:vAlign w:val="center"/>
          </w:tcPr>
          <w:p w14:paraId="31ED2334" w14:textId="5FCA1AC3" w:rsidR="00F41ABD" w:rsidRDefault="00F41ABD" w:rsidP="00D15D4B">
            <w:pPr>
              <w:pStyle w:val="Tabletext"/>
              <w:spacing w:before="120" w:after="120"/>
            </w:pPr>
            <w:r>
              <w:t>4 March 2019</w:t>
            </w:r>
          </w:p>
        </w:tc>
        <w:tc>
          <w:tcPr>
            <w:tcW w:w="1701" w:type="dxa"/>
            <w:vAlign w:val="center"/>
          </w:tcPr>
          <w:p w14:paraId="716C45FF" w14:textId="4BB21049" w:rsidR="00F41ABD" w:rsidRDefault="00303D48" w:rsidP="00D15D4B">
            <w:pPr>
              <w:pStyle w:val="Tabletext"/>
              <w:spacing w:before="120" w:after="120"/>
            </w:pPr>
            <w:r>
              <w:t>30 June 2019</w:t>
            </w:r>
          </w:p>
        </w:tc>
        <w:tc>
          <w:tcPr>
            <w:tcW w:w="3491" w:type="dxa"/>
            <w:vAlign w:val="center"/>
          </w:tcPr>
          <w:p w14:paraId="61C64C1C" w14:textId="61C96A39" w:rsidR="00F41ABD" w:rsidRDefault="00F41ABD" w:rsidP="00D15D4B">
            <w:pPr>
              <w:pStyle w:val="Tabletext"/>
              <w:spacing w:before="120" w:after="120"/>
              <w:rPr>
                <w:rFonts w:cs="Arial"/>
              </w:rPr>
            </w:pPr>
            <w:r>
              <w:t xml:space="preserve">Updated with OSA </w:t>
            </w:r>
            <w:r w:rsidRPr="00670E4F">
              <w:t xml:space="preserve">Performance </w:t>
            </w:r>
            <w:r>
              <w:t>Evaluation Method</w:t>
            </w:r>
          </w:p>
        </w:tc>
      </w:tr>
      <w:tr w:rsidR="00303D48" w:rsidRPr="008622DA" w14:paraId="3B59D9A5" w14:textId="77777777" w:rsidTr="00144EA6">
        <w:trPr>
          <w:jc w:val="center"/>
        </w:trPr>
        <w:tc>
          <w:tcPr>
            <w:tcW w:w="949" w:type="dxa"/>
            <w:vAlign w:val="center"/>
          </w:tcPr>
          <w:p w14:paraId="3602A85F" w14:textId="151C3BB7" w:rsidR="00303D48" w:rsidRDefault="00303D48" w:rsidP="00D15D4B">
            <w:pPr>
              <w:pStyle w:val="Tabletext"/>
              <w:spacing w:before="120" w:after="120"/>
            </w:pPr>
            <w:r>
              <w:t>1.3</w:t>
            </w:r>
          </w:p>
        </w:tc>
        <w:tc>
          <w:tcPr>
            <w:tcW w:w="1881" w:type="dxa"/>
            <w:shd w:val="clear" w:color="auto" w:fill="auto"/>
            <w:vAlign w:val="center"/>
          </w:tcPr>
          <w:p w14:paraId="1F0220AD" w14:textId="4264873E" w:rsidR="00303D48" w:rsidRDefault="00303D48" w:rsidP="00D15D4B">
            <w:pPr>
              <w:pStyle w:val="Tabletext"/>
              <w:spacing w:before="120" w:after="120"/>
            </w:pPr>
            <w:r>
              <w:t>1 July 2019</w:t>
            </w:r>
          </w:p>
        </w:tc>
        <w:tc>
          <w:tcPr>
            <w:tcW w:w="1701" w:type="dxa"/>
            <w:vAlign w:val="center"/>
          </w:tcPr>
          <w:p w14:paraId="2FAC505C" w14:textId="0031B791" w:rsidR="00303D48" w:rsidRDefault="00364797" w:rsidP="00D15D4B">
            <w:pPr>
              <w:pStyle w:val="Tabletext"/>
              <w:spacing w:before="120" w:after="120"/>
            </w:pPr>
            <w:r>
              <w:t>7 December</w:t>
            </w:r>
            <w:r w:rsidR="00E272B7">
              <w:t xml:space="preserve"> 2020</w:t>
            </w:r>
          </w:p>
        </w:tc>
        <w:tc>
          <w:tcPr>
            <w:tcW w:w="3491" w:type="dxa"/>
            <w:vAlign w:val="center"/>
          </w:tcPr>
          <w:p w14:paraId="0093A627" w14:textId="7072D380" w:rsidR="00303D48" w:rsidRDefault="00130CC7" w:rsidP="00255344">
            <w:pPr>
              <w:pStyle w:val="Tabletext"/>
              <w:spacing w:before="120" w:after="120"/>
            </w:pPr>
            <w:r>
              <w:t>Updated SWS and OSA Performance Evaluation</w:t>
            </w:r>
            <w:r w:rsidR="00255344">
              <w:t xml:space="preserve"> tables (Attachment A and B)</w:t>
            </w:r>
          </w:p>
        </w:tc>
      </w:tr>
      <w:tr w:rsidR="00E272B7" w:rsidRPr="008622DA" w14:paraId="6037A87C" w14:textId="77777777" w:rsidTr="00144EA6">
        <w:trPr>
          <w:jc w:val="center"/>
        </w:trPr>
        <w:tc>
          <w:tcPr>
            <w:tcW w:w="949" w:type="dxa"/>
            <w:vAlign w:val="center"/>
          </w:tcPr>
          <w:p w14:paraId="755EA2D1" w14:textId="3A20EB6B" w:rsidR="00E272B7" w:rsidRDefault="00E272B7" w:rsidP="00D15D4B">
            <w:pPr>
              <w:pStyle w:val="Tabletext"/>
              <w:spacing w:before="120" w:after="120"/>
            </w:pPr>
            <w:r>
              <w:t>1.4</w:t>
            </w:r>
          </w:p>
        </w:tc>
        <w:tc>
          <w:tcPr>
            <w:tcW w:w="1881" w:type="dxa"/>
            <w:shd w:val="clear" w:color="auto" w:fill="auto"/>
            <w:vAlign w:val="center"/>
          </w:tcPr>
          <w:p w14:paraId="4A992935" w14:textId="28814546" w:rsidR="00E272B7" w:rsidRDefault="00364797" w:rsidP="00D15D4B">
            <w:pPr>
              <w:pStyle w:val="Tabletext"/>
              <w:spacing w:before="120" w:after="120"/>
            </w:pPr>
            <w:r>
              <w:t>8 December</w:t>
            </w:r>
            <w:r w:rsidR="00E272B7">
              <w:t xml:space="preserve"> 2020</w:t>
            </w:r>
          </w:p>
        </w:tc>
        <w:tc>
          <w:tcPr>
            <w:tcW w:w="1701" w:type="dxa"/>
            <w:vAlign w:val="center"/>
          </w:tcPr>
          <w:p w14:paraId="70CEA4B4" w14:textId="77777777" w:rsidR="00E272B7" w:rsidRDefault="00E272B7" w:rsidP="00D15D4B">
            <w:pPr>
              <w:pStyle w:val="Tabletext"/>
              <w:spacing w:before="120" w:after="120"/>
            </w:pPr>
          </w:p>
        </w:tc>
        <w:tc>
          <w:tcPr>
            <w:tcW w:w="3491" w:type="dxa"/>
            <w:vAlign w:val="center"/>
          </w:tcPr>
          <w:p w14:paraId="42916E0C" w14:textId="41CAB199" w:rsidR="00E272B7" w:rsidRDefault="00E272B7" w:rsidP="00D15D4B">
            <w:pPr>
              <w:pStyle w:val="Tabletext"/>
              <w:spacing w:before="120" w:after="120"/>
            </w:pPr>
          </w:p>
        </w:tc>
      </w:tr>
    </w:tbl>
    <w:p w14:paraId="6C8FFE8A" w14:textId="77777777" w:rsidR="00CD24D9" w:rsidRDefault="00CD24D9" w:rsidP="00E40BB7">
      <w:pPr>
        <w:pStyle w:val="Heading3"/>
        <w:spacing w:before="120" w:after="0"/>
      </w:pPr>
      <w:bookmarkStart w:id="6" w:name="_Toc22038025"/>
      <w:bookmarkStart w:id="7" w:name="_Toc22038092"/>
      <w:bookmarkStart w:id="8" w:name="_Toc248038883"/>
      <w:r>
        <w:t>Explan</w:t>
      </w:r>
      <w:bookmarkStart w:id="9" w:name="_GoBack"/>
      <w:bookmarkEnd w:id="9"/>
      <w:r>
        <w:t>atory Note</w:t>
      </w:r>
      <w:bookmarkEnd w:id="6"/>
      <w:bookmarkEnd w:id="7"/>
    </w:p>
    <w:p w14:paraId="00CA5AEE" w14:textId="0028BE1B" w:rsidR="00CD24D9" w:rsidRDefault="00CD24D9" w:rsidP="0090269C">
      <w:pPr>
        <w:spacing w:before="120"/>
      </w:pPr>
      <w:r>
        <w:t>The term ‘Provider’ in this Guideline means a National Panel of Assessors (NPA) P</w:t>
      </w:r>
      <w:r w:rsidR="00E272B7">
        <w:t>anel Member</w:t>
      </w:r>
      <w:r>
        <w:t>, unless otherwise stated.</w:t>
      </w:r>
    </w:p>
    <w:p w14:paraId="6E0F193A" w14:textId="77777777" w:rsidR="00CD24D9" w:rsidRPr="00CD24D9" w:rsidRDefault="00CD24D9" w:rsidP="0090269C">
      <w:pPr>
        <w:spacing w:before="120"/>
      </w:pPr>
      <w:r>
        <w:t>The Department referred to in this Guideline is the Department of Social Services.</w:t>
      </w:r>
    </w:p>
    <w:p w14:paraId="5447ABD3" w14:textId="77777777" w:rsidR="00D0783E" w:rsidRPr="00670E4F" w:rsidRDefault="00D0783E" w:rsidP="00E40BB7">
      <w:pPr>
        <w:pStyle w:val="Heading3"/>
        <w:spacing w:before="120" w:after="0"/>
      </w:pPr>
      <w:bookmarkStart w:id="10" w:name="_Toc22038026"/>
      <w:bookmarkStart w:id="11" w:name="_Toc22038093"/>
      <w:r w:rsidRPr="00670E4F">
        <w:t>Background</w:t>
      </w:r>
      <w:bookmarkEnd w:id="8"/>
      <w:bookmarkEnd w:id="10"/>
      <w:bookmarkEnd w:id="11"/>
    </w:p>
    <w:p w14:paraId="5C97964B" w14:textId="5F25382A" w:rsidR="00416F2F" w:rsidRPr="00CC6D7A" w:rsidRDefault="00984CBA" w:rsidP="00CC6D7A">
      <w:pPr>
        <w:tabs>
          <w:tab w:val="num" w:pos="454"/>
        </w:tabs>
        <w:spacing w:before="120"/>
      </w:pPr>
      <w:r w:rsidRPr="00984CBA">
        <w:rPr>
          <w:szCs w:val="22"/>
        </w:rPr>
        <w:t xml:space="preserve">The </w:t>
      </w:r>
      <w:r w:rsidR="000F2CF2">
        <w:rPr>
          <w:szCs w:val="22"/>
        </w:rPr>
        <w:t>NPA</w:t>
      </w:r>
      <w:r w:rsidRPr="00984CBA">
        <w:rPr>
          <w:szCs w:val="22"/>
        </w:rPr>
        <w:t xml:space="preserve"> provide</w:t>
      </w:r>
      <w:r>
        <w:rPr>
          <w:szCs w:val="22"/>
        </w:rPr>
        <w:t>s</w:t>
      </w:r>
      <w:r w:rsidRPr="00984CBA">
        <w:rPr>
          <w:szCs w:val="22"/>
        </w:rPr>
        <w:t xml:space="preserve"> a range of Assessment Services to assist with the needs of people with disability in the workplace. </w:t>
      </w:r>
      <w:r w:rsidR="00CC6D7A">
        <w:rPr>
          <w:szCs w:val="22"/>
        </w:rPr>
        <w:t>F</w:t>
      </w:r>
      <w:r w:rsidRPr="00EF7BCD">
        <w:t>unding is</w:t>
      </w:r>
      <w:r w:rsidR="00CC6D7A">
        <w:t xml:space="preserve"> not</w:t>
      </w:r>
      <w:r w:rsidRPr="00EF7BCD">
        <w:t xml:space="preserve"> provided on appointment to the </w:t>
      </w:r>
      <w:r w:rsidR="00CC6D7A">
        <w:t>NPA</w:t>
      </w:r>
      <w:r w:rsidRPr="00EF7BCD">
        <w:t xml:space="preserve">. Providers </w:t>
      </w:r>
      <w:r>
        <w:t xml:space="preserve">are </w:t>
      </w:r>
      <w:r w:rsidRPr="00EF7BCD">
        <w:t xml:space="preserve">required to enter into a </w:t>
      </w:r>
      <w:r>
        <w:t xml:space="preserve">non-exclusive </w:t>
      </w:r>
      <w:r w:rsidR="00393388">
        <w:t xml:space="preserve">Grant Agreement </w:t>
      </w:r>
      <w:r w:rsidRPr="00EF7BCD">
        <w:t>with the Department</w:t>
      </w:r>
      <w:r w:rsidR="00352078">
        <w:t>.</w:t>
      </w:r>
      <w:r w:rsidRPr="00EF7BCD">
        <w:t xml:space="preserve"> Assessment Services </w:t>
      </w:r>
      <w:r>
        <w:t>are</w:t>
      </w:r>
      <w:r w:rsidRPr="00EF7BCD">
        <w:t xml:space="preserve"> allocated to </w:t>
      </w:r>
      <w:r w:rsidR="000F2CF2">
        <w:t>P</w:t>
      </w:r>
      <w:r w:rsidRPr="00EF7BCD">
        <w:t xml:space="preserve">roviders as required by </w:t>
      </w:r>
      <w:r w:rsidR="009A6AC2">
        <w:t xml:space="preserve">the </w:t>
      </w:r>
      <w:r w:rsidR="000F2CF2">
        <w:t>D</w:t>
      </w:r>
      <w:r w:rsidR="009A6AC2">
        <w:t>epartment</w:t>
      </w:r>
      <w:r w:rsidRPr="00EF7BCD">
        <w:t>.</w:t>
      </w:r>
      <w:r>
        <w:t xml:space="preserve"> </w:t>
      </w:r>
      <w:r w:rsidR="00CC6D7A">
        <w:t>Approved assessors, who meet mandatory qualifications and industry experience requirements, must complete assessment Services</w:t>
      </w:r>
      <w:r>
        <w:t>.</w:t>
      </w:r>
    </w:p>
    <w:p w14:paraId="3E6D9084" w14:textId="7368395E" w:rsidR="007F1C36" w:rsidRPr="00FE31C7" w:rsidRDefault="006608E5" w:rsidP="00FE31C7">
      <w:pPr>
        <w:tabs>
          <w:tab w:val="num" w:pos="454"/>
        </w:tabs>
        <w:spacing w:before="120" w:beforeAutospacing="1" w:after="100" w:afterAutospacing="1"/>
        <w:rPr>
          <w:szCs w:val="22"/>
        </w:rPr>
      </w:pPr>
      <w:r w:rsidRPr="00350CA3">
        <w:t xml:space="preserve">This </w:t>
      </w:r>
      <w:r w:rsidR="00CF3D74">
        <w:t>g</w:t>
      </w:r>
      <w:r w:rsidR="00CF3D74" w:rsidRPr="00350CA3">
        <w:t>uide</w:t>
      </w:r>
      <w:r w:rsidR="00CF3D74">
        <w:t>line</w:t>
      </w:r>
      <w:r w:rsidR="00CF3D74" w:rsidRPr="00350CA3">
        <w:t xml:space="preserve"> </w:t>
      </w:r>
      <w:r w:rsidRPr="00350CA3">
        <w:t xml:space="preserve">is designed to inform </w:t>
      </w:r>
      <w:r w:rsidR="000F2CF2">
        <w:t>P</w:t>
      </w:r>
      <w:r w:rsidRPr="00350CA3">
        <w:t xml:space="preserve">roviders about the </w:t>
      </w:r>
      <w:r w:rsidR="00984CBA" w:rsidRPr="00350CA3">
        <w:t xml:space="preserve">NPA </w:t>
      </w:r>
      <w:r w:rsidR="00416F2F" w:rsidRPr="00350CA3">
        <w:t>performance framework</w:t>
      </w:r>
      <w:r w:rsidR="00FE31C7">
        <w:t>.</w:t>
      </w:r>
      <w:r w:rsidR="00DF168F" w:rsidRPr="00FE31C7">
        <w:rPr>
          <w:szCs w:val="22"/>
        </w:rPr>
        <w:t xml:space="preserve"> </w:t>
      </w:r>
      <w:r w:rsidR="00F13B6E" w:rsidRPr="00FE31C7">
        <w:rPr>
          <w:szCs w:val="22"/>
        </w:rPr>
        <w:t xml:space="preserve">Evaluation </w:t>
      </w:r>
      <w:r w:rsidR="0009524C" w:rsidRPr="00FE31C7">
        <w:rPr>
          <w:szCs w:val="22"/>
        </w:rPr>
        <w:t xml:space="preserve">and management of </w:t>
      </w:r>
      <w:r w:rsidR="000F2CF2" w:rsidRPr="00FE31C7">
        <w:rPr>
          <w:szCs w:val="22"/>
        </w:rPr>
        <w:t>P</w:t>
      </w:r>
      <w:r w:rsidR="0009524C" w:rsidRPr="00FE31C7">
        <w:rPr>
          <w:szCs w:val="22"/>
        </w:rPr>
        <w:t>rovider</w:t>
      </w:r>
      <w:r w:rsidR="00B36C37" w:rsidRPr="00FE31C7">
        <w:rPr>
          <w:szCs w:val="22"/>
        </w:rPr>
        <w:t xml:space="preserve"> </w:t>
      </w:r>
      <w:r w:rsidR="000D1F5E" w:rsidRPr="00FE31C7">
        <w:rPr>
          <w:szCs w:val="22"/>
        </w:rPr>
        <w:t>performance</w:t>
      </w:r>
      <w:r w:rsidRPr="00FE31C7">
        <w:rPr>
          <w:szCs w:val="22"/>
        </w:rPr>
        <w:t xml:space="preserve"> </w:t>
      </w:r>
      <w:r w:rsidR="00CC6D7A" w:rsidRPr="00FE31C7">
        <w:rPr>
          <w:szCs w:val="22"/>
        </w:rPr>
        <w:t>is</w:t>
      </w:r>
      <w:r w:rsidR="002773F9" w:rsidRPr="00FE31C7">
        <w:rPr>
          <w:szCs w:val="22"/>
        </w:rPr>
        <w:t xml:space="preserve"> measured against the K</w:t>
      </w:r>
      <w:r w:rsidR="003E7BB6" w:rsidRPr="00FE31C7">
        <w:rPr>
          <w:szCs w:val="22"/>
        </w:rPr>
        <w:t>ey Performance Indicators (K</w:t>
      </w:r>
      <w:r w:rsidR="002773F9" w:rsidRPr="00FE31C7">
        <w:rPr>
          <w:szCs w:val="22"/>
        </w:rPr>
        <w:t>PIs</w:t>
      </w:r>
      <w:r w:rsidR="003E7BB6" w:rsidRPr="00FE31C7">
        <w:rPr>
          <w:szCs w:val="22"/>
        </w:rPr>
        <w:t>)</w:t>
      </w:r>
      <w:r w:rsidR="002773F9" w:rsidRPr="00FE31C7">
        <w:rPr>
          <w:szCs w:val="22"/>
        </w:rPr>
        <w:t xml:space="preserve"> in </w:t>
      </w:r>
      <w:r w:rsidR="00F13B6E" w:rsidRPr="00FE31C7">
        <w:rPr>
          <w:szCs w:val="22"/>
        </w:rPr>
        <w:t xml:space="preserve">the </w:t>
      </w:r>
      <w:r w:rsidR="00AA41B1" w:rsidRPr="00745B73">
        <w:t xml:space="preserve">Disability Employment National Panel of Assessors </w:t>
      </w:r>
      <w:r w:rsidR="007D6588">
        <w:t xml:space="preserve">Program </w:t>
      </w:r>
      <w:r w:rsidR="00AA41B1" w:rsidRPr="00745B73">
        <w:t xml:space="preserve">Grant </w:t>
      </w:r>
      <w:r w:rsidR="00AA41B1">
        <w:t>Agreement 2018-2023</w:t>
      </w:r>
      <w:r w:rsidR="00AA41B1" w:rsidRPr="00FE31C7">
        <w:rPr>
          <w:szCs w:val="22"/>
        </w:rPr>
        <w:t xml:space="preserve"> </w:t>
      </w:r>
      <w:r w:rsidR="00B57033" w:rsidRPr="00FE31C7">
        <w:rPr>
          <w:szCs w:val="22"/>
        </w:rPr>
        <w:t>(t</w:t>
      </w:r>
      <w:r w:rsidR="00F13B6E" w:rsidRPr="00FE31C7">
        <w:rPr>
          <w:szCs w:val="22"/>
        </w:rPr>
        <w:t xml:space="preserve">he </w:t>
      </w:r>
      <w:r w:rsidR="00AA41B1" w:rsidRPr="00FE31C7">
        <w:rPr>
          <w:szCs w:val="22"/>
        </w:rPr>
        <w:t>Grant Agreement</w:t>
      </w:r>
      <w:r w:rsidR="00F13B6E" w:rsidRPr="00FE31C7">
        <w:rPr>
          <w:szCs w:val="22"/>
        </w:rPr>
        <w:t>)</w:t>
      </w:r>
      <w:r w:rsidR="002773F9" w:rsidRPr="00FE31C7">
        <w:rPr>
          <w:szCs w:val="22"/>
        </w:rPr>
        <w:t xml:space="preserve">. The NPA performance framework applies to </w:t>
      </w:r>
      <w:r w:rsidR="00350CA3" w:rsidRPr="00FE31C7">
        <w:rPr>
          <w:szCs w:val="22"/>
        </w:rPr>
        <w:t>S</w:t>
      </w:r>
      <w:r w:rsidR="00FE31C7">
        <w:rPr>
          <w:szCs w:val="22"/>
        </w:rPr>
        <w:t xml:space="preserve">upported </w:t>
      </w:r>
      <w:r w:rsidR="00350CA3" w:rsidRPr="00FE31C7">
        <w:rPr>
          <w:szCs w:val="22"/>
        </w:rPr>
        <w:t>W</w:t>
      </w:r>
      <w:r w:rsidR="00FE31C7">
        <w:rPr>
          <w:szCs w:val="22"/>
        </w:rPr>
        <w:t xml:space="preserve">age </w:t>
      </w:r>
      <w:r w:rsidR="00350CA3" w:rsidRPr="00FE31C7">
        <w:rPr>
          <w:szCs w:val="22"/>
        </w:rPr>
        <w:t>S</w:t>
      </w:r>
      <w:r w:rsidR="00FE31C7">
        <w:rPr>
          <w:szCs w:val="22"/>
        </w:rPr>
        <w:t>ystem (SWS)</w:t>
      </w:r>
      <w:r w:rsidR="00350CA3" w:rsidRPr="00FE31C7">
        <w:rPr>
          <w:szCs w:val="22"/>
        </w:rPr>
        <w:t xml:space="preserve"> and O</w:t>
      </w:r>
      <w:r w:rsidR="00FE31C7">
        <w:rPr>
          <w:szCs w:val="22"/>
        </w:rPr>
        <w:t xml:space="preserve">ngoing </w:t>
      </w:r>
      <w:r w:rsidR="00350CA3" w:rsidRPr="00FE31C7">
        <w:rPr>
          <w:szCs w:val="22"/>
        </w:rPr>
        <w:t>S</w:t>
      </w:r>
      <w:r w:rsidR="00FE31C7">
        <w:rPr>
          <w:szCs w:val="22"/>
        </w:rPr>
        <w:t xml:space="preserve">upport </w:t>
      </w:r>
      <w:r w:rsidR="00350CA3" w:rsidRPr="00FE31C7">
        <w:rPr>
          <w:szCs w:val="22"/>
        </w:rPr>
        <w:t>A</w:t>
      </w:r>
      <w:r w:rsidR="00FE31C7">
        <w:rPr>
          <w:szCs w:val="22"/>
        </w:rPr>
        <w:t>ssessment (OSA)</w:t>
      </w:r>
      <w:r w:rsidR="00F13B6E" w:rsidRPr="00FE31C7">
        <w:rPr>
          <w:szCs w:val="22"/>
        </w:rPr>
        <w:t xml:space="preserve"> </w:t>
      </w:r>
      <w:r w:rsidR="002773F9" w:rsidRPr="00FE31C7">
        <w:rPr>
          <w:szCs w:val="22"/>
        </w:rPr>
        <w:t>services</w:t>
      </w:r>
      <w:r w:rsidR="00FE31C7" w:rsidRPr="00FE31C7">
        <w:rPr>
          <w:szCs w:val="22"/>
        </w:rPr>
        <w:t>.</w:t>
      </w:r>
      <w:r w:rsidR="00FE31C7">
        <w:rPr>
          <w:szCs w:val="22"/>
        </w:rPr>
        <w:t xml:space="preserve"> </w:t>
      </w:r>
      <w:r w:rsidR="00FE31C7" w:rsidRPr="00FE31C7">
        <w:rPr>
          <w:szCs w:val="22"/>
        </w:rPr>
        <w:t xml:space="preserve">Detailed information about the performance measures for OSA are available on the Provider Portal </w:t>
      </w:r>
      <w:r w:rsidR="00CF3D74" w:rsidRPr="00FE31C7">
        <w:rPr>
          <w:szCs w:val="22"/>
        </w:rPr>
        <w:t>(</w:t>
      </w:r>
      <w:hyperlink r:id="rId9" w:history="1">
        <w:r w:rsidR="00FE31C7" w:rsidRPr="00FE31C7">
          <w:rPr>
            <w:szCs w:val="22"/>
          </w:rPr>
          <w:t>Provider Portal</w:t>
        </w:r>
      </w:hyperlink>
      <w:r w:rsidR="00FE31C7" w:rsidRPr="00FE31C7">
        <w:rPr>
          <w:szCs w:val="22"/>
        </w:rPr>
        <w:t>&gt;</w:t>
      </w:r>
      <w:hyperlink r:id="rId10" w:history="1">
        <w:r w:rsidR="00FE31C7" w:rsidRPr="00FE31C7">
          <w:rPr>
            <w:szCs w:val="22"/>
          </w:rPr>
          <w:t>DES</w:t>
        </w:r>
      </w:hyperlink>
      <w:r w:rsidR="00FE31C7" w:rsidRPr="00FE31C7">
        <w:rPr>
          <w:szCs w:val="22"/>
        </w:rPr>
        <w:t>&gt;</w:t>
      </w:r>
      <w:hyperlink r:id="rId11" w:history="1">
        <w:r w:rsidR="00FE31C7" w:rsidRPr="00FE31C7">
          <w:rPr>
            <w:szCs w:val="22"/>
          </w:rPr>
          <w:t>Guidelines and Supporting Documents</w:t>
        </w:r>
      </w:hyperlink>
      <w:r w:rsidR="00FE31C7" w:rsidRPr="00FE31C7">
        <w:rPr>
          <w:szCs w:val="22"/>
        </w:rPr>
        <w:t>&gt;Ongoing Support</w:t>
      </w:r>
      <w:r w:rsidR="00161000" w:rsidRPr="00FE31C7">
        <w:rPr>
          <w:szCs w:val="22"/>
        </w:rPr>
        <w:t>).</w:t>
      </w:r>
    </w:p>
    <w:p w14:paraId="0C4DE68E" w14:textId="5B6385D4" w:rsidR="00416F2F" w:rsidRPr="00CC6D7A" w:rsidRDefault="009A6AC2" w:rsidP="00CC6D7A">
      <w:pPr>
        <w:tabs>
          <w:tab w:val="num" w:pos="454"/>
        </w:tabs>
        <w:spacing w:before="120"/>
      </w:pPr>
      <w:r>
        <w:rPr>
          <w:szCs w:val="22"/>
        </w:rPr>
        <w:t xml:space="preserve">Workplace </w:t>
      </w:r>
      <w:r w:rsidR="00022458">
        <w:rPr>
          <w:szCs w:val="22"/>
        </w:rPr>
        <w:t>M</w:t>
      </w:r>
      <w:r w:rsidR="00B23618">
        <w:rPr>
          <w:szCs w:val="22"/>
        </w:rPr>
        <w:t xml:space="preserve">odifications </w:t>
      </w:r>
      <w:r w:rsidR="00022458">
        <w:rPr>
          <w:szCs w:val="22"/>
        </w:rPr>
        <w:t xml:space="preserve">Scheme (WMS) </w:t>
      </w:r>
      <w:r w:rsidR="000F2CF2">
        <w:rPr>
          <w:szCs w:val="22"/>
        </w:rPr>
        <w:t>A</w:t>
      </w:r>
      <w:r w:rsidR="00B23618">
        <w:rPr>
          <w:szCs w:val="22"/>
        </w:rPr>
        <w:t>ssessments are managed through the JobAccess service</w:t>
      </w:r>
      <w:r w:rsidR="00022458">
        <w:rPr>
          <w:szCs w:val="22"/>
        </w:rPr>
        <w:t xml:space="preserve"> in accordance with the performance and reporting requirements in the JobAccess</w:t>
      </w:r>
      <w:r w:rsidR="00CE54A9">
        <w:rPr>
          <w:szCs w:val="22"/>
        </w:rPr>
        <w:t xml:space="preserve"> contract</w:t>
      </w:r>
      <w:r w:rsidR="00F14427">
        <w:rPr>
          <w:szCs w:val="22"/>
        </w:rPr>
        <w:t>.</w:t>
      </w:r>
      <w:r w:rsidR="00260726">
        <w:rPr>
          <w:szCs w:val="22"/>
        </w:rPr>
        <w:t xml:space="preserve"> </w:t>
      </w:r>
      <w:r w:rsidR="00CD341F">
        <w:rPr>
          <w:szCs w:val="22"/>
        </w:rPr>
        <w:t>In future, c</w:t>
      </w:r>
      <w:r w:rsidR="00022458">
        <w:rPr>
          <w:szCs w:val="22"/>
        </w:rPr>
        <w:t>onsideration will be given to including WMS assessments in th</w:t>
      </w:r>
      <w:r w:rsidR="00CD341F">
        <w:rPr>
          <w:szCs w:val="22"/>
        </w:rPr>
        <w:t>is framework.</w:t>
      </w:r>
    </w:p>
    <w:p w14:paraId="23929DD2" w14:textId="77777777" w:rsidR="000E2667" w:rsidRDefault="000E2667" w:rsidP="00CC6D7A">
      <w:pPr>
        <w:spacing w:before="120"/>
      </w:pPr>
      <w:r>
        <w:t xml:space="preserve">The </w:t>
      </w:r>
      <w:r w:rsidR="007F2A01">
        <w:t>D</w:t>
      </w:r>
      <w:r>
        <w:t xml:space="preserve">epartment assesses the quality of service delivery through evidence of compliance with the </w:t>
      </w:r>
      <w:r w:rsidR="00AA41B1">
        <w:t>Grant Agreement</w:t>
      </w:r>
      <w:r>
        <w:t>, the Employment Services Code of Practice and the Disability Employment National Panel Assessors Service Guarantee, using feedback, complaints, stakeholder satisfaction surveys, Post Program Monitoring surveys, evaluation and audit strategies, quality assurance pr</w:t>
      </w:r>
      <w:r w:rsidR="00CC6D7A">
        <w:t>ojects and contract management.</w:t>
      </w:r>
    </w:p>
    <w:p w14:paraId="4ABD38A9" w14:textId="77777777" w:rsidR="000E2667" w:rsidRDefault="000E2667" w:rsidP="00CC6D7A">
      <w:pPr>
        <w:spacing w:before="120" w:after="120"/>
      </w:pPr>
      <w:r>
        <w:t>Assessing quality of service delivery includes the following requirements:</w:t>
      </w:r>
    </w:p>
    <w:p w14:paraId="58338E26" w14:textId="14120D14" w:rsidR="000E2667" w:rsidRDefault="000E2667" w:rsidP="00D70C0D">
      <w:pPr>
        <w:numPr>
          <w:ilvl w:val="0"/>
          <w:numId w:val="14"/>
        </w:numPr>
      </w:pPr>
      <w:r>
        <w:t xml:space="preserve">Providers must act with due care and diligence when conducting all aspects of an </w:t>
      </w:r>
      <w:r w:rsidR="00AF3009">
        <w:t>a</w:t>
      </w:r>
      <w:r w:rsidR="00E40BB7">
        <w:t>ssessment</w:t>
      </w:r>
      <w:r>
        <w:t>, especially when communicating with Disability Em</w:t>
      </w:r>
      <w:r w:rsidR="00AA41B1">
        <w:t xml:space="preserve">ployment Services </w:t>
      </w:r>
      <w:r w:rsidR="00E40BB7">
        <w:t xml:space="preserve">(DES) </w:t>
      </w:r>
      <w:r w:rsidR="00AA41B1">
        <w:t>Participants.</w:t>
      </w:r>
    </w:p>
    <w:p w14:paraId="4CE13114" w14:textId="138C83CC" w:rsidR="000E2667" w:rsidRDefault="000E2667" w:rsidP="00D70C0D">
      <w:pPr>
        <w:numPr>
          <w:ilvl w:val="0"/>
          <w:numId w:val="14"/>
        </w:numPr>
      </w:pPr>
      <w:r>
        <w:lastRenderedPageBreak/>
        <w:t xml:space="preserve">Developing respectful relationships with the parties to an assessment is an important part of service delivery. The Department will use feedback, complaints and results of satisfaction surveys to measure the behaviours of </w:t>
      </w:r>
      <w:r w:rsidR="00E40BB7">
        <w:t xml:space="preserve">Assessors </w:t>
      </w:r>
      <w:r>
        <w:t xml:space="preserve">when delivering </w:t>
      </w:r>
      <w:r w:rsidR="00AF3009">
        <w:t>a</w:t>
      </w:r>
      <w:r w:rsidR="00E40BB7">
        <w:t xml:space="preserve">ssessment </w:t>
      </w:r>
      <w:r>
        <w:t>services.</w:t>
      </w:r>
    </w:p>
    <w:p w14:paraId="7624ADF8" w14:textId="39AD31F5" w:rsidR="000E2667" w:rsidRDefault="00E40BB7" w:rsidP="000E2667">
      <w:pPr>
        <w:numPr>
          <w:ilvl w:val="0"/>
          <w:numId w:val="14"/>
        </w:numPr>
      </w:pPr>
      <w:r>
        <w:t xml:space="preserve">Assessments </w:t>
      </w:r>
      <w:r w:rsidR="000E2667">
        <w:t xml:space="preserve">can only be conducted by Approved Assessors with the required qualifications and experience. The Department may conduct quality assurance projects to check qualifications of </w:t>
      </w:r>
      <w:r w:rsidR="00333B05">
        <w:t>a</w:t>
      </w:r>
      <w:r w:rsidR="000E2667">
        <w:t xml:space="preserve">ssessors and to check that </w:t>
      </w:r>
      <w:r w:rsidR="00333B05">
        <w:t xml:space="preserve">assessments </w:t>
      </w:r>
      <w:r w:rsidR="000E2667">
        <w:t>are completed by Approved Assessors.</w:t>
      </w:r>
    </w:p>
    <w:p w14:paraId="7832FDE6" w14:textId="4196E11D" w:rsidR="000E2667" w:rsidRDefault="000E2667" w:rsidP="00D70C0D">
      <w:pPr>
        <w:numPr>
          <w:ilvl w:val="0"/>
          <w:numId w:val="14"/>
        </w:numPr>
      </w:pPr>
      <w:r>
        <w:t xml:space="preserve">Services must be conducted at or above the minimum standards in the Code of Practice and the Service Guarantee, and the Provider </w:t>
      </w:r>
      <w:r w:rsidR="007F2A01">
        <w:t xml:space="preserve">must </w:t>
      </w:r>
      <w:r>
        <w:t>make these documents available to</w:t>
      </w:r>
      <w:r w:rsidR="001D0AE4">
        <w:t xml:space="preserve"> </w:t>
      </w:r>
      <w:r w:rsidR="008136F4">
        <w:t>participants</w:t>
      </w:r>
      <w:r>
        <w:t>.</w:t>
      </w:r>
    </w:p>
    <w:p w14:paraId="574355AB" w14:textId="30DAE74D" w:rsidR="000E2667" w:rsidRDefault="00E40BB7" w:rsidP="00D70C0D">
      <w:pPr>
        <w:numPr>
          <w:ilvl w:val="0"/>
          <w:numId w:val="14"/>
        </w:numPr>
      </w:pPr>
      <w:r>
        <w:t xml:space="preserve">A </w:t>
      </w:r>
      <w:r w:rsidR="000E2667">
        <w:t>Customer feedback register</w:t>
      </w:r>
      <w:r>
        <w:t xml:space="preserve"> must be maintained</w:t>
      </w:r>
      <w:r w:rsidR="000E2667">
        <w:t xml:space="preserve">, </w:t>
      </w:r>
      <w:r>
        <w:t>and will</w:t>
      </w:r>
      <w:r w:rsidR="000E2667">
        <w:t xml:space="preserve"> be made available to the </w:t>
      </w:r>
      <w:r w:rsidR="007F2A01">
        <w:t>Department on request.</w:t>
      </w:r>
    </w:p>
    <w:p w14:paraId="4D3A575D" w14:textId="45CA8550" w:rsidR="00E40BB7" w:rsidRDefault="000E2667" w:rsidP="0020309F">
      <w:pPr>
        <w:pStyle w:val="ListParagraph"/>
        <w:numPr>
          <w:ilvl w:val="0"/>
          <w:numId w:val="14"/>
        </w:numPr>
        <w:spacing w:after="0" w:line="240" w:lineRule="auto"/>
        <w:ind w:left="714" w:hanging="357"/>
      </w:pPr>
      <w:r>
        <w:t xml:space="preserve">Criminal records checks are completed for Personnel who conduct the </w:t>
      </w:r>
      <w:r w:rsidR="00E40BB7">
        <w:t xml:space="preserve">Assessment </w:t>
      </w:r>
      <w:r>
        <w:t>services.</w:t>
      </w:r>
    </w:p>
    <w:p w14:paraId="18711639" w14:textId="4F5661DE" w:rsidR="00C01DBD" w:rsidRPr="00C01DBD" w:rsidRDefault="00C01DBD" w:rsidP="00C01DBD">
      <w:pPr>
        <w:pStyle w:val="ListParagraph"/>
        <w:numPr>
          <w:ilvl w:val="0"/>
          <w:numId w:val="14"/>
        </w:numPr>
      </w:pPr>
      <w:r>
        <w:t>C</w:t>
      </w:r>
      <w:r w:rsidRPr="00C01DBD">
        <w:t xml:space="preserve">omply with all other legal requirements </w:t>
      </w:r>
      <w:r>
        <w:t xml:space="preserve">when </w:t>
      </w:r>
      <w:r w:rsidRPr="00C01DBD">
        <w:t xml:space="preserve">engaging or deploying persons in a capacity where they may have contact with Vulnerable Persons. </w:t>
      </w:r>
    </w:p>
    <w:p w14:paraId="5236673F" w14:textId="77777777" w:rsidR="00C13F33" w:rsidRDefault="000E2667" w:rsidP="0020309F">
      <w:pPr>
        <w:pStyle w:val="ListParagraph"/>
        <w:numPr>
          <w:ilvl w:val="0"/>
          <w:numId w:val="14"/>
        </w:numPr>
        <w:sectPr w:rsidR="00C13F33" w:rsidSect="00D15D4B">
          <w:headerReference w:type="even" r:id="rId12"/>
          <w:headerReference w:type="default" r:id="rId13"/>
          <w:footerReference w:type="even" r:id="rId14"/>
          <w:footerReference w:type="default" r:id="rId15"/>
          <w:headerReference w:type="first" r:id="rId16"/>
          <w:footerReference w:type="first" r:id="rId17"/>
          <w:pgSz w:w="11906" w:h="16838" w:code="9"/>
          <w:pgMar w:top="1276" w:right="1418" w:bottom="1079" w:left="1418" w:header="567" w:footer="45" w:gutter="0"/>
          <w:cols w:space="708"/>
          <w:docGrid w:linePitch="360"/>
        </w:sectPr>
      </w:pPr>
      <w:r>
        <w:t xml:space="preserve">Any changes in control of the Provider’s organisation are reported to the </w:t>
      </w:r>
      <w:r w:rsidR="007F2A01">
        <w:t>D</w:t>
      </w:r>
      <w:r>
        <w:t>epartment.</w:t>
      </w:r>
    </w:p>
    <w:p w14:paraId="0C23BB46" w14:textId="77777777" w:rsidR="00B36C37" w:rsidRPr="008254C4" w:rsidRDefault="008622DA" w:rsidP="0090269C">
      <w:pPr>
        <w:pStyle w:val="Heading3"/>
        <w:spacing w:before="120" w:after="0"/>
      </w:pPr>
      <w:bookmarkStart w:id="12" w:name="_Toc233540349"/>
      <w:bookmarkStart w:id="13" w:name="_Toc233542121"/>
      <w:bookmarkStart w:id="14" w:name="_Toc22038027"/>
      <w:bookmarkStart w:id="15" w:name="_Toc22038094"/>
      <w:r>
        <w:lastRenderedPageBreak/>
        <w:t xml:space="preserve">NPA </w:t>
      </w:r>
      <w:r w:rsidR="00B36C37" w:rsidRPr="008254C4">
        <w:t>Performance Framework</w:t>
      </w:r>
      <w:bookmarkEnd w:id="12"/>
      <w:bookmarkEnd w:id="13"/>
      <w:bookmarkEnd w:id="14"/>
      <w:bookmarkEnd w:id="15"/>
    </w:p>
    <w:p w14:paraId="51D428AC" w14:textId="77777777" w:rsidR="00B36C37" w:rsidRDefault="00B36C37" w:rsidP="0090269C">
      <w:pPr>
        <w:tabs>
          <w:tab w:val="num" w:pos="454"/>
        </w:tabs>
        <w:spacing w:before="120"/>
        <w:rPr>
          <w:szCs w:val="22"/>
        </w:rPr>
      </w:pPr>
      <w:r w:rsidRPr="00B36C37">
        <w:rPr>
          <w:szCs w:val="22"/>
        </w:rPr>
        <w:t xml:space="preserve">The framework has been designed to </w:t>
      </w:r>
      <w:r w:rsidR="00B23618">
        <w:rPr>
          <w:szCs w:val="22"/>
        </w:rPr>
        <w:t>aid</w:t>
      </w:r>
      <w:r>
        <w:rPr>
          <w:szCs w:val="22"/>
        </w:rPr>
        <w:t xml:space="preserve"> performance and continuous improvement in the delivery of quality services to </w:t>
      </w:r>
      <w:r w:rsidR="00CA435C">
        <w:rPr>
          <w:szCs w:val="22"/>
        </w:rPr>
        <w:t>P</w:t>
      </w:r>
      <w:r w:rsidR="0007118B">
        <w:rPr>
          <w:szCs w:val="22"/>
        </w:rPr>
        <w:t>articipant</w:t>
      </w:r>
      <w:r>
        <w:rPr>
          <w:szCs w:val="22"/>
        </w:rPr>
        <w:t>s.</w:t>
      </w:r>
      <w:r w:rsidRPr="00B36C37">
        <w:rPr>
          <w:szCs w:val="22"/>
        </w:rPr>
        <w:t xml:space="preserve"> </w:t>
      </w:r>
      <w:r>
        <w:rPr>
          <w:szCs w:val="22"/>
        </w:rPr>
        <w:t>The following elements support the framework:</w:t>
      </w:r>
    </w:p>
    <w:p w14:paraId="532929D2" w14:textId="77777777" w:rsidR="00CB7A27" w:rsidRPr="00CB7A27" w:rsidRDefault="00CB7A27" w:rsidP="00911C55">
      <w:pPr>
        <w:numPr>
          <w:ilvl w:val="0"/>
          <w:numId w:val="2"/>
        </w:numPr>
        <w:rPr>
          <w:szCs w:val="22"/>
        </w:rPr>
      </w:pPr>
      <w:r w:rsidRPr="00CB7A27">
        <w:rPr>
          <w:szCs w:val="22"/>
        </w:rPr>
        <w:t xml:space="preserve">a Service Guarantee reflecting the services that </w:t>
      </w:r>
      <w:r w:rsidR="00CA435C">
        <w:rPr>
          <w:szCs w:val="22"/>
        </w:rPr>
        <w:t>P</w:t>
      </w:r>
      <w:r w:rsidR="0007118B">
        <w:rPr>
          <w:szCs w:val="22"/>
        </w:rPr>
        <w:t>articipant</w:t>
      </w:r>
      <w:r w:rsidR="007F2A01">
        <w:rPr>
          <w:szCs w:val="22"/>
        </w:rPr>
        <w:t>s can expect from P</w:t>
      </w:r>
      <w:r w:rsidRPr="00CB7A27">
        <w:rPr>
          <w:szCs w:val="22"/>
        </w:rPr>
        <w:t>roviders</w:t>
      </w:r>
    </w:p>
    <w:p w14:paraId="6D36473C" w14:textId="7641F023" w:rsidR="00CB7A27" w:rsidRDefault="00CB7A27" w:rsidP="00911C55">
      <w:pPr>
        <w:numPr>
          <w:ilvl w:val="0"/>
          <w:numId w:val="2"/>
        </w:numPr>
        <w:rPr>
          <w:szCs w:val="22"/>
        </w:rPr>
      </w:pPr>
      <w:r w:rsidRPr="00CB7A27">
        <w:rPr>
          <w:szCs w:val="22"/>
        </w:rPr>
        <w:t>a Code of Practice that reflects the Australian Go</w:t>
      </w:r>
      <w:r w:rsidR="00C8346C">
        <w:rPr>
          <w:szCs w:val="22"/>
        </w:rPr>
        <w:t xml:space="preserve">vernment’s expectations of </w:t>
      </w:r>
      <w:r w:rsidR="007F2A01">
        <w:rPr>
          <w:szCs w:val="22"/>
        </w:rPr>
        <w:t>P</w:t>
      </w:r>
      <w:r w:rsidRPr="00CB7A27">
        <w:rPr>
          <w:szCs w:val="22"/>
        </w:rPr>
        <w:t>roviders</w:t>
      </w:r>
      <w:r w:rsidR="00B23618">
        <w:rPr>
          <w:szCs w:val="22"/>
        </w:rPr>
        <w:t>’</w:t>
      </w:r>
      <w:r w:rsidRPr="00CB7A27">
        <w:rPr>
          <w:szCs w:val="22"/>
        </w:rPr>
        <w:t xml:space="preserve"> interact</w:t>
      </w:r>
      <w:r w:rsidR="00B23618">
        <w:rPr>
          <w:szCs w:val="22"/>
        </w:rPr>
        <w:t>ions</w:t>
      </w:r>
      <w:r w:rsidRPr="00CB7A27">
        <w:rPr>
          <w:szCs w:val="22"/>
        </w:rPr>
        <w:t xml:space="preserve"> with </w:t>
      </w:r>
      <w:r w:rsidR="00CA435C">
        <w:rPr>
          <w:szCs w:val="22"/>
        </w:rPr>
        <w:t>Participant</w:t>
      </w:r>
      <w:r w:rsidR="00DF168F">
        <w:rPr>
          <w:szCs w:val="22"/>
        </w:rPr>
        <w:t xml:space="preserve">s, </w:t>
      </w:r>
      <w:r w:rsidR="00EE2E5B">
        <w:rPr>
          <w:szCs w:val="22"/>
        </w:rPr>
        <w:t>E</w:t>
      </w:r>
      <w:r w:rsidR="00DF168F">
        <w:rPr>
          <w:szCs w:val="22"/>
        </w:rPr>
        <w:t>mployers and each other</w:t>
      </w:r>
    </w:p>
    <w:p w14:paraId="7FDB2159" w14:textId="77777777" w:rsidR="0009524C" w:rsidRPr="00B36C37" w:rsidRDefault="0009524C" w:rsidP="00911C55">
      <w:pPr>
        <w:numPr>
          <w:ilvl w:val="0"/>
          <w:numId w:val="2"/>
        </w:numPr>
        <w:rPr>
          <w:szCs w:val="22"/>
        </w:rPr>
      </w:pPr>
      <w:r>
        <w:rPr>
          <w:szCs w:val="22"/>
        </w:rPr>
        <w:t xml:space="preserve">performance discussions with </w:t>
      </w:r>
      <w:r w:rsidR="007F2A01">
        <w:rPr>
          <w:szCs w:val="22"/>
        </w:rPr>
        <w:t>the Department</w:t>
      </w:r>
      <w:r>
        <w:rPr>
          <w:szCs w:val="22"/>
        </w:rPr>
        <w:t>.</w:t>
      </w:r>
    </w:p>
    <w:p w14:paraId="149B52B7" w14:textId="77777777" w:rsidR="00D0783E" w:rsidRPr="00DF4183" w:rsidRDefault="00A71408" w:rsidP="0020309F">
      <w:pPr>
        <w:pStyle w:val="Heading3"/>
        <w:spacing w:before="120" w:after="0"/>
        <w:rPr>
          <w:szCs w:val="22"/>
        </w:rPr>
      </w:pPr>
      <w:bookmarkStart w:id="16" w:name="_Toc22038028"/>
      <w:bookmarkStart w:id="17" w:name="_Toc22038095"/>
      <w:r w:rsidRPr="008254C4">
        <w:t>Key Objectives of the Framework</w:t>
      </w:r>
      <w:bookmarkEnd w:id="16"/>
      <w:bookmarkEnd w:id="17"/>
    </w:p>
    <w:p w14:paraId="25C0E1DE" w14:textId="77777777" w:rsidR="00D040BB" w:rsidRPr="00D040BB" w:rsidRDefault="00D1701A" w:rsidP="0020309F">
      <w:pPr>
        <w:autoSpaceDE w:val="0"/>
        <w:autoSpaceDN w:val="0"/>
        <w:adjustRightInd w:val="0"/>
        <w:spacing w:before="120"/>
        <w:rPr>
          <w:rFonts w:cs="Calibri"/>
          <w:color w:val="000000"/>
          <w:szCs w:val="22"/>
        </w:rPr>
      </w:pPr>
      <w:r>
        <w:rPr>
          <w:rFonts w:cs="Calibri"/>
          <w:color w:val="000000"/>
          <w:szCs w:val="22"/>
        </w:rPr>
        <w:t>T</w:t>
      </w:r>
      <w:r w:rsidR="000D1F5E">
        <w:rPr>
          <w:rFonts w:cs="Calibri"/>
          <w:color w:val="000000"/>
          <w:szCs w:val="22"/>
        </w:rPr>
        <w:t>he</w:t>
      </w:r>
      <w:r w:rsidR="00A71408">
        <w:rPr>
          <w:rFonts w:cs="Calibri"/>
          <w:color w:val="000000"/>
          <w:szCs w:val="22"/>
        </w:rPr>
        <w:t xml:space="preserve"> </w:t>
      </w:r>
      <w:r>
        <w:rPr>
          <w:rFonts w:cs="Calibri"/>
          <w:color w:val="000000"/>
          <w:szCs w:val="22"/>
        </w:rPr>
        <w:t xml:space="preserve">NPA </w:t>
      </w:r>
      <w:r w:rsidR="001D1A9D">
        <w:rPr>
          <w:rFonts w:cs="Calibri"/>
          <w:color w:val="000000"/>
          <w:szCs w:val="22"/>
        </w:rPr>
        <w:t>p</w:t>
      </w:r>
      <w:r w:rsidR="00D040BB">
        <w:rPr>
          <w:rFonts w:cs="Calibri"/>
          <w:color w:val="000000"/>
          <w:szCs w:val="22"/>
        </w:rPr>
        <w:t xml:space="preserve">erformance </w:t>
      </w:r>
      <w:r w:rsidR="001D1A9D">
        <w:rPr>
          <w:rFonts w:cs="Calibri"/>
          <w:color w:val="000000"/>
          <w:szCs w:val="22"/>
        </w:rPr>
        <w:t>f</w:t>
      </w:r>
      <w:r w:rsidR="00D040BB">
        <w:rPr>
          <w:rFonts w:cs="Calibri"/>
          <w:color w:val="000000"/>
          <w:szCs w:val="22"/>
        </w:rPr>
        <w:t xml:space="preserve">ramework </w:t>
      </w:r>
      <w:r>
        <w:rPr>
          <w:rFonts w:cs="Calibri"/>
          <w:color w:val="000000"/>
          <w:szCs w:val="22"/>
        </w:rPr>
        <w:t>aims to deliver</w:t>
      </w:r>
      <w:r w:rsidR="00D040BB">
        <w:rPr>
          <w:rFonts w:cs="Calibri"/>
          <w:color w:val="000000"/>
          <w:szCs w:val="22"/>
        </w:rPr>
        <w:t>:</w:t>
      </w:r>
    </w:p>
    <w:p w14:paraId="73A5BBA4" w14:textId="77777777" w:rsidR="0048307B" w:rsidRDefault="0048307B" w:rsidP="00911C55">
      <w:pPr>
        <w:numPr>
          <w:ilvl w:val="0"/>
          <w:numId w:val="2"/>
        </w:numPr>
      </w:pPr>
      <w:r>
        <w:t>assist</w:t>
      </w:r>
      <w:r w:rsidR="00C46B28">
        <w:t xml:space="preserve">ance to </w:t>
      </w:r>
      <w:r>
        <w:t xml:space="preserve">contracted organisations to deliver highly effective </w:t>
      </w:r>
      <w:r w:rsidR="00FC1A4B">
        <w:t xml:space="preserve">assessment </w:t>
      </w:r>
      <w:r>
        <w:t>services to job seekers with disability</w:t>
      </w:r>
    </w:p>
    <w:p w14:paraId="381C730C" w14:textId="217BB6E6" w:rsidR="00D040BB" w:rsidRPr="0048307B" w:rsidRDefault="0048307B" w:rsidP="00911C55">
      <w:pPr>
        <w:numPr>
          <w:ilvl w:val="0"/>
          <w:numId w:val="2"/>
        </w:numPr>
        <w:rPr>
          <w:szCs w:val="22"/>
        </w:rPr>
      </w:pPr>
      <w:r w:rsidRPr="0048307B">
        <w:rPr>
          <w:szCs w:val="22"/>
        </w:rPr>
        <w:t>assessment</w:t>
      </w:r>
      <w:r w:rsidR="001D04C0">
        <w:rPr>
          <w:szCs w:val="22"/>
        </w:rPr>
        <w:t>s</w:t>
      </w:r>
      <w:r w:rsidRPr="0048307B">
        <w:rPr>
          <w:szCs w:val="22"/>
        </w:rPr>
        <w:t xml:space="preserve"> </w:t>
      </w:r>
      <w:r w:rsidR="00D040BB" w:rsidRPr="0048307B">
        <w:rPr>
          <w:szCs w:val="22"/>
        </w:rPr>
        <w:t xml:space="preserve">that measure </w:t>
      </w:r>
      <w:r w:rsidR="00EE2E5B">
        <w:rPr>
          <w:szCs w:val="22"/>
        </w:rPr>
        <w:t>P</w:t>
      </w:r>
      <w:r w:rsidR="00D040BB" w:rsidRPr="0048307B">
        <w:rPr>
          <w:szCs w:val="22"/>
        </w:rPr>
        <w:t xml:space="preserve">rovider </w:t>
      </w:r>
      <w:r w:rsidR="0009524C" w:rsidRPr="0048307B">
        <w:rPr>
          <w:szCs w:val="22"/>
        </w:rPr>
        <w:t>performance</w:t>
      </w:r>
      <w:r w:rsidR="00D040BB" w:rsidRPr="0048307B">
        <w:rPr>
          <w:szCs w:val="22"/>
        </w:rPr>
        <w:t xml:space="preserve"> and produces reli</w:t>
      </w:r>
      <w:r w:rsidR="004D22A6" w:rsidRPr="0048307B">
        <w:rPr>
          <w:szCs w:val="22"/>
        </w:rPr>
        <w:t xml:space="preserve">able </w:t>
      </w:r>
      <w:r w:rsidR="00281754">
        <w:rPr>
          <w:szCs w:val="22"/>
        </w:rPr>
        <w:t>evaluation data</w:t>
      </w:r>
    </w:p>
    <w:p w14:paraId="36765F90" w14:textId="77777777" w:rsidR="00D040BB" w:rsidRPr="00A71408" w:rsidRDefault="00D040BB" w:rsidP="00911C55">
      <w:pPr>
        <w:numPr>
          <w:ilvl w:val="0"/>
          <w:numId w:val="2"/>
        </w:numPr>
        <w:rPr>
          <w:szCs w:val="22"/>
        </w:rPr>
      </w:pPr>
      <w:r w:rsidRPr="00A71408">
        <w:rPr>
          <w:szCs w:val="22"/>
        </w:rPr>
        <w:t>continuous</w:t>
      </w:r>
      <w:r w:rsidR="00FC1A4B">
        <w:rPr>
          <w:szCs w:val="22"/>
        </w:rPr>
        <w:t xml:space="preserve"> performance</w:t>
      </w:r>
      <w:r w:rsidRPr="00A71408">
        <w:rPr>
          <w:szCs w:val="22"/>
        </w:rPr>
        <w:t xml:space="preserve"> improvement.</w:t>
      </w:r>
    </w:p>
    <w:p w14:paraId="763CE6BC" w14:textId="77777777" w:rsidR="00D0783E" w:rsidRPr="008254C4" w:rsidRDefault="00EA5A07" w:rsidP="0020309F">
      <w:pPr>
        <w:pStyle w:val="Heading3"/>
        <w:spacing w:before="120" w:after="0"/>
      </w:pPr>
      <w:bookmarkStart w:id="18" w:name="_Toc22038029"/>
      <w:bookmarkStart w:id="19" w:name="_Toc22038096"/>
      <w:r w:rsidRPr="008254C4">
        <w:t>Performance M</w:t>
      </w:r>
      <w:r w:rsidR="00D040BB" w:rsidRPr="008254C4">
        <w:t>anagement</w:t>
      </w:r>
      <w:bookmarkEnd w:id="18"/>
      <w:bookmarkEnd w:id="19"/>
    </w:p>
    <w:p w14:paraId="196CA8D2" w14:textId="77777777" w:rsidR="009134BA" w:rsidRDefault="009A6AC2" w:rsidP="0020309F">
      <w:pPr>
        <w:autoSpaceDE w:val="0"/>
        <w:autoSpaceDN w:val="0"/>
        <w:adjustRightInd w:val="0"/>
        <w:spacing w:before="120"/>
        <w:rPr>
          <w:rFonts w:cs="Calibri"/>
          <w:color w:val="000000"/>
          <w:szCs w:val="22"/>
          <w:highlight w:val="yellow"/>
        </w:rPr>
      </w:pPr>
      <w:r>
        <w:rPr>
          <w:rFonts w:cs="Calibri"/>
          <w:color w:val="000000"/>
          <w:szCs w:val="22"/>
        </w:rPr>
        <w:t xml:space="preserve">The </w:t>
      </w:r>
      <w:r w:rsidR="007F2A01">
        <w:rPr>
          <w:rFonts w:cs="Calibri"/>
          <w:color w:val="000000"/>
          <w:szCs w:val="22"/>
        </w:rPr>
        <w:t>D</w:t>
      </w:r>
      <w:r>
        <w:rPr>
          <w:rFonts w:cs="Calibri"/>
          <w:color w:val="000000"/>
          <w:szCs w:val="22"/>
        </w:rPr>
        <w:t xml:space="preserve">epartment </w:t>
      </w:r>
      <w:r w:rsidR="00C8346C">
        <w:rPr>
          <w:rFonts w:cs="Calibri"/>
          <w:color w:val="000000"/>
          <w:szCs w:val="22"/>
        </w:rPr>
        <w:t xml:space="preserve">will </w:t>
      </w:r>
      <w:r w:rsidR="00D55F40">
        <w:rPr>
          <w:rFonts w:cs="Calibri"/>
          <w:color w:val="000000"/>
          <w:szCs w:val="22"/>
        </w:rPr>
        <w:t xml:space="preserve">undertake evaluation activities </w:t>
      </w:r>
      <w:r w:rsidR="00281754">
        <w:rPr>
          <w:rFonts w:cs="Calibri"/>
          <w:color w:val="000000"/>
          <w:szCs w:val="22"/>
        </w:rPr>
        <w:t xml:space="preserve">for purposes of evaluating the </w:t>
      </w:r>
      <w:r w:rsidR="00B23618">
        <w:rPr>
          <w:rFonts w:cs="Calibri"/>
          <w:color w:val="000000"/>
          <w:szCs w:val="22"/>
        </w:rPr>
        <w:t xml:space="preserve">assessment </w:t>
      </w:r>
      <w:r w:rsidR="00281754">
        <w:rPr>
          <w:rFonts w:cs="Calibri"/>
          <w:color w:val="000000"/>
          <w:szCs w:val="22"/>
        </w:rPr>
        <w:t>s</w:t>
      </w:r>
      <w:r w:rsidR="00D55F40">
        <w:rPr>
          <w:rFonts w:cs="Calibri"/>
          <w:color w:val="000000"/>
          <w:szCs w:val="22"/>
        </w:rPr>
        <w:t xml:space="preserve">ervices, including the </w:t>
      </w:r>
      <w:r w:rsidR="007F2A01">
        <w:rPr>
          <w:rFonts w:cs="Calibri"/>
          <w:color w:val="000000"/>
          <w:szCs w:val="22"/>
        </w:rPr>
        <w:t>P</w:t>
      </w:r>
      <w:r w:rsidR="00D55F40">
        <w:rPr>
          <w:rFonts w:cs="Calibri"/>
          <w:color w:val="000000"/>
          <w:szCs w:val="22"/>
        </w:rPr>
        <w:t>rovider’s performance</w:t>
      </w:r>
      <w:r w:rsidR="00281754">
        <w:rPr>
          <w:rFonts w:cs="Calibri"/>
          <w:color w:val="000000"/>
          <w:szCs w:val="22"/>
        </w:rPr>
        <w:t>.</w:t>
      </w:r>
    </w:p>
    <w:p w14:paraId="789530C4" w14:textId="5C8AA4DE" w:rsidR="001723F1" w:rsidRDefault="001723F1" w:rsidP="0020309F">
      <w:pPr>
        <w:autoSpaceDE w:val="0"/>
        <w:autoSpaceDN w:val="0"/>
        <w:adjustRightInd w:val="0"/>
        <w:spacing w:before="120"/>
        <w:rPr>
          <w:szCs w:val="22"/>
        </w:rPr>
      </w:pPr>
      <w:r w:rsidRPr="001723F1">
        <w:rPr>
          <w:szCs w:val="22"/>
        </w:rPr>
        <w:t xml:space="preserve">Providers will be able to access data about their own performance relative to </w:t>
      </w:r>
      <w:r w:rsidR="00D55F40">
        <w:rPr>
          <w:szCs w:val="22"/>
        </w:rPr>
        <w:t xml:space="preserve">the </w:t>
      </w:r>
      <w:r w:rsidR="00281754">
        <w:rPr>
          <w:szCs w:val="22"/>
        </w:rPr>
        <w:t>KPI measures</w:t>
      </w:r>
      <w:r w:rsidR="00D55F40">
        <w:rPr>
          <w:szCs w:val="22"/>
        </w:rPr>
        <w:t>. This data will be provided on a quarterly basis.</w:t>
      </w:r>
      <w:r w:rsidRPr="001723F1">
        <w:rPr>
          <w:szCs w:val="22"/>
        </w:rPr>
        <w:t xml:space="preserve"> </w:t>
      </w:r>
      <w:r w:rsidR="009A6AC2">
        <w:rPr>
          <w:szCs w:val="22"/>
        </w:rPr>
        <w:t>The</w:t>
      </w:r>
      <w:r w:rsidR="007F2A01">
        <w:rPr>
          <w:szCs w:val="22"/>
        </w:rPr>
        <w:t xml:space="preserve"> D</w:t>
      </w:r>
      <w:r w:rsidR="009A6AC2">
        <w:rPr>
          <w:szCs w:val="22"/>
        </w:rPr>
        <w:t>epartment</w:t>
      </w:r>
      <w:r w:rsidRPr="001723F1">
        <w:rPr>
          <w:szCs w:val="22"/>
        </w:rPr>
        <w:t xml:space="preserve"> will </w:t>
      </w:r>
      <w:r w:rsidR="007F1C36">
        <w:rPr>
          <w:szCs w:val="22"/>
        </w:rPr>
        <w:t xml:space="preserve">also </w:t>
      </w:r>
      <w:r w:rsidRPr="001723F1">
        <w:rPr>
          <w:szCs w:val="22"/>
        </w:rPr>
        <w:t xml:space="preserve">conduct </w:t>
      </w:r>
      <w:r w:rsidR="007B3554">
        <w:rPr>
          <w:szCs w:val="22"/>
        </w:rPr>
        <w:t xml:space="preserve">yearly </w:t>
      </w:r>
      <w:r w:rsidRPr="001723F1">
        <w:rPr>
          <w:szCs w:val="22"/>
        </w:rPr>
        <w:t>performance reviews</w:t>
      </w:r>
      <w:r w:rsidR="007F1C36">
        <w:rPr>
          <w:szCs w:val="22"/>
        </w:rPr>
        <w:t xml:space="preserve">, </w:t>
      </w:r>
      <w:r w:rsidR="001D04C0">
        <w:rPr>
          <w:szCs w:val="22"/>
        </w:rPr>
        <w:t xml:space="preserve">or </w:t>
      </w:r>
      <w:r w:rsidR="007F1C36">
        <w:rPr>
          <w:szCs w:val="22"/>
        </w:rPr>
        <w:t xml:space="preserve">more often </w:t>
      </w:r>
      <w:r w:rsidR="00281754">
        <w:rPr>
          <w:szCs w:val="22"/>
        </w:rPr>
        <w:t xml:space="preserve">if </w:t>
      </w:r>
      <w:r w:rsidR="007F1C36">
        <w:rPr>
          <w:szCs w:val="22"/>
        </w:rPr>
        <w:t xml:space="preserve">required, </w:t>
      </w:r>
      <w:r w:rsidRPr="001723F1">
        <w:rPr>
          <w:szCs w:val="22"/>
        </w:rPr>
        <w:t>to</w:t>
      </w:r>
      <w:r w:rsidR="00C8346C">
        <w:rPr>
          <w:szCs w:val="22"/>
        </w:rPr>
        <w:t xml:space="preserve"> </w:t>
      </w:r>
      <w:r w:rsidR="007F1C36">
        <w:rPr>
          <w:szCs w:val="22"/>
        </w:rPr>
        <w:t xml:space="preserve">provide </w:t>
      </w:r>
      <w:r w:rsidR="005035ED">
        <w:rPr>
          <w:szCs w:val="22"/>
        </w:rPr>
        <w:t xml:space="preserve">the </w:t>
      </w:r>
      <w:r w:rsidR="007F2A01">
        <w:rPr>
          <w:szCs w:val="22"/>
        </w:rPr>
        <w:t>D</w:t>
      </w:r>
      <w:r w:rsidR="005035ED">
        <w:rPr>
          <w:szCs w:val="22"/>
        </w:rPr>
        <w:t xml:space="preserve">epartment’s views on </w:t>
      </w:r>
      <w:r w:rsidR="007F2A01">
        <w:rPr>
          <w:szCs w:val="22"/>
        </w:rPr>
        <w:t>p</w:t>
      </w:r>
      <w:r w:rsidR="005035ED">
        <w:rPr>
          <w:szCs w:val="22"/>
        </w:rPr>
        <w:t xml:space="preserve">erformance </w:t>
      </w:r>
      <w:r w:rsidR="007F2A01">
        <w:rPr>
          <w:szCs w:val="22"/>
        </w:rPr>
        <w:t xml:space="preserve">that </w:t>
      </w:r>
      <w:r w:rsidR="005035ED">
        <w:rPr>
          <w:szCs w:val="22"/>
        </w:rPr>
        <w:t xml:space="preserve">is good and where it can be improved. </w:t>
      </w:r>
      <w:r w:rsidRPr="001723F1">
        <w:rPr>
          <w:szCs w:val="22"/>
        </w:rPr>
        <w:t xml:space="preserve">Where a </w:t>
      </w:r>
      <w:r w:rsidR="007F2A01">
        <w:rPr>
          <w:szCs w:val="22"/>
        </w:rPr>
        <w:t>P</w:t>
      </w:r>
      <w:r w:rsidRPr="001723F1">
        <w:rPr>
          <w:szCs w:val="22"/>
        </w:rPr>
        <w:t xml:space="preserve">rovider is not performing well, </w:t>
      </w:r>
      <w:r w:rsidR="009A6AC2">
        <w:rPr>
          <w:szCs w:val="22"/>
        </w:rPr>
        <w:t xml:space="preserve">the </w:t>
      </w:r>
      <w:r w:rsidR="007F2A01">
        <w:rPr>
          <w:szCs w:val="22"/>
        </w:rPr>
        <w:t>D</w:t>
      </w:r>
      <w:r w:rsidR="009A6AC2">
        <w:rPr>
          <w:szCs w:val="22"/>
        </w:rPr>
        <w:t>epartment</w:t>
      </w:r>
      <w:r w:rsidRPr="001723F1">
        <w:rPr>
          <w:szCs w:val="22"/>
        </w:rPr>
        <w:t xml:space="preserve"> will work with the </w:t>
      </w:r>
      <w:r w:rsidR="007F2A01">
        <w:rPr>
          <w:szCs w:val="22"/>
        </w:rPr>
        <w:t>P</w:t>
      </w:r>
      <w:r w:rsidRPr="001723F1">
        <w:rPr>
          <w:szCs w:val="22"/>
        </w:rPr>
        <w:t>rovider to improve performance, including sharing best practice.</w:t>
      </w:r>
      <w:r w:rsidR="00711974">
        <w:rPr>
          <w:szCs w:val="22"/>
        </w:rPr>
        <w:t xml:space="preserve"> Performance Reviews will normally be completed by phone and email.</w:t>
      </w:r>
    </w:p>
    <w:p w14:paraId="0E7CBD0D" w14:textId="29533E04" w:rsidR="00F14A2B" w:rsidRDefault="00F14A2B" w:rsidP="0020309F">
      <w:pPr>
        <w:autoSpaceDE w:val="0"/>
        <w:autoSpaceDN w:val="0"/>
        <w:adjustRightInd w:val="0"/>
        <w:spacing w:before="120"/>
        <w:rPr>
          <w:szCs w:val="22"/>
        </w:rPr>
      </w:pPr>
      <w:r>
        <w:rPr>
          <w:szCs w:val="22"/>
        </w:rPr>
        <w:t xml:space="preserve">Where a </w:t>
      </w:r>
      <w:r w:rsidR="007F2A01">
        <w:rPr>
          <w:szCs w:val="22"/>
        </w:rPr>
        <w:t>P</w:t>
      </w:r>
      <w:r>
        <w:rPr>
          <w:szCs w:val="22"/>
        </w:rPr>
        <w:t xml:space="preserve">rovider’s performance does not meet the KPIs, and is not subsequently improved, the </w:t>
      </w:r>
      <w:r w:rsidR="007F2A01">
        <w:rPr>
          <w:szCs w:val="22"/>
        </w:rPr>
        <w:t>D</w:t>
      </w:r>
      <w:r>
        <w:rPr>
          <w:szCs w:val="22"/>
        </w:rPr>
        <w:t>epartment may reduce or stop the allocation of work orders</w:t>
      </w:r>
      <w:r w:rsidR="007B3554">
        <w:rPr>
          <w:szCs w:val="22"/>
        </w:rPr>
        <w:t xml:space="preserve"> to the </w:t>
      </w:r>
      <w:r w:rsidR="00EE2E5B">
        <w:rPr>
          <w:szCs w:val="22"/>
        </w:rPr>
        <w:t>P</w:t>
      </w:r>
      <w:r w:rsidR="007B3554">
        <w:rPr>
          <w:szCs w:val="22"/>
        </w:rPr>
        <w:t>rovider</w:t>
      </w:r>
      <w:r w:rsidR="00B82E2B">
        <w:rPr>
          <w:szCs w:val="22"/>
        </w:rPr>
        <w:t>.</w:t>
      </w:r>
      <w:r w:rsidR="007B3554">
        <w:rPr>
          <w:szCs w:val="22"/>
        </w:rPr>
        <w:t xml:space="preserve"> This is in accordance with Section 27 of the </w:t>
      </w:r>
      <w:r w:rsidR="00393388">
        <w:rPr>
          <w:szCs w:val="22"/>
        </w:rPr>
        <w:t>Grant Agreement</w:t>
      </w:r>
      <w:r w:rsidR="007B3554">
        <w:rPr>
          <w:szCs w:val="22"/>
        </w:rPr>
        <w:t>.</w:t>
      </w:r>
    </w:p>
    <w:p w14:paraId="626D5A49" w14:textId="77777777" w:rsidR="00B45590" w:rsidRPr="00670E4F" w:rsidRDefault="00B57033" w:rsidP="0020309F">
      <w:pPr>
        <w:pStyle w:val="Heading3"/>
        <w:spacing w:before="120" w:after="0"/>
      </w:pPr>
      <w:bookmarkStart w:id="20" w:name="_Toc22038030"/>
      <w:bookmarkStart w:id="21" w:name="_Toc22038097"/>
      <w:r>
        <w:t xml:space="preserve">NPA </w:t>
      </w:r>
      <w:r w:rsidR="00B45590" w:rsidRPr="00670E4F">
        <w:t>Key Performance Indicators</w:t>
      </w:r>
      <w:bookmarkEnd w:id="20"/>
      <w:bookmarkEnd w:id="21"/>
    </w:p>
    <w:p w14:paraId="182D9610" w14:textId="2999D751" w:rsidR="00C13F33" w:rsidRDefault="00B45590" w:rsidP="0020309F">
      <w:pPr>
        <w:autoSpaceDE w:val="0"/>
        <w:autoSpaceDN w:val="0"/>
        <w:adjustRightInd w:val="0"/>
        <w:spacing w:before="120"/>
        <w:rPr>
          <w:rFonts w:cs="Calibri"/>
          <w:color w:val="000000"/>
          <w:szCs w:val="22"/>
          <w:u w:val="single"/>
        </w:rPr>
        <w:sectPr w:rsidR="00C13F33" w:rsidSect="00D15D4B">
          <w:pgSz w:w="11906" w:h="16838" w:code="9"/>
          <w:pgMar w:top="1276" w:right="1418" w:bottom="1079" w:left="1418" w:header="567" w:footer="45" w:gutter="0"/>
          <w:cols w:space="708"/>
          <w:docGrid w:linePitch="360"/>
        </w:sectPr>
      </w:pPr>
      <w:r w:rsidRPr="00B45590">
        <w:rPr>
          <w:rFonts w:cs="Calibri"/>
          <w:color w:val="000000"/>
          <w:szCs w:val="22"/>
        </w:rPr>
        <w:t xml:space="preserve">The assessment of </w:t>
      </w:r>
      <w:r w:rsidR="00C8346C">
        <w:rPr>
          <w:rFonts w:cs="Calibri"/>
          <w:color w:val="000000"/>
          <w:szCs w:val="22"/>
        </w:rPr>
        <w:t xml:space="preserve">a </w:t>
      </w:r>
      <w:r w:rsidR="00EE2E5B">
        <w:rPr>
          <w:rFonts w:cs="Calibri"/>
          <w:color w:val="000000"/>
          <w:szCs w:val="22"/>
        </w:rPr>
        <w:t>P</w:t>
      </w:r>
      <w:r w:rsidR="00C8346C" w:rsidRPr="00B45590">
        <w:rPr>
          <w:rFonts w:cs="Calibri"/>
          <w:color w:val="000000"/>
          <w:szCs w:val="22"/>
        </w:rPr>
        <w:t>rovider’s</w:t>
      </w:r>
      <w:r w:rsidRPr="00B45590">
        <w:rPr>
          <w:rFonts w:cs="Calibri"/>
          <w:color w:val="000000"/>
          <w:szCs w:val="22"/>
        </w:rPr>
        <w:t xml:space="preserve"> performance is directly linked</w:t>
      </w:r>
      <w:r>
        <w:rPr>
          <w:rFonts w:cs="Calibri"/>
          <w:color w:val="000000"/>
          <w:szCs w:val="22"/>
        </w:rPr>
        <w:t xml:space="preserve"> to the </w:t>
      </w:r>
      <w:r w:rsidR="00C8346C">
        <w:rPr>
          <w:rFonts w:cs="Calibri"/>
          <w:color w:val="000000"/>
          <w:szCs w:val="22"/>
        </w:rPr>
        <w:t>KPI</w:t>
      </w:r>
      <w:r w:rsidR="0009524C">
        <w:rPr>
          <w:rFonts w:cs="Calibri"/>
          <w:color w:val="000000"/>
          <w:szCs w:val="22"/>
        </w:rPr>
        <w:t>s</w:t>
      </w:r>
      <w:r w:rsidRPr="00B45590">
        <w:rPr>
          <w:rFonts w:cs="Calibri"/>
          <w:color w:val="000000"/>
          <w:szCs w:val="22"/>
        </w:rPr>
        <w:t xml:space="preserve"> that are specified in the </w:t>
      </w:r>
      <w:r w:rsidR="00393388">
        <w:rPr>
          <w:rFonts w:cs="Calibri"/>
          <w:color w:val="000000"/>
          <w:szCs w:val="22"/>
        </w:rPr>
        <w:t>Grant Agreement</w:t>
      </w:r>
      <w:r w:rsidRPr="00B45590">
        <w:rPr>
          <w:rFonts w:cs="Calibri"/>
          <w:color w:val="000000"/>
          <w:szCs w:val="22"/>
        </w:rPr>
        <w:t xml:space="preserve">. </w:t>
      </w:r>
      <w:r w:rsidR="00F55486">
        <w:rPr>
          <w:rFonts w:cs="Calibri"/>
          <w:color w:val="000000"/>
          <w:szCs w:val="22"/>
        </w:rPr>
        <w:t xml:space="preserve">The </w:t>
      </w:r>
      <w:r w:rsidR="0061238B">
        <w:rPr>
          <w:rFonts w:cs="Calibri"/>
          <w:color w:val="000000"/>
          <w:szCs w:val="22"/>
        </w:rPr>
        <w:t xml:space="preserve">business </w:t>
      </w:r>
      <w:r w:rsidR="00F55486">
        <w:rPr>
          <w:rFonts w:cs="Calibri"/>
          <w:color w:val="000000"/>
          <w:szCs w:val="22"/>
        </w:rPr>
        <w:t>rules for measurement</w:t>
      </w:r>
      <w:r w:rsidR="00A5507D">
        <w:rPr>
          <w:rFonts w:cs="Calibri"/>
          <w:color w:val="000000"/>
          <w:szCs w:val="22"/>
        </w:rPr>
        <w:t xml:space="preserve"> of performance</w:t>
      </w:r>
      <w:r w:rsidR="00F55486">
        <w:rPr>
          <w:rFonts w:cs="Calibri"/>
          <w:color w:val="000000"/>
          <w:szCs w:val="22"/>
        </w:rPr>
        <w:t xml:space="preserve"> </w:t>
      </w:r>
      <w:r w:rsidR="00FE6243">
        <w:rPr>
          <w:rFonts w:cs="Calibri"/>
          <w:color w:val="000000"/>
          <w:szCs w:val="22"/>
        </w:rPr>
        <w:t>are outlined</w:t>
      </w:r>
      <w:r w:rsidR="00F55486">
        <w:rPr>
          <w:rFonts w:cs="Calibri"/>
          <w:color w:val="000000"/>
          <w:szCs w:val="22"/>
        </w:rPr>
        <w:t xml:space="preserve"> at </w:t>
      </w:r>
      <w:r w:rsidR="00F55486" w:rsidRPr="00FD33B2">
        <w:rPr>
          <w:rFonts w:cs="Calibri"/>
          <w:color w:val="000000"/>
          <w:szCs w:val="22"/>
          <w:u w:val="single"/>
        </w:rPr>
        <w:t>Attachment</w:t>
      </w:r>
      <w:r w:rsidR="007F2A01">
        <w:rPr>
          <w:rFonts w:cs="Calibri"/>
          <w:color w:val="000000"/>
          <w:szCs w:val="22"/>
          <w:u w:val="single"/>
        </w:rPr>
        <w:t xml:space="preserve"> </w:t>
      </w:r>
      <w:r w:rsidR="00F55486" w:rsidRPr="00FD33B2">
        <w:rPr>
          <w:rFonts w:cs="Calibri"/>
          <w:color w:val="000000"/>
          <w:szCs w:val="22"/>
          <w:u w:val="single"/>
        </w:rPr>
        <w:t>A</w:t>
      </w:r>
      <w:r w:rsidR="0057097A">
        <w:rPr>
          <w:rFonts w:cs="Calibri"/>
          <w:color w:val="000000"/>
          <w:szCs w:val="22"/>
          <w:u w:val="single"/>
        </w:rPr>
        <w:t>.</w:t>
      </w:r>
    </w:p>
    <w:p w14:paraId="27E29ABD" w14:textId="77777777" w:rsidR="00B45590" w:rsidRPr="008254C4" w:rsidRDefault="00B45590" w:rsidP="00D15D4B">
      <w:pPr>
        <w:pStyle w:val="Heading3"/>
      </w:pPr>
      <w:bookmarkStart w:id="22" w:name="_Toc22038031"/>
      <w:bookmarkStart w:id="23" w:name="_Toc22038098"/>
      <w:r w:rsidRPr="008254C4">
        <w:lastRenderedPageBreak/>
        <w:t>Efficiency and Effectiveness</w:t>
      </w:r>
      <w:bookmarkEnd w:id="22"/>
      <w:bookmarkEnd w:id="23"/>
    </w:p>
    <w:p w14:paraId="3B56FD9B" w14:textId="7804DB76" w:rsidR="0065428C" w:rsidRPr="00AA41B1" w:rsidRDefault="00805666" w:rsidP="00C13F33">
      <w:pPr>
        <w:autoSpaceDE w:val="0"/>
        <w:autoSpaceDN w:val="0"/>
        <w:adjustRightInd w:val="0"/>
        <w:spacing w:after="120"/>
        <w:rPr>
          <w:rFonts w:cs="Calibri"/>
          <w:color w:val="000000"/>
          <w:szCs w:val="22"/>
        </w:rPr>
      </w:pPr>
      <w:r w:rsidRPr="000823B1">
        <w:rPr>
          <w:rFonts w:cs="Calibri"/>
          <w:color w:val="000000"/>
          <w:szCs w:val="22"/>
        </w:rPr>
        <w:t xml:space="preserve">A </w:t>
      </w:r>
      <w:r w:rsidR="00EE2E5B">
        <w:rPr>
          <w:rFonts w:cs="Calibri"/>
          <w:color w:val="000000"/>
          <w:szCs w:val="22"/>
        </w:rPr>
        <w:t>P</w:t>
      </w:r>
      <w:r w:rsidR="0065428C" w:rsidRPr="000823B1">
        <w:rPr>
          <w:rFonts w:cs="Calibri"/>
          <w:color w:val="000000"/>
          <w:szCs w:val="22"/>
        </w:rPr>
        <w:t>rovider’s</w:t>
      </w:r>
      <w:r w:rsidRPr="000823B1">
        <w:rPr>
          <w:rFonts w:cs="Calibri"/>
          <w:color w:val="000000"/>
          <w:szCs w:val="22"/>
        </w:rPr>
        <w:t xml:space="preserve"> </w:t>
      </w:r>
      <w:r w:rsidR="00731BDD" w:rsidRPr="000823B1">
        <w:rPr>
          <w:rFonts w:cs="Calibri"/>
          <w:color w:val="000000"/>
          <w:szCs w:val="22"/>
        </w:rPr>
        <w:t>performance</w:t>
      </w:r>
      <w:r w:rsidRPr="000823B1">
        <w:rPr>
          <w:rFonts w:cs="Calibri"/>
          <w:color w:val="000000"/>
          <w:szCs w:val="22"/>
        </w:rPr>
        <w:t xml:space="preserve"> </w:t>
      </w:r>
      <w:r w:rsidR="002F3719">
        <w:rPr>
          <w:rFonts w:cs="Calibri"/>
          <w:color w:val="000000"/>
          <w:szCs w:val="22"/>
        </w:rPr>
        <w:t xml:space="preserve">evaluation </w:t>
      </w:r>
      <w:r w:rsidRPr="000823B1">
        <w:rPr>
          <w:rFonts w:cs="Calibri"/>
          <w:color w:val="000000"/>
          <w:szCs w:val="22"/>
        </w:rPr>
        <w:t xml:space="preserve">will be based on the measurement of their </w:t>
      </w:r>
      <w:r w:rsidR="00731BDD" w:rsidRPr="000823B1">
        <w:rPr>
          <w:rFonts w:cs="Calibri"/>
          <w:color w:val="000000"/>
          <w:szCs w:val="22"/>
        </w:rPr>
        <w:t>performance</w:t>
      </w:r>
      <w:r w:rsidR="00BF7867">
        <w:rPr>
          <w:rFonts w:cs="Calibri"/>
          <w:color w:val="000000"/>
          <w:szCs w:val="22"/>
        </w:rPr>
        <w:t xml:space="preserve"> against KPI</w:t>
      </w:r>
      <w:r w:rsidRPr="000823B1">
        <w:rPr>
          <w:rFonts w:cs="Calibri"/>
          <w:color w:val="000000"/>
          <w:szCs w:val="22"/>
        </w:rPr>
        <w:t>1 and KPI2 as follows:</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Caption w:val="KPI table"/>
        <w:tblDescription w:val="Shows the KPIs and the measurements against performance"/>
      </w:tblPr>
      <w:tblGrid>
        <w:gridCol w:w="1572"/>
        <w:gridCol w:w="1739"/>
        <w:gridCol w:w="5903"/>
      </w:tblGrid>
      <w:tr w:rsidR="009370BB" w:rsidRPr="009370BB" w14:paraId="51E86235" w14:textId="77777777" w:rsidTr="00C13F33">
        <w:trPr>
          <w:cantSplit/>
          <w:tblHeader/>
        </w:trPr>
        <w:tc>
          <w:tcPr>
            <w:tcW w:w="1572" w:type="dxa"/>
            <w:shd w:val="clear" w:color="auto" w:fill="auto"/>
          </w:tcPr>
          <w:p w14:paraId="134BFEF3" w14:textId="77777777" w:rsidR="009370BB" w:rsidRPr="00C13F33" w:rsidRDefault="009370BB" w:rsidP="00C13F33">
            <w:pPr>
              <w:pStyle w:val="TableHeading"/>
              <w:jc w:val="center"/>
              <w:rPr>
                <w:color w:val="auto"/>
              </w:rPr>
            </w:pPr>
            <w:r w:rsidRPr="00C13F33">
              <w:rPr>
                <w:color w:val="auto"/>
              </w:rPr>
              <w:t>KPI</w:t>
            </w:r>
          </w:p>
        </w:tc>
        <w:tc>
          <w:tcPr>
            <w:tcW w:w="1739" w:type="dxa"/>
            <w:shd w:val="clear" w:color="auto" w:fill="auto"/>
          </w:tcPr>
          <w:p w14:paraId="6580695F" w14:textId="77777777" w:rsidR="009370BB" w:rsidRPr="00C13F33" w:rsidRDefault="009370BB" w:rsidP="00C13F33">
            <w:pPr>
              <w:pStyle w:val="TableHeading"/>
              <w:jc w:val="center"/>
              <w:rPr>
                <w:color w:val="auto"/>
              </w:rPr>
            </w:pPr>
            <w:r w:rsidRPr="00C13F33">
              <w:rPr>
                <w:color w:val="auto"/>
              </w:rPr>
              <w:t>Description</w:t>
            </w:r>
          </w:p>
        </w:tc>
        <w:tc>
          <w:tcPr>
            <w:tcW w:w="5903" w:type="dxa"/>
            <w:shd w:val="clear" w:color="auto" w:fill="auto"/>
          </w:tcPr>
          <w:p w14:paraId="0A574B17" w14:textId="77777777" w:rsidR="009370BB" w:rsidRPr="00C13F33" w:rsidRDefault="009370BB" w:rsidP="00C13F33">
            <w:pPr>
              <w:pStyle w:val="TableHeading"/>
              <w:jc w:val="center"/>
              <w:rPr>
                <w:color w:val="auto"/>
              </w:rPr>
            </w:pPr>
            <w:r w:rsidRPr="00C13F33">
              <w:rPr>
                <w:color w:val="auto"/>
              </w:rPr>
              <w:t>Measure</w:t>
            </w:r>
          </w:p>
        </w:tc>
      </w:tr>
      <w:tr w:rsidR="009370BB" w14:paraId="0D798993" w14:textId="77777777" w:rsidTr="00226BF7">
        <w:trPr>
          <w:cantSplit/>
        </w:trPr>
        <w:tc>
          <w:tcPr>
            <w:tcW w:w="1572" w:type="dxa"/>
          </w:tcPr>
          <w:p w14:paraId="5B0C7593" w14:textId="00625760" w:rsidR="009370BB" w:rsidRPr="00C01DBD" w:rsidRDefault="009370BB" w:rsidP="00AA41B1">
            <w:pPr>
              <w:pStyle w:val="Tabletext"/>
              <w:rPr>
                <w:sz w:val="22"/>
                <w:szCs w:val="22"/>
              </w:rPr>
            </w:pPr>
            <w:r w:rsidRPr="00C01DBD">
              <w:rPr>
                <w:sz w:val="22"/>
                <w:szCs w:val="22"/>
              </w:rPr>
              <w:t>KPI</w:t>
            </w:r>
            <w:r w:rsidR="00F72CC0" w:rsidRPr="00C01DBD">
              <w:rPr>
                <w:sz w:val="22"/>
                <w:szCs w:val="22"/>
              </w:rPr>
              <w:t xml:space="preserve"> </w:t>
            </w:r>
            <w:r w:rsidRPr="00C01DBD">
              <w:rPr>
                <w:sz w:val="22"/>
                <w:szCs w:val="22"/>
              </w:rPr>
              <w:t>1 Efficiency</w:t>
            </w:r>
          </w:p>
        </w:tc>
        <w:tc>
          <w:tcPr>
            <w:tcW w:w="1739" w:type="dxa"/>
          </w:tcPr>
          <w:p w14:paraId="08077EF1" w14:textId="77777777" w:rsidR="009370BB" w:rsidRPr="00C01DBD" w:rsidRDefault="009370BB" w:rsidP="00D70C0D">
            <w:pPr>
              <w:pStyle w:val="ListNumber11Indent0"/>
              <w:numPr>
                <w:ilvl w:val="0"/>
                <w:numId w:val="16"/>
              </w:numPr>
              <w:rPr>
                <w:sz w:val="22"/>
                <w:szCs w:val="22"/>
              </w:rPr>
            </w:pPr>
            <w:r w:rsidRPr="00C01DBD">
              <w:rPr>
                <w:sz w:val="22"/>
                <w:szCs w:val="22"/>
              </w:rPr>
              <w:t>Timeliness</w:t>
            </w:r>
          </w:p>
        </w:tc>
        <w:tc>
          <w:tcPr>
            <w:tcW w:w="5903" w:type="dxa"/>
          </w:tcPr>
          <w:p w14:paraId="229DA4AA" w14:textId="2B2CC2AA" w:rsidR="009370BB" w:rsidRPr="00C01DBD" w:rsidRDefault="009370BB" w:rsidP="009370BB">
            <w:pPr>
              <w:pStyle w:val="ListAlphaIndent0"/>
              <w:keepLines/>
              <w:rPr>
                <w:sz w:val="22"/>
                <w:szCs w:val="22"/>
              </w:rPr>
            </w:pPr>
            <w:r w:rsidRPr="00C01DBD">
              <w:rPr>
                <w:sz w:val="22"/>
                <w:szCs w:val="22"/>
              </w:rPr>
              <w:t>90% of assessment</w:t>
            </w:r>
            <w:r w:rsidR="00B43B77">
              <w:rPr>
                <w:sz w:val="22"/>
                <w:szCs w:val="22"/>
              </w:rPr>
              <w:t xml:space="preserve"> </w:t>
            </w:r>
            <w:r w:rsidRPr="00C01DBD">
              <w:rPr>
                <w:sz w:val="22"/>
                <w:szCs w:val="22"/>
              </w:rPr>
              <w:t>s</w:t>
            </w:r>
            <w:r w:rsidR="00B43B77">
              <w:rPr>
                <w:sz w:val="22"/>
                <w:szCs w:val="22"/>
              </w:rPr>
              <w:t>ervices</w:t>
            </w:r>
            <w:r w:rsidRPr="00C01DBD">
              <w:rPr>
                <w:sz w:val="22"/>
                <w:szCs w:val="22"/>
              </w:rPr>
              <w:t xml:space="preserve"> are completed within the timeframes set out in the </w:t>
            </w:r>
            <w:r w:rsidR="00B43B77">
              <w:rPr>
                <w:sz w:val="22"/>
                <w:szCs w:val="22"/>
              </w:rPr>
              <w:t xml:space="preserve">Agreement and any </w:t>
            </w:r>
            <w:r w:rsidR="00393388" w:rsidRPr="00C01DBD">
              <w:rPr>
                <w:sz w:val="22"/>
                <w:szCs w:val="22"/>
              </w:rPr>
              <w:t>Grant Agreement</w:t>
            </w:r>
            <w:r w:rsidRPr="00C01DBD">
              <w:rPr>
                <w:sz w:val="22"/>
                <w:szCs w:val="22"/>
              </w:rPr>
              <w:t>.</w:t>
            </w:r>
          </w:p>
          <w:p w14:paraId="14C2E1AE" w14:textId="3E1561AC" w:rsidR="009370BB" w:rsidRPr="00C01DBD" w:rsidRDefault="009370BB" w:rsidP="009370BB">
            <w:pPr>
              <w:pStyle w:val="ListAlphaIndent0"/>
              <w:keepLines/>
              <w:rPr>
                <w:sz w:val="22"/>
                <w:szCs w:val="22"/>
              </w:rPr>
            </w:pPr>
            <w:r w:rsidRPr="00C01DBD">
              <w:rPr>
                <w:sz w:val="22"/>
                <w:szCs w:val="22"/>
              </w:rPr>
              <w:t xml:space="preserve">90% of allocated assessments are accepted by the </w:t>
            </w:r>
            <w:r w:rsidR="00B43B77" w:rsidRPr="00C01DBD">
              <w:rPr>
                <w:sz w:val="22"/>
                <w:szCs w:val="22"/>
              </w:rPr>
              <w:t>P</w:t>
            </w:r>
            <w:r w:rsidR="00B43B77">
              <w:rPr>
                <w:sz w:val="22"/>
                <w:szCs w:val="22"/>
              </w:rPr>
              <w:t>anel Member</w:t>
            </w:r>
            <w:r w:rsidRPr="00C01DBD">
              <w:rPr>
                <w:sz w:val="22"/>
                <w:szCs w:val="22"/>
              </w:rPr>
              <w:t>.</w:t>
            </w:r>
          </w:p>
          <w:p w14:paraId="13589479" w14:textId="6D6145C7" w:rsidR="009370BB" w:rsidRPr="00C01DBD" w:rsidRDefault="009370BB" w:rsidP="009370BB">
            <w:pPr>
              <w:pStyle w:val="ListAlphaIndent0"/>
              <w:keepLines/>
              <w:rPr>
                <w:sz w:val="22"/>
                <w:szCs w:val="22"/>
              </w:rPr>
            </w:pPr>
            <w:r w:rsidRPr="00C01DBD">
              <w:rPr>
                <w:sz w:val="22"/>
                <w:szCs w:val="22"/>
              </w:rPr>
              <w:t xml:space="preserve">Where </w:t>
            </w:r>
            <w:r w:rsidR="00B43B77">
              <w:rPr>
                <w:sz w:val="22"/>
                <w:szCs w:val="22"/>
              </w:rPr>
              <w:t xml:space="preserve">Panel Members </w:t>
            </w:r>
            <w:r w:rsidRPr="00C01DBD">
              <w:rPr>
                <w:sz w:val="22"/>
                <w:szCs w:val="22"/>
              </w:rPr>
              <w:t>reject allocated assessments, the P</w:t>
            </w:r>
            <w:r w:rsidR="00B43B77">
              <w:rPr>
                <w:sz w:val="22"/>
                <w:szCs w:val="22"/>
              </w:rPr>
              <w:t xml:space="preserve">anel Member </w:t>
            </w:r>
            <w:r w:rsidRPr="00C01DBD">
              <w:rPr>
                <w:sz w:val="22"/>
                <w:szCs w:val="22"/>
              </w:rPr>
              <w:t>provides acceptable reasons for all rejections.</w:t>
            </w:r>
          </w:p>
          <w:p w14:paraId="4844ABA4" w14:textId="7D41FDE3" w:rsidR="009370BB" w:rsidRPr="00C01DBD" w:rsidRDefault="009370BB" w:rsidP="00B43B77">
            <w:pPr>
              <w:pStyle w:val="ListAlphaIndent0"/>
              <w:keepLines/>
              <w:rPr>
                <w:sz w:val="22"/>
                <w:szCs w:val="22"/>
              </w:rPr>
            </w:pPr>
            <w:r w:rsidRPr="00C01DBD">
              <w:rPr>
                <w:sz w:val="22"/>
                <w:szCs w:val="22"/>
              </w:rPr>
              <w:t xml:space="preserve">Where </w:t>
            </w:r>
            <w:r w:rsidR="00690234" w:rsidRPr="00C01DBD">
              <w:rPr>
                <w:sz w:val="22"/>
                <w:szCs w:val="22"/>
              </w:rPr>
              <w:t xml:space="preserve">the </w:t>
            </w:r>
            <w:r w:rsidR="007F2A01" w:rsidRPr="00C01DBD">
              <w:rPr>
                <w:sz w:val="22"/>
                <w:szCs w:val="22"/>
              </w:rPr>
              <w:t>D</w:t>
            </w:r>
            <w:r w:rsidR="00690234" w:rsidRPr="00C01DBD">
              <w:rPr>
                <w:sz w:val="22"/>
                <w:szCs w:val="22"/>
              </w:rPr>
              <w:t>epartment</w:t>
            </w:r>
            <w:r w:rsidR="003E21C6" w:rsidRPr="00C01DBD">
              <w:rPr>
                <w:sz w:val="22"/>
                <w:szCs w:val="22"/>
              </w:rPr>
              <w:t xml:space="preserve"> </w:t>
            </w:r>
            <w:r w:rsidRPr="00C01DBD">
              <w:rPr>
                <w:sz w:val="22"/>
                <w:szCs w:val="22"/>
              </w:rPr>
              <w:t>has returned Assessment Reports to the P</w:t>
            </w:r>
            <w:r w:rsidR="00B43B77">
              <w:rPr>
                <w:sz w:val="22"/>
                <w:szCs w:val="22"/>
              </w:rPr>
              <w:t>anel Member</w:t>
            </w:r>
            <w:r w:rsidRPr="00C01DBD">
              <w:rPr>
                <w:sz w:val="22"/>
                <w:szCs w:val="22"/>
              </w:rPr>
              <w:t xml:space="preserve"> for corrective action, all subsequent reports are finalised and submitted to the Department within five </w:t>
            </w:r>
            <w:r w:rsidR="00C01DBD">
              <w:rPr>
                <w:sz w:val="22"/>
                <w:szCs w:val="22"/>
              </w:rPr>
              <w:t>b</w:t>
            </w:r>
            <w:r w:rsidRPr="00C01DBD">
              <w:rPr>
                <w:sz w:val="22"/>
                <w:szCs w:val="22"/>
              </w:rPr>
              <w:t xml:space="preserve">usiness </w:t>
            </w:r>
            <w:r w:rsidR="00C01DBD">
              <w:rPr>
                <w:sz w:val="22"/>
                <w:szCs w:val="22"/>
              </w:rPr>
              <w:t>d</w:t>
            </w:r>
            <w:r w:rsidRPr="00C01DBD">
              <w:rPr>
                <w:sz w:val="22"/>
                <w:szCs w:val="22"/>
              </w:rPr>
              <w:t xml:space="preserve">ays of receipt of request by the </w:t>
            </w:r>
            <w:r w:rsidR="00DD25E7">
              <w:rPr>
                <w:rStyle w:val="BlueGDV1change"/>
              </w:rPr>
              <w:t>Panel Member for SWS and OSA and, within 2 Business Days of receipt of request by the Panel Member for WMS.</w:t>
            </w:r>
          </w:p>
        </w:tc>
      </w:tr>
      <w:tr w:rsidR="009370BB" w14:paraId="1E621F46" w14:textId="77777777" w:rsidTr="00226BF7">
        <w:trPr>
          <w:cantSplit/>
        </w:trPr>
        <w:tc>
          <w:tcPr>
            <w:tcW w:w="1572" w:type="dxa"/>
          </w:tcPr>
          <w:p w14:paraId="0A9F7B76" w14:textId="5F5828A5" w:rsidR="009370BB" w:rsidRPr="00C01DBD" w:rsidRDefault="009370BB" w:rsidP="009370BB">
            <w:pPr>
              <w:pStyle w:val="TableBody"/>
              <w:rPr>
                <w:sz w:val="22"/>
                <w:szCs w:val="22"/>
              </w:rPr>
            </w:pPr>
            <w:r w:rsidRPr="00C01DBD">
              <w:rPr>
                <w:sz w:val="22"/>
                <w:szCs w:val="22"/>
              </w:rPr>
              <w:t>KPI</w:t>
            </w:r>
            <w:r w:rsidR="00F72CC0" w:rsidRPr="00C01DBD">
              <w:rPr>
                <w:sz w:val="22"/>
                <w:szCs w:val="22"/>
              </w:rPr>
              <w:t xml:space="preserve"> </w:t>
            </w:r>
            <w:r w:rsidRPr="00C01DBD">
              <w:rPr>
                <w:sz w:val="22"/>
                <w:szCs w:val="22"/>
              </w:rPr>
              <w:t>2 Effectiveness</w:t>
            </w:r>
          </w:p>
        </w:tc>
        <w:tc>
          <w:tcPr>
            <w:tcW w:w="1739" w:type="dxa"/>
          </w:tcPr>
          <w:p w14:paraId="2350140B" w14:textId="77777777" w:rsidR="009370BB" w:rsidRPr="00C01DBD" w:rsidRDefault="009370BB" w:rsidP="00D70C0D">
            <w:pPr>
              <w:pStyle w:val="ListNumber11Indent0"/>
              <w:numPr>
                <w:ilvl w:val="0"/>
                <w:numId w:val="16"/>
              </w:numPr>
              <w:rPr>
                <w:sz w:val="22"/>
                <w:szCs w:val="22"/>
              </w:rPr>
            </w:pPr>
            <w:r w:rsidRPr="00C01DBD">
              <w:rPr>
                <w:sz w:val="22"/>
                <w:szCs w:val="22"/>
              </w:rPr>
              <w:t>Accurate, individualised assessments</w:t>
            </w:r>
          </w:p>
          <w:p w14:paraId="521DA9FC" w14:textId="77777777" w:rsidR="009370BB" w:rsidRPr="00C01DBD" w:rsidRDefault="009370BB" w:rsidP="00D70C0D">
            <w:pPr>
              <w:pStyle w:val="ListNumber11Indent0"/>
              <w:numPr>
                <w:ilvl w:val="0"/>
                <w:numId w:val="17"/>
              </w:numPr>
              <w:spacing w:before="720" w:after="0"/>
              <w:ind w:left="357" w:hanging="357"/>
              <w:rPr>
                <w:sz w:val="22"/>
                <w:szCs w:val="22"/>
              </w:rPr>
            </w:pPr>
            <w:r w:rsidRPr="00C01DBD">
              <w:rPr>
                <w:sz w:val="22"/>
                <w:szCs w:val="22"/>
              </w:rPr>
              <w:t>Thorough assessment reports</w:t>
            </w:r>
          </w:p>
        </w:tc>
        <w:tc>
          <w:tcPr>
            <w:tcW w:w="5903" w:type="dxa"/>
          </w:tcPr>
          <w:p w14:paraId="570F0708" w14:textId="39380471" w:rsidR="009370BB" w:rsidRPr="00C01DBD" w:rsidRDefault="009370BB" w:rsidP="00D70C0D">
            <w:pPr>
              <w:pStyle w:val="ListAlphaIndent0"/>
              <w:keepLines/>
              <w:numPr>
                <w:ilvl w:val="0"/>
                <w:numId w:val="5"/>
              </w:numPr>
              <w:rPr>
                <w:sz w:val="22"/>
                <w:szCs w:val="22"/>
              </w:rPr>
            </w:pPr>
            <w:r w:rsidRPr="00C01DBD">
              <w:rPr>
                <w:sz w:val="22"/>
                <w:szCs w:val="22"/>
              </w:rPr>
              <w:t>Assessments are conducted in a manner that responds to the individual</w:t>
            </w:r>
            <w:r w:rsidR="00DD4C21">
              <w:rPr>
                <w:sz w:val="22"/>
                <w:szCs w:val="22"/>
              </w:rPr>
              <w:t xml:space="preserve"> with disability</w:t>
            </w:r>
            <w:r w:rsidRPr="00C01DBD">
              <w:rPr>
                <w:sz w:val="22"/>
                <w:szCs w:val="22"/>
              </w:rPr>
              <w:t>’s circumstances, measured by:</w:t>
            </w:r>
          </w:p>
          <w:p w14:paraId="768D999E" w14:textId="67B5DC82" w:rsidR="009370BB" w:rsidRPr="00C01DBD" w:rsidRDefault="009370BB" w:rsidP="009370BB">
            <w:pPr>
              <w:pStyle w:val="BodyIndent1"/>
              <w:rPr>
                <w:sz w:val="22"/>
                <w:szCs w:val="22"/>
              </w:rPr>
            </w:pPr>
            <w:r w:rsidRPr="00C01DBD">
              <w:rPr>
                <w:sz w:val="22"/>
                <w:szCs w:val="22"/>
              </w:rPr>
              <w:t xml:space="preserve">(i) </w:t>
            </w:r>
            <w:r w:rsidR="00690234" w:rsidRPr="00C01DBD">
              <w:rPr>
                <w:sz w:val="22"/>
                <w:szCs w:val="22"/>
              </w:rPr>
              <w:t xml:space="preserve"> </w:t>
            </w:r>
            <w:r w:rsidR="005B6D9B" w:rsidRPr="00C01DBD">
              <w:rPr>
                <w:sz w:val="22"/>
                <w:szCs w:val="22"/>
              </w:rPr>
              <w:t>D</w:t>
            </w:r>
            <w:r w:rsidR="00690234" w:rsidRPr="00C01DBD">
              <w:rPr>
                <w:sz w:val="22"/>
                <w:szCs w:val="22"/>
              </w:rPr>
              <w:t>epartment</w:t>
            </w:r>
            <w:r w:rsidR="001F5495" w:rsidRPr="00C01DBD">
              <w:rPr>
                <w:sz w:val="22"/>
                <w:szCs w:val="22"/>
              </w:rPr>
              <w:t xml:space="preserve"> </w:t>
            </w:r>
            <w:r w:rsidRPr="00C01DBD">
              <w:rPr>
                <w:sz w:val="22"/>
                <w:szCs w:val="22"/>
              </w:rPr>
              <w:t>sampling of assessment reports</w:t>
            </w:r>
            <w:r w:rsidR="00DD4C21">
              <w:rPr>
                <w:sz w:val="22"/>
                <w:szCs w:val="22"/>
              </w:rPr>
              <w:t>; and</w:t>
            </w:r>
          </w:p>
          <w:p w14:paraId="314B28D4" w14:textId="77777777" w:rsidR="009370BB" w:rsidRPr="00C01DBD" w:rsidRDefault="009370BB" w:rsidP="009370BB">
            <w:pPr>
              <w:pStyle w:val="BodyIndent1"/>
              <w:rPr>
                <w:sz w:val="22"/>
                <w:szCs w:val="22"/>
              </w:rPr>
            </w:pPr>
            <w:r w:rsidRPr="00C01DBD">
              <w:rPr>
                <w:sz w:val="22"/>
                <w:szCs w:val="22"/>
              </w:rPr>
              <w:t>(ii) taking into consideration where there is a higher than average level of appealed decisions that are overturned.</w:t>
            </w:r>
          </w:p>
          <w:p w14:paraId="2B6A0C2F" w14:textId="77777777" w:rsidR="009370BB" w:rsidRPr="00C01DBD" w:rsidRDefault="009370BB" w:rsidP="005B6D9B">
            <w:pPr>
              <w:pStyle w:val="ListAlphaIndent0"/>
              <w:keepLines/>
              <w:rPr>
                <w:sz w:val="22"/>
                <w:szCs w:val="22"/>
              </w:rPr>
            </w:pPr>
            <w:r w:rsidRPr="00C01DBD">
              <w:rPr>
                <w:sz w:val="22"/>
                <w:szCs w:val="22"/>
              </w:rPr>
              <w:t xml:space="preserve">90% of </w:t>
            </w:r>
            <w:r w:rsidR="005B6D9B" w:rsidRPr="00C01DBD">
              <w:rPr>
                <w:sz w:val="22"/>
                <w:szCs w:val="22"/>
              </w:rPr>
              <w:t>A</w:t>
            </w:r>
            <w:r w:rsidRPr="00C01DBD">
              <w:rPr>
                <w:sz w:val="22"/>
                <w:szCs w:val="22"/>
              </w:rPr>
              <w:t xml:space="preserve">ssessment </w:t>
            </w:r>
            <w:r w:rsidR="005B6D9B" w:rsidRPr="00C01DBD">
              <w:rPr>
                <w:sz w:val="22"/>
                <w:szCs w:val="22"/>
              </w:rPr>
              <w:t>R</w:t>
            </w:r>
            <w:r w:rsidRPr="00C01DBD">
              <w:rPr>
                <w:sz w:val="22"/>
                <w:szCs w:val="22"/>
              </w:rPr>
              <w:t xml:space="preserve">eports sampled by </w:t>
            </w:r>
            <w:r w:rsidR="00690234" w:rsidRPr="00C01DBD">
              <w:rPr>
                <w:sz w:val="22"/>
                <w:szCs w:val="22"/>
              </w:rPr>
              <w:t xml:space="preserve">the </w:t>
            </w:r>
            <w:r w:rsidR="005B6D9B" w:rsidRPr="00C01DBD">
              <w:rPr>
                <w:sz w:val="22"/>
                <w:szCs w:val="22"/>
              </w:rPr>
              <w:t>D</w:t>
            </w:r>
            <w:r w:rsidR="00690234" w:rsidRPr="00C01DBD">
              <w:rPr>
                <w:sz w:val="22"/>
                <w:szCs w:val="22"/>
              </w:rPr>
              <w:t>epartment</w:t>
            </w:r>
            <w:r w:rsidR="001F5495" w:rsidRPr="00C01DBD">
              <w:rPr>
                <w:sz w:val="22"/>
                <w:szCs w:val="22"/>
              </w:rPr>
              <w:t xml:space="preserve"> </w:t>
            </w:r>
            <w:r w:rsidRPr="00C01DBD">
              <w:rPr>
                <w:sz w:val="22"/>
                <w:szCs w:val="22"/>
              </w:rPr>
              <w:t>are accepted as complete, without requiring further work.</w:t>
            </w:r>
          </w:p>
        </w:tc>
      </w:tr>
    </w:tbl>
    <w:p w14:paraId="35567CBF" w14:textId="30F953DC" w:rsidR="002A27E4" w:rsidRPr="00AA41B1" w:rsidRDefault="00512B1C" w:rsidP="0090269C">
      <w:pPr>
        <w:pStyle w:val="Heading3"/>
        <w:spacing w:before="120" w:after="0"/>
      </w:pPr>
      <w:bookmarkStart w:id="24" w:name="_Toc22038032"/>
      <w:bookmarkStart w:id="25" w:name="_Toc22038099"/>
      <w:r>
        <w:t>Assessment</w:t>
      </w:r>
      <w:r w:rsidRPr="00DE5D8C">
        <w:t xml:space="preserve"> </w:t>
      </w:r>
      <w:r w:rsidR="00DE5D8C" w:rsidRPr="005A634B">
        <w:t>Quality</w:t>
      </w:r>
      <w:r w:rsidR="00DE5D8C" w:rsidRPr="00C165D1">
        <w:t xml:space="preserve"> Framework</w:t>
      </w:r>
      <w:bookmarkEnd w:id="24"/>
      <w:bookmarkEnd w:id="25"/>
    </w:p>
    <w:p w14:paraId="51FC8DB1" w14:textId="18C16DEB" w:rsidR="002A27E4" w:rsidRDefault="002A27E4" w:rsidP="002F3719">
      <w:pPr>
        <w:autoSpaceDE w:val="0"/>
        <w:autoSpaceDN w:val="0"/>
        <w:adjustRightInd w:val="0"/>
        <w:rPr>
          <w:rFonts w:cs="Calibri"/>
          <w:color w:val="000000"/>
          <w:szCs w:val="22"/>
        </w:rPr>
      </w:pPr>
      <w:r>
        <w:rPr>
          <w:rFonts w:cs="Calibri"/>
          <w:color w:val="000000"/>
          <w:szCs w:val="22"/>
        </w:rPr>
        <w:t>P</w:t>
      </w:r>
      <w:r w:rsidR="00DD4C21">
        <w:rPr>
          <w:rFonts w:cs="Calibri"/>
          <w:color w:val="000000"/>
          <w:szCs w:val="22"/>
        </w:rPr>
        <w:t>anel Member</w:t>
      </w:r>
      <w:r w:rsidR="007E5FDA">
        <w:rPr>
          <w:rFonts w:cs="Calibri"/>
          <w:color w:val="000000"/>
          <w:szCs w:val="22"/>
        </w:rPr>
        <w:t>s</w:t>
      </w:r>
      <w:r>
        <w:rPr>
          <w:rFonts w:cs="Calibri"/>
          <w:color w:val="000000"/>
          <w:szCs w:val="22"/>
        </w:rPr>
        <w:t xml:space="preserve"> are required to meet the KPIs in providing </w:t>
      </w:r>
      <w:r w:rsidR="00512B1C">
        <w:rPr>
          <w:rFonts w:cs="Calibri"/>
          <w:color w:val="000000"/>
          <w:szCs w:val="22"/>
        </w:rPr>
        <w:t>Assessment</w:t>
      </w:r>
      <w:r>
        <w:rPr>
          <w:rFonts w:cs="Calibri"/>
          <w:color w:val="000000"/>
          <w:szCs w:val="22"/>
        </w:rPr>
        <w:t xml:space="preserve"> Services. </w:t>
      </w:r>
      <w:r w:rsidR="005B6D9B">
        <w:rPr>
          <w:rFonts w:cs="Calibri"/>
          <w:color w:val="000000"/>
          <w:szCs w:val="22"/>
        </w:rPr>
        <w:t xml:space="preserve">The </w:t>
      </w:r>
      <w:r>
        <w:rPr>
          <w:rFonts w:cs="Calibri"/>
          <w:color w:val="000000"/>
          <w:szCs w:val="22"/>
        </w:rPr>
        <w:t>D</w:t>
      </w:r>
      <w:r w:rsidR="005B6D9B">
        <w:rPr>
          <w:rFonts w:cs="Calibri"/>
          <w:color w:val="000000"/>
          <w:szCs w:val="22"/>
        </w:rPr>
        <w:t>epartment</w:t>
      </w:r>
      <w:r>
        <w:rPr>
          <w:rFonts w:cs="Calibri"/>
          <w:color w:val="000000"/>
          <w:szCs w:val="22"/>
        </w:rPr>
        <w:t xml:space="preserve"> will measure the P</w:t>
      </w:r>
      <w:r w:rsidR="00DD4C21">
        <w:rPr>
          <w:rFonts w:cs="Calibri"/>
          <w:color w:val="000000"/>
          <w:szCs w:val="22"/>
        </w:rPr>
        <w:t>anel Member</w:t>
      </w:r>
      <w:r>
        <w:rPr>
          <w:rFonts w:cs="Calibri"/>
          <w:color w:val="000000"/>
          <w:szCs w:val="22"/>
        </w:rPr>
        <w:t>’s performance against the KPIs taking into consideration:</w:t>
      </w:r>
    </w:p>
    <w:p w14:paraId="60D4A520" w14:textId="77777777" w:rsidR="002A27E4" w:rsidRPr="00AA41B1" w:rsidRDefault="005B6D9B" w:rsidP="00D70C0D">
      <w:pPr>
        <w:numPr>
          <w:ilvl w:val="0"/>
          <w:numId w:val="15"/>
        </w:numPr>
      </w:pPr>
      <w:r>
        <w:t>d</w:t>
      </w:r>
      <w:r w:rsidR="00DE5D8C" w:rsidRPr="0087390C">
        <w:t>eliverables</w:t>
      </w:r>
      <w:r w:rsidR="002A27E4" w:rsidRPr="00AA41B1">
        <w:t xml:space="preserve"> specified in the </w:t>
      </w:r>
      <w:r w:rsidR="00393388">
        <w:t>Grant Agreement</w:t>
      </w:r>
      <w:r w:rsidR="00393388" w:rsidRPr="00AA41B1">
        <w:t xml:space="preserve"> </w:t>
      </w:r>
      <w:r w:rsidR="002A27E4" w:rsidRPr="00AA41B1">
        <w:t>and Work Order</w:t>
      </w:r>
    </w:p>
    <w:p w14:paraId="58CFB70E" w14:textId="268D1A5C" w:rsidR="002A27E4" w:rsidRPr="00AA41B1" w:rsidRDefault="002A27E4" w:rsidP="00D70C0D">
      <w:pPr>
        <w:numPr>
          <w:ilvl w:val="0"/>
          <w:numId w:val="15"/>
        </w:numPr>
      </w:pPr>
      <w:r w:rsidRPr="00AA41B1">
        <w:t xml:space="preserve">each </w:t>
      </w:r>
      <w:r w:rsidR="00E34A2A">
        <w:t>a</w:t>
      </w:r>
      <w:r w:rsidRPr="00AA41B1">
        <w:t>ssessment</w:t>
      </w:r>
    </w:p>
    <w:p w14:paraId="33AE8CA6" w14:textId="77777777" w:rsidR="002A27E4" w:rsidRPr="00AA41B1" w:rsidRDefault="002A27E4" w:rsidP="00D70C0D">
      <w:pPr>
        <w:numPr>
          <w:ilvl w:val="0"/>
          <w:numId w:val="15"/>
        </w:numPr>
      </w:pPr>
      <w:r w:rsidRPr="00AA41B1">
        <w:t>feedback, complaints and disputes</w:t>
      </w:r>
    </w:p>
    <w:p w14:paraId="4A5679BF" w14:textId="77777777" w:rsidR="00DE5D8C" w:rsidRPr="00AA41B1" w:rsidRDefault="002A27E4" w:rsidP="00D70C0D">
      <w:pPr>
        <w:numPr>
          <w:ilvl w:val="0"/>
          <w:numId w:val="15"/>
        </w:numPr>
      </w:pPr>
      <w:r w:rsidRPr="00AA41B1">
        <w:t>performan</w:t>
      </w:r>
      <w:r w:rsidR="00DE5D8C" w:rsidRPr="00AA41B1">
        <w:t xml:space="preserve">ce audits conducted by </w:t>
      </w:r>
      <w:r w:rsidR="005B6D9B">
        <w:t xml:space="preserve">the </w:t>
      </w:r>
      <w:r w:rsidR="00DE5D8C" w:rsidRPr="00AA41B1">
        <w:t>D</w:t>
      </w:r>
      <w:r w:rsidR="005B6D9B">
        <w:t>epartment</w:t>
      </w:r>
      <w:r w:rsidR="00DE5D8C" w:rsidRPr="00AA41B1">
        <w:t xml:space="preserve"> including customer satisfaction surveys</w:t>
      </w:r>
    </w:p>
    <w:p w14:paraId="72896C20" w14:textId="353FEB46" w:rsidR="00E34A2A" w:rsidRDefault="00DE5D8C" w:rsidP="00AA41B1">
      <w:pPr>
        <w:autoSpaceDE w:val="0"/>
        <w:autoSpaceDN w:val="0"/>
        <w:adjustRightInd w:val="0"/>
        <w:spacing w:before="120" w:after="120"/>
        <w:rPr>
          <w:rFonts w:cs="Calibri"/>
          <w:color w:val="000000"/>
          <w:szCs w:val="22"/>
        </w:rPr>
      </w:pPr>
      <w:r>
        <w:rPr>
          <w:rFonts w:cs="Calibri"/>
          <w:color w:val="000000"/>
          <w:szCs w:val="22"/>
        </w:rPr>
        <w:t xml:space="preserve">Assessors are guided by the </w:t>
      </w:r>
      <w:r w:rsidR="00E34A2A">
        <w:rPr>
          <w:rFonts w:cs="Calibri"/>
          <w:color w:val="000000"/>
          <w:szCs w:val="22"/>
        </w:rPr>
        <w:t xml:space="preserve">guidelines </w:t>
      </w:r>
      <w:r w:rsidR="00512B1C">
        <w:rPr>
          <w:rFonts w:cs="Calibri"/>
          <w:color w:val="000000"/>
          <w:szCs w:val="22"/>
        </w:rPr>
        <w:t>pertinent to the particular assessment</w:t>
      </w:r>
      <w:r>
        <w:rPr>
          <w:rFonts w:cs="Calibri"/>
          <w:color w:val="000000"/>
          <w:szCs w:val="22"/>
        </w:rPr>
        <w:t xml:space="preserve"> when undertaking assessments. </w:t>
      </w:r>
    </w:p>
    <w:p w14:paraId="3CE5B404" w14:textId="77777777" w:rsidR="00E34A2A" w:rsidRDefault="00E34A2A">
      <w:pPr>
        <w:rPr>
          <w:rFonts w:cs="Calibri"/>
          <w:color w:val="000000"/>
          <w:szCs w:val="22"/>
        </w:rPr>
      </w:pPr>
      <w:r>
        <w:rPr>
          <w:rFonts w:cs="Calibri"/>
          <w:color w:val="000000"/>
          <w:szCs w:val="22"/>
        </w:rPr>
        <w:br w:type="page"/>
      </w:r>
    </w:p>
    <w:p w14:paraId="1D05FC5E" w14:textId="29896E2C" w:rsidR="002F3719" w:rsidRPr="000823B1" w:rsidRDefault="00BE2144" w:rsidP="00AA41B1">
      <w:pPr>
        <w:autoSpaceDE w:val="0"/>
        <w:autoSpaceDN w:val="0"/>
        <w:adjustRightInd w:val="0"/>
        <w:spacing w:after="120"/>
        <w:rPr>
          <w:rFonts w:cs="Calibri"/>
          <w:color w:val="000000"/>
          <w:szCs w:val="22"/>
        </w:rPr>
      </w:pPr>
      <w:r w:rsidRPr="000823B1">
        <w:rPr>
          <w:rFonts w:cs="Calibri"/>
          <w:color w:val="000000"/>
          <w:szCs w:val="22"/>
        </w:rPr>
        <w:lastRenderedPageBreak/>
        <w:t xml:space="preserve">In addition to the measurement of efficiency and effectiveness, </w:t>
      </w:r>
      <w:r w:rsidRPr="004373DE">
        <w:rPr>
          <w:rStyle w:val="Strong"/>
          <w:rFonts w:asciiTheme="minorHAnsi" w:hAnsiTheme="minorHAnsi" w:cstheme="minorHAnsi"/>
        </w:rPr>
        <w:t>KPI 3 Quality</w:t>
      </w:r>
      <w:r>
        <w:rPr>
          <w:rFonts w:cs="Calibri"/>
          <w:color w:val="000000"/>
          <w:szCs w:val="22"/>
        </w:rPr>
        <w:t xml:space="preserve"> - </w:t>
      </w:r>
      <w:r w:rsidRPr="000823B1">
        <w:rPr>
          <w:rFonts w:cs="Calibri"/>
          <w:color w:val="000000"/>
          <w:szCs w:val="22"/>
        </w:rPr>
        <w:t xml:space="preserve">the </w:t>
      </w:r>
      <w:r>
        <w:rPr>
          <w:rFonts w:cs="Calibri"/>
          <w:color w:val="000000"/>
          <w:szCs w:val="22"/>
        </w:rPr>
        <w:t>delivery of quality s</w:t>
      </w:r>
      <w:r w:rsidRPr="00317294">
        <w:rPr>
          <w:rFonts w:cs="Calibri"/>
          <w:color w:val="000000"/>
          <w:szCs w:val="22"/>
        </w:rPr>
        <w:t>ervices</w:t>
      </w:r>
      <w:r>
        <w:rPr>
          <w:rFonts w:cs="Calibri"/>
          <w:color w:val="000000"/>
          <w:szCs w:val="22"/>
        </w:rPr>
        <w:t>,</w:t>
      </w:r>
      <w:r w:rsidRPr="00317294">
        <w:rPr>
          <w:rFonts w:cs="Calibri"/>
          <w:color w:val="000000"/>
          <w:szCs w:val="22"/>
        </w:rPr>
        <w:t xml:space="preserve"> </w:t>
      </w:r>
      <w:r>
        <w:rPr>
          <w:rFonts w:cs="Calibri"/>
          <w:color w:val="000000"/>
          <w:szCs w:val="22"/>
        </w:rPr>
        <w:t>is managed</w:t>
      </w:r>
      <w:r w:rsidRPr="000823B1">
        <w:rPr>
          <w:rFonts w:cs="Calibri"/>
          <w:color w:val="000000"/>
          <w:szCs w:val="22"/>
        </w:rPr>
        <w:t xml:space="preserve"> through the </w:t>
      </w:r>
      <w:r w:rsidR="00F72CC0">
        <w:rPr>
          <w:rFonts w:cs="Calibri"/>
          <w:color w:val="000000"/>
          <w:szCs w:val="22"/>
        </w:rPr>
        <w:t>Q</w:t>
      </w:r>
      <w:r>
        <w:rPr>
          <w:rFonts w:cs="Calibri"/>
          <w:color w:val="000000"/>
          <w:szCs w:val="22"/>
        </w:rPr>
        <w:t xml:space="preserve">uality </w:t>
      </w:r>
      <w:r w:rsidR="00F72CC0">
        <w:rPr>
          <w:rFonts w:cs="Calibri"/>
          <w:color w:val="000000"/>
          <w:szCs w:val="22"/>
        </w:rPr>
        <w:t>F</w:t>
      </w:r>
      <w:r w:rsidRPr="000823B1">
        <w:rPr>
          <w:rFonts w:cs="Calibri"/>
          <w:color w:val="000000"/>
          <w:szCs w:val="22"/>
        </w:rPr>
        <w:t>ramework</w:t>
      </w:r>
      <w:r w:rsidR="00C9399A">
        <w:rPr>
          <w:rFonts w:cs="Calibri"/>
          <w:color w:val="000000"/>
          <w:szCs w:val="22"/>
        </w:rPr>
        <w:t xml:space="preserve"> for </w:t>
      </w:r>
      <w:r w:rsidR="005B6D9B">
        <w:rPr>
          <w:rFonts w:cs="Calibri"/>
          <w:color w:val="000000"/>
          <w:szCs w:val="22"/>
        </w:rPr>
        <w:t>P</w:t>
      </w:r>
      <w:r w:rsidR="00C9399A">
        <w:rPr>
          <w:rFonts w:cs="Calibri"/>
          <w:color w:val="000000"/>
          <w:szCs w:val="22"/>
        </w:rPr>
        <w:t xml:space="preserve">roviders of </w:t>
      </w:r>
      <w:r w:rsidR="00F72CC0">
        <w:rPr>
          <w:rFonts w:cs="Calibri"/>
          <w:color w:val="000000"/>
          <w:szCs w:val="22"/>
        </w:rPr>
        <w:t xml:space="preserve">Assessment </w:t>
      </w:r>
      <w:r w:rsidR="00C9399A">
        <w:rPr>
          <w:rFonts w:cs="Calibri"/>
          <w:color w:val="000000"/>
          <w:szCs w:val="22"/>
        </w:rPr>
        <w:t>services</w:t>
      </w:r>
      <w:r w:rsidRPr="000823B1">
        <w:rPr>
          <w:rFonts w:cs="Calibri"/>
          <w:color w:val="000000"/>
          <w:szCs w:val="22"/>
        </w:rPr>
        <w:t>.</w:t>
      </w:r>
      <w:r w:rsidR="002F3719">
        <w:rPr>
          <w:rFonts w:cs="Calibri"/>
          <w:color w:val="000000"/>
          <w:szCs w:val="22"/>
        </w:rPr>
        <w:t xml:space="preserve"> The performance against KPI</w:t>
      </w:r>
      <w:r w:rsidR="00F72CC0">
        <w:rPr>
          <w:rFonts w:cs="Calibri"/>
          <w:color w:val="000000"/>
          <w:szCs w:val="22"/>
        </w:rPr>
        <w:t xml:space="preserve"> </w:t>
      </w:r>
      <w:r w:rsidR="002F3719">
        <w:rPr>
          <w:rFonts w:cs="Calibri"/>
          <w:color w:val="000000"/>
          <w:szCs w:val="22"/>
        </w:rPr>
        <w:t xml:space="preserve">3 is measured as </w:t>
      </w:r>
      <w:r w:rsidR="002F3719" w:rsidRPr="000823B1">
        <w:rPr>
          <w:rFonts w:cs="Calibri"/>
          <w:color w:val="000000"/>
          <w:szCs w:val="22"/>
        </w:rPr>
        <w:t>follows: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Caption w:val="KPI Table"/>
        <w:tblDescription w:val="Shows the KPIs and the measurement against performance"/>
      </w:tblPr>
      <w:tblGrid>
        <w:gridCol w:w="1560"/>
        <w:gridCol w:w="1736"/>
        <w:gridCol w:w="5707"/>
      </w:tblGrid>
      <w:tr w:rsidR="002F3719" w:rsidRPr="009370BB" w14:paraId="145EE7BA" w14:textId="77777777" w:rsidTr="00C13F33">
        <w:trPr>
          <w:cantSplit/>
          <w:tblHeader/>
        </w:trPr>
        <w:tc>
          <w:tcPr>
            <w:tcW w:w="1572" w:type="dxa"/>
            <w:tcBorders>
              <w:top w:val="single" w:sz="4" w:space="0" w:color="auto"/>
              <w:left w:val="single" w:sz="4" w:space="0" w:color="auto"/>
              <w:bottom w:val="single" w:sz="4" w:space="0" w:color="auto"/>
              <w:right w:val="single" w:sz="4" w:space="0" w:color="auto"/>
            </w:tcBorders>
            <w:shd w:val="clear" w:color="auto" w:fill="auto"/>
          </w:tcPr>
          <w:p w14:paraId="09AF55A1" w14:textId="77777777" w:rsidR="002F3719" w:rsidRPr="00E34A2A" w:rsidRDefault="002F3719" w:rsidP="00C13F33">
            <w:pPr>
              <w:pStyle w:val="TableHeading"/>
              <w:jc w:val="center"/>
              <w:rPr>
                <w:color w:val="auto"/>
                <w:sz w:val="22"/>
                <w:szCs w:val="22"/>
              </w:rPr>
            </w:pPr>
            <w:r w:rsidRPr="00E34A2A">
              <w:rPr>
                <w:color w:val="auto"/>
                <w:sz w:val="22"/>
                <w:szCs w:val="22"/>
              </w:rPr>
              <w:t>KPI</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674ACCC" w14:textId="77777777" w:rsidR="002F3719" w:rsidRPr="00E34A2A" w:rsidRDefault="002F3719" w:rsidP="00C13F33">
            <w:pPr>
              <w:pStyle w:val="TableHeading"/>
              <w:jc w:val="center"/>
              <w:rPr>
                <w:color w:val="auto"/>
                <w:sz w:val="22"/>
                <w:szCs w:val="22"/>
              </w:rPr>
            </w:pPr>
            <w:r w:rsidRPr="00E34A2A">
              <w:rPr>
                <w:color w:val="auto"/>
                <w:sz w:val="22"/>
                <w:szCs w:val="22"/>
              </w:rPr>
              <w:t>Description</w:t>
            </w:r>
          </w:p>
        </w:tc>
        <w:tc>
          <w:tcPr>
            <w:tcW w:w="5772" w:type="dxa"/>
            <w:tcBorders>
              <w:top w:val="single" w:sz="4" w:space="0" w:color="auto"/>
              <w:left w:val="single" w:sz="4" w:space="0" w:color="auto"/>
              <w:bottom w:val="single" w:sz="4" w:space="0" w:color="auto"/>
              <w:right w:val="single" w:sz="4" w:space="0" w:color="auto"/>
            </w:tcBorders>
            <w:shd w:val="clear" w:color="auto" w:fill="auto"/>
          </w:tcPr>
          <w:p w14:paraId="6515E77F" w14:textId="77777777" w:rsidR="002F3719" w:rsidRPr="00E34A2A" w:rsidRDefault="002F3719" w:rsidP="00C13F33">
            <w:pPr>
              <w:pStyle w:val="TableHeading"/>
              <w:jc w:val="center"/>
              <w:rPr>
                <w:color w:val="auto"/>
                <w:sz w:val="22"/>
                <w:szCs w:val="22"/>
              </w:rPr>
            </w:pPr>
            <w:r w:rsidRPr="00E34A2A">
              <w:rPr>
                <w:color w:val="auto"/>
                <w:sz w:val="22"/>
                <w:szCs w:val="22"/>
              </w:rPr>
              <w:t>Measure</w:t>
            </w:r>
          </w:p>
        </w:tc>
      </w:tr>
      <w:tr w:rsidR="002F3719" w14:paraId="30BE9388" w14:textId="77777777" w:rsidTr="002F3719">
        <w:trPr>
          <w:cantSplit/>
        </w:trPr>
        <w:tc>
          <w:tcPr>
            <w:tcW w:w="1572" w:type="dxa"/>
          </w:tcPr>
          <w:p w14:paraId="17EC9653" w14:textId="55F2BC08" w:rsidR="002F3719" w:rsidRPr="00E34A2A" w:rsidRDefault="002F3719" w:rsidP="002F3719">
            <w:pPr>
              <w:pStyle w:val="TableBody"/>
              <w:rPr>
                <w:sz w:val="22"/>
                <w:szCs w:val="22"/>
              </w:rPr>
            </w:pPr>
            <w:r w:rsidRPr="00E34A2A">
              <w:rPr>
                <w:sz w:val="22"/>
                <w:szCs w:val="22"/>
              </w:rPr>
              <w:t>KPI</w:t>
            </w:r>
            <w:r w:rsidR="001D04C0" w:rsidRPr="00E34A2A">
              <w:rPr>
                <w:sz w:val="22"/>
                <w:szCs w:val="22"/>
              </w:rPr>
              <w:t xml:space="preserve"> </w:t>
            </w:r>
            <w:r w:rsidRPr="00E34A2A">
              <w:rPr>
                <w:sz w:val="22"/>
                <w:szCs w:val="22"/>
              </w:rPr>
              <w:t>3 Quality</w:t>
            </w:r>
          </w:p>
        </w:tc>
        <w:tc>
          <w:tcPr>
            <w:tcW w:w="1739" w:type="dxa"/>
          </w:tcPr>
          <w:p w14:paraId="6A4FBA21" w14:textId="77777777" w:rsidR="002F3719" w:rsidRPr="00E34A2A" w:rsidRDefault="002F3719" w:rsidP="00D70C0D">
            <w:pPr>
              <w:pStyle w:val="ListNumber11Indent0"/>
              <w:numPr>
                <w:ilvl w:val="0"/>
                <w:numId w:val="18"/>
              </w:numPr>
              <w:rPr>
                <w:sz w:val="22"/>
                <w:szCs w:val="22"/>
              </w:rPr>
            </w:pPr>
            <w:r w:rsidRPr="00E34A2A">
              <w:rPr>
                <w:sz w:val="22"/>
                <w:szCs w:val="22"/>
              </w:rPr>
              <w:t>Stakeholder satisfaction</w:t>
            </w:r>
          </w:p>
        </w:tc>
        <w:tc>
          <w:tcPr>
            <w:tcW w:w="5772" w:type="dxa"/>
          </w:tcPr>
          <w:p w14:paraId="0FA464E0" w14:textId="282C1185" w:rsidR="002F3719" w:rsidRPr="00E34A2A" w:rsidRDefault="001C06E7" w:rsidP="00EE2E5B">
            <w:pPr>
              <w:pStyle w:val="TableBody"/>
              <w:rPr>
                <w:sz w:val="22"/>
                <w:szCs w:val="22"/>
              </w:rPr>
            </w:pPr>
            <w:r>
              <w:rPr>
                <w:rStyle w:val="GDV3additions"/>
              </w:rPr>
              <w:t>The Department’s</w:t>
            </w:r>
            <w:r>
              <w:t xml:space="preserve"> satisfaction with the delivery of the Service, as measured by but not limited to results of stakeholder satisfaction surveys, satisfaction feedback (including from other assessors subsequently assessing the same client) and complaints.</w:t>
            </w:r>
          </w:p>
        </w:tc>
      </w:tr>
    </w:tbl>
    <w:p w14:paraId="1A2E9E0D" w14:textId="77777777" w:rsidR="002F3719" w:rsidRPr="000823B1" w:rsidRDefault="002F3719" w:rsidP="001606F3">
      <w:pPr>
        <w:autoSpaceDE w:val="0"/>
        <w:autoSpaceDN w:val="0"/>
        <w:adjustRightInd w:val="0"/>
        <w:rPr>
          <w:rFonts w:cs="Calibri"/>
          <w:color w:val="000000"/>
          <w:szCs w:val="22"/>
        </w:rPr>
      </w:pPr>
    </w:p>
    <w:p w14:paraId="097223CE" w14:textId="18546847" w:rsidR="00085186" w:rsidRDefault="00085186" w:rsidP="00085186">
      <w:r>
        <w:t xml:space="preserve">The Quality Framework enables the </w:t>
      </w:r>
      <w:r w:rsidR="005B6D9B">
        <w:t>D</w:t>
      </w:r>
      <w:r>
        <w:t>epartment to assess Providers’ performance against KPI 3 in a fair and objective manner. The Framework provides the basis for assessing quality using three categories:</w:t>
      </w:r>
    </w:p>
    <w:p w14:paraId="7AD44975" w14:textId="77777777" w:rsidR="00085186" w:rsidRDefault="005B6D9B" w:rsidP="00D70C0D">
      <w:pPr>
        <w:numPr>
          <w:ilvl w:val="0"/>
          <w:numId w:val="15"/>
        </w:numPr>
      </w:pPr>
      <w:r>
        <w:t>q</w:t>
      </w:r>
      <w:r w:rsidR="00085186">
        <w:t>uality of Service Delivery</w:t>
      </w:r>
    </w:p>
    <w:p w14:paraId="3D13137A" w14:textId="79311A8C" w:rsidR="00085186" w:rsidRDefault="005B6D9B" w:rsidP="00D70C0D">
      <w:pPr>
        <w:numPr>
          <w:ilvl w:val="0"/>
          <w:numId w:val="15"/>
        </w:numPr>
      </w:pPr>
      <w:r>
        <w:t>q</w:t>
      </w:r>
      <w:r w:rsidR="00085186">
        <w:t>uality of Reports</w:t>
      </w:r>
    </w:p>
    <w:p w14:paraId="1FDF0078" w14:textId="7031AF99" w:rsidR="00085186" w:rsidRDefault="00085186" w:rsidP="004373DE">
      <w:pPr>
        <w:numPr>
          <w:ilvl w:val="0"/>
          <w:numId w:val="15"/>
        </w:numPr>
      </w:pPr>
      <w:r>
        <w:t>Provider Capability</w:t>
      </w:r>
    </w:p>
    <w:p w14:paraId="306507C0" w14:textId="7949952F" w:rsidR="00085186" w:rsidRDefault="005B3829" w:rsidP="0090269C">
      <w:pPr>
        <w:spacing w:before="120"/>
      </w:pPr>
      <w:r>
        <w:t xml:space="preserve">Note: </w:t>
      </w:r>
      <w:r w:rsidR="00085186">
        <w:t>There is some overlap between the Quality Framework, the Performance Framework and the other KPIs, especially KPI 2 – Effectiveness</w:t>
      </w:r>
      <w:r>
        <w:t>, however</w:t>
      </w:r>
      <w:r w:rsidR="00085186">
        <w:t xml:space="preserve">, this overlap </w:t>
      </w:r>
      <w:r>
        <w:t>does</w:t>
      </w:r>
      <w:r w:rsidR="00085186">
        <w:t xml:space="preserve"> not result in duplicated or unnecessary reporting.</w:t>
      </w:r>
      <w:r w:rsidR="00690234">
        <w:t xml:space="preserve"> The</w:t>
      </w:r>
      <w:r w:rsidR="00085186">
        <w:t xml:space="preserve"> Effectiveness</w:t>
      </w:r>
      <w:r w:rsidR="00690234">
        <w:t xml:space="preserve"> KPI</w:t>
      </w:r>
      <w:r w:rsidR="00085186">
        <w:t xml:space="preserve"> focuses on </w:t>
      </w:r>
      <w:r w:rsidR="00F72CC0">
        <w:t>a</w:t>
      </w:r>
      <w:r w:rsidR="00085186">
        <w:t xml:space="preserve">ssessment delivery and reports and the quality of </w:t>
      </w:r>
      <w:r w:rsidR="005B6D9B">
        <w:t>the</w:t>
      </w:r>
      <w:r w:rsidR="00F72CC0">
        <w:t>se</w:t>
      </w:r>
      <w:r w:rsidR="005B6D9B">
        <w:t xml:space="preserve"> </w:t>
      </w:r>
      <w:r w:rsidR="00085186">
        <w:t xml:space="preserve">is a major part of </w:t>
      </w:r>
      <w:r w:rsidR="00F72CC0">
        <w:t xml:space="preserve">Provider </w:t>
      </w:r>
      <w:r w:rsidR="00085186">
        <w:t>services.</w:t>
      </w:r>
    </w:p>
    <w:p w14:paraId="72D8B15D" w14:textId="366ED1F3" w:rsidR="00085186" w:rsidRPr="00C22FDA" w:rsidRDefault="00F72CC0" w:rsidP="0090269C">
      <w:pPr>
        <w:autoSpaceDE w:val="0"/>
        <w:autoSpaceDN w:val="0"/>
        <w:adjustRightInd w:val="0"/>
        <w:spacing w:before="120"/>
        <w:rPr>
          <w:szCs w:val="22"/>
        </w:rPr>
      </w:pPr>
      <w:r>
        <w:rPr>
          <w:rFonts w:cs="Calibri"/>
          <w:color w:val="000000"/>
          <w:szCs w:val="22"/>
        </w:rPr>
        <w:t>S</w:t>
      </w:r>
      <w:r w:rsidR="00085186">
        <w:rPr>
          <w:rFonts w:cs="Calibri"/>
          <w:color w:val="000000"/>
          <w:szCs w:val="22"/>
        </w:rPr>
        <w:t>ervice delivery</w:t>
      </w:r>
      <w:r w:rsidR="00085186" w:rsidRPr="000823B1">
        <w:rPr>
          <w:rFonts w:cs="Calibri"/>
          <w:color w:val="000000"/>
          <w:szCs w:val="22"/>
        </w:rPr>
        <w:t xml:space="preserve"> </w:t>
      </w:r>
      <w:r w:rsidR="00085186">
        <w:rPr>
          <w:rFonts w:cs="Calibri"/>
          <w:color w:val="000000"/>
          <w:szCs w:val="22"/>
        </w:rPr>
        <w:t xml:space="preserve">is included under the </w:t>
      </w:r>
      <w:r w:rsidR="008718AD">
        <w:rPr>
          <w:rFonts w:cs="Calibri"/>
          <w:color w:val="000000"/>
          <w:szCs w:val="22"/>
        </w:rPr>
        <w:t>Q</w:t>
      </w:r>
      <w:r w:rsidR="00085186">
        <w:rPr>
          <w:rFonts w:cs="Calibri"/>
          <w:color w:val="000000"/>
          <w:szCs w:val="22"/>
        </w:rPr>
        <w:t xml:space="preserve">uality </w:t>
      </w:r>
      <w:r w:rsidR="008718AD">
        <w:rPr>
          <w:rFonts w:cs="Calibri"/>
          <w:color w:val="000000"/>
          <w:szCs w:val="22"/>
        </w:rPr>
        <w:t>F</w:t>
      </w:r>
      <w:r w:rsidR="005B6D9B">
        <w:rPr>
          <w:rFonts w:cs="Calibri"/>
          <w:color w:val="000000"/>
          <w:szCs w:val="22"/>
        </w:rPr>
        <w:t>ramework that</w:t>
      </w:r>
      <w:r w:rsidR="00085186">
        <w:rPr>
          <w:rFonts w:cs="Calibri"/>
          <w:color w:val="000000"/>
          <w:szCs w:val="22"/>
        </w:rPr>
        <w:t xml:space="preserve"> </w:t>
      </w:r>
      <w:r w:rsidR="00085186" w:rsidRPr="000823B1">
        <w:rPr>
          <w:rFonts w:cs="Calibri"/>
          <w:color w:val="000000"/>
          <w:szCs w:val="22"/>
        </w:rPr>
        <w:t>emphasis</w:t>
      </w:r>
      <w:r w:rsidR="00085186">
        <w:rPr>
          <w:rFonts w:cs="Calibri"/>
          <w:color w:val="000000"/>
          <w:szCs w:val="22"/>
        </w:rPr>
        <w:t xml:space="preserve">es the requirement on </w:t>
      </w:r>
      <w:r w:rsidR="005B6D9B">
        <w:rPr>
          <w:rFonts w:cs="Calibri"/>
          <w:color w:val="000000"/>
          <w:szCs w:val="22"/>
        </w:rPr>
        <w:t>P</w:t>
      </w:r>
      <w:r w:rsidR="00085186" w:rsidRPr="000823B1">
        <w:rPr>
          <w:rFonts w:cs="Calibri"/>
          <w:color w:val="000000"/>
          <w:szCs w:val="22"/>
        </w:rPr>
        <w:t xml:space="preserve">roviders to act with due care and diligence, to ensure that </w:t>
      </w:r>
      <w:r w:rsidR="00085186">
        <w:rPr>
          <w:rFonts w:cs="Calibri"/>
          <w:color w:val="000000"/>
          <w:szCs w:val="22"/>
        </w:rPr>
        <w:t>Participant</w:t>
      </w:r>
      <w:r w:rsidR="00085186" w:rsidRPr="000823B1">
        <w:rPr>
          <w:rFonts w:cs="Calibri"/>
          <w:color w:val="000000"/>
          <w:szCs w:val="22"/>
        </w:rPr>
        <w:t>s</w:t>
      </w:r>
      <w:r w:rsidR="00085186">
        <w:rPr>
          <w:rFonts w:cs="Calibri"/>
          <w:color w:val="000000"/>
          <w:szCs w:val="22"/>
        </w:rPr>
        <w:t xml:space="preserve">, </w:t>
      </w:r>
      <w:r w:rsidR="005B6D9B">
        <w:rPr>
          <w:rFonts w:cs="Calibri"/>
          <w:color w:val="000000"/>
          <w:szCs w:val="22"/>
        </w:rPr>
        <w:t>P</w:t>
      </w:r>
      <w:r w:rsidR="00085186">
        <w:rPr>
          <w:rFonts w:cs="Calibri"/>
          <w:color w:val="000000"/>
          <w:szCs w:val="22"/>
        </w:rPr>
        <w:t xml:space="preserve">roviders and </w:t>
      </w:r>
      <w:r w:rsidR="005B6D9B">
        <w:rPr>
          <w:rFonts w:cs="Calibri"/>
          <w:color w:val="000000"/>
          <w:szCs w:val="22"/>
        </w:rPr>
        <w:t>E</w:t>
      </w:r>
      <w:r w:rsidR="00085186">
        <w:rPr>
          <w:rFonts w:cs="Calibri"/>
          <w:color w:val="000000"/>
          <w:szCs w:val="22"/>
        </w:rPr>
        <w:t xml:space="preserve">mployers </w:t>
      </w:r>
      <w:r w:rsidR="00085186" w:rsidRPr="000823B1">
        <w:rPr>
          <w:rFonts w:cs="Calibri"/>
          <w:color w:val="000000"/>
          <w:szCs w:val="22"/>
        </w:rPr>
        <w:t>receive</w:t>
      </w:r>
      <w:r w:rsidR="00085186">
        <w:rPr>
          <w:rFonts w:cs="Calibri"/>
          <w:color w:val="000000"/>
          <w:szCs w:val="22"/>
        </w:rPr>
        <w:t xml:space="preserve"> the services for which the </w:t>
      </w:r>
      <w:r w:rsidR="005B6D9B">
        <w:rPr>
          <w:rFonts w:cs="Calibri"/>
          <w:color w:val="000000"/>
          <w:szCs w:val="22"/>
        </w:rPr>
        <w:t>P</w:t>
      </w:r>
      <w:r w:rsidR="00085186" w:rsidRPr="000823B1">
        <w:rPr>
          <w:rFonts w:cs="Calibri"/>
          <w:color w:val="000000"/>
          <w:szCs w:val="22"/>
        </w:rPr>
        <w:t xml:space="preserve">rovider is receiving payment. The </w:t>
      </w:r>
      <w:r w:rsidR="005B6D9B">
        <w:rPr>
          <w:rFonts w:cs="Calibri"/>
          <w:color w:val="000000"/>
          <w:szCs w:val="22"/>
        </w:rPr>
        <w:t>D</w:t>
      </w:r>
      <w:r w:rsidR="00085186" w:rsidRPr="000823B1">
        <w:rPr>
          <w:rFonts w:cs="Calibri"/>
          <w:color w:val="000000"/>
          <w:szCs w:val="22"/>
        </w:rPr>
        <w:t xml:space="preserve">epartment will assess this component through evidence of compliance </w:t>
      </w:r>
      <w:r w:rsidR="00085186">
        <w:rPr>
          <w:rFonts w:cs="Calibri"/>
          <w:color w:val="000000"/>
          <w:szCs w:val="22"/>
        </w:rPr>
        <w:t xml:space="preserve">with the </w:t>
      </w:r>
      <w:r w:rsidR="00393388">
        <w:t>Grant Agreement</w:t>
      </w:r>
      <w:r w:rsidR="00085186">
        <w:rPr>
          <w:rFonts w:cs="Calibri"/>
          <w:color w:val="000000"/>
          <w:szCs w:val="22"/>
        </w:rPr>
        <w:t>. Any non-compliance</w:t>
      </w:r>
      <w:r w:rsidR="00085186" w:rsidRPr="000823B1">
        <w:rPr>
          <w:rFonts w:cs="Calibri"/>
          <w:color w:val="000000"/>
          <w:szCs w:val="22"/>
        </w:rPr>
        <w:t xml:space="preserve"> will be detected through program assurance</w:t>
      </w:r>
      <w:r w:rsidR="00085186">
        <w:rPr>
          <w:rFonts w:cs="Calibri"/>
          <w:color w:val="000000"/>
          <w:szCs w:val="22"/>
        </w:rPr>
        <w:t xml:space="preserve"> and </w:t>
      </w:r>
      <w:r w:rsidR="00085186" w:rsidRPr="000823B1">
        <w:rPr>
          <w:rFonts w:cs="Calibri"/>
          <w:color w:val="000000"/>
          <w:szCs w:val="22"/>
        </w:rPr>
        <w:t>contract monitoring</w:t>
      </w:r>
      <w:r w:rsidR="00085186">
        <w:rPr>
          <w:rFonts w:cs="Calibri"/>
          <w:color w:val="000000"/>
          <w:szCs w:val="22"/>
        </w:rPr>
        <w:t xml:space="preserve"> arrangements.</w:t>
      </w:r>
    </w:p>
    <w:p w14:paraId="28F22B7C" w14:textId="62935E4B" w:rsidR="00085186" w:rsidRDefault="00085186" w:rsidP="0090269C">
      <w:pPr>
        <w:autoSpaceDE w:val="0"/>
        <w:autoSpaceDN w:val="0"/>
        <w:adjustRightInd w:val="0"/>
        <w:spacing w:before="120"/>
        <w:rPr>
          <w:rFonts w:cs="Calibri"/>
          <w:color w:val="000000"/>
          <w:szCs w:val="22"/>
        </w:rPr>
      </w:pPr>
      <w:r>
        <w:rPr>
          <w:rFonts w:cs="Calibri"/>
          <w:color w:val="000000"/>
          <w:szCs w:val="22"/>
        </w:rPr>
        <w:t>Issues identified in f</w:t>
      </w:r>
      <w:r w:rsidRPr="000823B1">
        <w:rPr>
          <w:rFonts w:cs="Calibri"/>
          <w:color w:val="000000"/>
          <w:szCs w:val="22"/>
        </w:rPr>
        <w:t xml:space="preserve">eedback from sources </w:t>
      </w:r>
      <w:r>
        <w:rPr>
          <w:rFonts w:cs="Calibri"/>
          <w:color w:val="000000"/>
          <w:szCs w:val="22"/>
        </w:rPr>
        <w:t xml:space="preserve">including quality assurance projects, evaluation activities, </w:t>
      </w:r>
      <w:r w:rsidRPr="000823B1">
        <w:rPr>
          <w:rFonts w:cs="Calibri"/>
          <w:color w:val="000000"/>
          <w:szCs w:val="22"/>
        </w:rPr>
        <w:t xml:space="preserve">Post </w:t>
      </w:r>
      <w:r>
        <w:rPr>
          <w:rFonts w:cs="Calibri"/>
          <w:color w:val="000000"/>
          <w:szCs w:val="22"/>
        </w:rPr>
        <w:t>Program</w:t>
      </w:r>
      <w:r w:rsidRPr="000823B1">
        <w:rPr>
          <w:rFonts w:cs="Calibri"/>
          <w:color w:val="000000"/>
          <w:szCs w:val="22"/>
        </w:rPr>
        <w:t xml:space="preserve"> Monitoring </w:t>
      </w:r>
      <w:r>
        <w:rPr>
          <w:rFonts w:cs="Calibri"/>
          <w:color w:val="000000"/>
          <w:szCs w:val="22"/>
        </w:rPr>
        <w:t>survey, Fair Work Commission</w:t>
      </w:r>
      <w:r w:rsidR="00690234">
        <w:rPr>
          <w:rFonts w:cs="Calibri"/>
          <w:color w:val="000000"/>
          <w:szCs w:val="22"/>
        </w:rPr>
        <w:t xml:space="preserve"> information</w:t>
      </w:r>
      <w:r>
        <w:rPr>
          <w:rFonts w:cs="Calibri"/>
          <w:color w:val="000000"/>
          <w:szCs w:val="22"/>
        </w:rPr>
        <w:t>, t</w:t>
      </w:r>
      <w:r w:rsidRPr="000823B1">
        <w:rPr>
          <w:rFonts w:cs="Calibri"/>
          <w:color w:val="000000"/>
          <w:szCs w:val="22"/>
        </w:rPr>
        <w:t xml:space="preserve">he </w:t>
      </w:r>
      <w:r w:rsidR="00690234">
        <w:rPr>
          <w:rFonts w:cs="Calibri"/>
          <w:color w:val="000000"/>
          <w:szCs w:val="22"/>
        </w:rPr>
        <w:t xml:space="preserve">National </w:t>
      </w:r>
      <w:r>
        <w:rPr>
          <w:rFonts w:cs="Calibri"/>
          <w:color w:val="000000"/>
          <w:szCs w:val="22"/>
        </w:rPr>
        <w:t>Customer Service Line (</w:t>
      </w:r>
      <w:r w:rsidR="00690234">
        <w:rPr>
          <w:rFonts w:cs="Calibri"/>
          <w:color w:val="000000"/>
          <w:szCs w:val="22"/>
        </w:rPr>
        <w:t>N</w:t>
      </w:r>
      <w:r>
        <w:rPr>
          <w:rFonts w:cs="Calibri"/>
          <w:color w:val="000000"/>
          <w:szCs w:val="22"/>
        </w:rPr>
        <w:t>CSL)</w:t>
      </w:r>
      <w:r w:rsidRPr="000823B1">
        <w:rPr>
          <w:rFonts w:cs="Calibri"/>
          <w:color w:val="000000"/>
          <w:szCs w:val="22"/>
        </w:rPr>
        <w:t xml:space="preserve"> </w:t>
      </w:r>
      <w:r>
        <w:rPr>
          <w:rFonts w:cs="Calibri"/>
          <w:color w:val="000000"/>
          <w:szCs w:val="22"/>
        </w:rPr>
        <w:t>and quality audits may</w:t>
      </w:r>
      <w:r w:rsidRPr="000823B1">
        <w:rPr>
          <w:rFonts w:cs="Calibri"/>
          <w:color w:val="000000"/>
          <w:szCs w:val="22"/>
        </w:rPr>
        <w:t xml:space="preserve"> also be tak</w:t>
      </w:r>
      <w:r w:rsidR="005B6D9B">
        <w:rPr>
          <w:rFonts w:cs="Calibri"/>
          <w:color w:val="000000"/>
          <w:szCs w:val="22"/>
        </w:rPr>
        <w:t>en into account when measuring P</w:t>
      </w:r>
      <w:r w:rsidRPr="000823B1">
        <w:rPr>
          <w:rFonts w:cs="Calibri"/>
          <w:color w:val="000000"/>
          <w:szCs w:val="22"/>
        </w:rPr>
        <w:t>rovider performance against KPI 3.</w:t>
      </w:r>
    </w:p>
    <w:p w14:paraId="6D7AF981" w14:textId="51627706" w:rsidR="00085186" w:rsidRPr="006C40E7" w:rsidRDefault="00085186" w:rsidP="0090269C">
      <w:pPr>
        <w:autoSpaceDE w:val="0"/>
        <w:autoSpaceDN w:val="0"/>
        <w:adjustRightInd w:val="0"/>
        <w:spacing w:before="120"/>
        <w:rPr>
          <w:rFonts w:cs="Calibri"/>
          <w:color w:val="000000"/>
          <w:szCs w:val="22"/>
        </w:rPr>
      </w:pPr>
      <w:r>
        <w:rPr>
          <w:rFonts w:cs="Calibri"/>
          <w:color w:val="000000"/>
          <w:szCs w:val="22"/>
        </w:rPr>
        <w:t xml:space="preserve">The </w:t>
      </w:r>
      <w:r w:rsidR="0087390C">
        <w:rPr>
          <w:rFonts w:cs="Calibri"/>
          <w:color w:val="000000"/>
          <w:szCs w:val="22"/>
        </w:rPr>
        <w:t>Department</w:t>
      </w:r>
      <w:r w:rsidRPr="006C40E7">
        <w:rPr>
          <w:rFonts w:cs="Calibri"/>
          <w:color w:val="000000"/>
          <w:szCs w:val="22"/>
        </w:rPr>
        <w:t xml:space="preserve"> </w:t>
      </w:r>
      <w:r>
        <w:rPr>
          <w:rFonts w:cs="Calibri"/>
          <w:color w:val="000000"/>
          <w:szCs w:val="22"/>
        </w:rPr>
        <w:t xml:space="preserve">will </w:t>
      </w:r>
      <w:r w:rsidRPr="006C40E7">
        <w:rPr>
          <w:rFonts w:cs="Calibri"/>
          <w:color w:val="000000"/>
          <w:szCs w:val="22"/>
        </w:rPr>
        <w:t xml:space="preserve">give </w:t>
      </w:r>
      <w:r w:rsidR="00154776">
        <w:rPr>
          <w:rFonts w:cs="Calibri"/>
          <w:color w:val="000000"/>
          <w:szCs w:val="22"/>
        </w:rPr>
        <w:t>P</w:t>
      </w:r>
      <w:r w:rsidRPr="006C40E7">
        <w:rPr>
          <w:rFonts w:cs="Calibri"/>
          <w:color w:val="000000"/>
          <w:szCs w:val="22"/>
        </w:rPr>
        <w:t xml:space="preserve">roviders </w:t>
      </w:r>
      <w:r>
        <w:rPr>
          <w:rFonts w:cs="Calibri"/>
          <w:color w:val="000000"/>
          <w:szCs w:val="22"/>
        </w:rPr>
        <w:t xml:space="preserve">clear and timely feedback and </w:t>
      </w:r>
      <w:r w:rsidRPr="006C40E7">
        <w:rPr>
          <w:rFonts w:cs="Calibri"/>
          <w:color w:val="000000"/>
          <w:szCs w:val="22"/>
        </w:rPr>
        <w:t xml:space="preserve">the opportunity to </w:t>
      </w:r>
      <w:r>
        <w:rPr>
          <w:rFonts w:cs="Calibri"/>
          <w:color w:val="000000"/>
          <w:szCs w:val="22"/>
        </w:rPr>
        <w:t xml:space="preserve">consider and </w:t>
      </w:r>
      <w:r w:rsidRPr="006C40E7">
        <w:rPr>
          <w:rFonts w:cs="Calibri"/>
          <w:color w:val="000000"/>
          <w:szCs w:val="22"/>
        </w:rPr>
        <w:t xml:space="preserve">rectify issues raised. </w:t>
      </w:r>
      <w:r>
        <w:rPr>
          <w:rFonts w:cs="Calibri"/>
          <w:color w:val="000000"/>
          <w:szCs w:val="22"/>
        </w:rPr>
        <w:t>KPI</w:t>
      </w:r>
      <w:r w:rsidR="00690234">
        <w:rPr>
          <w:rFonts w:cs="Calibri"/>
          <w:color w:val="000000"/>
          <w:szCs w:val="22"/>
        </w:rPr>
        <w:t xml:space="preserve"> </w:t>
      </w:r>
      <w:r>
        <w:rPr>
          <w:rFonts w:cs="Calibri"/>
          <w:color w:val="000000"/>
          <w:szCs w:val="22"/>
        </w:rPr>
        <w:t xml:space="preserve">3 </w:t>
      </w:r>
      <w:r w:rsidRPr="006C40E7">
        <w:rPr>
          <w:rFonts w:cs="Calibri"/>
          <w:color w:val="000000"/>
          <w:szCs w:val="22"/>
        </w:rPr>
        <w:t xml:space="preserve">will also </w:t>
      </w:r>
      <w:r>
        <w:rPr>
          <w:rFonts w:cs="Calibri"/>
          <w:color w:val="000000"/>
          <w:szCs w:val="22"/>
        </w:rPr>
        <w:t xml:space="preserve">encourage the </w:t>
      </w:r>
      <w:r w:rsidRPr="006C40E7">
        <w:rPr>
          <w:rFonts w:cs="Calibri"/>
          <w:color w:val="000000"/>
          <w:szCs w:val="22"/>
        </w:rPr>
        <w:t xml:space="preserve">continuous improvement </w:t>
      </w:r>
      <w:r>
        <w:rPr>
          <w:rFonts w:cs="Calibri"/>
          <w:color w:val="000000"/>
          <w:szCs w:val="22"/>
        </w:rPr>
        <w:t xml:space="preserve">of </w:t>
      </w:r>
      <w:r w:rsidRPr="006C40E7">
        <w:rPr>
          <w:rFonts w:cs="Calibri"/>
          <w:color w:val="000000"/>
          <w:szCs w:val="22"/>
        </w:rPr>
        <w:t>service delivery.</w:t>
      </w:r>
    </w:p>
    <w:p w14:paraId="21C2B251" w14:textId="54792607" w:rsidR="000E2667" w:rsidRPr="00393388" w:rsidRDefault="000E2667" w:rsidP="0090269C">
      <w:pPr>
        <w:pStyle w:val="Heading3"/>
        <w:spacing w:before="120" w:after="0"/>
      </w:pPr>
      <w:bookmarkStart w:id="26" w:name="_Toc280194297"/>
      <w:bookmarkStart w:id="27" w:name="_Toc22038033"/>
      <w:bookmarkStart w:id="28" w:name="_Toc22038100"/>
      <w:r w:rsidRPr="00393388">
        <w:t xml:space="preserve">Quality of </w:t>
      </w:r>
      <w:r w:rsidR="008718AD">
        <w:t xml:space="preserve">Assessment </w:t>
      </w:r>
      <w:r w:rsidRPr="00393388">
        <w:t>Reports</w:t>
      </w:r>
      <w:bookmarkEnd w:id="26"/>
      <w:bookmarkEnd w:id="27"/>
      <w:bookmarkEnd w:id="28"/>
    </w:p>
    <w:p w14:paraId="317761A0" w14:textId="25F97E40" w:rsidR="00690234" w:rsidRDefault="000E2667" w:rsidP="0090269C">
      <w:pPr>
        <w:spacing w:before="120"/>
      </w:pPr>
      <w:r>
        <w:t xml:space="preserve">An </w:t>
      </w:r>
      <w:r w:rsidR="008718AD">
        <w:t xml:space="preserve">Assessment </w:t>
      </w:r>
      <w:r>
        <w:t>Report should deliver a comprehensive, consistent and appropriate assessment of a Participant’s ongoing support that they require to maintain their current employment.</w:t>
      </w:r>
    </w:p>
    <w:p w14:paraId="43B60E03" w14:textId="63FE0EE6" w:rsidR="000E2667" w:rsidRDefault="000E2667" w:rsidP="0090269C">
      <w:pPr>
        <w:spacing w:before="120"/>
      </w:pPr>
      <w:r>
        <w:t xml:space="preserve">The </w:t>
      </w:r>
      <w:r w:rsidR="005B6D9B">
        <w:t>D</w:t>
      </w:r>
      <w:r>
        <w:t xml:space="preserve">epartment will </w:t>
      </w:r>
      <w:r w:rsidR="005B6D9B">
        <w:t xml:space="preserve">conduct </w:t>
      </w:r>
      <w:r w:rsidR="00393388">
        <w:t>regular</w:t>
      </w:r>
      <w:r>
        <w:t xml:space="preserve"> audits of </w:t>
      </w:r>
      <w:r w:rsidR="008718AD">
        <w:t xml:space="preserve">Assessment </w:t>
      </w:r>
      <w:r>
        <w:t xml:space="preserve">Reports </w:t>
      </w:r>
      <w:r w:rsidR="00690234">
        <w:t xml:space="preserve">and </w:t>
      </w:r>
      <w:r>
        <w:t>reserves the right to change the frequency of the audits.</w:t>
      </w:r>
      <w:r w:rsidR="00690234">
        <w:t xml:space="preserve"> </w:t>
      </w:r>
      <w:r>
        <w:t xml:space="preserve">A minimum sample of </w:t>
      </w:r>
      <w:r w:rsidR="008718AD">
        <w:t>Assessment</w:t>
      </w:r>
      <w:r>
        <w:t xml:space="preserve"> Reports will be quality audited by </w:t>
      </w:r>
      <w:r w:rsidR="00A71B33">
        <w:t xml:space="preserve">the </w:t>
      </w:r>
      <w:r w:rsidR="009D7EB4">
        <w:t>D</w:t>
      </w:r>
      <w:r w:rsidR="0087390C">
        <w:t>epartment</w:t>
      </w:r>
      <w:r>
        <w:t xml:space="preserve">. Samples will be selected to ensure </w:t>
      </w:r>
      <w:r w:rsidR="008718AD">
        <w:t>Assessment</w:t>
      </w:r>
      <w:r>
        <w:t xml:space="preserve"> Reports completed by each Provider </w:t>
      </w:r>
      <w:r w:rsidR="002724D8">
        <w:t>are</w:t>
      </w:r>
      <w:r>
        <w:t xml:space="preserve"> audited each six months.</w:t>
      </w:r>
    </w:p>
    <w:p w14:paraId="6AF628C1" w14:textId="2B76AF0B" w:rsidR="000E2667" w:rsidRDefault="000E2667" w:rsidP="0090269C">
      <w:pPr>
        <w:spacing w:before="120"/>
      </w:pPr>
      <w:r>
        <w:t xml:space="preserve">Providers will be given an </w:t>
      </w:r>
      <w:r w:rsidR="008718AD">
        <w:t>Assessment</w:t>
      </w:r>
      <w:r>
        <w:t xml:space="preserve"> Audit Report within six weeks of the end of each quarterly reporting period, outlining the </w:t>
      </w:r>
      <w:r w:rsidR="008718AD">
        <w:t>Assessment</w:t>
      </w:r>
      <w:r>
        <w:t xml:space="preserve"> Reports that were audited, the results and any qualitative feedback that may be useful to consider in future assessments.</w:t>
      </w:r>
    </w:p>
    <w:p w14:paraId="00865F7D" w14:textId="0325FC10" w:rsidR="000E2667" w:rsidRDefault="000E2667" w:rsidP="0090269C">
      <w:pPr>
        <w:spacing w:before="120"/>
      </w:pPr>
      <w:r>
        <w:t xml:space="preserve">The three main </w:t>
      </w:r>
      <w:r w:rsidR="009D7EB4">
        <w:t xml:space="preserve">areas, which form the focus of the quality audits of </w:t>
      </w:r>
      <w:r w:rsidR="008718AD">
        <w:t>Assessment</w:t>
      </w:r>
      <w:r w:rsidR="009D7EB4">
        <w:t xml:space="preserve"> Reports,</w:t>
      </w:r>
      <w:r w:rsidR="00A71B33">
        <w:t xml:space="preserve"> are comprehensiveness, consistency and appropriateness and are detailed below.</w:t>
      </w:r>
    </w:p>
    <w:p w14:paraId="3E09FD20" w14:textId="77777777" w:rsidR="000E2667" w:rsidRPr="00393388" w:rsidRDefault="000E2667" w:rsidP="0090269C">
      <w:pPr>
        <w:pStyle w:val="Heading3"/>
        <w:spacing w:before="120" w:after="0"/>
      </w:pPr>
      <w:bookmarkStart w:id="29" w:name="_Toc22038034"/>
      <w:bookmarkStart w:id="30" w:name="_Toc22038101"/>
      <w:r w:rsidRPr="00393388">
        <w:t>Comprehensiveness</w:t>
      </w:r>
      <w:bookmarkEnd w:id="29"/>
      <w:bookmarkEnd w:id="30"/>
    </w:p>
    <w:p w14:paraId="67D7262A" w14:textId="53EA4B4F" w:rsidR="000E2667" w:rsidRDefault="000E2667" w:rsidP="0090269C">
      <w:pPr>
        <w:spacing w:before="120"/>
      </w:pPr>
      <w:r>
        <w:t xml:space="preserve">Each </w:t>
      </w:r>
      <w:r w:rsidR="008718AD">
        <w:t xml:space="preserve">Assessment </w:t>
      </w:r>
      <w:r>
        <w:t xml:space="preserve">Report should demonstrate that the Assessor has taken a thorough approach to gathering information from all relevant people including the </w:t>
      </w:r>
      <w:r w:rsidR="00354FE5">
        <w:t>DES</w:t>
      </w:r>
      <w:r>
        <w:t xml:space="preserve"> Provider, the Employer, the Participant and a</w:t>
      </w:r>
      <w:r w:rsidR="00E65709">
        <w:t xml:space="preserve"> Nominee or a</w:t>
      </w:r>
      <w:r>
        <w:t>n Advocate</w:t>
      </w:r>
      <w:r w:rsidR="00E65709">
        <w:t xml:space="preserve"> </w:t>
      </w:r>
      <w:r w:rsidR="00690234">
        <w:t xml:space="preserve"> </w:t>
      </w:r>
      <w:r w:rsidR="00531523">
        <w:t>(</w:t>
      </w:r>
      <w:r w:rsidR="00690234">
        <w:t>if applicable</w:t>
      </w:r>
      <w:r w:rsidR="00531523">
        <w:t>)</w:t>
      </w:r>
      <w:r>
        <w:t>, where the Participant has nominated an Advocate be involved.</w:t>
      </w:r>
    </w:p>
    <w:p w14:paraId="06F898A6" w14:textId="70C28643" w:rsidR="000E2667" w:rsidRDefault="000E2667" w:rsidP="0090269C">
      <w:pPr>
        <w:spacing w:before="120"/>
      </w:pPr>
      <w:r>
        <w:lastRenderedPageBreak/>
        <w:t xml:space="preserve">Where the </w:t>
      </w:r>
      <w:r w:rsidR="008718AD">
        <w:t>Assessment</w:t>
      </w:r>
      <w:r>
        <w:t xml:space="preserve"> Report has excluded any components of an </w:t>
      </w:r>
      <w:r w:rsidR="008718AD">
        <w:t>Assessment</w:t>
      </w:r>
      <w:r>
        <w:t xml:space="preserve">, the Assessor has obtained an exemption to exclude those components, and the </w:t>
      </w:r>
      <w:r w:rsidR="00386EB5">
        <w:t>Assessment</w:t>
      </w:r>
      <w:r>
        <w:t xml:space="preserve"> Report further substantiates the reasons for the exclusion.</w:t>
      </w:r>
    </w:p>
    <w:p w14:paraId="728C6609" w14:textId="559234DE" w:rsidR="000E2667" w:rsidRDefault="000E2667" w:rsidP="0090269C">
      <w:pPr>
        <w:spacing w:before="120"/>
      </w:pPr>
      <w:r>
        <w:t xml:space="preserve">The quality audits of </w:t>
      </w:r>
      <w:r w:rsidR="00386EB5">
        <w:t xml:space="preserve">Assessment </w:t>
      </w:r>
      <w:r>
        <w:t xml:space="preserve">Reports will assess whether the following parts of the </w:t>
      </w:r>
      <w:r w:rsidR="00386EB5">
        <w:t>Assessment</w:t>
      </w:r>
      <w:r>
        <w:t xml:space="preserve"> Report demonstrate a comprehensive gathering of evidence and comprehensive summary of the conclusions from the relevant part of the Assessment:</w:t>
      </w:r>
    </w:p>
    <w:p w14:paraId="0F33612E" w14:textId="77777777" w:rsidR="000E2667" w:rsidRDefault="000E2667" w:rsidP="00D70C0D">
      <w:pPr>
        <w:numPr>
          <w:ilvl w:val="0"/>
          <w:numId w:val="13"/>
        </w:numPr>
      </w:pPr>
      <w:r>
        <w:t>Provider interview</w:t>
      </w:r>
    </w:p>
    <w:p w14:paraId="4123E991" w14:textId="77777777" w:rsidR="000E2667" w:rsidRDefault="000E2667" w:rsidP="00D70C0D">
      <w:pPr>
        <w:numPr>
          <w:ilvl w:val="0"/>
          <w:numId w:val="13"/>
        </w:numPr>
      </w:pPr>
      <w:r>
        <w:t>Participant interview</w:t>
      </w:r>
    </w:p>
    <w:p w14:paraId="19C440EF" w14:textId="77777777" w:rsidR="000E2667" w:rsidRDefault="000E2667" w:rsidP="00D70C0D">
      <w:pPr>
        <w:numPr>
          <w:ilvl w:val="0"/>
          <w:numId w:val="13"/>
        </w:numPr>
      </w:pPr>
      <w:r>
        <w:t>Employer interview</w:t>
      </w:r>
    </w:p>
    <w:p w14:paraId="18FBE1D3" w14:textId="77777777" w:rsidR="000E2667" w:rsidRDefault="000E2667" w:rsidP="00D70C0D">
      <w:pPr>
        <w:numPr>
          <w:ilvl w:val="0"/>
          <w:numId w:val="13"/>
        </w:numPr>
      </w:pPr>
      <w:r>
        <w:t>Workplace visit</w:t>
      </w:r>
    </w:p>
    <w:p w14:paraId="12131CB1" w14:textId="77777777" w:rsidR="000E2667" w:rsidRDefault="000E2667" w:rsidP="00D70C0D">
      <w:pPr>
        <w:numPr>
          <w:ilvl w:val="0"/>
          <w:numId w:val="13"/>
        </w:numPr>
      </w:pPr>
      <w:r>
        <w:t>File summary</w:t>
      </w:r>
      <w:r w:rsidR="00354FE5">
        <w:t>.</w:t>
      </w:r>
    </w:p>
    <w:p w14:paraId="02407F42" w14:textId="77777777" w:rsidR="000E2667" w:rsidRPr="00393388" w:rsidRDefault="000E2667" w:rsidP="0090269C">
      <w:pPr>
        <w:pStyle w:val="Heading3"/>
        <w:spacing w:before="120" w:after="0"/>
      </w:pPr>
      <w:bookmarkStart w:id="31" w:name="_Toc22038035"/>
      <w:bookmarkStart w:id="32" w:name="_Toc22038102"/>
      <w:r w:rsidRPr="00393388">
        <w:t>Consistency</w:t>
      </w:r>
      <w:bookmarkEnd w:id="31"/>
      <w:bookmarkEnd w:id="32"/>
    </w:p>
    <w:p w14:paraId="6D8603F2" w14:textId="1E6F879F" w:rsidR="000E2667" w:rsidRDefault="000E2667" w:rsidP="0090269C">
      <w:pPr>
        <w:spacing w:before="120"/>
      </w:pPr>
      <w:r>
        <w:t xml:space="preserve">The quality audits will assess whether all parts of each </w:t>
      </w:r>
      <w:r w:rsidR="00386EB5">
        <w:t xml:space="preserve">Assessment </w:t>
      </w:r>
      <w:r>
        <w:t xml:space="preserve">Report are cohesive and where there are any inconsistencies between any parts of the </w:t>
      </w:r>
      <w:r w:rsidR="00386EB5">
        <w:t>Assessment</w:t>
      </w:r>
      <w:r>
        <w:t xml:space="preserve"> Report, that there is acceptable explanation or reasons for the differences.</w:t>
      </w:r>
    </w:p>
    <w:p w14:paraId="49524C6E" w14:textId="1796ABAD" w:rsidR="000E2667" w:rsidRDefault="000E2667" w:rsidP="0090269C">
      <w:pPr>
        <w:spacing w:before="120"/>
      </w:pPr>
      <w:r>
        <w:t>The Assessor must gather all available and relevant information and it will not always be the case that all parts of the assessment will be fully consistent</w:t>
      </w:r>
      <w:r w:rsidR="00386EB5">
        <w:t>. H</w:t>
      </w:r>
      <w:r>
        <w:t xml:space="preserve">owever, where there are important differences in views or information provided to the Assessor, the </w:t>
      </w:r>
      <w:r w:rsidR="00386EB5">
        <w:t xml:space="preserve">Assessment </w:t>
      </w:r>
      <w:r>
        <w:t xml:space="preserve">Report must adequately synthesise all relevant information so that the </w:t>
      </w:r>
      <w:r w:rsidR="00386EB5">
        <w:t>Assessment</w:t>
      </w:r>
      <w:r>
        <w:t xml:space="preserve"> Summary contains no unsubstantiated or unexpected recommendations.</w:t>
      </w:r>
    </w:p>
    <w:p w14:paraId="754AF8FD" w14:textId="77777777" w:rsidR="000E2667" w:rsidRPr="00393388" w:rsidRDefault="000E2667" w:rsidP="0090269C">
      <w:pPr>
        <w:pStyle w:val="Heading3"/>
        <w:spacing w:before="120" w:after="0"/>
      </w:pPr>
      <w:bookmarkStart w:id="33" w:name="_Toc22038036"/>
      <w:bookmarkStart w:id="34" w:name="_Toc22038103"/>
      <w:r w:rsidRPr="00393388">
        <w:t>Appropriateness</w:t>
      </w:r>
      <w:bookmarkEnd w:id="33"/>
      <w:bookmarkEnd w:id="34"/>
    </w:p>
    <w:p w14:paraId="058B757D" w14:textId="0941B247" w:rsidR="000E2667" w:rsidRDefault="000E2667" w:rsidP="0090269C">
      <w:pPr>
        <w:spacing w:before="120"/>
      </w:pPr>
      <w:r>
        <w:t xml:space="preserve">The </w:t>
      </w:r>
      <w:r w:rsidR="00386EB5">
        <w:t xml:space="preserve">Assessment </w:t>
      </w:r>
      <w:r>
        <w:t xml:space="preserve">Report </w:t>
      </w:r>
      <w:r w:rsidR="00E15580">
        <w:t xml:space="preserve">will </w:t>
      </w:r>
      <w:r>
        <w:t>clearly identif</w:t>
      </w:r>
      <w:r w:rsidR="00E15580">
        <w:t>y</w:t>
      </w:r>
      <w:r>
        <w:t xml:space="preserve"> the Participant’s ongoing support requirements including the type of</w:t>
      </w:r>
      <w:r w:rsidR="00E15580">
        <w:t xml:space="preserve"> support, frequency and amount.</w:t>
      </w:r>
    </w:p>
    <w:p w14:paraId="3ACAC944" w14:textId="7D663B21" w:rsidR="00393388" w:rsidRDefault="000E2667" w:rsidP="0090269C">
      <w:pPr>
        <w:spacing w:before="120"/>
      </w:pPr>
      <w:r>
        <w:t xml:space="preserve">The </w:t>
      </w:r>
      <w:r w:rsidR="00386EB5">
        <w:t>Assessment</w:t>
      </w:r>
      <w:r>
        <w:t xml:space="preserve"> Report </w:t>
      </w:r>
      <w:r w:rsidR="00E15580">
        <w:t>will clearly articulate</w:t>
      </w:r>
      <w:r>
        <w:t xml:space="preserve"> why the recommended future level of support is required to maintain the Participant’s current employment, and relates the nature of support to the Participant’s barriers to working independently in their current job.</w:t>
      </w:r>
    </w:p>
    <w:p w14:paraId="3525F2D5" w14:textId="63FAC115" w:rsidR="000E2667" w:rsidRDefault="00154776" w:rsidP="0090269C">
      <w:pPr>
        <w:spacing w:before="120"/>
      </w:pPr>
      <w:r>
        <w:t>Statements in t</w:t>
      </w:r>
      <w:r w:rsidR="000E2667">
        <w:t xml:space="preserve">he </w:t>
      </w:r>
      <w:r w:rsidR="00386EB5">
        <w:t xml:space="preserve">Assessment </w:t>
      </w:r>
      <w:r w:rsidR="000E2667">
        <w:t>Report about the Participant’s support requirements and the support received are relev</w:t>
      </w:r>
      <w:r w:rsidR="007C272A">
        <w:t xml:space="preserve">ant to the requirements in the </w:t>
      </w:r>
      <w:r w:rsidR="00386EB5">
        <w:t>appropriate</w:t>
      </w:r>
      <w:r w:rsidR="000E2667">
        <w:t xml:space="preserve"> </w:t>
      </w:r>
      <w:r w:rsidR="007C272A">
        <w:t>G</w:t>
      </w:r>
      <w:r w:rsidR="000E2667">
        <w:t>uidelines.</w:t>
      </w:r>
    </w:p>
    <w:p w14:paraId="6A767B40" w14:textId="24702A82" w:rsidR="000E2667" w:rsidRDefault="000E2667" w:rsidP="0090269C">
      <w:pPr>
        <w:spacing w:before="120"/>
      </w:pPr>
      <w:r>
        <w:t xml:space="preserve">The </w:t>
      </w:r>
      <w:r w:rsidR="00386EB5">
        <w:t xml:space="preserve">Assessment </w:t>
      </w:r>
      <w:r>
        <w:t xml:space="preserve">Report and its recommendation demonstrate the Assessor understands the requirements of the </w:t>
      </w:r>
      <w:r w:rsidR="00386EB5">
        <w:t>Assessment</w:t>
      </w:r>
      <w:r>
        <w:t xml:space="preserve"> Guidelines.</w:t>
      </w:r>
    </w:p>
    <w:p w14:paraId="5E632542" w14:textId="7FD34322" w:rsidR="000E2667" w:rsidRDefault="000E2667" w:rsidP="0090269C">
      <w:pPr>
        <w:spacing w:before="120"/>
      </w:pPr>
      <w:r>
        <w:t xml:space="preserve">The language used in the </w:t>
      </w:r>
      <w:r w:rsidR="00386EB5">
        <w:t>Assessment</w:t>
      </w:r>
      <w:r>
        <w:t xml:space="preserve"> Report is appropriate, respectful and non-offensive.</w:t>
      </w:r>
    </w:p>
    <w:p w14:paraId="1C993B1B" w14:textId="77777777" w:rsidR="000E2667" w:rsidRPr="00393388" w:rsidRDefault="000E2667" w:rsidP="0090269C">
      <w:pPr>
        <w:pStyle w:val="Heading3"/>
        <w:spacing w:before="120" w:after="0"/>
      </w:pPr>
      <w:bookmarkStart w:id="35" w:name="_Toc280194298"/>
      <w:bookmarkStart w:id="36" w:name="_Toc22038037"/>
      <w:bookmarkStart w:id="37" w:name="_Toc22038104"/>
      <w:r w:rsidRPr="00393388">
        <w:t>Quality of Provider Capability</w:t>
      </w:r>
      <w:bookmarkEnd w:id="35"/>
      <w:bookmarkEnd w:id="36"/>
      <w:bookmarkEnd w:id="37"/>
    </w:p>
    <w:p w14:paraId="09B5720B" w14:textId="7347E492" w:rsidR="000E2667" w:rsidRDefault="000E2667" w:rsidP="00263079">
      <w:pPr>
        <w:spacing w:before="120"/>
      </w:pPr>
      <w:r>
        <w:t xml:space="preserve">Quality of </w:t>
      </w:r>
      <w:r w:rsidR="00386EB5">
        <w:t xml:space="preserve">Assessment </w:t>
      </w:r>
      <w:r>
        <w:t xml:space="preserve">Services is influenced by the capabilities of the Organisation. The </w:t>
      </w:r>
      <w:r w:rsidR="00E15580">
        <w:t>D</w:t>
      </w:r>
      <w:r w:rsidR="00393388">
        <w:t>epartment</w:t>
      </w:r>
      <w:r>
        <w:t xml:space="preserve"> assesses performance at an organisation level. </w:t>
      </w:r>
      <w:r w:rsidR="00E15580">
        <w:t>Providers</w:t>
      </w:r>
      <w:r>
        <w:t xml:space="preserve"> are contracted and administered at organisation level.</w:t>
      </w:r>
    </w:p>
    <w:p w14:paraId="34E396D8" w14:textId="2818AAAE" w:rsidR="000E2667" w:rsidRDefault="000E2667" w:rsidP="00263079">
      <w:pPr>
        <w:spacing w:before="120"/>
      </w:pPr>
      <w:r>
        <w:t xml:space="preserve">The </w:t>
      </w:r>
      <w:r w:rsidR="00E15580">
        <w:t>D</w:t>
      </w:r>
      <w:r>
        <w:t xml:space="preserve">epartment will provide </w:t>
      </w:r>
      <w:r w:rsidR="00386EB5">
        <w:t>Assessment</w:t>
      </w:r>
      <w:r>
        <w:t xml:space="preserve"> data to assist Providers to analyse, assess and continually improve their performance.</w:t>
      </w:r>
    </w:p>
    <w:p w14:paraId="24B283FD" w14:textId="3D2A7240" w:rsidR="000E2667" w:rsidRDefault="000E2667" w:rsidP="00263079">
      <w:pPr>
        <w:spacing w:before="120"/>
      </w:pPr>
      <w:r>
        <w:t xml:space="preserve">The </w:t>
      </w:r>
      <w:r w:rsidR="00E15580">
        <w:t>D</w:t>
      </w:r>
      <w:r>
        <w:t xml:space="preserve">epartment will include the following factors in its ongoing </w:t>
      </w:r>
      <w:r w:rsidR="005C4568">
        <w:t xml:space="preserve">Grant Agreement </w:t>
      </w:r>
      <w:r>
        <w:t>management arrangements of Providers:</w:t>
      </w:r>
    </w:p>
    <w:p w14:paraId="5B0DC4B5" w14:textId="24DF88C3" w:rsidR="000E2667" w:rsidRDefault="000E2667" w:rsidP="00263079">
      <w:pPr>
        <w:numPr>
          <w:ilvl w:val="0"/>
          <w:numId w:val="12"/>
        </w:numPr>
      </w:pPr>
      <w:r>
        <w:t xml:space="preserve">The Provider complies with the Information Privacy Principles of the </w:t>
      </w:r>
      <w:r w:rsidRPr="00393388">
        <w:rPr>
          <w:i/>
        </w:rPr>
        <w:t>Privacy Act 1988</w:t>
      </w:r>
      <w:r>
        <w:t xml:space="preserve"> to protect and respect the rights of individual DES Participants. The Provider does not disclose personal information about Participants without their informed consent.</w:t>
      </w:r>
    </w:p>
    <w:p w14:paraId="4EE7C670" w14:textId="34BE1D8C" w:rsidR="000E2667" w:rsidRDefault="000E2667" w:rsidP="00263079">
      <w:pPr>
        <w:numPr>
          <w:ilvl w:val="0"/>
          <w:numId w:val="12"/>
        </w:numPr>
      </w:pPr>
      <w:r>
        <w:t>The Provider has management systems in place that facilitate quality management practices and continuous improvement.</w:t>
      </w:r>
    </w:p>
    <w:p w14:paraId="257E23B3" w14:textId="206DC9DC" w:rsidR="005B3829" w:rsidRDefault="000E2667" w:rsidP="00263079">
      <w:pPr>
        <w:numPr>
          <w:ilvl w:val="0"/>
          <w:numId w:val="12"/>
        </w:numPr>
      </w:pPr>
      <w:r>
        <w:t xml:space="preserve">The Provider has management systems in place to ensure that all </w:t>
      </w:r>
      <w:r w:rsidR="005C4568">
        <w:t xml:space="preserve">assessors </w:t>
      </w:r>
      <w:r>
        <w:t>have appropriate skills and qualifications.</w:t>
      </w:r>
    </w:p>
    <w:p w14:paraId="07C99B4B" w14:textId="0404951E" w:rsidR="000E2667" w:rsidRDefault="000E2667" w:rsidP="00263079">
      <w:pPr>
        <w:numPr>
          <w:ilvl w:val="0"/>
          <w:numId w:val="12"/>
        </w:numPr>
      </w:pPr>
      <w:r>
        <w:lastRenderedPageBreak/>
        <w:t>The Provider has systems in place to provide training, skills development including ensuring that they have completed the ECSN Learning Modules and they have read the relevant guidelines relating to the delivery of the assessment services.</w:t>
      </w:r>
    </w:p>
    <w:p w14:paraId="17DE88C8" w14:textId="2219CE1E" w:rsidR="000E2667" w:rsidRDefault="000E2667" w:rsidP="00263079">
      <w:pPr>
        <w:numPr>
          <w:ilvl w:val="0"/>
          <w:numId w:val="12"/>
        </w:numPr>
      </w:pPr>
      <w:r>
        <w:t>The Provider demonstrates responsiveness to feedback received about its delivery of Assessment Services.</w:t>
      </w:r>
    </w:p>
    <w:p w14:paraId="5123D80A" w14:textId="41890DB6" w:rsidR="005B3829" w:rsidRDefault="000E2667" w:rsidP="00263079">
      <w:pPr>
        <w:numPr>
          <w:ilvl w:val="0"/>
          <w:numId w:val="12"/>
        </w:numPr>
      </w:pPr>
      <w:r>
        <w:t xml:space="preserve">The Provider has management systems in place to identify any new and amended </w:t>
      </w:r>
      <w:r w:rsidR="00386EB5">
        <w:t>Guidelines</w:t>
      </w:r>
      <w:r>
        <w:t xml:space="preserve">, IT systems or instructions related to </w:t>
      </w:r>
      <w:r w:rsidR="00386EB5">
        <w:t xml:space="preserve">Assessment </w:t>
      </w:r>
      <w:r>
        <w:t>Services.</w:t>
      </w:r>
    </w:p>
    <w:p w14:paraId="6723C6FB" w14:textId="77777777" w:rsidR="000E2667" w:rsidRDefault="000E2667" w:rsidP="00D70C0D">
      <w:pPr>
        <w:numPr>
          <w:ilvl w:val="0"/>
          <w:numId w:val="12"/>
        </w:numPr>
      </w:pPr>
      <w:r>
        <w:t>The Provider is aware of its responsibilities to manage its availability and capacity to deliver assessment services and to communicate with their contract manager, especially in relation to extensions of due dates for completion of assessments.</w:t>
      </w:r>
    </w:p>
    <w:p w14:paraId="629572BC" w14:textId="77777777" w:rsidR="002371C6" w:rsidRPr="00393388" w:rsidRDefault="00EA5A07" w:rsidP="00263079">
      <w:pPr>
        <w:pStyle w:val="Heading3"/>
        <w:spacing w:before="120" w:after="0"/>
      </w:pPr>
      <w:bookmarkStart w:id="38" w:name="_Toc233540355"/>
      <w:bookmarkStart w:id="39" w:name="_Toc233542127"/>
      <w:bookmarkStart w:id="40" w:name="_Toc22038038"/>
      <w:bookmarkStart w:id="41" w:name="_Toc22038105"/>
      <w:r w:rsidRPr="00393388">
        <w:t>Other Performance I</w:t>
      </w:r>
      <w:r w:rsidR="002371C6" w:rsidRPr="00393388">
        <w:t>nformation</w:t>
      </w:r>
      <w:bookmarkEnd w:id="38"/>
      <w:bookmarkEnd w:id="39"/>
      <w:bookmarkEnd w:id="40"/>
      <w:bookmarkEnd w:id="41"/>
    </w:p>
    <w:p w14:paraId="1A5F7130" w14:textId="77777777" w:rsidR="002371C6" w:rsidRDefault="002371C6" w:rsidP="001606F3">
      <w:r w:rsidRPr="001E1721">
        <w:t>In</w:t>
      </w:r>
      <w:r w:rsidR="009A5E25">
        <w:t xml:space="preserve"> addition to the KPIs </w:t>
      </w:r>
      <w:r w:rsidRPr="001E1721">
        <w:t xml:space="preserve">outlined in the </w:t>
      </w:r>
      <w:r w:rsidR="00393388">
        <w:t>Grant Agreement</w:t>
      </w:r>
      <w:r w:rsidR="00E15580">
        <w:t>, the D</w:t>
      </w:r>
      <w:r w:rsidRPr="001E1721">
        <w:t>epartment considers all available information in assessing and monitoring performance.</w:t>
      </w:r>
    </w:p>
    <w:p w14:paraId="5A85FE93" w14:textId="77777777" w:rsidR="00D67677" w:rsidRPr="00670E4F" w:rsidRDefault="00D67677" w:rsidP="00263079">
      <w:pPr>
        <w:pStyle w:val="Heading3"/>
        <w:spacing w:before="120" w:after="0"/>
      </w:pPr>
      <w:bookmarkStart w:id="42" w:name="_Toc22038039"/>
      <w:bookmarkStart w:id="43" w:name="_Toc22038106"/>
      <w:r w:rsidRPr="00670E4F">
        <w:t>Performance Information for Providers</w:t>
      </w:r>
      <w:bookmarkEnd w:id="42"/>
      <w:bookmarkEnd w:id="43"/>
      <w:r w:rsidRPr="00670E4F">
        <w:t xml:space="preserve"> </w:t>
      </w:r>
    </w:p>
    <w:p w14:paraId="618439D2" w14:textId="77777777" w:rsidR="007A64FA" w:rsidRPr="007C272A" w:rsidRDefault="007A64FA" w:rsidP="00263079">
      <w:pPr>
        <w:pStyle w:val="Heading4"/>
        <w:spacing w:before="120" w:after="0"/>
      </w:pPr>
      <w:r w:rsidRPr="007C272A">
        <w:t xml:space="preserve">Performance and Administrative Reporting </w:t>
      </w:r>
    </w:p>
    <w:p w14:paraId="28AB2720" w14:textId="41DFDD01" w:rsidR="007A64FA" w:rsidRDefault="00643A4C" w:rsidP="001606F3">
      <w:pPr>
        <w:autoSpaceDE w:val="0"/>
        <w:autoSpaceDN w:val="0"/>
        <w:adjustRightInd w:val="0"/>
        <w:rPr>
          <w:rFonts w:cs="Calibri"/>
          <w:color w:val="000000"/>
          <w:szCs w:val="22"/>
        </w:rPr>
      </w:pPr>
      <w:r>
        <w:rPr>
          <w:rFonts w:cs="Calibri"/>
          <w:color w:val="000000"/>
          <w:szCs w:val="22"/>
        </w:rPr>
        <w:t>A</w:t>
      </w:r>
      <w:r w:rsidR="007A64FA">
        <w:rPr>
          <w:rFonts w:cs="Calibri"/>
          <w:color w:val="000000"/>
          <w:szCs w:val="22"/>
        </w:rPr>
        <w:t xml:space="preserve">dministrative </w:t>
      </w:r>
      <w:r w:rsidR="007A64FA" w:rsidRPr="00D67677">
        <w:rPr>
          <w:rFonts w:cs="Calibri"/>
          <w:color w:val="000000"/>
          <w:szCs w:val="22"/>
        </w:rPr>
        <w:t xml:space="preserve">and </w:t>
      </w:r>
      <w:r w:rsidR="007A64FA">
        <w:rPr>
          <w:rFonts w:cs="Calibri"/>
          <w:color w:val="000000"/>
          <w:szCs w:val="22"/>
        </w:rPr>
        <w:t xml:space="preserve">performance </w:t>
      </w:r>
      <w:r w:rsidR="007A64FA" w:rsidRPr="00D67677">
        <w:rPr>
          <w:rFonts w:cs="Calibri"/>
          <w:color w:val="000000"/>
          <w:szCs w:val="22"/>
        </w:rPr>
        <w:t xml:space="preserve">data </w:t>
      </w:r>
      <w:r w:rsidR="007A64FA">
        <w:rPr>
          <w:rFonts w:cs="Calibri"/>
          <w:color w:val="000000"/>
          <w:szCs w:val="22"/>
        </w:rPr>
        <w:t xml:space="preserve">will be made available </w:t>
      </w:r>
      <w:r w:rsidR="007A64FA" w:rsidRPr="00D67677">
        <w:rPr>
          <w:rFonts w:cs="Calibri"/>
          <w:color w:val="000000"/>
          <w:szCs w:val="22"/>
        </w:rPr>
        <w:t>to</w:t>
      </w:r>
      <w:r w:rsidR="007A64FA">
        <w:rPr>
          <w:rFonts w:cs="Calibri"/>
          <w:color w:val="000000"/>
          <w:szCs w:val="22"/>
        </w:rPr>
        <w:t xml:space="preserve"> </w:t>
      </w:r>
      <w:r w:rsidR="0090269C">
        <w:rPr>
          <w:rFonts w:cs="Calibri"/>
          <w:color w:val="000000"/>
          <w:szCs w:val="22"/>
        </w:rPr>
        <w:t>P</w:t>
      </w:r>
      <w:r w:rsidR="0090269C" w:rsidRPr="00D67677">
        <w:rPr>
          <w:rFonts w:cs="Calibri"/>
          <w:color w:val="000000"/>
          <w:szCs w:val="22"/>
        </w:rPr>
        <w:t xml:space="preserve">roviders </w:t>
      </w:r>
      <w:r w:rsidR="007A64FA" w:rsidRPr="00D67677">
        <w:rPr>
          <w:rFonts w:cs="Calibri"/>
          <w:color w:val="000000"/>
          <w:szCs w:val="22"/>
        </w:rPr>
        <w:t xml:space="preserve">through </w:t>
      </w:r>
      <w:r w:rsidR="007A64FA">
        <w:rPr>
          <w:rFonts w:cs="Calibri"/>
          <w:color w:val="000000"/>
          <w:szCs w:val="22"/>
        </w:rPr>
        <w:t xml:space="preserve">the provision of </w:t>
      </w:r>
      <w:r w:rsidR="00B92410">
        <w:rPr>
          <w:rFonts w:cs="Calibri"/>
          <w:color w:val="000000"/>
          <w:szCs w:val="22"/>
        </w:rPr>
        <w:t xml:space="preserve">assessment management </w:t>
      </w:r>
      <w:r w:rsidR="000D1F5E">
        <w:rPr>
          <w:rFonts w:cs="Calibri"/>
          <w:color w:val="000000"/>
          <w:szCs w:val="22"/>
        </w:rPr>
        <w:t xml:space="preserve">reports. </w:t>
      </w:r>
      <w:r w:rsidR="007A64FA" w:rsidRPr="00D67677">
        <w:rPr>
          <w:rFonts w:cs="Calibri"/>
          <w:color w:val="000000"/>
          <w:szCs w:val="22"/>
        </w:rPr>
        <w:t>Th</w:t>
      </w:r>
      <w:r w:rsidR="007A64FA">
        <w:rPr>
          <w:rFonts w:cs="Calibri"/>
          <w:color w:val="000000"/>
          <w:szCs w:val="22"/>
        </w:rPr>
        <w:t xml:space="preserve">is </w:t>
      </w:r>
      <w:r w:rsidR="007A64FA" w:rsidRPr="00D67677">
        <w:rPr>
          <w:rFonts w:cs="Calibri"/>
          <w:color w:val="000000"/>
          <w:szCs w:val="22"/>
        </w:rPr>
        <w:t xml:space="preserve">will allow </w:t>
      </w:r>
      <w:r w:rsidR="00E15580">
        <w:rPr>
          <w:rFonts w:cs="Calibri"/>
          <w:color w:val="000000"/>
          <w:szCs w:val="22"/>
        </w:rPr>
        <w:t>P</w:t>
      </w:r>
      <w:r w:rsidR="007A64FA">
        <w:rPr>
          <w:rFonts w:cs="Calibri"/>
          <w:color w:val="000000"/>
          <w:szCs w:val="22"/>
        </w:rPr>
        <w:t xml:space="preserve">roviders to evaluate their performance and </w:t>
      </w:r>
      <w:r>
        <w:rPr>
          <w:rFonts w:cs="Calibri"/>
          <w:color w:val="000000"/>
          <w:szCs w:val="22"/>
        </w:rPr>
        <w:t xml:space="preserve">take appropriate action to improve </w:t>
      </w:r>
      <w:r w:rsidR="007A64FA">
        <w:rPr>
          <w:rFonts w:cs="Calibri"/>
          <w:color w:val="000000"/>
          <w:szCs w:val="22"/>
        </w:rPr>
        <w:t>servicing</w:t>
      </w:r>
      <w:r w:rsidR="00C8346C">
        <w:rPr>
          <w:rFonts w:cs="Calibri"/>
          <w:color w:val="000000"/>
          <w:szCs w:val="22"/>
        </w:rPr>
        <w:t xml:space="preserve"> strategies and processes. P</w:t>
      </w:r>
      <w:r w:rsidR="007A64FA" w:rsidRPr="00D67677">
        <w:rPr>
          <w:rFonts w:cs="Calibri"/>
          <w:color w:val="000000"/>
          <w:szCs w:val="22"/>
        </w:rPr>
        <w:t xml:space="preserve">roviders can use the </w:t>
      </w:r>
      <w:r>
        <w:rPr>
          <w:rFonts w:cs="Calibri"/>
          <w:color w:val="000000"/>
          <w:szCs w:val="22"/>
        </w:rPr>
        <w:t>report</w:t>
      </w:r>
      <w:r w:rsidR="00B92410">
        <w:rPr>
          <w:rFonts w:cs="Calibri"/>
          <w:color w:val="000000"/>
          <w:szCs w:val="22"/>
        </w:rPr>
        <w:t>s</w:t>
      </w:r>
      <w:r>
        <w:rPr>
          <w:rFonts w:cs="Calibri"/>
          <w:color w:val="000000"/>
          <w:szCs w:val="22"/>
        </w:rPr>
        <w:t xml:space="preserve"> to examine </w:t>
      </w:r>
      <w:r w:rsidR="00F62AD2">
        <w:rPr>
          <w:rFonts w:cs="Calibri"/>
          <w:color w:val="000000"/>
          <w:szCs w:val="22"/>
        </w:rPr>
        <w:t xml:space="preserve">quantitative </w:t>
      </w:r>
      <w:r>
        <w:rPr>
          <w:rFonts w:cs="Calibri"/>
          <w:color w:val="000000"/>
          <w:szCs w:val="22"/>
        </w:rPr>
        <w:t xml:space="preserve">data relating to </w:t>
      </w:r>
      <w:r w:rsidR="00F62AD2">
        <w:rPr>
          <w:rFonts w:cs="Calibri"/>
          <w:color w:val="000000"/>
          <w:szCs w:val="22"/>
        </w:rPr>
        <w:t>assessment timeliness, and rejection of assessment allocations</w:t>
      </w:r>
      <w:r w:rsidR="007A64FA">
        <w:rPr>
          <w:rFonts w:cs="Calibri"/>
          <w:color w:val="000000"/>
          <w:szCs w:val="22"/>
        </w:rPr>
        <w:t>.</w:t>
      </w:r>
    </w:p>
    <w:p w14:paraId="4908B770" w14:textId="77777777" w:rsidR="007A64FA" w:rsidRPr="00F255AF" w:rsidRDefault="00ED3A10" w:rsidP="00263079">
      <w:pPr>
        <w:pStyle w:val="Heading4"/>
        <w:spacing w:before="120" w:after="0"/>
      </w:pPr>
      <w:bookmarkStart w:id="44" w:name="_Toc253411941"/>
      <w:r>
        <w:t>Assessing</w:t>
      </w:r>
      <w:r w:rsidR="007A64FA" w:rsidRPr="00F255AF">
        <w:t xml:space="preserve"> </w:t>
      </w:r>
      <w:r w:rsidR="007A64FA" w:rsidRPr="007C272A">
        <w:t>Performance</w:t>
      </w:r>
      <w:bookmarkEnd w:id="44"/>
      <w:r w:rsidR="007A64FA" w:rsidRPr="00F255AF">
        <w:t xml:space="preserve"> </w:t>
      </w:r>
    </w:p>
    <w:p w14:paraId="6E722218" w14:textId="442E39B1" w:rsidR="007A64FA" w:rsidRPr="00122092" w:rsidRDefault="007A64FA" w:rsidP="00154776">
      <w:pPr>
        <w:spacing w:before="120"/>
        <w:ind w:right="-113"/>
      </w:pPr>
      <w:r>
        <w:rPr>
          <w:rFonts w:cs="Calibri"/>
          <w:color w:val="000000"/>
          <w:szCs w:val="22"/>
        </w:rPr>
        <w:t xml:space="preserve">The </w:t>
      </w:r>
      <w:r w:rsidR="00B92410">
        <w:rPr>
          <w:rFonts w:cs="Calibri"/>
          <w:color w:val="000000"/>
          <w:szCs w:val="22"/>
        </w:rPr>
        <w:t>assessment management</w:t>
      </w:r>
      <w:r w:rsidR="00281754">
        <w:rPr>
          <w:rFonts w:cs="Calibri"/>
          <w:color w:val="000000"/>
          <w:szCs w:val="22"/>
        </w:rPr>
        <w:t xml:space="preserve"> reports</w:t>
      </w:r>
      <w:r>
        <w:rPr>
          <w:rFonts w:cs="Calibri"/>
          <w:color w:val="000000"/>
          <w:szCs w:val="22"/>
        </w:rPr>
        <w:t xml:space="preserve"> will allow </w:t>
      </w:r>
      <w:r w:rsidR="0090269C">
        <w:rPr>
          <w:rFonts w:cs="Calibri"/>
          <w:color w:val="000000"/>
          <w:szCs w:val="22"/>
        </w:rPr>
        <w:t>P</w:t>
      </w:r>
      <w:r>
        <w:rPr>
          <w:rFonts w:cs="Calibri"/>
          <w:color w:val="000000"/>
          <w:szCs w:val="22"/>
        </w:rPr>
        <w:t xml:space="preserve">roviders </w:t>
      </w:r>
      <w:r w:rsidRPr="00D67677">
        <w:rPr>
          <w:rFonts w:cs="Calibri"/>
          <w:color w:val="000000"/>
          <w:szCs w:val="22"/>
        </w:rPr>
        <w:t xml:space="preserve">to </w:t>
      </w:r>
      <w:r w:rsidR="00ED3A10">
        <w:rPr>
          <w:rFonts w:cs="Calibri"/>
          <w:color w:val="000000"/>
          <w:szCs w:val="22"/>
        </w:rPr>
        <w:t>manage</w:t>
      </w:r>
      <w:r w:rsidR="00ED3A10" w:rsidRPr="00D67677">
        <w:rPr>
          <w:rFonts w:cs="Calibri"/>
          <w:color w:val="000000"/>
          <w:szCs w:val="22"/>
        </w:rPr>
        <w:t xml:space="preserve"> </w:t>
      </w:r>
      <w:r w:rsidRPr="00D67677">
        <w:rPr>
          <w:rFonts w:cs="Calibri"/>
          <w:color w:val="000000"/>
          <w:szCs w:val="22"/>
        </w:rPr>
        <w:t xml:space="preserve">their performance </w:t>
      </w:r>
      <w:r w:rsidR="00F62AD2">
        <w:rPr>
          <w:rFonts w:cs="Calibri"/>
          <w:color w:val="000000"/>
          <w:szCs w:val="22"/>
        </w:rPr>
        <w:t>against KPI</w:t>
      </w:r>
      <w:r w:rsidR="0090269C">
        <w:rPr>
          <w:rFonts w:cs="Calibri"/>
          <w:color w:val="000000"/>
          <w:szCs w:val="22"/>
        </w:rPr>
        <w:t xml:space="preserve"> </w:t>
      </w:r>
      <w:r w:rsidR="00F62AD2">
        <w:rPr>
          <w:rFonts w:cs="Calibri"/>
          <w:color w:val="000000"/>
          <w:szCs w:val="22"/>
        </w:rPr>
        <w:t xml:space="preserve">1 </w:t>
      </w:r>
      <w:r w:rsidR="00322701">
        <w:rPr>
          <w:rFonts w:cs="Calibri"/>
          <w:color w:val="000000"/>
          <w:szCs w:val="22"/>
        </w:rPr>
        <w:t xml:space="preserve">requirements and to monitor this over time. </w:t>
      </w:r>
      <w:r w:rsidR="00F62AD2">
        <w:rPr>
          <w:rFonts w:cs="Calibri"/>
          <w:color w:val="000000"/>
          <w:szCs w:val="22"/>
        </w:rPr>
        <w:t>T</w:t>
      </w:r>
      <w:r>
        <w:rPr>
          <w:rFonts w:cs="Calibri"/>
          <w:color w:val="000000"/>
          <w:szCs w:val="22"/>
        </w:rPr>
        <w:t xml:space="preserve">his data will be at the national </w:t>
      </w:r>
      <w:r w:rsidR="00F62AD2">
        <w:rPr>
          <w:rFonts w:cs="Calibri"/>
          <w:color w:val="000000"/>
          <w:szCs w:val="22"/>
        </w:rPr>
        <w:t>level</w:t>
      </w:r>
      <w:r w:rsidR="00ED3A10">
        <w:rPr>
          <w:rFonts w:cs="Calibri"/>
          <w:color w:val="000000"/>
          <w:szCs w:val="22"/>
        </w:rPr>
        <w:t>.</w:t>
      </w:r>
    </w:p>
    <w:p w14:paraId="2B92EDD4" w14:textId="00E4B619" w:rsidR="000E2667" w:rsidRDefault="00E15580" w:rsidP="00154776">
      <w:pPr>
        <w:spacing w:before="120"/>
      </w:pPr>
      <w:r>
        <w:t>The D</w:t>
      </w:r>
      <w:r w:rsidR="000E2667">
        <w:t>epartment is committed to monitoring and reviewing the Quality Framework to ensure that it is achieving its aim of delivering high quality disability employment services.</w:t>
      </w:r>
    </w:p>
    <w:p w14:paraId="3EBAA247" w14:textId="77777777" w:rsidR="00BF7867" w:rsidRDefault="00BF7867" w:rsidP="001606F3"/>
    <w:p w14:paraId="18F0437B" w14:textId="77777777" w:rsidR="00B06223" w:rsidRDefault="00B06223" w:rsidP="001606F3">
      <w:pPr>
        <w:pStyle w:val="Heading2"/>
        <w:rPr>
          <w:szCs w:val="24"/>
        </w:rPr>
        <w:sectPr w:rsidR="00B06223" w:rsidSect="00D15D4B">
          <w:pgSz w:w="11906" w:h="16838" w:code="9"/>
          <w:pgMar w:top="1276" w:right="1418" w:bottom="1079" w:left="1418" w:header="567" w:footer="45" w:gutter="0"/>
          <w:cols w:space="708"/>
          <w:docGrid w:linePitch="360"/>
        </w:sectPr>
      </w:pPr>
      <w:bookmarkStart w:id="45" w:name="_Toc253487971"/>
    </w:p>
    <w:p w14:paraId="337B56F2" w14:textId="1C338170" w:rsidR="00893A3F" w:rsidRPr="008136F4" w:rsidRDefault="00893A3F" w:rsidP="008136F4">
      <w:pPr>
        <w:pStyle w:val="Heading3"/>
      </w:pPr>
      <w:bookmarkStart w:id="46" w:name="_Toc22038040"/>
      <w:bookmarkStart w:id="47" w:name="_Toc22038107"/>
      <w:bookmarkEnd w:id="45"/>
      <w:r w:rsidRPr="008136F4">
        <w:lastRenderedPageBreak/>
        <w:t xml:space="preserve">Attachment </w:t>
      </w:r>
      <w:r w:rsidR="00C86FC7" w:rsidRPr="008136F4">
        <w:t xml:space="preserve">A </w:t>
      </w:r>
      <w:r w:rsidRPr="008136F4">
        <w:t xml:space="preserve">– SWS - Performance </w:t>
      </w:r>
      <w:r w:rsidR="009F6C42" w:rsidRPr="008136F4">
        <w:t>Evaluation Method</w:t>
      </w:r>
      <w:bookmarkEnd w:id="46"/>
      <w:bookmarkEnd w:id="47"/>
      <w:r w:rsidRPr="008136F4">
        <w:t xml:space="preserve"> </w:t>
      </w:r>
    </w:p>
    <w:p w14:paraId="1DC35E4E" w14:textId="77777777" w:rsidR="00893A3F" w:rsidRDefault="00893A3F" w:rsidP="00893A3F">
      <w:pPr>
        <w:rPr>
          <w:sz w:val="20"/>
          <w:szCs w:val="20"/>
        </w:rPr>
      </w:pPr>
    </w:p>
    <w:tbl>
      <w:tblPr>
        <w:tblW w:w="14606" w:type="dxa"/>
        <w:tblInd w:w="103" w:type="dxa"/>
        <w:tblLook w:val="0000" w:firstRow="0" w:lastRow="0" w:firstColumn="0" w:lastColumn="0" w:noHBand="0" w:noVBand="0"/>
        <w:tblCaption w:val="Performance Evaluation Method Table"/>
        <w:tblDescription w:val="Evaluation methods for meausuring performance for SWS"/>
      </w:tblPr>
      <w:tblGrid>
        <w:gridCol w:w="1807"/>
        <w:gridCol w:w="4076"/>
        <w:gridCol w:w="8723"/>
      </w:tblGrid>
      <w:tr w:rsidR="00EE6FBC" w:rsidRPr="005C4568" w14:paraId="58BC58AE" w14:textId="77777777" w:rsidTr="007071F3">
        <w:trPr>
          <w:trHeight w:val="660"/>
          <w:tblHeader/>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B058863" w14:textId="77777777" w:rsidR="00EE6FBC" w:rsidRPr="005C4568" w:rsidRDefault="00EE6FBC" w:rsidP="007C272A">
            <w:pPr>
              <w:pStyle w:val="TableHeading"/>
              <w:jc w:val="center"/>
              <w:rPr>
                <w:color w:val="auto"/>
                <w:sz w:val="22"/>
                <w:szCs w:val="22"/>
              </w:rPr>
            </w:pPr>
            <w:r w:rsidRPr="005C4568">
              <w:rPr>
                <w:color w:val="auto"/>
                <w:sz w:val="22"/>
                <w:szCs w:val="22"/>
              </w:rPr>
              <w:t>Description</w:t>
            </w:r>
          </w:p>
        </w:tc>
        <w:tc>
          <w:tcPr>
            <w:tcW w:w="4099" w:type="dxa"/>
            <w:tcBorders>
              <w:top w:val="single" w:sz="4" w:space="0" w:color="auto"/>
              <w:left w:val="nil"/>
              <w:bottom w:val="single" w:sz="4" w:space="0" w:color="auto"/>
              <w:right w:val="single" w:sz="4" w:space="0" w:color="auto"/>
            </w:tcBorders>
            <w:shd w:val="clear" w:color="auto" w:fill="auto"/>
            <w:vAlign w:val="center"/>
          </w:tcPr>
          <w:p w14:paraId="4E4E24B1" w14:textId="77777777" w:rsidR="00EE6FBC" w:rsidRPr="005C4568" w:rsidRDefault="00EE6FBC" w:rsidP="007C272A">
            <w:pPr>
              <w:pStyle w:val="TableHeading"/>
              <w:jc w:val="center"/>
              <w:rPr>
                <w:color w:val="auto"/>
                <w:sz w:val="22"/>
                <w:szCs w:val="22"/>
              </w:rPr>
            </w:pPr>
            <w:r w:rsidRPr="005C4568">
              <w:rPr>
                <w:color w:val="auto"/>
                <w:sz w:val="22"/>
                <w:szCs w:val="22"/>
              </w:rPr>
              <w:t>Measure</w:t>
            </w:r>
          </w:p>
        </w:tc>
        <w:tc>
          <w:tcPr>
            <w:tcW w:w="8812" w:type="dxa"/>
            <w:tcBorders>
              <w:top w:val="single" w:sz="4" w:space="0" w:color="auto"/>
              <w:left w:val="single" w:sz="4" w:space="0" w:color="auto"/>
              <w:bottom w:val="single" w:sz="4" w:space="0" w:color="auto"/>
              <w:right w:val="single" w:sz="4" w:space="0" w:color="auto"/>
            </w:tcBorders>
            <w:shd w:val="clear" w:color="auto" w:fill="auto"/>
            <w:vAlign w:val="center"/>
          </w:tcPr>
          <w:p w14:paraId="26E27557" w14:textId="77777777" w:rsidR="00EE6FBC" w:rsidRPr="005C4568" w:rsidRDefault="00EE6FBC" w:rsidP="007C272A">
            <w:pPr>
              <w:pStyle w:val="TableHeading"/>
              <w:jc w:val="center"/>
              <w:rPr>
                <w:color w:val="auto"/>
                <w:sz w:val="22"/>
                <w:szCs w:val="22"/>
              </w:rPr>
            </w:pPr>
            <w:r w:rsidRPr="005C4568">
              <w:rPr>
                <w:color w:val="auto"/>
                <w:sz w:val="22"/>
                <w:szCs w:val="22"/>
              </w:rPr>
              <w:t>Evaluation Method</w:t>
            </w:r>
          </w:p>
        </w:tc>
      </w:tr>
      <w:tr w:rsidR="007071F3" w:rsidRPr="005C4568" w14:paraId="73559F20" w14:textId="77777777" w:rsidTr="007071F3">
        <w:trPr>
          <w:trHeight w:val="1334"/>
        </w:trPr>
        <w:tc>
          <w:tcPr>
            <w:tcW w:w="1695" w:type="dxa"/>
            <w:vMerge w:val="restart"/>
            <w:tcBorders>
              <w:top w:val="nil"/>
              <w:left w:val="single" w:sz="4" w:space="0" w:color="auto"/>
              <w:right w:val="single" w:sz="4" w:space="0" w:color="auto"/>
            </w:tcBorders>
            <w:shd w:val="clear" w:color="auto" w:fill="auto"/>
          </w:tcPr>
          <w:p w14:paraId="4CA2EF64" w14:textId="77777777" w:rsidR="007071F3" w:rsidRPr="005C4568" w:rsidRDefault="007071F3" w:rsidP="00D70C0D">
            <w:pPr>
              <w:numPr>
                <w:ilvl w:val="1"/>
                <w:numId w:val="8"/>
              </w:numPr>
              <w:rPr>
                <w:rFonts w:cs="Arial"/>
                <w:bCs/>
                <w:szCs w:val="22"/>
              </w:rPr>
            </w:pPr>
            <w:r w:rsidRPr="005C4568">
              <w:rPr>
                <w:rFonts w:cs="Arial"/>
                <w:bCs/>
                <w:szCs w:val="22"/>
              </w:rPr>
              <w:t>Timeliness</w:t>
            </w:r>
          </w:p>
        </w:tc>
        <w:tc>
          <w:tcPr>
            <w:tcW w:w="4099" w:type="dxa"/>
            <w:tcBorders>
              <w:top w:val="nil"/>
              <w:left w:val="nil"/>
              <w:bottom w:val="single" w:sz="4" w:space="0" w:color="auto"/>
              <w:right w:val="single" w:sz="4" w:space="0" w:color="auto"/>
            </w:tcBorders>
            <w:shd w:val="clear" w:color="auto" w:fill="auto"/>
          </w:tcPr>
          <w:p w14:paraId="21C6A38D" w14:textId="3DA8E293" w:rsidR="007071F3" w:rsidRPr="0044637E" w:rsidRDefault="0044637E" w:rsidP="0044637E">
            <w:pPr>
              <w:pStyle w:val="ListAlphaIndent0"/>
              <w:keepLines/>
              <w:numPr>
                <w:ilvl w:val="0"/>
                <w:numId w:val="10"/>
              </w:numPr>
              <w:spacing w:before="120" w:after="0" w:line="240" w:lineRule="auto"/>
              <w:rPr>
                <w:sz w:val="22"/>
                <w:szCs w:val="22"/>
              </w:rPr>
            </w:pPr>
            <w:r w:rsidRPr="0044637E">
              <w:rPr>
                <w:sz w:val="22"/>
                <w:szCs w:val="22"/>
              </w:rPr>
              <w:t>(a) 90% of assessment services are completed within the timeframes set out in the Agreement and any Grant Agreement.</w:t>
            </w:r>
          </w:p>
        </w:tc>
        <w:tc>
          <w:tcPr>
            <w:tcW w:w="8812" w:type="dxa"/>
            <w:tcBorders>
              <w:top w:val="nil"/>
              <w:left w:val="single" w:sz="4" w:space="0" w:color="auto"/>
              <w:bottom w:val="single" w:sz="4" w:space="0" w:color="auto"/>
              <w:right w:val="single" w:sz="4" w:space="0" w:color="auto"/>
            </w:tcBorders>
          </w:tcPr>
          <w:p w14:paraId="0054AE71" w14:textId="77777777" w:rsidR="0044637E" w:rsidRPr="0044637E" w:rsidRDefault="0044637E" w:rsidP="0044637E">
            <w:pPr>
              <w:spacing w:before="120"/>
              <w:rPr>
                <w:rFonts w:cs="Arial"/>
                <w:color w:val="000000"/>
                <w:szCs w:val="22"/>
              </w:rPr>
            </w:pPr>
            <w:r w:rsidRPr="0044637E">
              <w:rPr>
                <w:rFonts w:cs="Arial"/>
                <w:color w:val="000000"/>
                <w:szCs w:val="22"/>
              </w:rPr>
              <w:t>Percentage of submitted SWS Reports where the submitted date is on or before the SWS Contract End Date.</w:t>
            </w:r>
          </w:p>
          <w:p w14:paraId="4BB4C4D2" w14:textId="77777777" w:rsidR="0044637E" w:rsidRPr="0044637E" w:rsidRDefault="0044637E" w:rsidP="0044637E">
            <w:pPr>
              <w:spacing w:before="120"/>
              <w:rPr>
                <w:rFonts w:cs="Arial"/>
                <w:color w:val="000000"/>
                <w:szCs w:val="22"/>
              </w:rPr>
            </w:pPr>
          </w:p>
          <w:p w14:paraId="2E4DA23C" w14:textId="7A3152FE" w:rsidR="007071F3" w:rsidRPr="005C4568" w:rsidRDefault="0044637E" w:rsidP="008136F4">
            <w:pPr>
              <w:spacing w:before="120"/>
              <w:rPr>
                <w:rFonts w:cs="Arial"/>
                <w:color w:val="000000"/>
                <w:szCs w:val="22"/>
              </w:rPr>
            </w:pPr>
            <w:r w:rsidRPr="0044637E">
              <w:rPr>
                <w:rFonts w:cs="Arial"/>
                <w:color w:val="000000"/>
                <w:szCs w:val="22"/>
              </w:rPr>
              <w:t xml:space="preserve">Note: If a SWS Contract End Date is amended in response to a Panel Provider request then the KPI is measured using the amended SWS Contract </w:t>
            </w:r>
            <w:r w:rsidR="008136F4">
              <w:rPr>
                <w:rFonts w:cs="Arial"/>
                <w:color w:val="000000"/>
                <w:szCs w:val="22"/>
              </w:rPr>
              <w:t>e</w:t>
            </w:r>
            <w:r w:rsidRPr="0044637E">
              <w:rPr>
                <w:rFonts w:cs="Arial"/>
                <w:color w:val="000000"/>
                <w:szCs w:val="22"/>
              </w:rPr>
              <w:t xml:space="preserve">nd  </w:t>
            </w:r>
            <w:r w:rsidR="008136F4">
              <w:rPr>
                <w:rFonts w:cs="Arial"/>
                <w:color w:val="000000"/>
                <w:szCs w:val="22"/>
              </w:rPr>
              <w:t>d</w:t>
            </w:r>
            <w:r w:rsidRPr="0044637E">
              <w:rPr>
                <w:rFonts w:cs="Arial"/>
                <w:color w:val="000000"/>
                <w:szCs w:val="22"/>
              </w:rPr>
              <w:t>ate.</w:t>
            </w:r>
          </w:p>
        </w:tc>
      </w:tr>
      <w:tr w:rsidR="007071F3" w:rsidRPr="005C4568" w14:paraId="1AB987AC" w14:textId="77777777" w:rsidTr="007071F3">
        <w:trPr>
          <w:trHeight w:val="670"/>
        </w:trPr>
        <w:tc>
          <w:tcPr>
            <w:tcW w:w="1695" w:type="dxa"/>
            <w:vMerge/>
            <w:tcBorders>
              <w:left w:val="single" w:sz="4" w:space="0" w:color="auto"/>
              <w:right w:val="single" w:sz="4" w:space="0" w:color="auto"/>
            </w:tcBorders>
            <w:shd w:val="clear" w:color="auto" w:fill="auto"/>
          </w:tcPr>
          <w:p w14:paraId="36C68BD5" w14:textId="77777777" w:rsidR="007071F3" w:rsidRPr="00FE31C7" w:rsidRDefault="007071F3" w:rsidP="00893A3F">
            <w:pPr>
              <w:rPr>
                <w:rFonts w:cs="Arial"/>
                <w:bCs/>
                <w:szCs w:val="22"/>
              </w:rPr>
            </w:pPr>
          </w:p>
        </w:tc>
        <w:tc>
          <w:tcPr>
            <w:tcW w:w="4099" w:type="dxa"/>
            <w:tcBorders>
              <w:top w:val="nil"/>
              <w:left w:val="nil"/>
              <w:bottom w:val="single" w:sz="4" w:space="0" w:color="auto"/>
              <w:right w:val="single" w:sz="4" w:space="0" w:color="auto"/>
            </w:tcBorders>
            <w:shd w:val="clear" w:color="auto" w:fill="auto"/>
          </w:tcPr>
          <w:p w14:paraId="79EF31EF" w14:textId="5149DC80" w:rsidR="007071F3" w:rsidRPr="005C4568" w:rsidRDefault="007071F3" w:rsidP="0044637E">
            <w:pPr>
              <w:pStyle w:val="ListAlphaIndent0"/>
              <w:keepLines/>
              <w:numPr>
                <w:ilvl w:val="0"/>
                <w:numId w:val="10"/>
              </w:numPr>
              <w:spacing w:before="120" w:after="0" w:line="240" w:lineRule="auto"/>
              <w:rPr>
                <w:sz w:val="22"/>
                <w:szCs w:val="22"/>
              </w:rPr>
            </w:pPr>
            <w:r w:rsidRPr="00FE31C7">
              <w:rPr>
                <w:sz w:val="22"/>
                <w:szCs w:val="22"/>
              </w:rPr>
              <w:t xml:space="preserve">90% of allocated assessments are accepted by the </w:t>
            </w:r>
            <w:r w:rsidR="0044637E">
              <w:rPr>
                <w:sz w:val="22"/>
                <w:szCs w:val="22"/>
              </w:rPr>
              <w:t>Panel member</w:t>
            </w:r>
            <w:r w:rsidRPr="00FE31C7">
              <w:rPr>
                <w:sz w:val="22"/>
                <w:szCs w:val="22"/>
              </w:rPr>
              <w:t>.</w:t>
            </w:r>
          </w:p>
        </w:tc>
        <w:tc>
          <w:tcPr>
            <w:tcW w:w="8812" w:type="dxa"/>
            <w:tcBorders>
              <w:top w:val="nil"/>
              <w:left w:val="single" w:sz="4" w:space="0" w:color="auto"/>
              <w:bottom w:val="single" w:sz="4" w:space="0" w:color="auto"/>
              <w:right w:val="single" w:sz="4" w:space="0" w:color="auto"/>
            </w:tcBorders>
          </w:tcPr>
          <w:p w14:paraId="685B8992" w14:textId="77777777" w:rsidR="007071F3" w:rsidRPr="005C4568" w:rsidRDefault="007071F3" w:rsidP="00B56892">
            <w:pPr>
              <w:spacing w:before="120"/>
              <w:rPr>
                <w:rFonts w:cs="Arial"/>
                <w:color w:val="000000"/>
                <w:szCs w:val="22"/>
              </w:rPr>
            </w:pPr>
            <w:r w:rsidRPr="005C4568">
              <w:rPr>
                <w:rFonts w:cs="Arial"/>
                <w:color w:val="000000"/>
                <w:szCs w:val="22"/>
              </w:rPr>
              <w:t>Percentage of allocated assessments accepted.</w:t>
            </w:r>
          </w:p>
        </w:tc>
      </w:tr>
      <w:tr w:rsidR="007071F3" w:rsidRPr="005C4568" w14:paraId="3C2A6548" w14:textId="77777777" w:rsidTr="007071F3">
        <w:trPr>
          <w:trHeight w:val="1234"/>
        </w:trPr>
        <w:tc>
          <w:tcPr>
            <w:tcW w:w="1695" w:type="dxa"/>
            <w:vMerge/>
            <w:tcBorders>
              <w:left w:val="single" w:sz="4" w:space="0" w:color="auto"/>
              <w:right w:val="single" w:sz="4" w:space="0" w:color="auto"/>
            </w:tcBorders>
            <w:shd w:val="clear" w:color="auto" w:fill="auto"/>
          </w:tcPr>
          <w:p w14:paraId="5A969EF5" w14:textId="77777777" w:rsidR="007071F3" w:rsidRPr="00FE31C7" w:rsidRDefault="007071F3" w:rsidP="00893A3F">
            <w:pPr>
              <w:rPr>
                <w:rFonts w:cs="Arial"/>
                <w:bCs/>
                <w:szCs w:val="22"/>
              </w:rPr>
            </w:pPr>
          </w:p>
        </w:tc>
        <w:tc>
          <w:tcPr>
            <w:tcW w:w="4099" w:type="dxa"/>
            <w:tcBorders>
              <w:top w:val="nil"/>
              <w:left w:val="nil"/>
              <w:bottom w:val="single" w:sz="4" w:space="0" w:color="auto"/>
              <w:right w:val="single" w:sz="4" w:space="0" w:color="auto"/>
            </w:tcBorders>
            <w:shd w:val="clear" w:color="auto" w:fill="auto"/>
          </w:tcPr>
          <w:p w14:paraId="5F5D1629" w14:textId="33961374" w:rsidR="007071F3" w:rsidRPr="005C4568" w:rsidRDefault="007071F3" w:rsidP="008136F4">
            <w:pPr>
              <w:pStyle w:val="ListAlphaIndent0"/>
              <w:keepLines/>
              <w:numPr>
                <w:ilvl w:val="0"/>
                <w:numId w:val="10"/>
              </w:numPr>
              <w:spacing w:before="120" w:after="0" w:line="240" w:lineRule="auto"/>
              <w:rPr>
                <w:sz w:val="22"/>
                <w:szCs w:val="22"/>
              </w:rPr>
            </w:pPr>
            <w:r w:rsidRPr="00FE31C7">
              <w:rPr>
                <w:sz w:val="22"/>
                <w:szCs w:val="22"/>
              </w:rPr>
              <w:t>Where P</w:t>
            </w:r>
            <w:r w:rsidR="0044637E">
              <w:rPr>
                <w:sz w:val="22"/>
                <w:szCs w:val="22"/>
              </w:rPr>
              <w:t xml:space="preserve">anel </w:t>
            </w:r>
            <w:r w:rsidR="008136F4">
              <w:rPr>
                <w:sz w:val="22"/>
                <w:szCs w:val="22"/>
              </w:rPr>
              <w:t>M</w:t>
            </w:r>
            <w:r w:rsidR="0044637E">
              <w:rPr>
                <w:sz w:val="22"/>
                <w:szCs w:val="22"/>
              </w:rPr>
              <w:t>embers</w:t>
            </w:r>
            <w:r w:rsidRPr="00FE31C7">
              <w:rPr>
                <w:sz w:val="22"/>
                <w:szCs w:val="22"/>
              </w:rPr>
              <w:t xml:space="preserve"> reject allocated assessments, the P</w:t>
            </w:r>
            <w:r w:rsidR="0044637E">
              <w:rPr>
                <w:sz w:val="22"/>
                <w:szCs w:val="22"/>
              </w:rPr>
              <w:t>anel Member</w:t>
            </w:r>
            <w:r w:rsidRPr="00FE31C7">
              <w:rPr>
                <w:sz w:val="22"/>
                <w:szCs w:val="22"/>
              </w:rPr>
              <w:t xml:space="preserve"> provides acceptable reasons for all rejections.</w:t>
            </w:r>
          </w:p>
        </w:tc>
        <w:tc>
          <w:tcPr>
            <w:tcW w:w="8812" w:type="dxa"/>
            <w:tcBorders>
              <w:top w:val="nil"/>
              <w:left w:val="single" w:sz="4" w:space="0" w:color="auto"/>
              <w:bottom w:val="single" w:sz="4" w:space="0" w:color="auto"/>
              <w:right w:val="single" w:sz="4" w:space="0" w:color="auto"/>
            </w:tcBorders>
          </w:tcPr>
          <w:p w14:paraId="4A30BAC4" w14:textId="183FDFB3" w:rsidR="007071F3" w:rsidRPr="005C4568" w:rsidRDefault="007071F3" w:rsidP="00B56892">
            <w:pPr>
              <w:spacing w:before="120"/>
              <w:rPr>
                <w:rFonts w:cs="Arial"/>
                <w:color w:val="000000"/>
                <w:szCs w:val="22"/>
              </w:rPr>
            </w:pPr>
            <w:r w:rsidRPr="005C4568">
              <w:rPr>
                <w:rFonts w:cs="Arial"/>
                <w:color w:val="000000"/>
                <w:szCs w:val="22"/>
              </w:rPr>
              <w:t>Number of allocated assessments not accepted, without an acceptable reason.</w:t>
            </w:r>
          </w:p>
          <w:p w14:paraId="4A79C293" w14:textId="5AFF8179" w:rsidR="007071F3" w:rsidRPr="005C4568" w:rsidRDefault="007071F3" w:rsidP="00EE2E5B">
            <w:pPr>
              <w:spacing w:before="120"/>
              <w:rPr>
                <w:rFonts w:cs="Arial"/>
                <w:color w:val="000000"/>
                <w:szCs w:val="22"/>
              </w:rPr>
            </w:pPr>
            <w:r w:rsidRPr="005C4568">
              <w:rPr>
                <w:rFonts w:cs="Arial"/>
                <w:color w:val="000000"/>
                <w:szCs w:val="22"/>
              </w:rPr>
              <w:t xml:space="preserve">Where a </w:t>
            </w:r>
            <w:r w:rsidR="00CC6D7A" w:rsidRPr="005C4568">
              <w:rPr>
                <w:rFonts w:cs="Arial"/>
                <w:color w:val="000000"/>
                <w:szCs w:val="22"/>
              </w:rPr>
              <w:t>P</w:t>
            </w:r>
            <w:r w:rsidRPr="005C4568">
              <w:rPr>
                <w:rFonts w:cs="Arial"/>
                <w:color w:val="000000"/>
                <w:szCs w:val="22"/>
              </w:rPr>
              <w:t xml:space="preserve">rovider does not accept an allocated assessment, the Department will consider the acceptability of the reason provided. The Department will contact the </w:t>
            </w:r>
            <w:r w:rsidR="00EE2E5B" w:rsidRPr="005C4568">
              <w:rPr>
                <w:rFonts w:cs="Arial"/>
                <w:color w:val="000000"/>
                <w:szCs w:val="22"/>
              </w:rPr>
              <w:t>P</w:t>
            </w:r>
            <w:r w:rsidRPr="005C4568">
              <w:rPr>
                <w:rFonts w:cs="Arial"/>
                <w:color w:val="000000"/>
                <w:szCs w:val="22"/>
              </w:rPr>
              <w:t>rovider for clarification if the reason provided does not appear acceptable.</w:t>
            </w:r>
          </w:p>
        </w:tc>
      </w:tr>
      <w:tr w:rsidR="007071F3" w:rsidRPr="005C4568" w14:paraId="188F79C3" w14:textId="77777777" w:rsidTr="007071F3">
        <w:trPr>
          <w:trHeight w:val="1530"/>
        </w:trPr>
        <w:tc>
          <w:tcPr>
            <w:tcW w:w="1695" w:type="dxa"/>
            <w:vMerge/>
            <w:tcBorders>
              <w:left w:val="single" w:sz="4" w:space="0" w:color="auto"/>
              <w:bottom w:val="single" w:sz="4" w:space="0" w:color="auto"/>
              <w:right w:val="single" w:sz="4" w:space="0" w:color="auto"/>
            </w:tcBorders>
            <w:shd w:val="clear" w:color="auto" w:fill="auto"/>
          </w:tcPr>
          <w:p w14:paraId="417C59DE" w14:textId="77777777" w:rsidR="007071F3" w:rsidRPr="00FE31C7" w:rsidRDefault="007071F3" w:rsidP="00893A3F">
            <w:pPr>
              <w:rPr>
                <w:rFonts w:cs="Arial"/>
                <w:bCs/>
                <w:szCs w:val="22"/>
              </w:rPr>
            </w:pPr>
          </w:p>
        </w:tc>
        <w:tc>
          <w:tcPr>
            <w:tcW w:w="4099" w:type="dxa"/>
            <w:tcBorders>
              <w:top w:val="nil"/>
              <w:left w:val="nil"/>
              <w:bottom w:val="single" w:sz="4" w:space="0" w:color="auto"/>
              <w:right w:val="single" w:sz="4" w:space="0" w:color="auto"/>
            </w:tcBorders>
            <w:shd w:val="clear" w:color="auto" w:fill="auto"/>
          </w:tcPr>
          <w:p w14:paraId="5A9063E7" w14:textId="2BAA5598" w:rsidR="007071F3" w:rsidRPr="005C4568" w:rsidRDefault="007071F3" w:rsidP="00A50267">
            <w:pPr>
              <w:pStyle w:val="ListAlphaIndent0"/>
              <w:keepLines/>
              <w:numPr>
                <w:ilvl w:val="0"/>
                <w:numId w:val="10"/>
              </w:numPr>
              <w:spacing w:before="120" w:after="0"/>
              <w:rPr>
                <w:sz w:val="22"/>
                <w:szCs w:val="22"/>
              </w:rPr>
            </w:pPr>
            <w:r w:rsidRPr="00FE31C7">
              <w:rPr>
                <w:sz w:val="22"/>
                <w:szCs w:val="22"/>
              </w:rPr>
              <w:t xml:space="preserve">Where </w:t>
            </w:r>
            <w:r w:rsidR="00CC6D7A" w:rsidRPr="00FE31C7">
              <w:rPr>
                <w:sz w:val="22"/>
                <w:szCs w:val="22"/>
              </w:rPr>
              <w:t xml:space="preserve">the </w:t>
            </w:r>
            <w:r w:rsidRPr="00FE31C7">
              <w:rPr>
                <w:sz w:val="22"/>
                <w:szCs w:val="22"/>
              </w:rPr>
              <w:t>D</w:t>
            </w:r>
            <w:r w:rsidR="00CC6D7A" w:rsidRPr="00FE31C7">
              <w:rPr>
                <w:sz w:val="22"/>
                <w:szCs w:val="22"/>
              </w:rPr>
              <w:t>epartment</w:t>
            </w:r>
            <w:r w:rsidRPr="00FE31C7">
              <w:rPr>
                <w:sz w:val="22"/>
                <w:szCs w:val="22"/>
              </w:rPr>
              <w:t xml:space="preserve"> has returned </w:t>
            </w:r>
            <w:r w:rsidR="00CC6D7A" w:rsidRPr="00FE31C7">
              <w:rPr>
                <w:sz w:val="22"/>
                <w:szCs w:val="22"/>
              </w:rPr>
              <w:t>SWS</w:t>
            </w:r>
            <w:r w:rsidRPr="00FE31C7">
              <w:rPr>
                <w:sz w:val="22"/>
                <w:szCs w:val="22"/>
              </w:rPr>
              <w:t xml:space="preserve"> Reports to the Panel Provider for corrective action, all subsequent reports are finalised and submitted to the Department within five </w:t>
            </w:r>
            <w:r w:rsidR="00A50267">
              <w:rPr>
                <w:sz w:val="22"/>
                <w:szCs w:val="22"/>
              </w:rPr>
              <w:t>b</w:t>
            </w:r>
            <w:r w:rsidR="00A50267" w:rsidRPr="00FE31C7">
              <w:rPr>
                <w:sz w:val="22"/>
                <w:szCs w:val="22"/>
              </w:rPr>
              <w:t xml:space="preserve">usiness </w:t>
            </w:r>
            <w:r w:rsidR="00A50267">
              <w:rPr>
                <w:sz w:val="22"/>
                <w:szCs w:val="22"/>
              </w:rPr>
              <w:t>d</w:t>
            </w:r>
            <w:r w:rsidR="00A50267" w:rsidRPr="00FE31C7">
              <w:rPr>
                <w:sz w:val="22"/>
                <w:szCs w:val="22"/>
              </w:rPr>
              <w:t xml:space="preserve">ays </w:t>
            </w:r>
            <w:r w:rsidRPr="00FE31C7">
              <w:rPr>
                <w:sz w:val="22"/>
                <w:szCs w:val="22"/>
              </w:rPr>
              <w:t>of receipt of request by the Provider</w:t>
            </w:r>
            <w:r w:rsidR="0044637E">
              <w:rPr>
                <w:sz w:val="22"/>
                <w:szCs w:val="22"/>
              </w:rPr>
              <w:t xml:space="preserve"> for SWS</w:t>
            </w:r>
            <w:r w:rsidRPr="00FE31C7">
              <w:rPr>
                <w:sz w:val="22"/>
                <w:szCs w:val="22"/>
              </w:rPr>
              <w:t>.</w:t>
            </w:r>
          </w:p>
        </w:tc>
        <w:tc>
          <w:tcPr>
            <w:tcW w:w="8812" w:type="dxa"/>
            <w:tcBorders>
              <w:top w:val="nil"/>
              <w:left w:val="single" w:sz="4" w:space="0" w:color="auto"/>
              <w:bottom w:val="single" w:sz="4" w:space="0" w:color="auto"/>
              <w:right w:val="single" w:sz="4" w:space="0" w:color="auto"/>
            </w:tcBorders>
          </w:tcPr>
          <w:p w14:paraId="70556EFB" w14:textId="39441848" w:rsidR="007071F3" w:rsidRPr="005C4568" w:rsidRDefault="007071F3" w:rsidP="00EE2E5B">
            <w:pPr>
              <w:spacing w:before="120"/>
              <w:rPr>
                <w:rFonts w:cs="Arial"/>
                <w:color w:val="000000"/>
                <w:szCs w:val="22"/>
              </w:rPr>
            </w:pPr>
            <w:r w:rsidRPr="005C4568">
              <w:rPr>
                <w:rFonts w:cs="Arial"/>
                <w:color w:val="000000"/>
                <w:szCs w:val="22"/>
              </w:rPr>
              <w:t xml:space="preserve">Number of SWS Reports declined by the Department and re-submitted by the </w:t>
            </w:r>
            <w:r w:rsidR="00CC6D7A" w:rsidRPr="005C4568">
              <w:rPr>
                <w:rFonts w:cs="Arial"/>
                <w:color w:val="000000"/>
                <w:szCs w:val="22"/>
              </w:rPr>
              <w:t>P</w:t>
            </w:r>
            <w:r w:rsidRPr="005C4568">
              <w:rPr>
                <w:rFonts w:cs="Arial"/>
                <w:color w:val="000000"/>
                <w:szCs w:val="22"/>
              </w:rPr>
              <w:t xml:space="preserve">rovider greater than five Business Days later, where the reasons are </w:t>
            </w:r>
            <w:r w:rsidR="00E8488C">
              <w:rPr>
                <w:rFonts w:cs="Arial"/>
                <w:color w:val="000000"/>
                <w:szCs w:val="22"/>
              </w:rPr>
              <w:t xml:space="preserve">not </w:t>
            </w:r>
            <w:r w:rsidRPr="005C4568">
              <w:rPr>
                <w:rFonts w:cs="Arial"/>
                <w:color w:val="000000"/>
                <w:szCs w:val="22"/>
              </w:rPr>
              <w:t xml:space="preserve">outside the </w:t>
            </w:r>
            <w:r w:rsidR="00EE2E5B" w:rsidRPr="005C4568">
              <w:rPr>
                <w:rFonts w:cs="Arial"/>
                <w:color w:val="000000"/>
                <w:szCs w:val="22"/>
              </w:rPr>
              <w:t>A</w:t>
            </w:r>
            <w:r w:rsidRPr="005C4568">
              <w:rPr>
                <w:rFonts w:cs="Arial"/>
                <w:color w:val="000000"/>
                <w:szCs w:val="22"/>
              </w:rPr>
              <w:t>ssessor’s control. E.g. the employee is unavailable.</w:t>
            </w:r>
          </w:p>
        </w:tc>
      </w:tr>
      <w:tr w:rsidR="00893A3F" w:rsidRPr="005C4568" w14:paraId="003992ED" w14:textId="77777777" w:rsidTr="00CC6D7A">
        <w:trPr>
          <w:trHeight w:val="1156"/>
        </w:trPr>
        <w:tc>
          <w:tcPr>
            <w:tcW w:w="1695" w:type="dxa"/>
            <w:tcBorders>
              <w:top w:val="nil"/>
              <w:left w:val="single" w:sz="4" w:space="0" w:color="auto"/>
              <w:bottom w:val="single" w:sz="4" w:space="0" w:color="auto"/>
              <w:right w:val="single" w:sz="4" w:space="0" w:color="auto"/>
            </w:tcBorders>
            <w:shd w:val="clear" w:color="auto" w:fill="auto"/>
          </w:tcPr>
          <w:p w14:paraId="533EFAF1" w14:textId="77777777" w:rsidR="00893A3F" w:rsidRPr="005C4568" w:rsidRDefault="00893A3F" w:rsidP="00D70C0D">
            <w:pPr>
              <w:numPr>
                <w:ilvl w:val="1"/>
                <w:numId w:val="21"/>
              </w:numPr>
              <w:rPr>
                <w:rFonts w:cs="Calibri"/>
                <w:szCs w:val="22"/>
              </w:rPr>
            </w:pPr>
            <w:r w:rsidRPr="005C4568">
              <w:rPr>
                <w:rFonts w:cs="Arial"/>
                <w:bCs/>
                <w:szCs w:val="22"/>
              </w:rPr>
              <w:t>Accurate individualised assessments</w:t>
            </w:r>
          </w:p>
        </w:tc>
        <w:tc>
          <w:tcPr>
            <w:tcW w:w="4099" w:type="dxa"/>
            <w:tcBorders>
              <w:top w:val="nil"/>
              <w:left w:val="nil"/>
              <w:bottom w:val="single" w:sz="4" w:space="0" w:color="auto"/>
              <w:right w:val="single" w:sz="4" w:space="0" w:color="auto"/>
            </w:tcBorders>
            <w:shd w:val="clear" w:color="auto" w:fill="auto"/>
          </w:tcPr>
          <w:p w14:paraId="322DC5DF" w14:textId="18DC7943" w:rsidR="00480F63" w:rsidRPr="00773D93" w:rsidRDefault="00893A3F" w:rsidP="00773D93">
            <w:pPr>
              <w:pStyle w:val="ListAlphaIndent0"/>
              <w:keepLines/>
              <w:numPr>
                <w:ilvl w:val="0"/>
                <w:numId w:val="25"/>
              </w:numPr>
              <w:spacing w:before="120" w:after="0" w:line="240" w:lineRule="auto"/>
              <w:rPr>
                <w:rFonts w:cs="Arial"/>
                <w:sz w:val="22"/>
                <w:szCs w:val="22"/>
              </w:rPr>
            </w:pPr>
            <w:r w:rsidRPr="00773D93">
              <w:rPr>
                <w:rFonts w:cs="Arial"/>
                <w:sz w:val="22"/>
                <w:szCs w:val="22"/>
              </w:rPr>
              <w:t xml:space="preserve">Assessments are conducted in a manner that responds to the </w:t>
            </w:r>
            <w:r w:rsidR="00CC6D7A" w:rsidRPr="00773D93">
              <w:rPr>
                <w:rFonts w:cs="Arial"/>
                <w:sz w:val="22"/>
                <w:szCs w:val="22"/>
              </w:rPr>
              <w:t>Participant’s</w:t>
            </w:r>
            <w:r w:rsidRPr="00773D93">
              <w:rPr>
                <w:rFonts w:cs="Arial"/>
                <w:sz w:val="22"/>
                <w:szCs w:val="22"/>
              </w:rPr>
              <w:t xml:space="preserve"> circumstances, measured by:</w:t>
            </w:r>
          </w:p>
          <w:p w14:paraId="210CB915" w14:textId="7F4C794C" w:rsidR="00893A3F" w:rsidRPr="005C4568" w:rsidRDefault="00CC6D7A" w:rsidP="00B56892">
            <w:pPr>
              <w:pStyle w:val="ListAlphaIndent0"/>
              <w:keepLines/>
              <w:numPr>
                <w:ilvl w:val="0"/>
                <w:numId w:val="7"/>
              </w:numPr>
              <w:spacing w:before="120" w:after="0" w:line="240" w:lineRule="auto"/>
              <w:ind w:left="764" w:hanging="425"/>
              <w:rPr>
                <w:rFonts w:cs="Arial"/>
                <w:sz w:val="22"/>
                <w:szCs w:val="22"/>
              </w:rPr>
            </w:pPr>
            <w:r w:rsidRPr="005C4568">
              <w:rPr>
                <w:rFonts w:cs="Arial"/>
                <w:sz w:val="22"/>
                <w:szCs w:val="22"/>
              </w:rPr>
              <w:lastRenderedPageBreak/>
              <w:t>The Department</w:t>
            </w:r>
            <w:r w:rsidR="00893A3F" w:rsidRPr="005C4568">
              <w:rPr>
                <w:rFonts w:cs="Arial"/>
                <w:sz w:val="22"/>
                <w:szCs w:val="22"/>
              </w:rPr>
              <w:t xml:space="preserve"> sampling of assessment reports</w:t>
            </w:r>
          </w:p>
          <w:p w14:paraId="00250F88" w14:textId="77777777" w:rsidR="00893A3F" w:rsidRPr="005C4568" w:rsidRDefault="00893A3F" w:rsidP="00B56892">
            <w:pPr>
              <w:pStyle w:val="ListAlphaIndent0"/>
              <w:keepLines/>
              <w:numPr>
                <w:ilvl w:val="0"/>
                <w:numId w:val="7"/>
              </w:numPr>
              <w:spacing w:before="120" w:after="0" w:line="240" w:lineRule="auto"/>
              <w:ind w:left="764" w:hanging="425"/>
              <w:rPr>
                <w:rFonts w:cs="Arial"/>
                <w:sz w:val="22"/>
                <w:szCs w:val="22"/>
              </w:rPr>
            </w:pPr>
            <w:r w:rsidRPr="005C4568">
              <w:rPr>
                <w:rFonts w:cs="Arial"/>
                <w:sz w:val="22"/>
                <w:szCs w:val="22"/>
              </w:rPr>
              <w:t>taking into consideration where there is a higher than average level of appealed decisions that are overturned.</w:t>
            </w:r>
          </w:p>
        </w:tc>
        <w:tc>
          <w:tcPr>
            <w:tcW w:w="8812" w:type="dxa"/>
            <w:tcBorders>
              <w:top w:val="nil"/>
              <w:left w:val="single" w:sz="4" w:space="0" w:color="auto"/>
              <w:bottom w:val="single" w:sz="4" w:space="0" w:color="auto"/>
              <w:right w:val="single" w:sz="4" w:space="0" w:color="auto"/>
            </w:tcBorders>
          </w:tcPr>
          <w:p w14:paraId="0AB56B00" w14:textId="207E4D9D" w:rsidR="002635E9" w:rsidRPr="005C4568" w:rsidRDefault="00CC6D7A" w:rsidP="00B56892">
            <w:pPr>
              <w:spacing w:before="120"/>
              <w:rPr>
                <w:rFonts w:cs="Arial"/>
                <w:szCs w:val="22"/>
              </w:rPr>
            </w:pPr>
            <w:r w:rsidRPr="005C4568">
              <w:rPr>
                <w:rFonts w:cs="Arial"/>
                <w:szCs w:val="22"/>
              </w:rPr>
              <w:lastRenderedPageBreak/>
              <w:t xml:space="preserve">The </w:t>
            </w:r>
            <w:r w:rsidR="006D09F9" w:rsidRPr="005C4568">
              <w:rPr>
                <w:rFonts w:cs="Arial"/>
                <w:szCs w:val="22"/>
              </w:rPr>
              <w:t>D</w:t>
            </w:r>
            <w:r w:rsidRPr="005C4568">
              <w:rPr>
                <w:rFonts w:cs="Arial"/>
                <w:szCs w:val="22"/>
              </w:rPr>
              <w:t>epartment</w:t>
            </w:r>
            <w:r w:rsidR="006D09F9" w:rsidRPr="005C4568">
              <w:rPr>
                <w:rFonts w:cs="Arial"/>
                <w:szCs w:val="22"/>
              </w:rPr>
              <w:t xml:space="preserve"> will review </w:t>
            </w:r>
            <w:r w:rsidR="00F25A68" w:rsidRPr="005C4568">
              <w:rPr>
                <w:rFonts w:cs="Arial"/>
                <w:szCs w:val="22"/>
              </w:rPr>
              <w:t xml:space="preserve">submitted </w:t>
            </w:r>
            <w:r w:rsidR="006D09F9" w:rsidRPr="005C4568">
              <w:rPr>
                <w:rFonts w:cs="Arial"/>
                <w:szCs w:val="22"/>
              </w:rPr>
              <w:t>SWS R</w:t>
            </w:r>
            <w:r w:rsidR="00A52CAF" w:rsidRPr="005C4568">
              <w:rPr>
                <w:rFonts w:cs="Arial"/>
                <w:szCs w:val="22"/>
              </w:rPr>
              <w:t>eports, and all reported feedback and complaints about SWS assessments.</w:t>
            </w:r>
          </w:p>
          <w:p w14:paraId="6CD69C5D" w14:textId="77777777" w:rsidR="00893A3F" w:rsidRPr="005C4568" w:rsidRDefault="00480F63" w:rsidP="00B56892">
            <w:pPr>
              <w:spacing w:before="120"/>
              <w:rPr>
                <w:rFonts w:cs="Arial"/>
                <w:szCs w:val="22"/>
              </w:rPr>
            </w:pPr>
            <w:r w:rsidRPr="005C4568">
              <w:rPr>
                <w:rFonts w:cs="Arial"/>
                <w:szCs w:val="22"/>
              </w:rPr>
              <w:t xml:space="preserve">Where a </w:t>
            </w:r>
            <w:r w:rsidR="00CC6D7A" w:rsidRPr="005C4568">
              <w:rPr>
                <w:rFonts w:cs="Arial"/>
                <w:szCs w:val="22"/>
              </w:rPr>
              <w:t>P</w:t>
            </w:r>
            <w:r w:rsidRPr="005C4568">
              <w:rPr>
                <w:rFonts w:cs="Arial"/>
                <w:szCs w:val="22"/>
              </w:rPr>
              <w:t>rovider has had a significant number of disputed reports</w:t>
            </w:r>
            <w:r w:rsidR="00CC6D7A" w:rsidRPr="005C4568">
              <w:rPr>
                <w:rFonts w:cs="Arial"/>
                <w:szCs w:val="22"/>
              </w:rPr>
              <w:t>,</w:t>
            </w:r>
            <w:r w:rsidRPr="005C4568">
              <w:rPr>
                <w:rFonts w:cs="Arial"/>
                <w:szCs w:val="22"/>
              </w:rPr>
              <w:t xml:space="preserve"> </w:t>
            </w:r>
            <w:r w:rsidR="00CC6D7A" w:rsidRPr="005C4568">
              <w:rPr>
                <w:rFonts w:cs="Arial"/>
                <w:szCs w:val="22"/>
              </w:rPr>
              <w:t xml:space="preserve">the </w:t>
            </w:r>
            <w:r w:rsidRPr="005C4568">
              <w:rPr>
                <w:rFonts w:cs="Arial"/>
                <w:szCs w:val="22"/>
              </w:rPr>
              <w:t>D</w:t>
            </w:r>
            <w:r w:rsidR="00CC6D7A" w:rsidRPr="005C4568">
              <w:rPr>
                <w:rFonts w:cs="Arial"/>
                <w:szCs w:val="22"/>
              </w:rPr>
              <w:t>epartment</w:t>
            </w:r>
            <w:r w:rsidRPr="005C4568">
              <w:rPr>
                <w:rFonts w:cs="Arial"/>
                <w:szCs w:val="22"/>
              </w:rPr>
              <w:t xml:space="preserve"> will arrange a performance discussion to facilitate improvement, if required.</w:t>
            </w:r>
          </w:p>
        </w:tc>
      </w:tr>
      <w:tr w:rsidR="00893A3F" w:rsidRPr="005C4568" w14:paraId="19FA2F2E" w14:textId="77777777" w:rsidTr="007071F3">
        <w:trPr>
          <w:trHeight w:val="639"/>
        </w:trPr>
        <w:tc>
          <w:tcPr>
            <w:tcW w:w="1695" w:type="dxa"/>
            <w:tcBorders>
              <w:top w:val="nil"/>
              <w:left w:val="single" w:sz="4" w:space="0" w:color="auto"/>
              <w:bottom w:val="single" w:sz="4" w:space="0" w:color="auto"/>
              <w:right w:val="single" w:sz="4" w:space="0" w:color="auto"/>
            </w:tcBorders>
            <w:shd w:val="clear" w:color="auto" w:fill="auto"/>
          </w:tcPr>
          <w:p w14:paraId="3BC63A62" w14:textId="77777777" w:rsidR="00893A3F" w:rsidRPr="005C4568" w:rsidRDefault="00893A3F" w:rsidP="00D70C0D">
            <w:pPr>
              <w:numPr>
                <w:ilvl w:val="1"/>
                <w:numId w:val="22"/>
              </w:numPr>
              <w:rPr>
                <w:rFonts w:cs="Calibri"/>
                <w:szCs w:val="22"/>
              </w:rPr>
            </w:pPr>
            <w:r w:rsidRPr="005C4568">
              <w:rPr>
                <w:rFonts w:cs="Arial"/>
                <w:bCs/>
                <w:szCs w:val="22"/>
              </w:rPr>
              <w:t>Thorough assessment reports</w:t>
            </w:r>
          </w:p>
        </w:tc>
        <w:tc>
          <w:tcPr>
            <w:tcW w:w="4099" w:type="dxa"/>
            <w:tcBorders>
              <w:top w:val="nil"/>
              <w:left w:val="nil"/>
              <w:bottom w:val="single" w:sz="4" w:space="0" w:color="auto"/>
              <w:right w:val="single" w:sz="4" w:space="0" w:color="auto"/>
            </w:tcBorders>
            <w:shd w:val="clear" w:color="auto" w:fill="auto"/>
          </w:tcPr>
          <w:p w14:paraId="3EBA827E" w14:textId="2FED2EE3" w:rsidR="00480F63" w:rsidRPr="005C4568" w:rsidRDefault="00893A3F" w:rsidP="00A50267">
            <w:pPr>
              <w:pStyle w:val="ListAlphaIndent0"/>
              <w:keepLines/>
              <w:spacing w:before="120" w:after="0" w:line="240" w:lineRule="auto"/>
              <w:rPr>
                <w:rFonts w:cs="Arial"/>
                <w:sz w:val="22"/>
                <w:szCs w:val="22"/>
              </w:rPr>
            </w:pPr>
            <w:r w:rsidRPr="005C4568">
              <w:rPr>
                <w:rFonts w:cs="Arial"/>
                <w:sz w:val="22"/>
                <w:szCs w:val="22"/>
              </w:rPr>
              <w:t xml:space="preserve"> 90</w:t>
            </w:r>
            <w:r w:rsidR="00A50267">
              <w:rPr>
                <w:rFonts w:cs="Arial"/>
                <w:sz w:val="22"/>
                <w:szCs w:val="22"/>
              </w:rPr>
              <w:t>%</w:t>
            </w:r>
            <w:r w:rsidRPr="005C4568">
              <w:rPr>
                <w:rFonts w:cs="Arial"/>
                <w:sz w:val="22"/>
                <w:szCs w:val="22"/>
              </w:rPr>
              <w:t xml:space="preserve"> of </w:t>
            </w:r>
            <w:r w:rsidR="00CC6D7A" w:rsidRPr="005C4568">
              <w:rPr>
                <w:rFonts w:cs="Arial"/>
                <w:sz w:val="22"/>
                <w:szCs w:val="22"/>
              </w:rPr>
              <w:t>SWS A</w:t>
            </w:r>
            <w:r w:rsidRPr="005C4568">
              <w:rPr>
                <w:rFonts w:cs="Arial"/>
                <w:sz w:val="22"/>
                <w:szCs w:val="22"/>
              </w:rPr>
              <w:t xml:space="preserve">ssessment reports sampled by </w:t>
            </w:r>
            <w:r w:rsidR="00CC6D7A" w:rsidRPr="005C4568">
              <w:rPr>
                <w:rFonts w:cs="Arial"/>
                <w:sz w:val="22"/>
                <w:szCs w:val="22"/>
              </w:rPr>
              <w:t xml:space="preserve">the </w:t>
            </w:r>
            <w:r w:rsidRPr="005C4568">
              <w:rPr>
                <w:rFonts w:cs="Arial"/>
                <w:sz w:val="22"/>
                <w:szCs w:val="22"/>
              </w:rPr>
              <w:t>D</w:t>
            </w:r>
            <w:r w:rsidR="00CC6D7A" w:rsidRPr="005C4568">
              <w:rPr>
                <w:rFonts w:cs="Arial"/>
                <w:sz w:val="22"/>
                <w:szCs w:val="22"/>
              </w:rPr>
              <w:t>epartment</w:t>
            </w:r>
            <w:r w:rsidRPr="005C4568">
              <w:rPr>
                <w:rFonts w:cs="Arial"/>
                <w:sz w:val="22"/>
                <w:szCs w:val="22"/>
              </w:rPr>
              <w:t xml:space="preserve"> are accepted as complete, without requiring further work.</w:t>
            </w:r>
          </w:p>
        </w:tc>
        <w:tc>
          <w:tcPr>
            <w:tcW w:w="8812" w:type="dxa"/>
            <w:tcBorders>
              <w:top w:val="nil"/>
              <w:left w:val="single" w:sz="4" w:space="0" w:color="auto"/>
              <w:bottom w:val="single" w:sz="4" w:space="0" w:color="auto"/>
              <w:right w:val="single" w:sz="4" w:space="0" w:color="auto"/>
            </w:tcBorders>
          </w:tcPr>
          <w:p w14:paraId="142CE92D" w14:textId="77777777" w:rsidR="00893A3F" w:rsidRPr="005C4568" w:rsidRDefault="00BD20B2" w:rsidP="00B56892">
            <w:pPr>
              <w:spacing w:before="120"/>
              <w:rPr>
                <w:rFonts w:cs="Arial"/>
                <w:szCs w:val="22"/>
              </w:rPr>
            </w:pPr>
            <w:r w:rsidRPr="005C4568">
              <w:rPr>
                <w:rFonts w:cs="Arial"/>
                <w:color w:val="000000"/>
                <w:szCs w:val="22"/>
              </w:rPr>
              <w:t xml:space="preserve">Percentage </w:t>
            </w:r>
            <w:r w:rsidR="00EE4961" w:rsidRPr="005C4568">
              <w:rPr>
                <w:rFonts w:cs="Arial"/>
                <w:szCs w:val="22"/>
              </w:rPr>
              <w:t xml:space="preserve">of SWS </w:t>
            </w:r>
            <w:r w:rsidR="00893A3F" w:rsidRPr="005C4568">
              <w:rPr>
                <w:rFonts w:cs="Arial"/>
                <w:szCs w:val="22"/>
              </w:rPr>
              <w:t>Report</w:t>
            </w:r>
            <w:r w:rsidR="006D09F9" w:rsidRPr="005C4568">
              <w:rPr>
                <w:rFonts w:cs="Arial"/>
                <w:szCs w:val="22"/>
              </w:rPr>
              <w:t xml:space="preserve">s </w:t>
            </w:r>
            <w:r w:rsidR="00F25A68" w:rsidRPr="005C4568">
              <w:rPr>
                <w:rFonts w:cs="Arial"/>
                <w:szCs w:val="22"/>
              </w:rPr>
              <w:t xml:space="preserve">accepted by </w:t>
            </w:r>
            <w:r w:rsidR="00CC6D7A" w:rsidRPr="005C4568">
              <w:rPr>
                <w:rFonts w:cs="Arial"/>
                <w:szCs w:val="22"/>
              </w:rPr>
              <w:t xml:space="preserve">the </w:t>
            </w:r>
            <w:r w:rsidR="00F25A68" w:rsidRPr="005C4568">
              <w:rPr>
                <w:rFonts w:cs="Arial"/>
                <w:szCs w:val="22"/>
              </w:rPr>
              <w:t>D</w:t>
            </w:r>
            <w:r w:rsidR="00CC6D7A" w:rsidRPr="005C4568">
              <w:rPr>
                <w:rFonts w:cs="Arial"/>
                <w:szCs w:val="22"/>
              </w:rPr>
              <w:t>epartment</w:t>
            </w:r>
            <w:r w:rsidR="00F25A68" w:rsidRPr="005C4568">
              <w:rPr>
                <w:rFonts w:cs="Arial"/>
                <w:szCs w:val="22"/>
              </w:rPr>
              <w:t xml:space="preserve"> as being of </w:t>
            </w:r>
            <w:r w:rsidR="00EE4961" w:rsidRPr="005C4568">
              <w:rPr>
                <w:rFonts w:cs="Arial"/>
                <w:szCs w:val="22"/>
              </w:rPr>
              <w:t xml:space="preserve">acceptable </w:t>
            </w:r>
            <w:r w:rsidR="006D09F9" w:rsidRPr="005C4568">
              <w:rPr>
                <w:rFonts w:cs="Arial"/>
                <w:szCs w:val="22"/>
              </w:rPr>
              <w:t>quality</w:t>
            </w:r>
            <w:r w:rsidR="00EE4961" w:rsidRPr="005C4568">
              <w:rPr>
                <w:rFonts w:cs="Arial"/>
                <w:szCs w:val="22"/>
              </w:rPr>
              <w:t>, not requiring further work.</w:t>
            </w:r>
            <w:r w:rsidR="008E1F03" w:rsidRPr="005C4568">
              <w:rPr>
                <w:rFonts w:cs="Arial"/>
                <w:szCs w:val="22"/>
              </w:rPr>
              <w:t xml:space="preserve"> </w:t>
            </w:r>
            <w:r w:rsidR="000F7AA2" w:rsidRPr="005C4568">
              <w:rPr>
                <w:rFonts w:cs="Arial"/>
                <w:szCs w:val="22"/>
              </w:rPr>
              <w:t xml:space="preserve">If a </w:t>
            </w:r>
            <w:r w:rsidR="008E1F03" w:rsidRPr="005C4568">
              <w:rPr>
                <w:rFonts w:cs="Arial"/>
                <w:szCs w:val="22"/>
              </w:rPr>
              <w:t xml:space="preserve">SWS Report is declined by </w:t>
            </w:r>
            <w:r w:rsidR="00CC6D7A" w:rsidRPr="005C4568">
              <w:rPr>
                <w:rFonts w:cs="Arial"/>
                <w:szCs w:val="22"/>
              </w:rPr>
              <w:t xml:space="preserve">the </w:t>
            </w:r>
            <w:r w:rsidR="008E1F03" w:rsidRPr="005C4568">
              <w:rPr>
                <w:rFonts w:cs="Arial"/>
                <w:szCs w:val="22"/>
              </w:rPr>
              <w:t>D</w:t>
            </w:r>
            <w:r w:rsidR="00CC6D7A" w:rsidRPr="005C4568">
              <w:rPr>
                <w:rFonts w:cs="Arial"/>
                <w:szCs w:val="22"/>
              </w:rPr>
              <w:t>epartment</w:t>
            </w:r>
            <w:r w:rsidR="008E1F03" w:rsidRPr="005C4568">
              <w:rPr>
                <w:rFonts w:cs="Arial"/>
                <w:szCs w:val="22"/>
              </w:rPr>
              <w:t xml:space="preserve"> due to an error or omission then the Report</w:t>
            </w:r>
            <w:r w:rsidR="000F7AA2" w:rsidRPr="005C4568">
              <w:rPr>
                <w:rFonts w:cs="Arial"/>
                <w:szCs w:val="22"/>
              </w:rPr>
              <w:t xml:space="preserve"> is considered to require further work.</w:t>
            </w:r>
          </w:p>
        </w:tc>
      </w:tr>
      <w:tr w:rsidR="00A52CAF" w:rsidRPr="005C4568" w14:paraId="6AC140E1" w14:textId="77777777" w:rsidTr="007071F3">
        <w:trPr>
          <w:trHeight w:val="639"/>
        </w:trPr>
        <w:tc>
          <w:tcPr>
            <w:tcW w:w="1695" w:type="dxa"/>
            <w:tcBorders>
              <w:top w:val="nil"/>
              <w:left w:val="single" w:sz="4" w:space="0" w:color="auto"/>
              <w:bottom w:val="single" w:sz="4" w:space="0" w:color="auto"/>
              <w:right w:val="single" w:sz="4" w:space="0" w:color="auto"/>
            </w:tcBorders>
            <w:shd w:val="clear" w:color="auto" w:fill="auto"/>
          </w:tcPr>
          <w:p w14:paraId="2DF0A44B" w14:textId="6A5619AA" w:rsidR="00A52CAF" w:rsidRPr="005C4568" w:rsidRDefault="00A52CAF" w:rsidP="002706BF">
            <w:pPr>
              <w:pStyle w:val="Default"/>
              <w:spacing w:before="120"/>
              <w:rPr>
                <w:sz w:val="22"/>
                <w:szCs w:val="22"/>
              </w:rPr>
            </w:pPr>
          </w:p>
        </w:tc>
        <w:tc>
          <w:tcPr>
            <w:tcW w:w="4099" w:type="dxa"/>
            <w:tcBorders>
              <w:top w:val="nil"/>
              <w:left w:val="nil"/>
              <w:bottom w:val="single" w:sz="4" w:space="0" w:color="auto"/>
              <w:right w:val="single" w:sz="4" w:space="0" w:color="auto"/>
            </w:tcBorders>
            <w:shd w:val="clear" w:color="auto" w:fill="auto"/>
          </w:tcPr>
          <w:p w14:paraId="03DBAE03" w14:textId="62EB4824" w:rsidR="00A52CAF" w:rsidRPr="005C4568" w:rsidRDefault="00A52CAF" w:rsidP="00B56892">
            <w:pPr>
              <w:pStyle w:val="Default"/>
              <w:spacing w:before="120"/>
              <w:rPr>
                <w:rFonts w:cs="Arial"/>
                <w:sz w:val="22"/>
                <w:szCs w:val="22"/>
              </w:rPr>
            </w:pPr>
          </w:p>
        </w:tc>
        <w:tc>
          <w:tcPr>
            <w:tcW w:w="8812" w:type="dxa"/>
            <w:tcBorders>
              <w:top w:val="nil"/>
              <w:left w:val="single" w:sz="4" w:space="0" w:color="auto"/>
              <w:bottom w:val="single" w:sz="4" w:space="0" w:color="auto"/>
              <w:right w:val="single" w:sz="4" w:space="0" w:color="auto"/>
            </w:tcBorders>
          </w:tcPr>
          <w:p w14:paraId="1DAF579F" w14:textId="1A8CCEAE" w:rsidR="00A52CAF" w:rsidRPr="005C4568" w:rsidRDefault="00A52CAF" w:rsidP="00B56892">
            <w:pPr>
              <w:spacing w:before="120"/>
              <w:rPr>
                <w:rFonts w:cs="Arial"/>
                <w:color w:val="000000"/>
                <w:szCs w:val="22"/>
              </w:rPr>
            </w:pPr>
          </w:p>
        </w:tc>
      </w:tr>
    </w:tbl>
    <w:p w14:paraId="5B9685AD" w14:textId="77777777" w:rsidR="00773D93" w:rsidRDefault="00773D93">
      <w:pPr>
        <w:rPr>
          <w:szCs w:val="22"/>
        </w:rPr>
      </w:pPr>
    </w:p>
    <w:p w14:paraId="773D3300" w14:textId="66A18E4B" w:rsidR="0044637E" w:rsidRDefault="00B94385" w:rsidP="006C6E68">
      <w:pPr>
        <w:pStyle w:val="Heading2"/>
      </w:pPr>
      <w:bookmarkStart w:id="48" w:name="_Toc22038041"/>
      <w:bookmarkStart w:id="49" w:name="_Toc22038108"/>
      <w:r>
        <w:t xml:space="preserve">Timeliness of Work Order </w:t>
      </w:r>
      <w:r w:rsidR="0044637E" w:rsidRPr="0044637E">
        <w:t>Acceptance</w:t>
      </w:r>
      <w:bookmarkEnd w:id="48"/>
      <w:bookmarkEnd w:id="49"/>
      <w:r w:rsidR="0044637E" w:rsidRPr="0044637E">
        <w:t xml:space="preserve"> </w:t>
      </w:r>
    </w:p>
    <w:p w14:paraId="60DAFDA5" w14:textId="0F40B0B1" w:rsidR="0044637E" w:rsidRDefault="00B94385">
      <w:pPr>
        <w:rPr>
          <w:szCs w:val="22"/>
        </w:rPr>
      </w:pPr>
      <w:r>
        <w:rPr>
          <w:szCs w:val="22"/>
        </w:rPr>
        <w:t xml:space="preserve">Panel members </w:t>
      </w:r>
      <w:r w:rsidRPr="0044637E">
        <w:rPr>
          <w:szCs w:val="22"/>
        </w:rPr>
        <w:t>must accept or reject each Work Order within one Business Day of receiving it</w:t>
      </w:r>
      <w:r>
        <w:rPr>
          <w:szCs w:val="22"/>
        </w:rPr>
        <w:t xml:space="preserve"> (refer to cla</w:t>
      </w:r>
      <w:r w:rsidR="008240E7">
        <w:rPr>
          <w:szCs w:val="22"/>
        </w:rPr>
        <w:t>use 4.4 of the Grant Agreement)</w:t>
      </w:r>
    </w:p>
    <w:p w14:paraId="3FC7207C" w14:textId="77777777" w:rsidR="008240E7" w:rsidRDefault="008240E7">
      <w:pPr>
        <w:rPr>
          <w:szCs w:val="22"/>
        </w:rPr>
      </w:pPr>
    </w:p>
    <w:tbl>
      <w:tblPr>
        <w:tblW w:w="14606" w:type="dxa"/>
        <w:tblInd w:w="103" w:type="dxa"/>
        <w:tblLook w:val="0000" w:firstRow="0" w:lastRow="0" w:firstColumn="0" w:lastColumn="0" w:noHBand="0" w:noVBand="0"/>
      </w:tblPr>
      <w:tblGrid>
        <w:gridCol w:w="1695"/>
        <w:gridCol w:w="4099"/>
        <w:gridCol w:w="8812"/>
      </w:tblGrid>
      <w:tr w:rsidR="0044637E" w:rsidRPr="005C4568" w14:paraId="5D88977E" w14:textId="77777777" w:rsidTr="008136F4">
        <w:trPr>
          <w:trHeight w:val="639"/>
        </w:trPr>
        <w:tc>
          <w:tcPr>
            <w:tcW w:w="1695" w:type="dxa"/>
            <w:tcBorders>
              <w:top w:val="nil"/>
              <w:left w:val="single" w:sz="4" w:space="0" w:color="auto"/>
              <w:bottom w:val="single" w:sz="4" w:space="0" w:color="auto"/>
              <w:right w:val="single" w:sz="4" w:space="0" w:color="auto"/>
            </w:tcBorders>
            <w:shd w:val="clear" w:color="auto" w:fill="auto"/>
          </w:tcPr>
          <w:p w14:paraId="20A0A76C" w14:textId="686D161A" w:rsidR="0044637E" w:rsidRPr="005C4568" w:rsidRDefault="0044637E" w:rsidP="008136F4">
            <w:pPr>
              <w:pStyle w:val="Default"/>
              <w:spacing w:before="120"/>
              <w:rPr>
                <w:sz w:val="22"/>
                <w:szCs w:val="22"/>
              </w:rPr>
            </w:pPr>
            <w:r w:rsidRPr="005C4568">
              <w:rPr>
                <w:sz w:val="22"/>
                <w:szCs w:val="22"/>
              </w:rPr>
              <w:t>Acceptance of Work Orders</w:t>
            </w:r>
          </w:p>
        </w:tc>
        <w:tc>
          <w:tcPr>
            <w:tcW w:w="4099" w:type="dxa"/>
            <w:tcBorders>
              <w:top w:val="nil"/>
              <w:left w:val="nil"/>
              <w:bottom w:val="single" w:sz="4" w:space="0" w:color="auto"/>
              <w:right w:val="single" w:sz="4" w:space="0" w:color="auto"/>
            </w:tcBorders>
            <w:shd w:val="clear" w:color="auto" w:fill="auto"/>
          </w:tcPr>
          <w:p w14:paraId="4E438FF5" w14:textId="77777777" w:rsidR="0044637E" w:rsidRPr="005C4568" w:rsidRDefault="0044637E" w:rsidP="008136F4">
            <w:pPr>
              <w:pStyle w:val="Default"/>
              <w:spacing w:before="120"/>
              <w:rPr>
                <w:rFonts w:cs="Arial"/>
                <w:sz w:val="22"/>
                <w:szCs w:val="22"/>
              </w:rPr>
            </w:pPr>
            <w:r w:rsidRPr="005C4568">
              <w:rPr>
                <w:sz w:val="22"/>
                <w:szCs w:val="22"/>
              </w:rPr>
              <w:t>Providers must accept or reject each Work Order within one Business Day of receiving it.</w:t>
            </w:r>
          </w:p>
        </w:tc>
        <w:tc>
          <w:tcPr>
            <w:tcW w:w="8812" w:type="dxa"/>
            <w:tcBorders>
              <w:top w:val="nil"/>
              <w:left w:val="single" w:sz="4" w:space="0" w:color="auto"/>
              <w:bottom w:val="single" w:sz="4" w:space="0" w:color="auto"/>
              <w:right w:val="single" w:sz="4" w:space="0" w:color="auto"/>
            </w:tcBorders>
          </w:tcPr>
          <w:p w14:paraId="10F68CEA" w14:textId="77777777" w:rsidR="0044637E" w:rsidRPr="005C4568" w:rsidRDefault="0044637E" w:rsidP="008136F4">
            <w:pPr>
              <w:spacing w:before="120"/>
              <w:rPr>
                <w:rFonts w:cs="Arial"/>
                <w:color w:val="000000"/>
                <w:szCs w:val="22"/>
              </w:rPr>
            </w:pPr>
            <w:r w:rsidRPr="005C4568">
              <w:rPr>
                <w:rFonts w:cs="Arial"/>
                <w:color w:val="000000"/>
                <w:szCs w:val="22"/>
              </w:rPr>
              <w:t>Percentage of Work Orders accepted/rejected within one Business Day of allocation.</w:t>
            </w:r>
          </w:p>
        </w:tc>
      </w:tr>
    </w:tbl>
    <w:p w14:paraId="01BAE1AD" w14:textId="09936959" w:rsidR="00773D93" w:rsidRDefault="00773D93">
      <w:pPr>
        <w:rPr>
          <w:szCs w:val="22"/>
        </w:rPr>
      </w:pPr>
      <w:r>
        <w:rPr>
          <w:szCs w:val="22"/>
        </w:rPr>
        <w:br w:type="page"/>
      </w:r>
    </w:p>
    <w:p w14:paraId="7FF7185D" w14:textId="733C76D9" w:rsidR="00773D93" w:rsidRPr="00670E4F" w:rsidRDefault="00773D93" w:rsidP="00773D93">
      <w:pPr>
        <w:pStyle w:val="Heading3"/>
        <w:spacing w:before="120" w:after="0"/>
      </w:pPr>
      <w:bookmarkStart w:id="50" w:name="_Toc507491178"/>
      <w:bookmarkStart w:id="51" w:name="_Toc22038042"/>
      <w:bookmarkStart w:id="52" w:name="_Toc22038109"/>
      <w:r w:rsidRPr="00670E4F">
        <w:lastRenderedPageBreak/>
        <w:t xml:space="preserve">Attachment </w:t>
      </w:r>
      <w:r>
        <w:t>B</w:t>
      </w:r>
      <w:r w:rsidRPr="00670E4F">
        <w:t xml:space="preserve"> </w:t>
      </w:r>
      <w:r>
        <w:t>–</w:t>
      </w:r>
      <w:r w:rsidRPr="00670E4F">
        <w:t xml:space="preserve"> </w:t>
      </w:r>
      <w:r>
        <w:t xml:space="preserve">OSA - </w:t>
      </w:r>
      <w:r w:rsidRPr="00670E4F">
        <w:t xml:space="preserve">Performance </w:t>
      </w:r>
      <w:r>
        <w:t>Evaluation Method</w:t>
      </w:r>
      <w:bookmarkEnd w:id="50"/>
      <w:bookmarkEnd w:id="51"/>
      <w:bookmarkEnd w:id="52"/>
    </w:p>
    <w:p w14:paraId="456E9182" w14:textId="77777777" w:rsidR="00773D93" w:rsidRDefault="00773D93" w:rsidP="00773D93">
      <w:pPr>
        <w:rPr>
          <w:sz w:val="20"/>
          <w:szCs w:val="20"/>
        </w:rPr>
      </w:pPr>
    </w:p>
    <w:tbl>
      <w:tblPr>
        <w:tblW w:w="14606" w:type="dxa"/>
        <w:tblInd w:w="103" w:type="dxa"/>
        <w:tblLook w:val="0000" w:firstRow="0" w:lastRow="0" w:firstColumn="0" w:lastColumn="0" w:noHBand="0" w:noVBand="0"/>
        <w:tblCaption w:val="Performance Evaluation Method"/>
        <w:tblDescription w:val="Evaluation methods for meausuring performance for OSA"/>
      </w:tblPr>
      <w:tblGrid>
        <w:gridCol w:w="1695"/>
        <w:gridCol w:w="4330"/>
        <w:gridCol w:w="8581"/>
      </w:tblGrid>
      <w:tr w:rsidR="00773D93" w:rsidRPr="00DF4183" w14:paraId="4A322CC1" w14:textId="77777777" w:rsidTr="008136F4">
        <w:trPr>
          <w:trHeight w:val="660"/>
          <w:tblHeader/>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DD10D75" w14:textId="77777777" w:rsidR="00773D93" w:rsidRPr="007C272A" w:rsidRDefault="00773D93" w:rsidP="008136F4">
            <w:pPr>
              <w:pStyle w:val="TableHeading"/>
              <w:spacing w:after="0"/>
              <w:jc w:val="center"/>
              <w:rPr>
                <w:color w:val="auto"/>
              </w:rPr>
            </w:pPr>
            <w:r w:rsidRPr="007C272A">
              <w:rPr>
                <w:color w:val="auto"/>
              </w:rPr>
              <w:t>Description</w:t>
            </w:r>
          </w:p>
        </w:tc>
        <w:tc>
          <w:tcPr>
            <w:tcW w:w="4330" w:type="dxa"/>
            <w:tcBorders>
              <w:top w:val="single" w:sz="4" w:space="0" w:color="auto"/>
              <w:left w:val="nil"/>
              <w:bottom w:val="single" w:sz="4" w:space="0" w:color="auto"/>
              <w:right w:val="single" w:sz="4" w:space="0" w:color="auto"/>
            </w:tcBorders>
            <w:shd w:val="clear" w:color="auto" w:fill="auto"/>
            <w:vAlign w:val="center"/>
          </w:tcPr>
          <w:p w14:paraId="17FE0431" w14:textId="77777777" w:rsidR="00773D93" w:rsidRPr="007C272A" w:rsidRDefault="00773D93" w:rsidP="008136F4">
            <w:pPr>
              <w:pStyle w:val="TableHeading"/>
              <w:spacing w:after="0"/>
              <w:jc w:val="center"/>
              <w:rPr>
                <w:color w:val="auto"/>
              </w:rPr>
            </w:pPr>
            <w:r w:rsidRPr="007C272A">
              <w:rPr>
                <w:color w:val="auto"/>
              </w:rPr>
              <w:t>Measure</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tcPr>
          <w:p w14:paraId="06F3989B" w14:textId="77777777" w:rsidR="00773D93" w:rsidRPr="007C272A" w:rsidRDefault="00773D93" w:rsidP="008136F4">
            <w:pPr>
              <w:pStyle w:val="TableHeading"/>
              <w:spacing w:after="0"/>
              <w:jc w:val="center"/>
              <w:rPr>
                <w:color w:val="auto"/>
              </w:rPr>
            </w:pPr>
            <w:r w:rsidRPr="007C272A">
              <w:rPr>
                <w:color w:val="auto"/>
              </w:rPr>
              <w:t>Evaluation Method</w:t>
            </w:r>
          </w:p>
        </w:tc>
      </w:tr>
      <w:tr w:rsidR="00773D93" w:rsidRPr="00B441B6" w14:paraId="69BF52AE" w14:textId="77777777" w:rsidTr="008136F4">
        <w:trPr>
          <w:trHeight w:val="1208"/>
        </w:trPr>
        <w:tc>
          <w:tcPr>
            <w:tcW w:w="1695" w:type="dxa"/>
            <w:vMerge w:val="restart"/>
            <w:tcBorders>
              <w:top w:val="nil"/>
              <w:left w:val="single" w:sz="4" w:space="0" w:color="auto"/>
              <w:right w:val="single" w:sz="4" w:space="0" w:color="auto"/>
            </w:tcBorders>
            <w:shd w:val="clear" w:color="auto" w:fill="auto"/>
          </w:tcPr>
          <w:p w14:paraId="01EBB5AB" w14:textId="77777777" w:rsidR="00773D93" w:rsidRPr="007C272A" w:rsidRDefault="00773D93" w:rsidP="008136F4">
            <w:pPr>
              <w:pStyle w:val="ListParagraph"/>
              <w:numPr>
                <w:ilvl w:val="0"/>
                <w:numId w:val="19"/>
              </w:numPr>
              <w:rPr>
                <w:rFonts w:cs="Arial"/>
                <w:bCs/>
                <w:sz w:val="20"/>
                <w:szCs w:val="20"/>
              </w:rPr>
            </w:pPr>
            <w:r w:rsidRPr="007C272A">
              <w:rPr>
                <w:rFonts w:cs="Arial"/>
                <w:bCs/>
                <w:sz w:val="20"/>
                <w:szCs w:val="20"/>
              </w:rPr>
              <w:t>Timeliness</w:t>
            </w:r>
          </w:p>
        </w:tc>
        <w:tc>
          <w:tcPr>
            <w:tcW w:w="4330" w:type="dxa"/>
            <w:tcBorders>
              <w:top w:val="nil"/>
              <w:left w:val="nil"/>
              <w:bottom w:val="single" w:sz="4" w:space="0" w:color="auto"/>
              <w:right w:val="single" w:sz="4" w:space="0" w:color="auto"/>
            </w:tcBorders>
            <w:shd w:val="clear" w:color="auto" w:fill="auto"/>
          </w:tcPr>
          <w:p w14:paraId="4AA51486" w14:textId="77777777" w:rsidR="00773D93" w:rsidRPr="00EA5399" w:rsidRDefault="00773D93" w:rsidP="00773D93">
            <w:pPr>
              <w:pStyle w:val="ListAlphaIndent0"/>
            </w:pPr>
            <w:r>
              <w:t xml:space="preserve">90% of assessments are completed within the timeframes </w:t>
            </w:r>
            <w:r w:rsidRPr="00106944">
              <w:t xml:space="preserve">set out in the </w:t>
            </w:r>
            <w:r>
              <w:t>Grant Agreement.</w:t>
            </w:r>
          </w:p>
        </w:tc>
        <w:tc>
          <w:tcPr>
            <w:tcW w:w="8581" w:type="dxa"/>
            <w:tcBorders>
              <w:top w:val="nil"/>
              <w:left w:val="single" w:sz="4" w:space="0" w:color="auto"/>
              <w:bottom w:val="single" w:sz="4" w:space="0" w:color="auto"/>
              <w:right w:val="single" w:sz="4" w:space="0" w:color="auto"/>
            </w:tcBorders>
          </w:tcPr>
          <w:p w14:paraId="3A112363" w14:textId="77777777" w:rsidR="00773D93" w:rsidRDefault="00773D93" w:rsidP="008136F4">
            <w:pPr>
              <w:spacing w:before="120"/>
              <w:rPr>
                <w:rFonts w:cs="Arial"/>
                <w:color w:val="000000"/>
                <w:sz w:val="20"/>
                <w:szCs w:val="20"/>
              </w:rPr>
            </w:pPr>
            <w:r>
              <w:rPr>
                <w:rFonts w:cs="Arial"/>
                <w:color w:val="000000"/>
                <w:sz w:val="20"/>
                <w:szCs w:val="20"/>
              </w:rPr>
              <w:t>Percentage of s</w:t>
            </w:r>
            <w:r w:rsidRPr="00CF6FBB">
              <w:rPr>
                <w:rFonts w:cs="Arial"/>
                <w:color w:val="000000"/>
                <w:sz w:val="20"/>
                <w:szCs w:val="20"/>
              </w:rPr>
              <w:t xml:space="preserve">ubmitted OSA Reports where the </w:t>
            </w:r>
            <w:r>
              <w:rPr>
                <w:rFonts w:cs="Arial"/>
                <w:color w:val="000000"/>
                <w:sz w:val="20"/>
                <w:szCs w:val="20"/>
              </w:rPr>
              <w:t>s</w:t>
            </w:r>
            <w:r w:rsidRPr="00CF6FBB">
              <w:rPr>
                <w:rFonts w:cs="Arial"/>
                <w:color w:val="000000"/>
                <w:sz w:val="20"/>
                <w:szCs w:val="20"/>
              </w:rPr>
              <w:t>ubmi</w:t>
            </w:r>
            <w:r>
              <w:rPr>
                <w:rFonts w:cs="Arial"/>
                <w:color w:val="000000"/>
                <w:sz w:val="20"/>
                <w:szCs w:val="20"/>
              </w:rPr>
              <w:t>tted</w:t>
            </w:r>
            <w:r w:rsidRPr="00CF6FBB">
              <w:rPr>
                <w:rFonts w:cs="Arial"/>
                <w:color w:val="000000"/>
                <w:sz w:val="20"/>
                <w:szCs w:val="20"/>
              </w:rPr>
              <w:t xml:space="preserve"> date is on or before the OSA Due Date.</w:t>
            </w:r>
          </w:p>
          <w:p w14:paraId="3E875B1E" w14:textId="77777777" w:rsidR="00773D93" w:rsidRDefault="00773D93" w:rsidP="008136F4">
            <w:pPr>
              <w:spacing w:before="120"/>
              <w:rPr>
                <w:rFonts w:cs="Arial"/>
                <w:color w:val="000000"/>
                <w:sz w:val="20"/>
                <w:szCs w:val="20"/>
              </w:rPr>
            </w:pPr>
            <w:r>
              <w:rPr>
                <w:rFonts w:cs="Arial"/>
                <w:color w:val="000000"/>
                <w:sz w:val="20"/>
                <w:szCs w:val="20"/>
              </w:rPr>
              <w:t xml:space="preserve">Note: </w:t>
            </w:r>
            <w:r w:rsidRPr="00CF6FBB">
              <w:rPr>
                <w:rFonts w:cs="Arial"/>
                <w:color w:val="000000"/>
                <w:sz w:val="20"/>
                <w:szCs w:val="20"/>
              </w:rPr>
              <w:t xml:space="preserve">If </w:t>
            </w:r>
            <w:r>
              <w:rPr>
                <w:rFonts w:cs="Arial"/>
                <w:color w:val="000000"/>
                <w:sz w:val="20"/>
                <w:szCs w:val="20"/>
              </w:rPr>
              <w:t xml:space="preserve">a </w:t>
            </w:r>
            <w:r w:rsidRPr="00CF6FBB">
              <w:rPr>
                <w:rFonts w:cs="Arial"/>
                <w:color w:val="000000"/>
                <w:sz w:val="20"/>
                <w:szCs w:val="20"/>
              </w:rPr>
              <w:t>Report was p</w:t>
            </w:r>
            <w:r>
              <w:rPr>
                <w:rFonts w:cs="Arial"/>
                <w:color w:val="000000"/>
                <w:sz w:val="20"/>
                <w:szCs w:val="20"/>
              </w:rPr>
              <w:t>laced ‘U</w:t>
            </w:r>
            <w:r w:rsidRPr="00CF6FBB">
              <w:rPr>
                <w:rFonts w:cs="Arial"/>
                <w:color w:val="000000"/>
                <w:sz w:val="20"/>
                <w:szCs w:val="20"/>
              </w:rPr>
              <w:t xml:space="preserve">nder </w:t>
            </w:r>
            <w:r>
              <w:rPr>
                <w:rFonts w:cs="Arial"/>
                <w:color w:val="000000"/>
                <w:sz w:val="20"/>
                <w:szCs w:val="20"/>
              </w:rPr>
              <w:t>R</w:t>
            </w:r>
            <w:r w:rsidRPr="00CF6FBB">
              <w:rPr>
                <w:rFonts w:cs="Arial"/>
                <w:color w:val="000000"/>
                <w:sz w:val="20"/>
                <w:szCs w:val="20"/>
              </w:rPr>
              <w:t>eview</w:t>
            </w:r>
            <w:r>
              <w:rPr>
                <w:rFonts w:cs="Arial"/>
                <w:color w:val="000000"/>
                <w:sz w:val="20"/>
                <w:szCs w:val="20"/>
              </w:rPr>
              <w:t>’</w:t>
            </w:r>
            <w:r w:rsidRPr="00CF6FBB">
              <w:rPr>
                <w:rFonts w:cs="Arial"/>
                <w:color w:val="000000"/>
                <w:sz w:val="20"/>
                <w:szCs w:val="20"/>
              </w:rPr>
              <w:t xml:space="preserve"> then </w:t>
            </w:r>
            <w:r>
              <w:rPr>
                <w:rFonts w:cs="Arial"/>
                <w:color w:val="000000"/>
                <w:sz w:val="20"/>
                <w:szCs w:val="20"/>
              </w:rPr>
              <w:t xml:space="preserve">the </w:t>
            </w:r>
            <w:r w:rsidRPr="00CF6FBB">
              <w:rPr>
                <w:rFonts w:cs="Arial"/>
                <w:color w:val="000000"/>
                <w:sz w:val="20"/>
                <w:szCs w:val="20"/>
              </w:rPr>
              <w:t xml:space="preserve">original submission date </w:t>
            </w:r>
            <w:r>
              <w:rPr>
                <w:rFonts w:cs="Arial"/>
                <w:color w:val="000000"/>
                <w:sz w:val="20"/>
                <w:szCs w:val="20"/>
              </w:rPr>
              <w:t xml:space="preserve">is used, </w:t>
            </w:r>
            <w:r w:rsidRPr="00CF6FBB">
              <w:rPr>
                <w:rFonts w:cs="Arial"/>
                <w:color w:val="000000"/>
                <w:sz w:val="20"/>
                <w:szCs w:val="20"/>
              </w:rPr>
              <w:t xml:space="preserve">rather than </w:t>
            </w:r>
            <w:r>
              <w:rPr>
                <w:rFonts w:cs="Arial"/>
                <w:color w:val="000000"/>
                <w:sz w:val="20"/>
                <w:szCs w:val="20"/>
              </w:rPr>
              <w:t xml:space="preserve">the </w:t>
            </w:r>
            <w:r w:rsidRPr="00CF6FBB">
              <w:rPr>
                <w:rFonts w:cs="Arial"/>
                <w:color w:val="000000"/>
                <w:sz w:val="20"/>
                <w:szCs w:val="20"/>
              </w:rPr>
              <w:t>date the report was re-submitted.</w:t>
            </w:r>
            <w:r>
              <w:rPr>
                <w:rFonts w:cs="Arial"/>
                <w:color w:val="000000"/>
                <w:sz w:val="20"/>
                <w:szCs w:val="20"/>
              </w:rPr>
              <w:t xml:space="preserve"> If an OSA Due Date is amended then the KPI is measured using the amended OSA Due Date.</w:t>
            </w:r>
          </w:p>
        </w:tc>
      </w:tr>
      <w:tr w:rsidR="00773D93" w:rsidRPr="00B441B6" w14:paraId="5AF45A44" w14:textId="77777777" w:rsidTr="008136F4">
        <w:trPr>
          <w:trHeight w:val="984"/>
        </w:trPr>
        <w:tc>
          <w:tcPr>
            <w:tcW w:w="1695" w:type="dxa"/>
            <w:vMerge/>
            <w:tcBorders>
              <w:left w:val="single" w:sz="4" w:space="0" w:color="auto"/>
              <w:right w:val="single" w:sz="4" w:space="0" w:color="auto"/>
            </w:tcBorders>
            <w:shd w:val="clear" w:color="auto" w:fill="auto"/>
          </w:tcPr>
          <w:p w14:paraId="6BD3D3AC" w14:textId="77777777" w:rsidR="00773D93" w:rsidRPr="00B441B6" w:rsidRDefault="00773D93" w:rsidP="008136F4">
            <w:pPr>
              <w:rPr>
                <w:rFonts w:cs="Arial"/>
                <w:b/>
                <w:bCs/>
                <w:sz w:val="20"/>
                <w:szCs w:val="20"/>
              </w:rPr>
            </w:pPr>
          </w:p>
        </w:tc>
        <w:tc>
          <w:tcPr>
            <w:tcW w:w="4330" w:type="dxa"/>
            <w:tcBorders>
              <w:top w:val="nil"/>
              <w:left w:val="nil"/>
              <w:bottom w:val="single" w:sz="4" w:space="0" w:color="auto"/>
              <w:right w:val="single" w:sz="4" w:space="0" w:color="auto"/>
            </w:tcBorders>
            <w:shd w:val="clear" w:color="auto" w:fill="auto"/>
          </w:tcPr>
          <w:p w14:paraId="386C4DFE" w14:textId="77777777" w:rsidR="00773D93" w:rsidRPr="00D41743" w:rsidRDefault="00773D93" w:rsidP="008136F4">
            <w:pPr>
              <w:pStyle w:val="ListAlphaIndent0"/>
              <w:keepLines/>
              <w:spacing w:before="120" w:after="0"/>
            </w:pPr>
            <w:r>
              <w:t>90% of allocated assessments are accepted by the Provider.</w:t>
            </w:r>
          </w:p>
        </w:tc>
        <w:tc>
          <w:tcPr>
            <w:tcW w:w="8581" w:type="dxa"/>
            <w:tcBorders>
              <w:top w:val="nil"/>
              <w:left w:val="single" w:sz="4" w:space="0" w:color="auto"/>
              <w:bottom w:val="single" w:sz="4" w:space="0" w:color="auto"/>
              <w:right w:val="single" w:sz="4" w:space="0" w:color="auto"/>
            </w:tcBorders>
          </w:tcPr>
          <w:p w14:paraId="2DF8E151" w14:textId="77777777" w:rsidR="00773D93" w:rsidRDefault="00773D93" w:rsidP="008136F4">
            <w:pPr>
              <w:spacing w:before="120"/>
              <w:rPr>
                <w:rFonts w:cs="Arial"/>
                <w:color w:val="000000"/>
                <w:sz w:val="20"/>
                <w:szCs w:val="20"/>
              </w:rPr>
            </w:pPr>
            <w:r>
              <w:rPr>
                <w:rFonts w:cs="Arial"/>
                <w:color w:val="000000"/>
                <w:sz w:val="20"/>
                <w:szCs w:val="20"/>
              </w:rPr>
              <w:t xml:space="preserve">Percentage </w:t>
            </w:r>
            <w:r w:rsidRPr="00363D1D">
              <w:rPr>
                <w:rFonts w:cs="Arial"/>
                <w:color w:val="000000"/>
                <w:sz w:val="20"/>
                <w:szCs w:val="20"/>
              </w:rPr>
              <w:t xml:space="preserve">of </w:t>
            </w:r>
            <w:r>
              <w:rPr>
                <w:rFonts w:cs="Arial"/>
                <w:color w:val="000000"/>
                <w:sz w:val="20"/>
                <w:szCs w:val="20"/>
              </w:rPr>
              <w:t>a</w:t>
            </w:r>
            <w:r w:rsidRPr="00363D1D">
              <w:rPr>
                <w:rFonts w:cs="Arial"/>
                <w:color w:val="000000"/>
                <w:sz w:val="20"/>
                <w:szCs w:val="20"/>
              </w:rPr>
              <w:t xml:space="preserve">llocated </w:t>
            </w:r>
            <w:r>
              <w:rPr>
                <w:rFonts w:cs="Arial"/>
                <w:color w:val="000000"/>
                <w:sz w:val="20"/>
                <w:szCs w:val="20"/>
              </w:rPr>
              <w:t>assessments accepted.</w:t>
            </w:r>
          </w:p>
          <w:p w14:paraId="3FE8A450" w14:textId="77777777" w:rsidR="00773D93" w:rsidRPr="00B441B6" w:rsidRDefault="00773D93" w:rsidP="008136F4">
            <w:pPr>
              <w:spacing w:before="120"/>
              <w:rPr>
                <w:rFonts w:cs="Arial"/>
                <w:color w:val="000000"/>
                <w:sz w:val="20"/>
                <w:szCs w:val="20"/>
              </w:rPr>
            </w:pPr>
            <w:r>
              <w:rPr>
                <w:rFonts w:cs="Arial"/>
                <w:color w:val="000000"/>
                <w:sz w:val="20"/>
                <w:szCs w:val="20"/>
              </w:rPr>
              <w:t>Note: Calculation will ignore Work Orders where the Rejection reason is ‘Conflict of Interest’ or ‘Outside Coverage Area’.</w:t>
            </w:r>
          </w:p>
        </w:tc>
      </w:tr>
      <w:tr w:rsidR="00773D93" w:rsidRPr="00B441B6" w14:paraId="71CAA23D" w14:textId="77777777" w:rsidTr="008136F4">
        <w:trPr>
          <w:trHeight w:val="990"/>
        </w:trPr>
        <w:tc>
          <w:tcPr>
            <w:tcW w:w="1695" w:type="dxa"/>
            <w:vMerge/>
            <w:tcBorders>
              <w:left w:val="single" w:sz="4" w:space="0" w:color="auto"/>
              <w:right w:val="single" w:sz="4" w:space="0" w:color="auto"/>
            </w:tcBorders>
            <w:shd w:val="clear" w:color="auto" w:fill="auto"/>
          </w:tcPr>
          <w:p w14:paraId="6B37CE4C" w14:textId="77777777" w:rsidR="00773D93" w:rsidRPr="00B441B6" w:rsidRDefault="00773D93" w:rsidP="008136F4">
            <w:pPr>
              <w:rPr>
                <w:rFonts w:cs="Arial"/>
                <w:b/>
                <w:bCs/>
                <w:sz w:val="20"/>
                <w:szCs w:val="20"/>
              </w:rPr>
            </w:pPr>
          </w:p>
        </w:tc>
        <w:tc>
          <w:tcPr>
            <w:tcW w:w="4330" w:type="dxa"/>
            <w:tcBorders>
              <w:top w:val="nil"/>
              <w:left w:val="nil"/>
              <w:bottom w:val="single" w:sz="4" w:space="0" w:color="auto"/>
              <w:right w:val="single" w:sz="4" w:space="0" w:color="auto"/>
            </w:tcBorders>
            <w:shd w:val="clear" w:color="auto" w:fill="auto"/>
          </w:tcPr>
          <w:p w14:paraId="56F23384" w14:textId="77777777" w:rsidR="00773D93" w:rsidRPr="00B441B6" w:rsidRDefault="00773D93" w:rsidP="008136F4">
            <w:pPr>
              <w:pStyle w:val="ListAlphaIndent0"/>
              <w:keepLines/>
              <w:spacing w:before="120" w:after="0" w:line="240" w:lineRule="auto"/>
              <w:rPr>
                <w:rFonts w:cs="Arial"/>
                <w:szCs w:val="20"/>
              </w:rPr>
            </w:pPr>
            <w:r>
              <w:t>Where Providers reject allocated assessments, the Provider provides acceptable reasons for all rejections.</w:t>
            </w:r>
          </w:p>
        </w:tc>
        <w:tc>
          <w:tcPr>
            <w:tcW w:w="8581" w:type="dxa"/>
            <w:tcBorders>
              <w:top w:val="nil"/>
              <w:left w:val="single" w:sz="4" w:space="0" w:color="auto"/>
              <w:bottom w:val="single" w:sz="4" w:space="0" w:color="auto"/>
              <w:right w:val="single" w:sz="4" w:space="0" w:color="auto"/>
            </w:tcBorders>
          </w:tcPr>
          <w:p w14:paraId="24AF3D2D" w14:textId="77777777" w:rsidR="00773D93" w:rsidRPr="00B441B6" w:rsidRDefault="00773D93" w:rsidP="008136F4">
            <w:pPr>
              <w:spacing w:before="120"/>
              <w:rPr>
                <w:rFonts w:cs="Arial"/>
                <w:color w:val="000000"/>
                <w:sz w:val="20"/>
                <w:szCs w:val="20"/>
              </w:rPr>
            </w:pPr>
            <w:r>
              <w:rPr>
                <w:rFonts w:cs="Arial"/>
                <w:color w:val="000000"/>
                <w:sz w:val="20"/>
                <w:szCs w:val="20"/>
              </w:rPr>
              <w:t>Where a Provider rejects a significant number (more than 10%) of allocated assessments, the Department will contact the Provider to discuss the acceptability of the rejection reasons.</w:t>
            </w:r>
          </w:p>
        </w:tc>
      </w:tr>
      <w:tr w:rsidR="00773D93" w:rsidRPr="00B441B6" w14:paraId="15614D62" w14:textId="77777777" w:rsidTr="008136F4">
        <w:trPr>
          <w:trHeight w:val="1530"/>
        </w:trPr>
        <w:tc>
          <w:tcPr>
            <w:tcW w:w="1695" w:type="dxa"/>
            <w:vMerge/>
            <w:tcBorders>
              <w:left w:val="single" w:sz="4" w:space="0" w:color="auto"/>
              <w:bottom w:val="single" w:sz="4" w:space="0" w:color="auto"/>
              <w:right w:val="single" w:sz="4" w:space="0" w:color="auto"/>
            </w:tcBorders>
            <w:shd w:val="clear" w:color="auto" w:fill="auto"/>
          </w:tcPr>
          <w:p w14:paraId="05BEF586" w14:textId="77777777" w:rsidR="00773D93" w:rsidRPr="00B441B6" w:rsidRDefault="00773D93" w:rsidP="008136F4">
            <w:pPr>
              <w:rPr>
                <w:rFonts w:cs="Arial"/>
                <w:b/>
                <w:bCs/>
                <w:sz w:val="20"/>
                <w:szCs w:val="20"/>
              </w:rPr>
            </w:pPr>
          </w:p>
        </w:tc>
        <w:tc>
          <w:tcPr>
            <w:tcW w:w="4330" w:type="dxa"/>
            <w:tcBorders>
              <w:top w:val="nil"/>
              <w:left w:val="nil"/>
              <w:bottom w:val="single" w:sz="4" w:space="0" w:color="auto"/>
              <w:right w:val="single" w:sz="4" w:space="0" w:color="auto"/>
            </w:tcBorders>
            <w:shd w:val="clear" w:color="auto" w:fill="auto"/>
          </w:tcPr>
          <w:p w14:paraId="09DDD6CC" w14:textId="77777777" w:rsidR="00773D93" w:rsidRPr="00B441B6" w:rsidRDefault="00773D93" w:rsidP="008136F4">
            <w:pPr>
              <w:pStyle w:val="ListAlphaIndent0"/>
              <w:keepLines/>
              <w:spacing w:before="120" w:after="0"/>
              <w:rPr>
                <w:rFonts w:cs="Arial"/>
                <w:szCs w:val="20"/>
              </w:rPr>
            </w:pPr>
            <w:r>
              <w:rPr>
                <w:rFonts w:cs="Arial"/>
                <w:szCs w:val="20"/>
              </w:rPr>
              <w:t xml:space="preserve"> </w:t>
            </w:r>
            <w:r w:rsidRPr="00EA5399">
              <w:t xml:space="preserve">Where </w:t>
            </w:r>
            <w:r>
              <w:t>the Department</w:t>
            </w:r>
            <w:r w:rsidRPr="00EA5399">
              <w:t xml:space="preserve"> has returned </w:t>
            </w:r>
            <w:r>
              <w:t xml:space="preserve">OSA </w:t>
            </w:r>
            <w:r w:rsidRPr="00EA5399">
              <w:t>Reports to the Provider for corrective action, all subsequent reports are finalised and submitted to the Department within five Business Days of receipt of request by the Provider</w:t>
            </w:r>
            <w:r>
              <w:t>.</w:t>
            </w:r>
          </w:p>
        </w:tc>
        <w:tc>
          <w:tcPr>
            <w:tcW w:w="8581" w:type="dxa"/>
            <w:tcBorders>
              <w:top w:val="nil"/>
              <w:left w:val="single" w:sz="4" w:space="0" w:color="auto"/>
              <w:bottom w:val="single" w:sz="4" w:space="0" w:color="auto"/>
              <w:right w:val="single" w:sz="4" w:space="0" w:color="auto"/>
            </w:tcBorders>
          </w:tcPr>
          <w:p w14:paraId="1E85FDAB" w14:textId="0280E8E4" w:rsidR="00773D93" w:rsidRPr="00233F6B" w:rsidRDefault="00773D93" w:rsidP="00303D48">
            <w:pPr>
              <w:spacing w:before="120"/>
              <w:rPr>
                <w:rFonts w:cs="Arial"/>
                <w:color w:val="000000"/>
                <w:sz w:val="20"/>
                <w:szCs w:val="20"/>
              </w:rPr>
            </w:pPr>
            <w:r>
              <w:rPr>
                <w:rFonts w:cs="Arial"/>
                <w:color w:val="000000"/>
                <w:sz w:val="20"/>
                <w:szCs w:val="20"/>
              </w:rPr>
              <w:t xml:space="preserve">Number of OSA Reports set to ‘Under Review’ for reason of ‘Requested by the Department’ and resubmitted more than five Business days later, where the reasons are </w:t>
            </w:r>
            <w:r w:rsidR="00303D48">
              <w:rPr>
                <w:rFonts w:cs="Arial"/>
                <w:color w:val="000000"/>
                <w:sz w:val="20"/>
                <w:szCs w:val="20"/>
              </w:rPr>
              <w:t xml:space="preserve">not </w:t>
            </w:r>
            <w:r>
              <w:rPr>
                <w:rFonts w:cs="Arial"/>
                <w:color w:val="000000"/>
                <w:sz w:val="20"/>
                <w:szCs w:val="20"/>
              </w:rPr>
              <w:t>outside the Assessor’s control. E.g. the employee is unavailable.</w:t>
            </w:r>
          </w:p>
        </w:tc>
      </w:tr>
      <w:tr w:rsidR="00773D93" w:rsidRPr="00B441B6" w14:paraId="54CFEB3B" w14:textId="77777777" w:rsidTr="008136F4">
        <w:trPr>
          <w:trHeight w:val="1015"/>
        </w:trPr>
        <w:tc>
          <w:tcPr>
            <w:tcW w:w="1695" w:type="dxa"/>
            <w:tcBorders>
              <w:top w:val="nil"/>
              <w:left w:val="single" w:sz="4" w:space="0" w:color="auto"/>
              <w:bottom w:val="single" w:sz="4" w:space="0" w:color="auto"/>
              <w:right w:val="single" w:sz="4" w:space="0" w:color="auto"/>
            </w:tcBorders>
            <w:shd w:val="clear" w:color="auto" w:fill="auto"/>
          </w:tcPr>
          <w:p w14:paraId="50E26E49" w14:textId="77777777" w:rsidR="00773D93" w:rsidRPr="00042F19" w:rsidRDefault="00773D93" w:rsidP="008136F4">
            <w:pPr>
              <w:pStyle w:val="ListParagraph"/>
              <w:numPr>
                <w:ilvl w:val="0"/>
                <w:numId w:val="19"/>
              </w:numPr>
              <w:rPr>
                <w:sz w:val="20"/>
                <w:szCs w:val="20"/>
              </w:rPr>
            </w:pPr>
            <w:r w:rsidRPr="007C272A">
              <w:rPr>
                <w:rFonts w:cs="Arial"/>
                <w:bCs/>
                <w:sz w:val="20"/>
                <w:szCs w:val="20"/>
              </w:rPr>
              <w:t>Accurate individualised assessments</w:t>
            </w:r>
          </w:p>
        </w:tc>
        <w:tc>
          <w:tcPr>
            <w:tcW w:w="4330" w:type="dxa"/>
            <w:tcBorders>
              <w:top w:val="nil"/>
              <w:left w:val="nil"/>
              <w:bottom w:val="single" w:sz="4" w:space="0" w:color="auto"/>
              <w:right w:val="single" w:sz="4" w:space="0" w:color="auto"/>
            </w:tcBorders>
            <w:shd w:val="clear" w:color="auto" w:fill="auto"/>
          </w:tcPr>
          <w:p w14:paraId="19ADBD84" w14:textId="77777777" w:rsidR="00773D93" w:rsidRPr="00480F63" w:rsidRDefault="00773D93" w:rsidP="00773D93">
            <w:pPr>
              <w:pStyle w:val="ListAlphaIndent0"/>
              <w:keepLines/>
              <w:spacing w:before="120" w:after="0" w:line="240" w:lineRule="auto"/>
              <w:rPr>
                <w:rFonts w:cs="Arial"/>
                <w:szCs w:val="20"/>
              </w:rPr>
            </w:pPr>
            <w:r w:rsidRPr="00CD341F">
              <w:rPr>
                <w:rFonts w:cs="Arial"/>
                <w:szCs w:val="20"/>
              </w:rPr>
              <w:t>Assessments are conducted in a manner that responds to the individual with disability’s circumstance</w:t>
            </w:r>
            <w:r w:rsidRPr="00AE3D4A">
              <w:rPr>
                <w:rFonts w:cs="Arial"/>
                <w:szCs w:val="20"/>
              </w:rPr>
              <w:t>s, measured by:</w:t>
            </w:r>
          </w:p>
          <w:p w14:paraId="394C2002" w14:textId="77777777" w:rsidR="00773D93" w:rsidRDefault="00773D93" w:rsidP="008136F4">
            <w:pPr>
              <w:pStyle w:val="ListAlphaIndent0"/>
              <w:keepLines/>
              <w:numPr>
                <w:ilvl w:val="0"/>
                <w:numId w:val="7"/>
              </w:numPr>
              <w:spacing w:before="120" w:after="0" w:line="240" w:lineRule="auto"/>
              <w:ind w:left="764" w:hanging="425"/>
              <w:rPr>
                <w:rFonts w:cs="Arial"/>
                <w:szCs w:val="20"/>
              </w:rPr>
            </w:pPr>
            <w:r>
              <w:rPr>
                <w:rFonts w:cs="Arial"/>
                <w:szCs w:val="20"/>
              </w:rPr>
              <w:t>The Department</w:t>
            </w:r>
            <w:r w:rsidRPr="00BD5DB5">
              <w:rPr>
                <w:rFonts w:cs="Arial"/>
                <w:szCs w:val="20"/>
              </w:rPr>
              <w:t xml:space="preserve"> sampling of assessment reports; and</w:t>
            </w:r>
          </w:p>
          <w:p w14:paraId="3874C944" w14:textId="77777777" w:rsidR="00773D93" w:rsidRPr="00D95C7B" w:rsidRDefault="00773D93" w:rsidP="008136F4">
            <w:pPr>
              <w:pStyle w:val="ListAlphaIndent0"/>
              <w:keepLines/>
              <w:numPr>
                <w:ilvl w:val="0"/>
                <w:numId w:val="7"/>
              </w:numPr>
              <w:spacing w:before="120" w:after="0" w:line="240" w:lineRule="auto"/>
              <w:ind w:left="764" w:hanging="425"/>
              <w:rPr>
                <w:rFonts w:cs="Arial"/>
                <w:szCs w:val="20"/>
              </w:rPr>
            </w:pPr>
            <w:r w:rsidRPr="00D95C7B">
              <w:rPr>
                <w:rFonts w:cs="Arial"/>
                <w:szCs w:val="20"/>
              </w:rPr>
              <w:t>taking into consideration where there is a higher than average level of appealed decisions that are overturned.</w:t>
            </w:r>
          </w:p>
        </w:tc>
        <w:tc>
          <w:tcPr>
            <w:tcW w:w="8581" w:type="dxa"/>
            <w:tcBorders>
              <w:top w:val="nil"/>
              <w:left w:val="single" w:sz="4" w:space="0" w:color="auto"/>
              <w:bottom w:val="single" w:sz="4" w:space="0" w:color="auto"/>
              <w:right w:val="single" w:sz="4" w:space="0" w:color="auto"/>
            </w:tcBorders>
          </w:tcPr>
          <w:p w14:paraId="7359F5B0" w14:textId="77777777" w:rsidR="00773D93" w:rsidRDefault="00773D93" w:rsidP="008136F4">
            <w:pPr>
              <w:spacing w:before="120"/>
              <w:rPr>
                <w:rFonts w:cs="Arial"/>
                <w:sz w:val="20"/>
                <w:szCs w:val="20"/>
              </w:rPr>
            </w:pPr>
            <w:r w:rsidRPr="00AB6673">
              <w:rPr>
                <w:rFonts w:cs="Arial"/>
                <w:sz w:val="20"/>
                <w:szCs w:val="20"/>
              </w:rPr>
              <w:t xml:space="preserve">Outcomes of </w:t>
            </w:r>
            <w:r>
              <w:rPr>
                <w:rFonts w:cs="Arial"/>
                <w:sz w:val="20"/>
                <w:szCs w:val="20"/>
              </w:rPr>
              <w:t>disputed OSA Reports requiring adjudication by the Department will be monitored.</w:t>
            </w:r>
          </w:p>
          <w:p w14:paraId="5D3365C9" w14:textId="77777777" w:rsidR="00773D93" w:rsidRDefault="00773D93" w:rsidP="008136F4">
            <w:pPr>
              <w:spacing w:before="120"/>
              <w:rPr>
                <w:rFonts w:cs="Arial"/>
                <w:sz w:val="20"/>
                <w:szCs w:val="20"/>
              </w:rPr>
            </w:pPr>
            <w:r w:rsidRPr="00480F63">
              <w:rPr>
                <w:rFonts w:cs="Arial"/>
                <w:sz w:val="20"/>
                <w:szCs w:val="20"/>
              </w:rPr>
              <w:t xml:space="preserve">Where a </w:t>
            </w:r>
            <w:r>
              <w:rPr>
                <w:rFonts w:cs="Arial"/>
                <w:sz w:val="20"/>
                <w:szCs w:val="20"/>
              </w:rPr>
              <w:t>P</w:t>
            </w:r>
            <w:r w:rsidRPr="00480F63">
              <w:rPr>
                <w:rFonts w:cs="Arial"/>
                <w:sz w:val="20"/>
                <w:szCs w:val="20"/>
              </w:rPr>
              <w:t xml:space="preserve">rovider has had a significant number of disputed reports </w:t>
            </w:r>
            <w:r>
              <w:rPr>
                <w:rFonts w:cs="Arial"/>
                <w:sz w:val="20"/>
                <w:szCs w:val="20"/>
              </w:rPr>
              <w:t xml:space="preserve">the </w:t>
            </w:r>
            <w:r w:rsidRPr="00480F63">
              <w:rPr>
                <w:rFonts w:cs="Arial"/>
                <w:sz w:val="20"/>
                <w:szCs w:val="20"/>
              </w:rPr>
              <w:t>D</w:t>
            </w:r>
            <w:r>
              <w:rPr>
                <w:rFonts w:cs="Arial"/>
                <w:sz w:val="20"/>
                <w:szCs w:val="20"/>
              </w:rPr>
              <w:t>epartment</w:t>
            </w:r>
            <w:r w:rsidRPr="00480F63">
              <w:rPr>
                <w:rFonts w:cs="Arial"/>
                <w:sz w:val="20"/>
                <w:szCs w:val="20"/>
              </w:rPr>
              <w:t xml:space="preserve"> will arrange a performance discussion to facilitate improvement, if required.</w:t>
            </w:r>
          </w:p>
          <w:p w14:paraId="17D4ABCF" w14:textId="77777777" w:rsidR="00773D93" w:rsidRPr="00B441B6" w:rsidRDefault="00773D93" w:rsidP="008136F4">
            <w:pPr>
              <w:spacing w:before="120"/>
              <w:rPr>
                <w:rFonts w:cs="Arial"/>
                <w:sz w:val="20"/>
                <w:szCs w:val="20"/>
              </w:rPr>
            </w:pPr>
            <w:r>
              <w:rPr>
                <w:rFonts w:cs="Arial"/>
                <w:sz w:val="20"/>
                <w:szCs w:val="20"/>
              </w:rPr>
              <w:t>The Department will provide feedback to Providers regarding disputed reports.</w:t>
            </w:r>
          </w:p>
        </w:tc>
      </w:tr>
      <w:tr w:rsidR="00773D93" w:rsidRPr="00B441B6" w14:paraId="43E5913E" w14:textId="77777777" w:rsidTr="008136F4">
        <w:trPr>
          <w:trHeight w:val="986"/>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8017C4" w14:textId="77777777" w:rsidR="00773D93" w:rsidRPr="00042F19" w:rsidRDefault="00773D93" w:rsidP="00773D93">
            <w:pPr>
              <w:pStyle w:val="ListParagraph"/>
              <w:numPr>
                <w:ilvl w:val="0"/>
                <w:numId w:val="24"/>
              </w:numPr>
              <w:rPr>
                <w:sz w:val="20"/>
                <w:szCs w:val="20"/>
              </w:rPr>
            </w:pPr>
            <w:r w:rsidRPr="007C272A">
              <w:rPr>
                <w:rFonts w:cs="Arial"/>
                <w:bCs/>
                <w:sz w:val="20"/>
                <w:szCs w:val="20"/>
              </w:rPr>
              <w:lastRenderedPageBreak/>
              <w:t>Thorough assessment reports</w:t>
            </w:r>
          </w:p>
        </w:tc>
        <w:tc>
          <w:tcPr>
            <w:tcW w:w="4330" w:type="dxa"/>
            <w:tcBorders>
              <w:top w:val="single" w:sz="4" w:space="0" w:color="auto"/>
              <w:left w:val="nil"/>
              <w:bottom w:val="single" w:sz="4" w:space="0" w:color="auto"/>
              <w:right w:val="single" w:sz="4" w:space="0" w:color="auto"/>
            </w:tcBorders>
            <w:shd w:val="clear" w:color="auto" w:fill="auto"/>
          </w:tcPr>
          <w:p w14:paraId="181C922C" w14:textId="3B498B81" w:rsidR="00773D93" w:rsidRDefault="00773D93" w:rsidP="008136F4">
            <w:pPr>
              <w:pStyle w:val="ListAlphaIndent0"/>
              <w:keepLines/>
              <w:spacing w:before="120" w:after="0" w:line="240" w:lineRule="auto"/>
              <w:rPr>
                <w:rFonts w:cs="Arial"/>
                <w:sz w:val="22"/>
                <w:szCs w:val="20"/>
              </w:rPr>
            </w:pPr>
            <w:r w:rsidRPr="00AB6673">
              <w:rPr>
                <w:rFonts w:cs="Arial"/>
                <w:szCs w:val="20"/>
              </w:rPr>
              <w:t>90</w:t>
            </w:r>
            <w:r w:rsidR="008136F4">
              <w:rPr>
                <w:rFonts w:cs="Arial"/>
                <w:szCs w:val="20"/>
              </w:rPr>
              <w:t>%</w:t>
            </w:r>
            <w:r w:rsidRPr="00AB6673">
              <w:rPr>
                <w:rFonts w:cs="Arial"/>
                <w:szCs w:val="20"/>
              </w:rPr>
              <w:t xml:space="preserve"> of </w:t>
            </w:r>
            <w:r>
              <w:rPr>
                <w:rFonts w:cs="Arial"/>
                <w:szCs w:val="20"/>
              </w:rPr>
              <w:t>OSA</w:t>
            </w:r>
            <w:r w:rsidRPr="00AB6673">
              <w:rPr>
                <w:rFonts w:cs="Arial"/>
                <w:szCs w:val="20"/>
              </w:rPr>
              <w:t xml:space="preserve"> </w:t>
            </w:r>
            <w:r>
              <w:rPr>
                <w:rFonts w:cs="Arial"/>
                <w:szCs w:val="20"/>
              </w:rPr>
              <w:t>R</w:t>
            </w:r>
            <w:r w:rsidRPr="00AB6673">
              <w:rPr>
                <w:rFonts w:cs="Arial"/>
                <w:szCs w:val="20"/>
              </w:rPr>
              <w:t xml:space="preserve">eports sampled by </w:t>
            </w:r>
            <w:r>
              <w:rPr>
                <w:rFonts w:cs="Arial"/>
                <w:szCs w:val="20"/>
              </w:rPr>
              <w:t>the Department</w:t>
            </w:r>
            <w:r w:rsidRPr="00AB6673">
              <w:rPr>
                <w:rFonts w:cs="Arial"/>
                <w:szCs w:val="20"/>
              </w:rPr>
              <w:t xml:space="preserve"> are accepted as complete, without requiring further work.</w:t>
            </w:r>
          </w:p>
        </w:tc>
        <w:tc>
          <w:tcPr>
            <w:tcW w:w="8581" w:type="dxa"/>
            <w:tcBorders>
              <w:top w:val="single" w:sz="4" w:space="0" w:color="auto"/>
              <w:left w:val="single" w:sz="4" w:space="0" w:color="auto"/>
              <w:bottom w:val="single" w:sz="4" w:space="0" w:color="auto"/>
              <w:right w:val="single" w:sz="4" w:space="0" w:color="auto"/>
            </w:tcBorders>
          </w:tcPr>
          <w:p w14:paraId="1B205EE7" w14:textId="77777777" w:rsidR="00773D93" w:rsidRPr="00B441B6" w:rsidRDefault="00773D93" w:rsidP="008136F4">
            <w:pPr>
              <w:spacing w:before="120"/>
              <w:rPr>
                <w:rFonts w:cs="Arial"/>
                <w:sz w:val="20"/>
                <w:szCs w:val="20"/>
              </w:rPr>
            </w:pPr>
            <w:r>
              <w:rPr>
                <w:rFonts w:cs="Arial"/>
                <w:sz w:val="20"/>
                <w:szCs w:val="20"/>
              </w:rPr>
              <w:t xml:space="preserve">Report quality will be assessed in accordance with the OSA quality framework using a </w:t>
            </w:r>
            <w:r w:rsidRPr="00AB6673">
              <w:rPr>
                <w:rFonts w:cs="Arial"/>
                <w:sz w:val="20"/>
                <w:szCs w:val="20"/>
              </w:rPr>
              <w:t xml:space="preserve">checklist </w:t>
            </w:r>
            <w:r>
              <w:rPr>
                <w:rFonts w:cs="Arial"/>
                <w:sz w:val="20"/>
                <w:szCs w:val="20"/>
              </w:rPr>
              <w:t>available to Providers.</w:t>
            </w:r>
          </w:p>
        </w:tc>
      </w:tr>
      <w:tr w:rsidR="00773D93" w:rsidRPr="00B441B6" w14:paraId="6796A975" w14:textId="77777777" w:rsidTr="008136F4">
        <w:trPr>
          <w:trHeight w:val="684"/>
        </w:trPr>
        <w:tc>
          <w:tcPr>
            <w:tcW w:w="1695" w:type="dxa"/>
            <w:tcBorders>
              <w:top w:val="nil"/>
              <w:left w:val="single" w:sz="4" w:space="0" w:color="auto"/>
              <w:bottom w:val="single" w:sz="4" w:space="0" w:color="auto"/>
              <w:right w:val="single" w:sz="4" w:space="0" w:color="auto"/>
            </w:tcBorders>
            <w:shd w:val="clear" w:color="auto" w:fill="auto"/>
          </w:tcPr>
          <w:p w14:paraId="5901E2BF" w14:textId="0F79AF47" w:rsidR="00773D93" w:rsidRPr="00042F19" w:rsidRDefault="00773D93" w:rsidP="008136F4">
            <w:pPr>
              <w:pStyle w:val="Default"/>
              <w:rPr>
                <w:sz w:val="20"/>
                <w:szCs w:val="20"/>
              </w:rPr>
            </w:pPr>
          </w:p>
        </w:tc>
        <w:tc>
          <w:tcPr>
            <w:tcW w:w="4330" w:type="dxa"/>
            <w:tcBorders>
              <w:top w:val="nil"/>
              <w:left w:val="nil"/>
              <w:bottom w:val="single" w:sz="4" w:space="0" w:color="auto"/>
              <w:right w:val="single" w:sz="4" w:space="0" w:color="auto"/>
            </w:tcBorders>
            <w:shd w:val="clear" w:color="auto" w:fill="auto"/>
          </w:tcPr>
          <w:p w14:paraId="38649074" w14:textId="7AAE82E7" w:rsidR="00773D93" w:rsidRPr="00B441B6" w:rsidRDefault="00773D93" w:rsidP="008136F4">
            <w:pPr>
              <w:pStyle w:val="Default"/>
              <w:spacing w:before="120"/>
              <w:rPr>
                <w:rFonts w:cs="Arial"/>
                <w:szCs w:val="20"/>
              </w:rPr>
            </w:pPr>
          </w:p>
        </w:tc>
        <w:tc>
          <w:tcPr>
            <w:tcW w:w="8581" w:type="dxa"/>
            <w:tcBorders>
              <w:top w:val="nil"/>
              <w:left w:val="single" w:sz="4" w:space="0" w:color="auto"/>
              <w:bottom w:val="single" w:sz="4" w:space="0" w:color="auto"/>
              <w:right w:val="single" w:sz="4" w:space="0" w:color="auto"/>
            </w:tcBorders>
          </w:tcPr>
          <w:p w14:paraId="05068E88" w14:textId="13E0D460" w:rsidR="00773D93" w:rsidRPr="00A52CAF" w:rsidRDefault="00773D93" w:rsidP="008136F4">
            <w:pPr>
              <w:spacing w:before="120"/>
              <w:rPr>
                <w:rFonts w:cs="Arial"/>
                <w:color w:val="000000"/>
                <w:sz w:val="20"/>
                <w:szCs w:val="20"/>
              </w:rPr>
            </w:pPr>
          </w:p>
        </w:tc>
      </w:tr>
    </w:tbl>
    <w:p w14:paraId="572BCEB8" w14:textId="7DA73505" w:rsidR="00585D3A" w:rsidRDefault="00585D3A">
      <w:pPr>
        <w:rPr>
          <w:szCs w:val="22"/>
        </w:rPr>
      </w:pPr>
    </w:p>
    <w:p w14:paraId="314EBFA9" w14:textId="3170E9D8" w:rsidR="008136F4" w:rsidRDefault="008136F4" w:rsidP="008136F4">
      <w:pPr>
        <w:pStyle w:val="Heading2"/>
      </w:pPr>
      <w:r>
        <w:t xml:space="preserve">Timeliness of Work Order </w:t>
      </w:r>
      <w:r w:rsidRPr="0044637E">
        <w:t xml:space="preserve">Acceptance </w:t>
      </w:r>
    </w:p>
    <w:p w14:paraId="53C7C88D" w14:textId="77777777" w:rsidR="008136F4" w:rsidRPr="008136F4" w:rsidRDefault="008136F4" w:rsidP="006C6E68"/>
    <w:p w14:paraId="351B7C9A" w14:textId="452F381B" w:rsidR="008136F4" w:rsidRDefault="008136F4" w:rsidP="008136F4">
      <w:pPr>
        <w:rPr>
          <w:szCs w:val="22"/>
        </w:rPr>
      </w:pPr>
      <w:r>
        <w:rPr>
          <w:szCs w:val="22"/>
        </w:rPr>
        <w:t xml:space="preserve">Panel members </w:t>
      </w:r>
      <w:r w:rsidRPr="0044637E">
        <w:rPr>
          <w:szCs w:val="22"/>
        </w:rPr>
        <w:t>must accept or reject each Work Order within one Business Day of receiving it</w:t>
      </w:r>
      <w:r>
        <w:rPr>
          <w:szCs w:val="22"/>
        </w:rPr>
        <w:t xml:space="preserve"> (refer to clause 4.4 of the Grant Agreement).</w:t>
      </w:r>
    </w:p>
    <w:p w14:paraId="62070259" w14:textId="77777777" w:rsidR="008136F4" w:rsidRDefault="008136F4" w:rsidP="008136F4">
      <w:pPr>
        <w:rPr>
          <w:szCs w:val="22"/>
        </w:rPr>
      </w:pPr>
    </w:p>
    <w:tbl>
      <w:tblPr>
        <w:tblW w:w="14606" w:type="dxa"/>
        <w:tblInd w:w="103" w:type="dxa"/>
        <w:tblLook w:val="0000" w:firstRow="0" w:lastRow="0" w:firstColumn="0" w:lastColumn="0" w:noHBand="0" w:noVBand="0"/>
      </w:tblPr>
      <w:tblGrid>
        <w:gridCol w:w="1695"/>
        <w:gridCol w:w="4330"/>
        <w:gridCol w:w="8581"/>
      </w:tblGrid>
      <w:tr w:rsidR="008136F4" w:rsidRPr="00A52CAF" w14:paraId="2C453377" w14:textId="77777777" w:rsidTr="008136F4">
        <w:trPr>
          <w:trHeight w:val="684"/>
        </w:trPr>
        <w:tc>
          <w:tcPr>
            <w:tcW w:w="1695" w:type="dxa"/>
            <w:tcBorders>
              <w:top w:val="nil"/>
              <w:left w:val="single" w:sz="4" w:space="0" w:color="auto"/>
              <w:bottom w:val="single" w:sz="4" w:space="0" w:color="auto"/>
              <w:right w:val="single" w:sz="4" w:space="0" w:color="auto"/>
            </w:tcBorders>
            <w:shd w:val="clear" w:color="auto" w:fill="auto"/>
          </w:tcPr>
          <w:p w14:paraId="76A34321" w14:textId="77777777" w:rsidR="008136F4" w:rsidRPr="00042F19" w:rsidRDefault="008136F4" w:rsidP="008136F4">
            <w:pPr>
              <w:pStyle w:val="Default"/>
              <w:rPr>
                <w:sz w:val="20"/>
                <w:szCs w:val="20"/>
              </w:rPr>
            </w:pPr>
            <w:r w:rsidRPr="00042F19">
              <w:rPr>
                <w:sz w:val="20"/>
                <w:szCs w:val="20"/>
              </w:rPr>
              <w:t>Acceptance of Work Orders</w:t>
            </w:r>
          </w:p>
        </w:tc>
        <w:tc>
          <w:tcPr>
            <w:tcW w:w="4330" w:type="dxa"/>
            <w:tcBorders>
              <w:top w:val="nil"/>
              <w:left w:val="nil"/>
              <w:bottom w:val="single" w:sz="4" w:space="0" w:color="auto"/>
              <w:right w:val="single" w:sz="4" w:space="0" w:color="auto"/>
            </w:tcBorders>
            <w:shd w:val="clear" w:color="auto" w:fill="auto"/>
          </w:tcPr>
          <w:p w14:paraId="70535135" w14:textId="77777777" w:rsidR="008136F4" w:rsidRPr="00B441B6" w:rsidRDefault="008136F4" w:rsidP="008136F4">
            <w:pPr>
              <w:pStyle w:val="Default"/>
              <w:spacing w:before="120"/>
              <w:rPr>
                <w:rFonts w:cs="Arial"/>
                <w:szCs w:val="20"/>
              </w:rPr>
            </w:pPr>
            <w:r>
              <w:rPr>
                <w:sz w:val="20"/>
                <w:szCs w:val="20"/>
              </w:rPr>
              <w:t>Providers must accept or reject each Work Order within one Business Day of receiving it.</w:t>
            </w:r>
          </w:p>
        </w:tc>
        <w:tc>
          <w:tcPr>
            <w:tcW w:w="8581" w:type="dxa"/>
            <w:tcBorders>
              <w:top w:val="nil"/>
              <w:left w:val="single" w:sz="4" w:space="0" w:color="auto"/>
              <w:bottom w:val="single" w:sz="4" w:space="0" w:color="auto"/>
              <w:right w:val="single" w:sz="4" w:space="0" w:color="auto"/>
            </w:tcBorders>
          </w:tcPr>
          <w:p w14:paraId="475F40C9" w14:textId="77777777" w:rsidR="008136F4" w:rsidRPr="00A52CAF" w:rsidRDefault="008136F4" w:rsidP="008136F4">
            <w:pPr>
              <w:spacing w:before="120"/>
              <w:rPr>
                <w:rFonts w:cs="Arial"/>
                <w:color w:val="000000"/>
                <w:sz w:val="20"/>
                <w:szCs w:val="20"/>
              </w:rPr>
            </w:pPr>
            <w:r>
              <w:rPr>
                <w:rFonts w:cs="Arial"/>
                <w:color w:val="000000"/>
                <w:sz w:val="20"/>
                <w:szCs w:val="20"/>
              </w:rPr>
              <w:t>Percentage of Work Orders accepted/not accepted within one Business Day of allocation.</w:t>
            </w:r>
          </w:p>
        </w:tc>
      </w:tr>
    </w:tbl>
    <w:p w14:paraId="12A9F52F" w14:textId="77777777" w:rsidR="008136F4" w:rsidRPr="005C4568" w:rsidRDefault="008136F4">
      <w:pPr>
        <w:rPr>
          <w:szCs w:val="22"/>
        </w:rPr>
      </w:pPr>
    </w:p>
    <w:sectPr w:rsidR="008136F4" w:rsidRPr="005C4568" w:rsidSect="007C272A">
      <w:pgSz w:w="16838" w:h="11906" w:orient="landscape" w:code="9"/>
      <w:pgMar w:top="1418" w:right="1276" w:bottom="1418" w:left="1079" w:header="567"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3B01" w14:textId="77777777" w:rsidR="00E55E5B" w:rsidRDefault="00E55E5B">
      <w:r>
        <w:separator/>
      </w:r>
    </w:p>
  </w:endnote>
  <w:endnote w:type="continuationSeparator" w:id="0">
    <w:p w14:paraId="338F8B2B" w14:textId="77777777" w:rsidR="00E55E5B" w:rsidRDefault="00E5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B35B" w14:textId="77777777" w:rsidR="00E15580" w:rsidRDefault="00E15580" w:rsidP="006E6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6F11" w14:textId="77777777" w:rsidR="00E15580" w:rsidRDefault="00E15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5DBA" w14:textId="77777777" w:rsidR="00117B26" w:rsidRPr="00117B26" w:rsidRDefault="00117B26" w:rsidP="00117B26">
    <w:pPr>
      <w:rPr>
        <w:sz w:val="16"/>
        <w:szCs w:val="16"/>
      </w:rPr>
    </w:pPr>
    <w:r w:rsidRPr="00117B26">
      <w:rPr>
        <w:sz w:val="16"/>
        <w:szCs w:val="16"/>
      </w:rPr>
      <w:t xml:space="preserve">National Panel of Assessors Performance Framework Guidelines </w:t>
    </w:r>
  </w:p>
  <w:p w14:paraId="77A566B8" w14:textId="3340357A" w:rsidR="00E15580" w:rsidRPr="00D15D4B" w:rsidRDefault="007C7A6C">
    <w:pPr>
      <w:rPr>
        <w:color w:val="808080" w:themeColor="background1" w:themeShade="80"/>
        <w:sz w:val="16"/>
        <w:szCs w:val="16"/>
      </w:rPr>
    </w:pPr>
    <w:r>
      <w:rPr>
        <w:color w:val="808080" w:themeColor="background1" w:themeShade="80"/>
        <w:sz w:val="16"/>
        <w:szCs w:val="16"/>
      </w:rPr>
      <w:t xml:space="preserve">TRIM ID: </w:t>
    </w:r>
    <w:r w:rsidR="00303D48">
      <w:rPr>
        <w:color w:val="808080" w:themeColor="background1" w:themeShade="80"/>
        <w:sz w:val="16"/>
        <w:szCs w:val="16"/>
      </w:rPr>
      <w:t xml:space="preserve"> </w:t>
    </w:r>
  </w:p>
  <w:p w14:paraId="1F62A6E5" w14:textId="4150518D" w:rsidR="00E15580" w:rsidRPr="00D15D4B" w:rsidRDefault="00E15580">
    <w:pPr>
      <w:rPr>
        <w:color w:val="808080" w:themeColor="background1" w:themeShade="80"/>
        <w:sz w:val="16"/>
        <w:szCs w:val="16"/>
      </w:rPr>
    </w:pPr>
    <w:r w:rsidRPr="00D15D4B">
      <w:rPr>
        <w:color w:val="808080" w:themeColor="background1" w:themeShade="80"/>
        <w:sz w:val="16"/>
        <w:szCs w:val="16"/>
      </w:rPr>
      <w:t xml:space="preserve">Arc Record Number: </w:t>
    </w:r>
  </w:p>
  <w:p w14:paraId="26A95105" w14:textId="184B2185" w:rsidR="00E15580" w:rsidRPr="00D15D4B" w:rsidRDefault="00E15580" w:rsidP="00D15D4B">
    <w:pPr>
      <w:jc w:val="right"/>
      <w:rPr>
        <w:color w:val="808080" w:themeColor="background1" w:themeShade="80"/>
        <w:sz w:val="16"/>
        <w:szCs w:val="16"/>
      </w:rPr>
    </w:pPr>
    <w:r w:rsidRPr="00D15D4B">
      <w:rPr>
        <w:color w:val="808080" w:themeColor="background1" w:themeShade="80"/>
        <w:sz w:val="16"/>
        <w:szCs w:val="16"/>
      </w:rPr>
      <w:t xml:space="preserve">Effective Date: </w:t>
    </w:r>
    <w:r w:rsidR="005C2757">
      <w:rPr>
        <w:color w:val="808080" w:themeColor="background1" w:themeShade="80"/>
        <w:sz w:val="16"/>
        <w:szCs w:val="16"/>
      </w:rPr>
      <w:t>7</w:t>
    </w:r>
    <w:r w:rsidR="00364797">
      <w:rPr>
        <w:color w:val="808080" w:themeColor="background1" w:themeShade="80"/>
        <w:sz w:val="16"/>
        <w:szCs w:val="16"/>
      </w:rPr>
      <w:t xml:space="preserve"> December</w:t>
    </w:r>
    <w:r w:rsidR="00E272B7">
      <w:rPr>
        <w:color w:val="808080" w:themeColor="background1" w:themeShade="80"/>
        <w:sz w:val="16"/>
        <w:szCs w:val="16"/>
      </w:rPr>
      <w:t xml:space="preserve"> 2020</w:t>
    </w:r>
  </w:p>
  <w:p w14:paraId="4895FEA3" w14:textId="501B3677" w:rsidR="00E15580" w:rsidRPr="00D15D4B" w:rsidRDefault="00E15580" w:rsidP="00D15D4B">
    <w:pPr>
      <w:pStyle w:val="Heading1"/>
      <w:spacing w:before="0"/>
      <w:rPr>
        <w:color w:val="808080" w:themeColor="background1" w:themeShade="80"/>
        <w:sz w:val="16"/>
        <w:szCs w:val="16"/>
      </w:rPr>
    </w:pPr>
    <w:r w:rsidRPr="00D15D4B">
      <w:rPr>
        <w:rStyle w:val="PageNumber"/>
        <w:rFonts w:cs="Times New Roman"/>
        <w:b w:val="0"/>
        <w:bCs w:val="0"/>
        <w:color w:val="808080" w:themeColor="background1" w:themeShade="80"/>
        <w:kern w:val="0"/>
        <w:sz w:val="16"/>
        <w:szCs w:val="16"/>
      </w:rPr>
      <w:fldChar w:fldCharType="begin"/>
    </w:r>
    <w:r w:rsidRPr="00D15D4B">
      <w:rPr>
        <w:rStyle w:val="PageNumber"/>
        <w:rFonts w:cs="Times New Roman"/>
        <w:b w:val="0"/>
        <w:bCs w:val="0"/>
        <w:color w:val="808080" w:themeColor="background1" w:themeShade="80"/>
        <w:kern w:val="0"/>
        <w:sz w:val="16"/>
        <w:szCs w:val="16"/>
      </w:rPr>
      <w:instrText xml:space="preserve"> PAGE </w:instrText>
    </w:r>
    <w:r w:rsidRPr="00D15D4B">
      <w:rPr>
        <w:rStyle w:val="PageNumber"/>
        <w:rFonts w:cs="Times New Roman"/>
        <w:b w:val="0"/>
        <w:bCs w:val="0"/>
        <w:color w:val="808080" w:themeColor="background1" w:themeShade="80"/>
        <w:kern w:val="0"/>
        <w:sz w:val="16"/>
        <w:szCs w:val="16"/>
      </w:rPr>
      <w:fldChar w:fldCharType="separate"/>
    </w:r>
    <w:r w:rsidR="002D20C7">
      <w:rPr>
        <w:rStyle w:val="PageNumber"/>
        <w:rFonts w:cs="Times New Roman"/>
        <w:b w:val="0"/>
        <w:bCs w:val="0"/>
        <w:noProof/>
        <w:color w:val="808080" w:themeColor="background1" w:themeShade="80"/>
        <w:kern w:val="0"/>
        <w:sz w:val="16"/>
        <w:szCs w:val="16"/>
      </w:rPr>
      <w:t>5</w:t>
    </w:r>
    <w:r w:rsidRPr="00D15D4B">
      <w:rPr>
        <w:rStyle w:val="PageNumber"/>
        <w:rFonts w:cs="Times New Roman"/>
        <w:b w:val="0"/>
        <w:bCs w:val="0"/>
        <w:color w:val="808080" w:themeColor="background1" w:themeShade="80"/>
        <w:kern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004A" w14:textId="77777777" w:rsidR="002D20C7" w:rsidRDefault="002D2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D6F7D" w14:textId="77777777" w:rsidR="00E55E5B" w:rsidRDefault="00E55E5B">
      <w:r>
        <w:separator/>
      </w:r>
    </w:p>
  </w:footnote>
  <w:footnote w:type="continuationSeparator" w:id="0">
    <w:p w14:paraId="5130346E" w14:textId="77777777" w:rsidR="00E55E5B" w:rsidRDefault="00E5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EA1B" w14:textId="77777777" w:rsidR="002D20C7" w:rsidRDefault="002D2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2D04" w14:textId="77777777" w:rsidR="002D20C7" w:rsidRDefault="002D2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98B4" w14:textId="77777777" w:rsidR="002D20C7" w:rsidRDefault="002D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4F86D1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F501BAB"/>
    <w:multiLevelType w:val="multilevel"/>
    <w:tmpl w:val="69C2C292"/>
    <w:lvl w:ilvl="0">
      <w:start w:val="1"/>
      <w:numFmt w:val="decimal"/>
      <w:pStyle w:val="ClauseHdg"/>
      <w:lvlText w:val="%1."/>
      <w:lvlJc w:val="left"/>
      <w:pPr>
        <w:tabs>
          <w:tab w:val="num" w:pos="737"/>
        </w:tabs>
        <w:ind w:left="737" w:hanging="737"/>
      </w:pPr>
      <w:rPr>
        <w:rFonts w:ascii="Calibri" w:hAnsi="Calibri" w:hint="default"/>
        <w:b/>
        <w:i w:val="0"/>
        <w:sz w:val="20"/>
      </w:rPr>
    </w:lvl>
    <w:lvl w:ilvl="1">
      <w:start w:val="1"/>
      <w:numFmt w:val="decimal"/>
      <w:pStyle w:val="Subclause"/>
      <w:lvlText w:val="%1.%2"/>
      <w:lvlJc w:val="left"/>
      <w:pPr>
        <w:tabs>
          <w:tab w:val="num" w:pos="737"/>
        </w:tabs>
        <w:ind w:left="737" w:hanging="737"/>
      </w:pPr>
      <w:rPr>
        <w:rFonts w:ascii="Calibri" w:hAnsi="Calibri" w:hint="default"/>
        <w:b w:val="0"/>
        <w:i w:val="0"/>
        <w:sz w:val="20"/>
      </w:rPr>
    </w:lvl>
    <w:lvl w:ilvl="2">
      <w:start w:val="1"/>
      <w:numFmt w:val="lowerLetter"/>
      <w:pStyle w:val="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 w15:restartNumberingAfterBreak="0">
    <w:nsid w:val="1A0E4D25"/>
    <w:multiLevelType w:val="hybridMultilevel"/>
    <w:tmpl w:val="709EF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BA7789"/>
    <w:multiLevelType w:val="hybridMultilevel"/>
    <w:tmpl w:val="B60687E8"/>
    <w:lvl w:ilvl="0" w:tplc="B00EA956">
      <w:start w:val="1"/>
      <w:numFmt w:val="lowerRoman"/>
      <w:lvlText w:val="(%1)"/>
      <w:lvlJc w:val="left"/>
      <w:pPr>
        <w:ind w:left="1117" w:hanging="72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 w15:restartNumberingAfterBreak="0">
    <w:nsid w:val="36EE1525"/>
    <w:multiLevelType w:val="multilevel"/>
    <w:tmpl w:val="D72AF7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8267E"/>
    <w:multiLevelType w:val="hybridMultilevel"/>
    <w:tmpl w:val="1BE44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9967DF"/>
    <w:multiLevelType w:val="multilevel"/>
    <w:tmpl w:val="8732F12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94374F"/>
    <w:multiLevelType w:val="multilevel"/>
    <w:tmpl w:val="0A408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023264"/>
    <w:multiLevelType w:val="hybridMultilevel"/>
    <w:tmpl w:val="BA70E848"/>
    <w:lvl w:ilvl="0" w:tplc="9EDCEAA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A873A4"/>
    <w:multiLevelType w:val="hybridMultilevel"/>
    <w:tmpl w:val="7082B4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301C0"/>
    <w:multiLevelType w:val="hybridMultilevel"/>
    <w:tmpl w:val="6C00C1EE"/>
    <w:lvl w:ilvl="0" w:tplc="FADEA702">
      <w:start w:val="1"/>
      <w:numFmt w:val="lowerLetter"/>
      <w:pStyle w:val="ListAlphaIndent0"/>
      <w:lvlText w:val="(%1)"/>
      <w:lvlJc w:val="left"/>
      <w:pPr>
        <w:tabs>
          <w:tab w:val="num" w:pos="397"/>
        </w:tabs>
        <w:ind w:left="397" w:hanging="397"/>
      </w:pPr>
      <w:rPr>
        <w:rFonts w:ascii="Calibri" w:hAnsi="Calibri" w:cs="Gigi"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1" w15:restartNumberingAfterBreak="0">
    <w:nsid w:val="6BA4528C"/>
    <w:multiLevelType w:val="hybridMultilevel"/>
    <w:tmpl w:val="3EFA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133501"/>
    <w:multiLevelType w:val="multilevel"/>
    <w:tmpl w:val="551A31D4"/>
    <w:lvl w:ilvl="0">
      <w:start w:val="1"/>
      <w:numFmt w:val="none"/>
      <w:lvlText w:val="3.1"/>
      <w:lvlJc w:val="left"/>
      <w:pPr>
        <w:ind w:left="360" w:hanging="360"/>
      </w:pPr>
      <w:rPr>
        <w:rFonts w:hint="default"/>
      </w:rPr>
    </w:lvl>
    <w:lvl w:ilvl="1">
      <w:start w:val="1"/>
      <w:numFmt w:val="none"/>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F8018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0"/>
  </w:num>
  <w:num w:numId="4">
    <w:abstractNumId w:val="10"/>
  </w:num>
  <w:num w:numId="5">
    <w:abstractNumId w:val="10"/>
    <w:lvlOverride w:ilvl="0">
      <w:startOverride w:val="1"/>
    </w:lvlOverride>
  </w:num>
  <w:num w:numId="6">
    <w:abstractNumId w:val="10"/>
    <w:lvlOverride w:ilvl="0">
      <w:startOverride w:val="1"/>
    </w:lvlOverride>
  </w:num>
  <w:num w:numId="7">
    <w:abstractNumId w:val="3"/>
  </w:num>
  <w:num w:numId="8">
    <w:abstractNumId w:val="7"/>
  </w:num>
  <w:num w:numId="9">
    <w:abstractNumId w:val="10"/>
    <w:lvlOverride w:ilvl="0">
      <w:startOverride w:val="1"/>
    </w:lvlOverride>
  </w:num>
  <w:num w:numId="10">
    <w:abstractNumId w:val="10"/>
    <w:lvlOverride w:ilvl="0">
      <w:startOverride w:val="1"/>
    </w:lvlOverride>
  </w:num>
  <w:num w:numId="11">
    <w:abstractNumId w:val="10"/>
  </w:num>
  <w:num w:numId="12">
    <w:abstractNumId w:val="11"/>
  </w:num>
  <w:num w:numId="13">
    <w:abstractNumId w:val="8"/>
  </w:num>
  <w:num w:numId="14">
    <w:abstractNumId w:val="5"/>
  </w:num>
  <w:num w:numId="15">
    <w:abstractNumId w:val="2"/>
  </w:num>
  <w:num w:numId="16">
    <w:abstractNumId w:val="6"/>
  </w:num>
  <w:num w:numId="17">
    <w:abstractNumId w:val="6"/>
    <w:lvlOverride w:ilvl="0">
      <w:lvl w:ilvl="0">
        <w:start w:val="1"/>
        <w:numFmt w:val="none"/>
        <w:lvlText w:val="2.2"/>
        <w:lvlJc w:val="left"/>
        <w:pPr>
          <w:ind w:left="360" w:hanging="360"/>
        </w:pPr>
        <w:rPr>
          <w:rFonts w:hint="default"/>
        </w:rPr>
      </w:lvl>
    </w:lvlOverride>
    <w:lvlOverride w:ilvl="1">
      <w:lvl w:ilvl="1">
        <w:start w:val="1"/>
        <w:numFmt w:val="none"/>
        <w:lvlText w:val="2.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8">
    <w:abstractNumId w:val="12"/>
  </w:num>
  <w:num w:numId="19">
    <w:abstractNumId w:val="13"/>
    <w:lvlOverride w:ilvl="0">
      <w:lvl w:ilvl="0">
        <w:start w:val="1"/>
        <w:numFmt w:val="decimal"/>
        <w:lvlText w:val="%1.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3"/>
    <w:lvlOverride w:ilvl="0">
      <w:lvl w:ilvl="0">
        <w:start w:val="1"/>
        <w:numFmt w:val="none"/>
        <w:lvlText w:val="2.2"/>
        <w:lvlJc w:val="left"/>
        <w:pPr>
          <w:ind w:left="2062" w:hanging="360"/>
        </w:pPr>
        <w:rPr>
          <w:rFonts w:hint="default"/>
        </w:rPr>
      </w:lvl>
    </w:lvlOverride>
    <w:lvlOverride w:ilvl="1">
      <w:lvl w:ilvl="1">
        <w:start w:val="1"/>
        <w:numFmt w:val="decimal"/>
        <w:lvlText w:val="%1.%2."/>
        <w:lvlJc w:val="left"/>
        <w:pPr>
          <w:ind w:left="2494" w:hanging="432"/>
        </w:pPr>
        <w:rPr>
          <w:rFonts w:hint="default"/>
        </w:rPr>
      </w:lvl>
    </w:lvlOverride>
    <w:lvlOverride w:ilvl="2">
      <w:lvl w:ilvl="2">
        <w:start w:val="1"/>
        <w:numFmt w:val="decimal"/>
        <w:lvlText w:val="%1.%2.%3."/>
        <w:lvlJc w:val="left"/>
        <w:pPr>
          <w:ind w:left="2926" w:hanging="504"/>
        </w:pPr>
        <w:rPr>
          <w:rFonts w:hint="default"/>
        </w:rPr>
      </w:lvl>
    </w:lvlOverride>
    <w:lvlOverride w:ilvl="3">
      <w:lvl w:ilvl="3">
        <w:start w:val="1"/>
        <w:numFmt w:val="decimal"/>
        <w:lvlText w:val="%1.%2.%3.%4."/>
        <w:lvlJc w:val="left"/>
        <w:pPr>
          <w:ind w:left="3430" w:hanging="648"/>
        </w:pPr>
        <w:rPr>
          <w:rFonts w:hint="default"/>
        </w:rPr>
      </w:lvl>
    </w:lvlOverride>
    <w:lvlOverride w:ilvl="4">
      <w:lvl w:ilvl="4">
        <w:start w:val="1"/>
        <w:numFmt w:val="decimal"/>
        <w:lvlText w:val="%1.%2.%3.%4.%5."/>
        <w:lvlJc w:val="left"/>
        <w:pPr>
          <w:ind w:left="3934" w:hanging="792"/>
        </w:pPr>
        <w:rPr>
          <w:rFonts w:hint="default"/>
        </w:rPr>
      </w:lvl>
    </w:lvlOverride>
    <w:lvlOverride w:ilvl="5">
      <w:lvl w:ilvl="5">
        <w:start w:val="1"/>
        <w:numFmt w:val="decimal"/>
        <w:lvlText w:val="%1.%2.%3.%4.%5.%6."/>
        <w:lvlJc w:val="left"/>
        <w:pPr>
          <w:ind w:left="4438" w:hanging="936"/>
        </w:pPr>
        <w:rPr>
          <w:rFonts w:hint="default"/>
        </w:rPr>
      </w:lvl>
    </w:lvlOverride>
    <w:lvlOverride w:ilvl="6">
      <w:lvl w:ilvl="6">
        <w:start w:val="1"/>
        <w:numFmt w:val="decimal"/>
        <w:lvlText w:val="%1.%2.%3.%4.%5.%6.%7."/>
        <w:lvlJc w:val="left"/>
        <w:pPr>
          <w:ind w:left="4942" w:hanging="1080"/>
        </w:pPr>
        <w:rPr>
          <w:rFonts w:hint="default"/>
        </w:rPr>
      </w:lvl>
    </w:lvlOverride>
    <w:lvlOverride w:ilvl="7">
      <w:lvl w:ilvl="7">
        <w:start w:val="1"/>
        <w:numFmt w:val="decimal"/>
        <w:lvlText w:val="%1.%2.%3.%4.%5.%6.%7.%8."/>
        <w:lvlJc w:val="left"/>
        <w:pPr>
          <w:ind w:left="5446" w:hanging="1224"/>
        </w:pPr>
        <w:rPr>
          <w:rFonts w:hint="default"/>
        </w:rPr>
      </w:lvl>
    </w:lvlOverride>
    <w:lvlOverride w:ilvl="8">
      <w:lvl w:ilvl="8">
        <w:start w:val="1"/>
        <w:numFmt w:val="decimal"/>
        <w:lvlText w:val="%1.%2.%3.%4.%5.%6.%7.%8.%9."/>
        <w:lvlJc w:val="left"/>
        <w:pPr>
          <w:ind w:left="6022" w:hanging="1440"/>
        </w:pPr>
        <w:rPr>
          <w:rFonts w:hint="default"/>
        </w:rPr>
      </w:lvl>
    </w:lvlOverride>
  </w:num>
  <w:num w:numId="21">
    <w:abstractNumId w:val="7"/>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2">
    <w:abstractNumId w:val="7"/>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3">
    <w:abstractNumId w:val="4"/>
  </w:num>
  <w:num w:numId="24">
    <w:abstractNumId w:val="13"/>
    <w:lvlOverride w:ilvl="0">
      <w:lvl w:ilvl="0">
        <w:start w:val="1"/>
        <w:numFmt w:val="none"/>
        <w:lvlText w:val="2.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0"/>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3E"/>
    <w:rsid w:val="00000D9B"/>
    <w:rsid w:val="00001123"/>
    <w:rsid w:val="000055F6"/>
    <w:rsid w:val="00005BE9"/>
    <w:rsid w:val="00006AB0"/>
    <w:rsid w:val="00022458"/>
    <w:rsid w:val="000229B8"/>
    <w:rsid w:val="000234B8"/>
    <w:rsid w:val="00023992"/>
    <w:rsid w:val="00033AD4"/>
    <w:rsid w:val="000352D2"/>
    <w:rsid w:val="000378C3"/>
    <w:rsid w:val="00037A72"/>
    <w:rsid w:val="000404F8"/>
    <w:rsid w:val="00042F19"/>
    <w:rsid w:val="00043926"/>
    <w:rsid w:val="00044858"/>
    <w:rsid w:val="000544DC"/>
    <w:rsid w:val="0005757A"/>
    <w:rsid w:val="000612FB"/>
    <w:rsid w:val="000619B4"/>
    <w:rsid w:val="000635BB"/>
    <w:rsid w:val="0006390B"/>
    <w:rsid w:val="00066233"/>
    <w:rsid w:val="0006771C"/>
    <w:rsid w:val="0007118B"/>
    <w:rsid w:val="00071521"/>
    <w:rsid w:val="000748A0"/>
    <w:rsid w:val="0007506B"/>
    <w:rsid w:val="0007753D"/>
    <w:rsid w:val="000776FD"/>
    <w:rsid w:val="00080A7B"/>
    <w:rsid w:val="000823B1"/>
    <w:rsid w:val="00082D14"/>
    <w:rsid w:val="00085186"/>
    <w:rsid w:val="00090308"/>
    <w:rsid w:val="0009524C"/>
    <w:rsid w:val="000A264F"/>
    <w:rsid w:val="000A267F"/>
    <w:rsid w:val="000A26CE"/>
    <w:rsid w:val="000A4FEA"/>
    <w:rsid w:val="000A65F5"/>
    <w:rsid w:val="000A731D"/>
    <w:rsid w:val="000B0059"/>
    <w:rsid w:val="000B1F2D"/>
    <w:rsid w:val="000B2CC1"/>
    <w:rsid w:val="000B2D37"/>
    <w:rsid w:val="000C6AF5"/>
    <w:rsid w:val="000C7551"/>
    <w:rsid w:val="000D052A"/>
    <w:rsid w:val="000D1CCD"/>
    <w:rsid w:val="000D1F5E"/>
    <w:rsid w:val="000D5ABC"/>
    <w:rsid w:val="000D72D6"/>
    <w:rsid w:val="000E1665"/>
    <w:rsid w:val="000E2667"/>
    <w:rsid w:val="000E2788"/>
    <w:rsid w:val="000E4068"/>
    <w:rsid w:val="000E75A2"/>
    <w:rsid w:val="000F2CF2"/>
    <w:rsid w:val="000F7795"/>
    <w:rsid w:val="000F7AA2"/>
    <w:rsid w:val="00100207"/>
    <w:rsid w:val="00101524"/>
    <w:rsid w:val="0010615E"/>
    <w:rsid w:val="00106DFA"/>
    <w:rsid w:val="001112D8"/>
    <w:rsid w:val="00111B46"/>
    <w:rsid w:val="00114B81"/>
    <w:rsid w:val="0011588E"/>
    <w:rsid w:val="00115AA4"/>
    <w:rsid w:val="001172B8"/>
    <w:rsid w:val="00117B26"/>
    <w:rsid w:val="00121B30"/>
    <w:rsid w:val="00121B81"/>
    <w:rsid w:val="001220B7"/>
    <w:rsid w:val="00130CC7"/>
    <w:rsid w:val="00130FF6"/>
    <w:rsid w:val="0013416B"/>
    <w:rsid w:val="00134C7B"/>
    <w:rsid w:val="00134F0A"/>
    <w:rsid w:val="001366EA"/>
    <w:rsid w:val="00141951"/>
    <w:rsid w:val="00144EA6"/>
    <w:rsid w:val="001455AC"/>
    <w:rsid w:val="001538B2"/>
    <w:rsid w:val="00154776"/>
    <w:rsid w:val="001606F3"/>
    <w:rsid w:val="00160E7D"/>
    <w:rsid w:val="00161000"/>
    <w:rsid w:val="001723F1"/>
    <w:rsid w:val="00174C52"/>
    <w:rsid w:val="00175910"/>
    <w:rsid w:val="00176EAD"/>
    <w:rsid w:val="0018479B"/>
    <w:rsid w:val="00185DDB"/>
    <w:rsid w:val="00185E63"/>
    <w:rsid w:val="001903A4"/>
    <w:rsid w:val="00190F94"/>
    <w:rsid w:val="00193369"/>
    <w:rsid w:val="001A1746"/>
    <w:rsid w:val="001A1F7C"/>
    <w:rsid w:val="001A4702"/>
    <w:rsid w:val="001A4D8F"/>
    <w:rsid w:val="001A5138"/>
    <w:rsid w:val="001A5DF1"/>
    <w:rsid w:val="001B4D55"/>
    <w:rsid w:val="001B568F"/>
    <w:rsid w:val="001B6695"/>
    <w:rsid w:val="001C06E7"/>
    <w:rsid w:val="001C0ABB"/>
    <w:rsid w:val="001C50ED"/>
    <w:rsid w:val="001C7FAA"/>
    <w:rsid w:val="001D04C0"/>
    <w:rsid w:val="001D0AE4"/>
    <w:rsid w:val="001D1A9D"/>
    <w:rsid w:val="001E4073"/>
    <w:rsid w:val="001F3B15"/>
    <w:rsid w:val="001F4006"/>
    <w:rsid w:val="001F42C7"/>
    <w:rsid w:val="001F5495"/>
    <w:rsid w:val="001F6248"/>
    <w:rsid w:val="001F7B54"/>
    <w:rsid w:val="00200FF6"/>
    <w:rsid w:val="0020309F"/>
    <w:rsid w:val="00207DEA"/>
    <w:rsid w:val="00211A24"/>
    <w:rsid w:val="002156F1"/>
    <w:rsid w:val="00226BF7"/>
    <w:rsid w:val="00226F92"/>
    <w:rsid w:val="00232E99"/>
    <w:rsid w:val="00233101"/>
    <w:rsid w:val="00233F6B"/>
    <w:rsid w:val="002364EA"/>
    <w:rsid w:val="00236DB9"/>
    <w:rsid w:val="002371C6"/>
    <w:rsid w:val="00241638"/>
    <w:rsid w:val="00244644"/>
    <w:rsid w:val="002472DC"/>
    <w:rsid w:val="00250068"/>
    <w:rsid w:val="00252CB2"/>
    <w:rsid w:val="002536B2"/>
    <w:rsid w:val="00255344"/>
    <w:rsid w:val="00257080"/>
    <w:rsid w:val="00257D19"/>
    <w:rsid w:val="00260726"/>
    <w:rsid w:val="00260FC1"/>
    <w:rsid w:val="002621E6"/>
    <w:rsid w:val="00262EFC"/>
    <w:rsid w:val="00263079"/>
    <w:rsid w:val="002635E9"/>
    <w:rsid w:val="00264418"/>
    <w:rsid w:val="00266B4A"/>
    <w:rsid w:val="00267679"/>
    <w:rsid w:val="002706BF"/>
    <w:rsid w:val="002724D8"/>
    <w:rsid w:val="002773F9"/>
    <w:rsid w:val="00281152"/>
    <w:rsid w:val="00281579"/>
    <w:rsid w:val="00281754"/>
    <w:rsid w:val="00281FE2"/>
    <w:rsid w:val="002828A7"/>
    <w:rsid w:val="0028357F"/>
    <w:rsid w:val="00285642"/>
    <w:rsid w:val="002869F2"/>
    <w:rsid w:val="002900D6"/>
    <w:rsid w:val="002A04DD"/>
    <w:rsid w:val="002A27E4"/>
    <w:rsid w:val="002A2DAB"/>
    <w:rsid w:val="002A5AD0"/>
    <w:rsid w:val="002A70EA"/>
    <w:rsid w:val="002B07B3"/>
    <w:rsid w:val="002B6E59"/>
    <w:rsid w:val="002C361B"/>
    <w:rsid w:val="002C3A3A"/>
    <w:rsid w:val="002C6685"/>
    <w:rsid w:val="002C7D5B"/>
    <w:rsid w:val="002D12EB"/>
    <w:rsid w:val="002D20C7"/>
    <w:rsid w:val="002D6537"/>
    <w:rsid w:val="002D7BDA"/>
    <w:rsid w:val="002E220A"/>
    <w:rsid w:val="002E6CD4"/>
    <w:rsid w:val="002F08D2"/>
    <w:rsid w:val="002F15F5"/>
    <w:rsid w:val="002F3719"/>
    <w:rsid w:val="003003A4"/>
    <w:rsid w:val="00301652"/>
    <w:rsid w:val="00303D48"/>
    <w:rsid w:val="003048A4"/>
    <w:rsid w:val="00306EF4"/>
    <w:rsid w:val="003073D6"/>
    <w:rsid w:val="00313213"/>
    <w:rsid w:val="00313A72"/>
    <w:rsid w:val="00317294"/>
    <w:rsid w:val="00317DFE"/>
    <w:rsid w:val="00321652"/>
    <w:rsid w:val="0032179D"/>
    <w:rsid w:val="00321F95"/>
    <w:rsid w:val="00322701"/>
    <w:rsid w:val="003246D5"/>
    <w:rsid w:val="00330BBC"/>
    <w:rsid w:val="00331206"/>
    <w:rsid w:val="00333B05"/>
    <w:rsid w:val="003368B6"/>
    <w:rsid w:val="00350CA3"/>
    <w:rsid w:val="003518B3"/>
    <w:rsid w:val="00352078"/>
    <w:rsid w:val="00354881"/>
    <w:rsid w:val="00354FE5"/>
    <w:rsid w:val="003569A7"/>
    <w:rsid w:val="0036080B"/>
    <w:rsid w:val="003621DE"/>
    <w:rsid w:val="00363D1D"/>
    <w:rsid w:val="00364797"/>
    <w:rsid w:val="0036676F"/>
    <w:rsid w:val="00367BB0"/>
    <w:rsid w:val="003735FB"/>
    <w:rsid w:val="00375895"/>
    <w:rsid w:val="003811E6"/>
    <w:rsid w:val="003820B3"/>
    <w:rsid w:val="00386EB5"/>
    <w:rsid w:val="00391658"/>
    <w:rsid w:val="00393388"/>
    <w:rsid w:val="00396A4A"/>
    <w:rsid w:val="00396B96"/>
    <w:rsid w:val="003A0270"/>
    <w:rsid w:val="003A18E3"/>
    <w:rsid w:val="003A2C16"/>
    <w:rsid w:val="003A5361"/>
    <w:rsid w:val="003A7C0D"/>
    <w:rsid w:val="003B5052"/>
    <w:rsid w:val="003B73BA"/>
    <w:rsid w:val="003B778C"/>
    <w:rsid w:val="003C00E6"/>
    <w:rsid w:val="003C3E62"/>
    <w:rsid w:val="003C4270"/>
    <w:rsid w:val="003C628E"/>
    <w:rsid w:val="003D21F7"/>
    <w:rsid w:val="003D76FB"/>
    <w:rsid w:val="003E21C6"/>
    <w:rsid w:val="003E3E98"/>
    <w:rsid w:val="003E4E7F"/>
    <w:rsid w:val="003E7BB6"/>
    <w:rsid w:val="003F0497"/>
    <w:rsid w:val="003F6ABC"/>
    <w:rsid w:val="00400A66"/>
    <w:rsid w:val="0040304F"/>
    <w:rsid w:val="00407432"/>
    <w:rsid w:val="00410792"/>
    <w:rsid w:val="00410BE8"/>
    <w:rsid w:val="00412CE3"/>
    <w:rsid w:val="0041307C"/>
    <w:rsid w:val="00414E0C"/>
    <w:rsid w:val="00416F2F"/>
    <w:rsid w:val="0042199D"/>
    <w:rsid w:val="00423FBC"/>
    <w:rsid w:val="00424FA3"/>
    <w:rsid w:val="00433442"/>
    <w:rsid w:val="00433A54"/>
    <w:rsid w:val="00433C1B"/>
    <w:rsid w:val="00434930"/>
    <w:rsid w:val="004373DE"/>
    <w:rsid w:val="00441A0F"/>
    <w:rsid w:val="00441FCB"/>
    <w:rsid w:val="0044282A"/>
    <w:rsid w:val="0044637E"/>
    <w:rsid w:val="00452608"/>
    <w:rsid w:val="00462151"/>
    <w:rsid w:val="00466810"/>
    <w:rsid w:val="004729E5"/>
    <w:rsid w:val="00474A00"/>
    <w:rsid w:val="00475981"/>
    <w:rsid w:val="004764CE"/>
    <w:rsid w:val="00480F63"/>
    <w:rsid w:val="004816C2"/>
    <w:rsid w:val="004827BF"/>
    <w:rsid w:val="0048307B"/>
    <w:rsid w:val="004845E9"/>
    <w:rsid w:val="004A07F2"/>
    <w:rsid w:val="004A0DA5"/>
    <w:rsid w:val="004A4F85"/>
    <w:rsid w:val="004B42F5"/>
    <w:rsid w:val="004B4E90"/>
    <w:rsid w:val="004B56BC"/>
    <w:rsid w:val="004B5B45"/>
    <w:rsid w:val="004C26BE"/>
    <w:rsid w:val="004C37E3"/>
    <w:rsid w:val="004C3D61"/>
    <w:rsid w:val="004C51AC"/>
    <w:rsid w:val="004C5BCA"/>
    <w:rsid w:val="004D19E7"/>
    <w:rsid w:val="004D22A6"/>
    <w:rsid w:val="004D34D1"/>
    <w:rsid w:val="004E00EC"/>
    <w:rsid w:val="004E5A6D"/>
    <w:rsid w:val="004F1D14"/>
    <w:rsid w:val="004F491E"/>
    <w:rsid w:val="004F5A92"/>
    <w:rsid w:val="004F6F4B"/>
    <w:rsid w:val="00500DB6"/>
    <w:rsid w:val="005035ED"/>
    <w:rsid w:val="005046CE"/>
    <w:rsid w:val="0050593C"/>
    <w:rsid w:val="0051183B"/>
    <w:rsid w:val="00511E1B"/>
    <w:rsid w:val="00512B1C"/>
    <w:rsid w:val="0051371B"/>
    <w:rsid w:val="005214F3"/>
    <w:rsid w:val="00522706"/>
    <w:rsid w:val="00523B99"/>
    <w:rsid w:val="0052441F"/>
    <w:rsid w:val="0052788F"/>
    <w:rsid w:val="00530419"/>
    <w:rsid w:val="005305EF"/>
    <w:rsid w:val="00530F0E"/>
    <w:rsid w:val="00531523"/>
    <w:rsid w:val="005356F2"/>
    <w:rsid w:val="00537F9B"/>
    <w:rsid w:val="005411BE"/>
    <w:rsid w:val="00543904"/>
    <w:rsid w:val="00543E86"/>
    <w:rsid w:val="00547675"/>
    <w:rsid w:val="00555A48"/>
    <w:rsid w:val="00556DDB"/>
    <w:rsid w:val="00557016"/>
    <w:rsid w:val="005608E3"/>
    <w:rsid w:val="00561558"/>
    <w:rsid w:val="00561A68"/>
    <w:rsid w:val="00562EFA"/>
    <w:rsid w:val="0056339E"/>
    <w:rsid w:val="005655DB"/>
    <w:rsid w:val="0057097A"/>
    <w:rsid w:val="00571684"/>
    <w:rsid w:val="00571B27"/>
    <w:rsid w:val="00572830"/>
    <w:rsid w:val="005730E2"/>
    <w:rsid w:val="005769B0"/>
    <w:rsid w:val="00576F4E"/>
    <w:rsid w:val="00582A1C"/>
    <w:rsid w:val="00585D3A"/>
    <w:rsid w:val="00586E8F"/>
    <w:rsid w:val="00591795"/>
    <w:rsid w:val="00591E4F"/>
    <w:rsid w:val="00592642"/>
    <w:rsid w:val="005929F6"/>
    <w:rsid w:val="0059474C"/>
    <w:rsid w:val="00596545"/>
    <w:rsid w:val="005A33A2"/>
    <w:rsid w:val="005A48FA"/>
    <w:rsid w:val="005A5A80"/>
    <w:rsid w:val="005A5F6B"/>
    <w:rsid w:val="005A6E6E"/>
    <w:rsid w:val="005A7A16"/>
    <w:rsid w:val="005B3829"/>
    <w:rsid w:val="005B5136"/>
    <w:rsid w:val="005B6D9B"/>
    <w:rsid w:val="005C0EF7"/>
    <w:rsid w:val="005C0F2E"/>
    <w:rsid w:val="005C179D"/>
    <w:rsid w:val="005C2757"/>
    <w:rsid w:val="005C4568"/>
    <w:rsid w:val="005C4B11"/>
    <w:rsid w:val="005C7F15"/>
    <w:rsid w:val="005D3965"/>
    <w:rsid w:val="005D5076"/>
    <w:rsid w:val="005D6A3D"/>
    <w:rsid w:val="005E2CD1"/>
    <w:rsid w:val="005E2FE0"/>
    <w:rsid w:val="005E3C83"/>
    <w:rsid w:val="005E4764"/>
    <w:rsid w:val="005E5796"/>
    <w:rsid w:val="005E7F49"/>
    <w:rsid w:val="005F0122"/>
    <w:rsid w:val="005F0401"/>
    <w:rsid w:val="005F085A"/>
    <w:rsid w:val="005F0F26"/>
    <w:rsid w:val="005F15AC"/>
    <w:rsid w:val="005F26EC"/>
    <w:rsid w:val="005F3163"/>
    <w:rsid w:val="005F3534"/>
    <w:rsid w:val="005F57C8"/>
    <w:rsid w:val="005F7F0F"/>
    <w:rsid w:val="00600A9E"/>
    <w:rsid w:val="00601EBA"/>
    <w:rsid w:val="00603F96"/>
    <w:rsid w:val="00604B92"/>
    <w:rsid w:val="006050F5"/>
    <w:rsid w:val="00605ABC"/>
    <w:rsid w:val="00606BD5"/>
    <w:rsid w:val="00606EFA"/>
    <w:rsid w:val="0061225B"/>
    <w:rsid w:val="0061238B"/>
    <w:rsid w:val="00614039"/>
    <w:rsid w:val="00614BE3"/>
    <w:rsid w:val="00616133"/>
    <w:rsid w:val="00616CBB"/>
    <w:rsid w:val="00616DAB"/>
    <w:rsid w:val="006179A4"/>
    <w:rsid w:val="00621EB3"/>
    <w:rsid w:val="00624F37"/>
    <w:rsid w:val="00631C9A"/>
    <w:rsid w:val="00632EC0"/>
    <w:rsid w:val="00633740"/>
    <w:rsid w:val="00633875"/>
    <w:rsid w:val="006373EA"/>
    <w:rsid w:val="00642BEE"/>
    <w:rsid w:val="00643A4C"/>
    <w:rsid w:val="006446BC"/>
    <w:rsid w:val="00644A98"/>
    <w:rsid w:val="00646977"/>
    <w:rsid w:val="00646F22"/>
    <w:rsid w:val="0065428C"/>
    <w:rsid w:val="00654BA7"/>
    <w:rsid w:val="00657399"/>
    <w:rsid w:val="00657AAA"/>
    <w:rsid w:val="006608E5"/>
    <w:rsid w:val="00661E23"/>
    <w:rsid w:val="00662F8F"/>
    <w:rsid w:val="00663849"/>
    <w:rsid w:val="006709F7"/>
    <w:rsid w:val="00670E4F"/>
    <w:rsid w:val="006741BE"/>
    <w:rsid w:val="006748D0"/>
    <w:rsid w:val="00676D5C"/>
    <w:rsid w:val="00682410"/>
    <w:rsid w:val="0068651E"/>
    <w:rsid w:val="0069020B"/>
    <w:rsid w:val="00690234"/>
    <w:rsid w:val="00693C40"/>
    <w:rsid w:val="006A64D8"/>
    <w:rsid w:val="006A696C"/>
    <w:rsid w:val="006A7242"/>
    <w:rsid w:val="006C0B3C"/>
    <w:rsid w:val="006C40E7"/>
    <w:rsid w:val="006C6E68"/>
    <w:rsid w:val="006D09F9"/>
    <w:rsid w:val="006D0F46"/>
    <w:rsid w:val="006D22C6"/>
    <w:rsid w:val="006D6036"/>
    <w:rsid w:val="006E1259"/>
    <w:rsid w:val="006E13E5"/>
    <w:rsid w:val="006E1938"/>
    <w:rsid w:val="006E207F"/>
    <w:rsid w:val="006E5890"/>
    <w:rsid w:val="006E5B74"/>
    <w:rsid w:val="006E6376"/>
    <w:rsid w:val="006F2E95"/>
    <w:rsid w:val="006F43F4"/>
    <w:rsid w:val="006F6228"/>
    <w:rsid w:val="006F63CA"/>
    <w:rsid w:val="006F68D4"/>
    <w:rsid w:val="006F74ED"/>
    <w:rsid w:val="00700982"/>
    <w:rsid w:val="00701197"/>
    <w:rsid w:val="00701951"/>
    <w:rsid w:val="007041EA"/>
    <w:rsid w:val="0070429E"/>
    <w:rsid w:val="00704A27"/>
    <w:rsid w:val="007071F3"/>
    <w:rsid w:val="0070767D"/>
    <w:rsid w:val="00711974"/>
    <w:rsid w:val="00714065"/>
    <w:rsid w:val="0071686B"/>
    <w:rsid w:val="007209D3"/>
    <w:rsid w:val="0072260C"/>
    <w:rsid w:val="00725005"/>
    <w:rsid w:val="007273AD"/>
    <w:rsid w:val="00731BDD"/>
    <w:rsid w:val="00732577"/>
    <w:rsid w:val="00733A2B"/>
    <w:rsid w:val="00737C91"/>
    <w:rsid w:val="007409E8"/>
    <w:rsid w:val="00744C2B"/>
    <w:rsid w:val="00747105"/>
    <w:rsid w:val="0075244C"/>
    <w:rsid w:val="00754313"/>
    <w:rsid w:val="00754623"/>
    <w:rsid w:val="007551F7"/>
    <w:rsid w:val="00755D7B"/>
    <w:rsid w:val="00757C58"/>
    <w:rsid w:val="00757F47"/>
    <w:rsid w:val="007658B5"/>
    <w:rsid w:val="00765B0B"/>
    <w:rsid w:val="0076666F"/>
    <w:rsid w:val="0076771A"/>
    <w:rsid w:val="00771BF9"/>
    <w:rsid w:val="00773985"/>
    <w:rsid w:val="00773D93"/>
    <w:rsid w:val="007743BE"/>
    <w:rsid w:val="00774FA7"/>
    <w:rsid w:val="00783542"/>
    <w:rsid w:val="00787E00"/>
    <w:rsid w:val="007938D6"/>
    <w:rsid w:val="007A3D56"/>
    <w:rsid w:val="007A64FA"/>
    <w:rsid w:val="007A7A35"/>
    <w:rsid w:val="007B0FE6"/>
    <w:rsid w:val="007B3554"/>
    <w:rsid w:val="007B4747"/>
    <w:rsid w:val="007B7BD0"/>
    <w:rsid w:val="007C0640"/>
    <w:rsid w:val="007C272A"/>
    <w:rsid w:val="007C7A6C"/>
    <w:rsid w:val="007D27E8"/>
    <w:rsid w:val="007D2DE3"/>
    <w:rsid w:val="007D6588"/>
    <w:rsid w:val="007D7219"/>
    <w:rsid w:val="007D7968"/>
    <w:rsid w:val="007E25C7"/>
    <w:rsid w:val="007E2E7E"/>
    <w:rsid w:val="007E5761"/>
    <w:rsid w:val="007E5FDA"/>
    <w:rsid w:val="007E79A4"/>
    <w:rsid w:val="007E7FDF"/>
    <w:rsid w:val="007F0975"/>
    <w:rsid w:val="007F0C1E"/>
    <w:rsid w:val="007F13CF"/>
    <w:rsid w:val="007F1C36"/>
    <w:rsid w:val="007F1F4D"/>
    <w:rsid w:val="007F21E5"/>
    <w:rsid w:val="007F2A01"/>
    <w:rsid w:val="007F60A6"/>
    <w:rsid w:val="007F637E"/>
    <w:rsid w:val="007F7D08"/>
    <w:rsid w:val="00801E0B"/>
    <w:rsid w:val="00802484"/>
    <w:rsid w:val="008028A6"/>
    <w:rsid w:val="00804753"/>
    <w:rsid w:val="00805666"/>
    <w:rsid w:val="00811156"/>
    <w:rsid w:val="008136F4"/>
    <w:rsid w:val="00816879"/>
    <w:rsid w:val="00817DB8"/>
    <w:rsid w:val="0082032D"/>
    <w:rsid w:val="008205EB"/>
    <w:rsid w:val="008214F2"/>
    <w:rsid w:val="00821CCF"/>
    <w:rsid w:val="0082206D"/>
    <w:rsid w:val="008240E7"/>
    <w:rsid w:val="00824617"/>
    <w:rsid w:val="008254C4"/>
    <w:rsid w:val="00830417"/>
    <w:rsid w:val="00832AA4"/>
    <w:rsid w:val="0084237D"/>
    <w:rsid w:val="00845E8E"/>
    <w:rsid w:val="00853BDE"/>
    <w:rsid w:val="0085442E"/>
    <w:rsid w:val="0085743D"/>
    <w:rsid w:val="0086000D"/>
    <w:rsid w:val="008622DA"/>
    <w:rsid w:val="00863C77"/>
    <w:rsid w:val="00865B2A"/>
    <w:rsid w:val="00866818"/>
    <w:rsid w:val="008718AD"/>
    <w:rsid w:val="0087390C"/>
    <w:rsid w:val="00875CE6"/>
    <w:rsid w:val="008765A1"/>
    <w:rsid w:val="00880FCC"/>
    <w:rsid w:val="00881763"/>
    <w:rsid w:val="00884362"/>
    <w:rsid w:val="0089106F"/>
    <w:rsid w:val="0089207E"/>
    <w:rsid w:val="00892CBE"/>
    <w:rsid w:val="00893A3F"/>
    <w:rsid w:val="008947FF"/>
    <w:rsid w:val="008958EA"/>
    <w:rsid w:val="00897CAD"/>
    <w:rsid w:val="008A4B8B"/>
    <w:rsid w:val="008A699A"/>
    <w:rsid w:val="008B1B76"/>
    <w:rsid w:val="008B32C4"/>
    <w:rsid w:val="008B46C9"/>
    <w:rsid w:val="008C059A"/>
    <w:rsid w:val="008C05BE"/>
    <w:rsid w:val="008C422C"/>
    <w:rsid w:val="008C44D5"/>
    <w:rsid w:val="008C46FF"/>
    <w:rsid w:val="008C5B87"/>
    <w:rsid w:val="008C78B8"/>
    <w:rsid w:val="008D208B"/>
    <w:rsid w:val="008D3AD4"/>
    <w:rsid w:val="008D3F60"/>
    <w:rsid w:val="008D50F8"/>
    <w:rsid w:val="008E1F03"/>
    <w:rsid w:val="008E2F24"/>
    <w:rsid w:val="008E56E6"/>
    <w:rsid w:val="008E62EA"/>
    <w:rsid w:val="008F0344"/>
    <w:rsid w:val="008F2D4F"/>
    <w:rsid w:val="008F35E1"/>
    <w:rsid w:val="008F3940"/>
    <w:rsid w:val="008F6168"/>
    <w:rsid w:val="008F7C99"/>
    <w:rsid w:val="00901493"/>
    <w:rsid w:val="00901C3D"/>
    <w:rsid w:val="0090269C"/>
    <w:rsid w:val="009062AC"/>
    <w:rsid w:val="00907472"/>
    <w:rsid w:val="009116E7"/>
    <w:rsid w:val="00911C55"/>
    <w:rsid w:val="009134BA"/>
    <w:rsid w:val="00921CE9"/>
    <w:rsid w:val="00922C32"/>
    <w:rsid w:val="00924B10"/>
    <w:rsid w:val="0092513D"/>
    <w:rsid w:val="00927667"/>
    <w:rsid w:val="00927ED8"/>
    <w:rsid w:val="00930B4D"/>
    <w:rsid w:val="00931220"/>
    <w:rsid w:val="00932112"/>
    <w:rsid w:val="00934B3F"/>
    <w:rsid w:val="00936AD9"/>
    <w:rsid w:val="009370BB"/>
    <w:rsid w:val="0094256E"/>
    <w:rsid w:val="009433BA"/>
    <w:rsid w:val="00944988"/>
    <w:rsid w:val="0095078A"/>
    <w:rsid w:val="00951E65"/>
    <w:rsid w:val="00952338"/>
    <w:rsid w:val="00952904"/>
    <w:rsid w:val="00953F65"/>
    <w:rsid w:val="00954FAC"/>
    <w:rsid w:val="00965139"/>
    <w:rsid w:val="0096608D"/>
    <w:rsid w:val="009667F0"/>
    <w:rsid w:val="00970B4E"/>
    <w:rsid w:val="009718CF"/>
    <w:rsid w:val="00972116"/>
    <w:rsid w:val="00976FAF"/>
    <w:rsid w:val="00981883"/>
    <w:rsid w:val="00981C89"/>
    <w:rsid w:val="00982237"/>
    <w:rsid w:val="009838BD"/>
    <w:rsid w:val="00984594"/>
    <w:rsid w:val="00984CBA"/>
    <w:rsid w:val="00987AE7"/>
    <w:rsid w:val="009943D4"/>
    <w:rsid w:val="00995A4C"/>
    <w:rsid w:val="00996077"/>
    <w:rsid w:val="0099703F"/>
    <w:rsid w:val="009A1B59"/>
    <w:rsid w:val="009A4CD8"/>
    <w:rsid w:val="009A5E25"/>
    <w:rsid w:val="009A65AC"/>
    <w:rsid w:val="009A6AC2"/>
    <w:rsid w:val="009B160D"/>
    <w:rsid w:val="009B536E"/>
    <w:rsid w:val="009B57CE"/>
    <w:rsid w:val="009B5E59"/>
    <w:rsid w:val="009C0EE2"/>
    <w:rsid w:val="009C59C7"/>
    <w:rsid w:val="009C5AC1"/>
    <w:rsid w:val="009C7893"/>
    <w:rsid w:val="009C7AE6"/>
    <w:rsid w:val="009D0589"/>
    <w:rsid w:val="009D5212"/>
    <w:rsid w:val="009D7EB4"/>
    <w:rsid w:val="009E2511"/>
    <w:rsid w:val="009E4048"/>
    <w:rsid w:val="009E5AF8"/>
    <w:rsid w:val="009F220E"/>
    <w:rsid w:val="009F5E34"/>
    <w:rsid w:val="009F6C42"/>
    <w:rsid w:val="009F6E45"/>
    <w:rsid w:val="00A053A1"/>
    <w:rsid w:val="00A1043F"/>
    <w:rsid w:val="00A11B69"/>
    <w:rsid w:val="00A142FE"/>
    <w:rsid w:val="00A1615D"/>
    <w:rsid w:val="00A16A28"/>
    <w:rsid w:val="00A2052C"/>
    <w:rsid w:val="00A222E9"/>
    <w:rsid w:val="00A25997"/>
    <w:rsid w:val="00A31D38"/>
    <w:rsid w:val="00A3560D"/>
    <w:rsid w:val="00A35976"/>
    <w:rsid w:val="00A36BF6"/>
    <w:rsid w:val="00A373D3"/>
    <w:rsid w:val="00A41DA5"/>
    <w:rsid w:val="00A4228D"/>
    <w:rsid w:val="00A46796"/>
    <w:rsid w:val="00A47C57"/>
    <w:rsid w:val="00A500E6"/>
    <w:rsid w:val="00A50267"/>
    <w:rsid w:val="00A52CAF"/>
    <w:rsid w:val="00A53B06"/>
    <w:rsid w:val="00A5507D"/>
    <w:rsid w:val="00A551B6"/>
    <w:rsid w:val="00A56DC6"/>
    <w:rsid w:val="00A5747B"/>
    <w:rsid w:val="00A606FA"/>
    <w:rsid w:val="00A60BB7"/>
    <w:rsid w:val="00A61814"/>
    <w:rsid w:val="00A63CD2"/>
    <w:rsid w:val="00A64174"/>
    <w:rsid w:val="00A64581"/>
    <w:rsid w:val="00A65D4C"/>
    <w:rsid w:val="00A671FF"/>
    <w:rsid w:val="00A71408"/>
    <w:rsid w:val="00A71B33"/>
    <w:rsid w:val="00A72F27"/>
    <w:rsid w:val="00A7359D"/>
    <w:rsid w:val="00A753F1"/>
    <w:rsid w:val="00A758C5"/>
    <w:rsid w:val="00A77A11"/>
    <w:rsid w:val="00A8346B"/>
    <w:rsid w:val="00A855ED"/>
    <w:rsid w:val="00A85BAE"/>
    <w:rsid w:val="00A86066"/>
    <w:rsid w:val="00A862C4"/>
    <w:rsid w:val="00A9109F"/>
    <w:rsid w:val="00A9163B"/>
    <w:rsid w:val="00A92B85"/>
    <w:rsid w:val="00A943DF"/>
    <w:rsid w:val="00A950BE"/>
    <w:rsid w:val="00A965C1"/>
    <w:rsid w:val="00A97339"/>
    <w:rsid w:val="00AA41B1"/>
    <w:rsid w:val="00AA575D"/>
    <w:rsid w:val="00AB56A0"/>
    <w:rsid w:val="00AB5F6E"/>
    <w:rsid w:val="00AB62E8"/>
    <w:rsid w:val="00AB6673"/>
    <w:rsid w:val="00AC1AA5"/>
    <w:rsid w:val="00AC1CF5"/>
    <w:rsid w:val="00AC6045"/>
    <w:rsid w:val="00AC6833"/>
    <w:rsid w:val="00AC7CB2"/>
    <w:rsid w:val="00AD235C"/>
    <w:rsid w:val="00AD3084"/>
    <w:rsid w:val="00AD3F46"/>
    <w:rsid w:val="00AD4707"/>
    <w:rsid w:val="00AD4892"/>
    <w:rsid w:val="00AD505A"/>
    <w:rsid w:val="00AD6F21"/>
    <w:rsid w:val="00AE3D4A"/>
    <w:rsid w:val="00AE740D"/>
    <w:rsid w:val="00AF3009"/>
    <w:rsid w:val="00AF4176"/>
    <w:rsid w:val="00B00CC2"/>
    <w:rsid w:val="00B03291"/>
    <w:rsid w:val="00B04BAA"/>
    <w:rsid w:val="00B06223"/>
    <w:rsid w:val="00B06997"/>
    <w:rsid w:val="00B06AEB"/>
    <w:rsid w:val="00B07C10"/>
    <w:rsid w:val="00B10A53"/>
    <w:rsid w:val="00B11227"/>
    <w:rsid w:val="00B13CF3"/>
    <w:rsid w:val="00B14B72"/>
    <w:rsid w:val="00B14E3B"/>
    <w:rsid w:val="00B16AB7"/>
    <w:rsid w:val="00B17A5C"/>
    <w:rsid w:val="00B208AD"/>
    <w:rsid w:val="00B23618"/>
    <w:rsid w:val="00B24731"/>
    <w:rsid w:val="00B2503C"/>
    <w:rsid w:val="00B310EB"/>
    <w:rsid w:val="00B32E8C"/>
    <w:rsid w:val="00B34F86"/>
    <w:rsid w:val="00B35F45"/>
    <w:rsid w:val="00B368AD"/>
    <w:rsid w:val="00B36C37"/>
    <w:rsid w:val="00B3759F"/>
    <w:rsid w:val="00B426B3"/>
    <w:rsid w:val="00B42E54"/>
    <w:rsid w:val="00B43845"/>
    <w:rsid w:val="00B43B77"/>
    <w:rsid w:val="00B441B6"/>
    <w:rsid w:val="00B45590"/>
    <w:rsid w:val="00B5284D"/>
    <w:rsid w:val="00B53D01"/>
    <w:rsid w:val="00B55852"/>
    <w:rsid w:val="00B56892"/>
    <w:rsid w:val="00B57033"/>
    <w:rsid w:val="00B60152"/>
    <w:rsid w:val="00B65B61"/>
    <w:rsid w:val="00B66688"/>
    <w:rsid w:val="00B82E2B"/>
    <w:rsid w:val="00B91F8A"/>
    <w:rsid w:val="00B92410"/>
    <w:rsid w:val="00B94385"/>
    <w:rsid w:val="00B94E4C"/>
    <w:rsid w:val="00B9549D"/>
    <w:rsid w:val="00B9733B"/>
    <w:rsid w:val="00BA38EB"/>
    <w:rsid w:val="00BA3DF0"/>
    <w:rsid w:val="00BA54ED"/>
    <w:rsid w:val="00BA706A"/>
    <w:rsid w:val="00BB24AF"/>
    <w:rsid w:val="00BB3427"/>
    <w:rsid w:val="00BB5168"/>
    <w:rsid w:val="00BC0B5A"/>
    <w:rsid w:val="00BC0C4A"/>
    <w:rsid w:val="00BD20B2"/>
    <w:rsid w:val="00BD4C5E"/>
    <w:rsid w:val="00BD5DB5"/>
    <w:rsid w:val="00BE15E4"/>
    <w:rsid w:val="00BE207A"/>
    <w:rsid w:val="00BE2144"/>
    <w:rsid w:val="00BE242F"/>
    <w:rsid w:val="00BE31A5"/>
    <w:rsid w:val="00BE4C0F"/>
    <w:rsid w:val="00BE4E51"/>
    <w:rsid w:val="00BF4BF7"/>
    <w:rsid w:val="00BF7867"/>
    <w:rsid w:val="00C00E98"/>
    <w:rsid w:val="00C01270"/>
    <w:rsid w:val="00C01DBD"/>
    <w:rsid w:val="00C071F7"/>
    <w:rsid w:val="00C072F9"/>
    <w:rsid w:val="00C13F33"/>
    <w:rsid w:val="00C165D1"/>
    <w:rsid w:val="00C1765A"/>
    <w:rsid w:val="00C229CF"/>
    <w:rsid w:val="00C23577"/>
    <w:rsid w:val="00C240AA"/>
    <w:rsid w:val="00C27B42"/>
    <w:rsid w:val="00C33088"/>
    <w:rsid w:val="00C33CBA"/>
    <w:rsid w:val="00C344AF"/>
    <w:rsid w:val="00C35586"/>
    <w:rsid w:val="00C37331"/>
    <w:rsid w:val="00C40F06"/>
    <w:rsid w:val="00C4165F"/>
    <w:rsid w:val="00C46B28"/>
    <w:rsid w:val="00C47E28"/>
    <w:rsid w:val="00C55193"/>
    <w:rsid w:val="00C66F70"/>
    <w:rsid w:val="00C67B90"/>
    <w:rsid w:val="00C67EE4"/>
    <w:rsid w:val="00C74C0D"/>
    <w:rsid w:val="00C771A0"/>
    <w:rsid w:val="00C8346C"/>
    <w:rsid w:val="00C86FC7"/>
    <w:rsid w:val="00C873BA"/>
    <w:rsid w:val="00C9013A"/>
    <w:rsid w:val="00C92FDF"/>
    <w:rsid w:val="00C92FFB"/>
    <w:rsid w:val="00C9399A"/>
    <w:rsid w:val="00C957E2"/>
    <w:rsid w:val="00CA3374"/>
    <w:rsid w:val="00CA435C"/>
    <w:rsid w:val="00CB02F1"/>
    <w:rsid w:val="00CB1A31"/>
    <w:rsid w:val="00CB472A"/>
    <w:rsid w:val="00CB4B29"/>
    <w:rsid w:val="00CB7599"/>
    <w:rsid w:val="00CB7A27"/>
    <w:rsid w:val="00CC3544"/>
    <w:rsid w:val="00CC5E35"/>
    <w:rsid w:val="00CC6D7A"/>
    <w:rsid w:val="00CD0A71"/>
    <w:rsid w:val="00CD1404"/>
    <w:rsid w:val="00CD2257"/>
    <w:rsid w:val="00CD24D9"/>
    <w:rsid w:val="00CD341F"/>
    <w:rsid w:val="00CD68FD"/>
    <w:rsid w:val="00CD7404"/>
    <w:rsid w:val="00CD7E54"/>
    <w:rsid w:val="00CE131E"/>
    <w:rsid w:val="00CE54A9"/>
    <w:rsid w:val="00CE64E5"/>
    <w:rsid w:val="00CF05FA"/>
    <w:rsid w:val="00CF30FB"/>
    <w:rsid w:val="00CF33D9"/>
    <w:rsid w:val="00CF3D74"/>
    <w:rsid w:val="00CF435A"/>
    <w:rsid w:val="00CF6FBB"/>
    <w:rsid w:val="00D040BB"/>
    <w:rsid w:val="00D058C8"/>
    <w:rsid w:val="00D07675"/>
    <w:rsid w:val="00D0783E"/>
    <w:rsid w:val="00D07DE9"/>
    <w:rsid w:val="00D114FC"/>
    <w:rsid w:val="00D1493D"/>
    <w:rsid w:val="00D1575E"/>
    <w:rsid w:val="00D15D4B"/>
    <w:rsid w:val="00D16FCA"/>
    <w:rsid w:val="00D1701A"/>
    <w:rsid w:val="00D17D5C"/>
    <w:rsid w:val="00D24978"/>
    <w:rsid w:val="00D272F1"/>
    <w:rsid w:val="00D30867"/>
    <w:rsid w:val="00D31668"/>
    <w:rsid w:val="00D31B17"/>
    <w:rsid w:val="00D34065"/>
    <w:rsid w:val="00D40311"/>
    <w:rsid w:val="00D40746"/>
    <w:rsid w:val="00D41743"/>
    <w:rsid w:val="00D444FA"/>
    <w:rsid w:val="00D472C5"/>
    <w:rsid w:val="00D4750C"/>
    <w:rsid w:val="00D52D2B"/>
    <w:rsid w:val="00D54814"/>
    <w:rsid w:val="00D55F40"/>
    <w:rsid w:val="00D57D18"/>
    <w:rsid w:val="00D57D3C"/>
    <w:rsid w:val="00D603B7"/>
    <w:rsid w:val="00D67677"/>
    <w:rsid w:val="00D7003F"/>
    <w:rsid w:val="00D70C0D"/>
    <w:rsid w:val="00D742DD"/>
    <w:rsid w:val="00D74686"/>
    <w:rsid w:val="00D77E80"/>
    <w:rsid w:val="00D80A25"/>
    <w:rsid w:val="00D81E95"/>
    <w:rsid w:val="00D837BA"/>
    <w:rsid w:val="00D86790"/>
    <w:rsid w:val="00D90CF8"/>
    <w:rsid w:val="00D9356C"/>
    <w:rsid w:val="00D95C7B"/>
    <w:rsid w:val="00D97271"/>
    <w:rsid w:val="00DA12D7"/>
    <w:rsid w:val="00DA2431"/>
    <w:rsid w:val="00DA3BF0"/>
    <w:rsid w:val="00DA3E58"/>
    <w:rsid w:val="00DA40F7"/>
    <w:rsid w:val="00DA736B"/>
    <w:rsid w:val="00DB13D1"/>
    <w:rsid w:val="00DB17B2"/>
    <w:rsid w:val="00DB2DF5"/>
    <w:rsid w:val="00DB3CCA"/>
    <w:rsid w:val="00DB4B7B"/>
    <w:rsid w:val="00DB5A87"/>
    <w:rsid w:val="00DB7950"/>
    <w:rsid w:val="00DC45C8"/>
    <w:rsid w:val="00DD25E7"/>
    <w:rsid w:val="00DD4C21"/>
    <w:rsid w:val="00DE1309"/>
    <w:rsid w:val="00DE1E80"/>
    <w:rsid w:val="00DE2090"/>
    <w:rsid w:val="00DE5D8C"/>
    <w:rsid w:val="00DE71B2"/>
    <w:rsid w:val="00DF168F"/>
    <w:rsid w:val="00DF4183"/>
    <w:rsid w:val="00DF5DA6"/>
    <w:rsid w:val="00DF6B62"/>
    <w:rsid w:val="00E01589"/>
    <w:rsid w:val="00E03400"/>
    <w:rsid w:val="00E12801"/>
    <w:rsid w:val="00E12A86"/>
    <w:rsid w:val="00E14F2C"/>
    <w:rsid w:val="00E15580"/>
    <w:rsid w:val="00E24BA4"/>
    <w:rsid w:val="00E272B7"/>
    <w:rsid w:val="00E27F13"/>
    <w:rsid w:val="00E27F1A"/>
    <w:rsid w:val="00E34A2A"/>
    <w:rsid w:val="00E36ABC"/>
    <w:rsid w:val="00E37847"/>
    <w:rsid w:val="00E40BB7"/>
    <w:rsid w:val="00E40C96"/>
    <w:rsid w:val="00E448D8"/>
    <w:rsid w:val="00E467B8"/>
    <w:rsid w:val="00E476F0"/>
    <w:rsid w:val="00E52DBC"/>
    <w:rsid w:val="00E55BB7"/>
    <w:rsid w:val="00E55E5B"/>
    <w:rsid w:val="00E56D78"/>
    <w:rsid w:val="00E627FE"/>
    <w:rsid w:val="00E63D9C"/>
    <w:rsid w:val="00E65709"/>
    <w:rsid w:val="00E71757"/>
    <w:rsid w:val="00E71F74"/>
    <w:rsid w:val="00E769D2"/>
    <w:rsid w:val="00E779B3"/>
    <w:rsid w:val="00E81A55"/>
    <w:rsid w:val="00E83685"/>
    <w:rsid w:val="00E8488C"/>
    <w:rsid w:val="00E85A57"/>
    <w:rsid w:val="00E86672"/>
    <w:rsid w:val="00E86974"/>
    <w:rsid w:val="00E91384"/>
    <w:rsid w:val="00E91432"/>
    <w:rsid w:val="00E93963"/>
    <w:rsid w:val="00E95CD2"/>
    <w:rsid w:val="00EA1B2F"/>
    <w:rsid w:val="00EA3098"/>
    <w:rsid w:val="00EA5029"/>
    <w:rsid w:val="00EA5399"/>
    <w:rsid w:val="00EA5A07"/>
    <w:rsid w:val="00EA642F"/>
    <w:rsid w:val="00EB0A2F"/>
    <w:rsid w:val="00EB265F"/>
    <w:rsid w:val="00EC21F4"/>
    <w:rsid w:val="00EC63CA"/>
    <w:rsid w:val="00EC712C"/>
    <w:rsid w:val="00ED3A10"/>
    <w:rsid w:val="00ED3A87"/>
    <w:rsid w:val="00EE2370"/>
    <w:rsid w:val="00EE280B"/>
    <w:rsid w:val="00EE2E5B"/>
    <w:rsid w:val="00EE4961"/>
    <w:rsid w:val="00EE4FB1"/>
    <w:rsid w:val="00EE52A5"/>
    <w:rsid w:val="00EE63EF"/>
    <w:rsid w:val="00EE6FBC"/>
    <w:rsid w:val="00EF238B"/>
    <w:rsid w:val="00EF4275"/>
    <w:rsid w:val="00EF4E75"/>
    <w:rsid w:val="00EF64E9"/>
    <w:rsid w:val="00EF756D"/>
    <w:rsid w:val="00EF7866"/>
    <w:rsid w:val="00F012F3"/>
    <w:rsid w:val="00F02C76"/>
    <w:rsid w:val="00F05F05"/>
    <w:rsid w:val="00F106AB"/>
    <w:rsid w:val="00F126DC"/>
    <w:rsid w:val="00F13B6E"/>
    <w:rsid w:val="00F14427"/>
    <w:rsid w:val="00F14A2B"/>
    <w:rsid w:val="00F23266"/>
    <w:rsid w:val="00F255AF"/>
    <w:rsid w:val="00F25A68"/>
    <w:rsid w:val="00F276E6"/>
    <w:rsid w:val="00F35681"/>
    <w:rsid w:val="00F361FA"/>
    <w:rsid w:val="00F37142"/>
    <w:rsid w:val="00F40A84"/>
    <w:rsid w:val="00F41ABD"/>
    <w:rsid w:val="00F4466F"/>
    <w:rsid w:val="00F4492F"/>
    <w:rsid w:val="00F55486"/>
    <w:rsid w:val="00F55F92"/>
    <w:rsid w:val="00F62879"/>
    <w:rsid w:val="00F62AD2"/>
    <w:rsid w:val="00F6582F"/>
    <w:rsid w:val="00F65D3B"/>
    <w:rsid w:val="00F70C04"/>
    <w:rsid w:val="00F71E65"/>
    <w:rsid w:val="00F72CC0"/>
    <w:rsid w:val="00F7305D"/>
    <w:rsid w:val="00F74586"/>
    <w:rsid w:val="00F761F8"/>
    <w:rsid w:val="00F76E85"/>
    <w:rsid w:val="00F77276"/>
    <w:rsid w:val="00F859C1"/>
    <w:rsid w:val="00F878FC"/>
    <w:rsid w:val="00F9026F"/>
    <w:rsid w:val="00F91615"/>
    <w:rsid w:val="00F923E9"/>
    <w:rsid w:val="00F9249F"/>
    <w:rsid w:val="00F928FC"/>
    <w:rsid w:val="00F95C53"/>
    <w:rsid w:val="00F97457"/>
    <w:rsid w:val="00FA3C59"/>
    <w:rsid w:val="00FA56F7"/>
    <w:rsid w:val="00FA7C03"/>
    <w:rsid w:val="00FB1E13"/>
    <w:rsid w:val="00FB46B3"/>
    <w:rsid w:val="00FB7ABF"/>
    <w:rsid w:val="00FC08DA"/>
    <w:rsid w:val="00FC1401"/>
    <w:rsid w:val="00FC1A4B"/>
    <w:rsid w:val="00FC56AD"/>
    <w:rsid w:val="00FD23F5"/>
    <w:rsid w:val="00FD33B2"/>
    <w:rsid w:val="00FD5C70"/>
    <w:rsid w:val="00FE31C7"/>
    <w:rsid w:val="00FE367E"/>
    <w:rsid w:val="00FE47D3"/>
    <w:rsid w:val="00FE6243"/>
    <w:rsid w:val="00FF2E03"/>
    <w:rsid w:val="00FF3C3F"/>
    <w:rsid w:val="00FF4562"/>
    <w:rsid w:val="00FF6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7D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83E"/>
    <w:rPr>
      <w:rFonts w:ascii="Calibri" w:hAnsi="Calibri"/>
      <w:sz w:val="22"/>
      <w:szCs w:val="24"/>
    </w:rPr>
  </w:style>
  <w:style w:type="paragraph" w:styleId="Heading1">
    <w:name w:val="heading 1"/>
    <w:basedOn w:val="Normal"/>
    <w:next w:val="Normal"/>
    <w:link w:val="Heading1Char"/>
    <w:qFormat/>
    <w:rsid w:val="00D15D4B"/>
    <w:pPr>
      <w:keepNext/>
      <w:spacing w:before="240" w:after="60"/>
      <w:jc w:val="center"/>
      <w:outlineLvl w:val="0"/>
    </w:pPr>
    <w:rPr>
      <w:rFonts w:cs="Arial"/>
      <w:b/>
      <w:bCs/>
      <w:kern w:val="32"/>
      <w:sz w:val="52"/>
      <w:szCs w:val="52"/>
    </w:rPr>
  </w:style>
  <w:style w:type="paragraph" w:styleId="Heading2">
    <w:name w:val="heading 2"/>
    <w:basedOn w:val="Normal"/>
    <w:next w:val="Normal"/>
    <w:link w:val="Heading2Char"/>
    <w:qFormat/>
    <w:rsid w:val="00D0783E"/>
    <w:pPr>
      <w:outlineLvl w:val="1"/>
    </w:pPr>
    <w:rPr>
      <w:b/>
      <w:color w:val="1869B2"/>
      <w:sz w:val="24"/>
      <w:szCs w:val="36"/>
    </w:rPr>
  </w:style>
  <w:style w:type="paragraph" w:styleId="Heading3">
    <w:name w:val="heading 3"/>
    <w:basedOn w:val="Normal"/>
    <w:next w:val="Normal"/>
    <w:qFormat/>
    <w:rsid w:val="00D15D4B"/>
    <w:pPr>
      <w:keepNext/>
      <w:spacing w:before="240" w:after="60"/>
      <w:outlineLvl w:val="2"/>
    </w:pPr>
    <w:rPr>
      <w:rFonts w:asciiTheme="minorHAnsi" w:hAnsiTheme="minorHAnsi" w:cstheme="minorHAnsi"/>
      <w:b/>
      <w:bCs/>
      <w:sz w:val="24"/>
    </w:rPr>
  </w:style>
  <w:style w:type="paragraph" w:styleId="Heading4">
    <w:name w:val="heading 4"/>
    <w:basedOn w:val="Heading3"/>
    <w:next w:val="Normal"/>
    <w:link w:val="Heading4Char"/>
    <w:unhideWhenUsed/>
    <w:qFormat/>
    <w:rsid w:val="007C272A"/>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783E"/>
    <w:pPr>
      <w:tabs>
        <w:tab w:val="center" w:pos="4153"/>
        <w:tab w:val="right" w:pos="8306"/>
      </w:tabs>
    </w:pPr>
  </w:style>
  <w:style w:type="paragraph" w:styleId="Footer">
    <w:name w:val="footer"/>
    <w:basedOn w:val="Normal"/>
    <w:rsid w:val="00D0783E"/>
    <w:pPr>
      <w:tabs>
        <w:tab w:val="center" w:pos="4153"/>
        <w:tab w:val="right" w:pos="8306"/>
      </w:tabs>
    </w:pPr>
  </w:style>
  <w:style w:type="character" w:styleId="Hyperlink">
    <w:name w:val="Hyperlink"/>
    <w:basedOn w:val="DefaultParagraphFont"/>
    <w:uiPriority w:val="99"/>
    <w:rsid w:val="00D0783E"/>
    <w:rPr>
      <w:color w:val="0000FF"/>
      <w:u w:val="single"/>
    </w:rPr>
  </w:style>
  <w:style w:type="paragraph" w:customStyle="1" w:styleId="TableText9pt">
    <w:name w:val="Table Text (9 pt)"/>
    <w:basedOn w:val="Normal"/>
    <w:rsid w:val="00D0783E"/>
    <w:pPr>
      <w:spacing w:before="60" w:after="60" w:line="221" w:lineRule="atLeast"/>
    </w:pPr>
    <w:rPr>
      <w:rFonts w:ascii="Times New Roman" w:hAnsi="Times New Roman"/>
      <w:sz w:val="18"/>
      <w:szCs w:val="20"/>
      <w:lang w:val="en-US" w:eastAsia="en-US"/>
    </w:rPr>
  </w:style>
  <w:style w:type="character" w:customStyle="1" w:styleId="Heading2Char">
    <w:name w:val="Heading 2 Char"/>
    <w:basedOn w:val="DefaultParagraphFont"/>
    <w:link w:val="Heading2"/>
    <w:rsid w:val="00D0783E"/>
    <w:rPr>
      <w:rFonts w:ascii="Calibri" w:hAnsi="Calibri"/>
      <w:b/>
      <w:color w:val="1869B2"/>
      <w:sz w:val="24"/>
      <w:szCs w:val="36"/>
      <w:lang w:val="en-AU" w:eastAsia="en-AU" w:bidi="ar-SA"/>
    </w:rPr>
  </w:style>
  <w:style w:type="paragraph" w:styleId="TOC2">
    <w:name w:val="toc 2"/>
    <w:basedOn w:val="Normal"/>
    <w:next w:val="Normal"/>
    <w:autoRedefine/>
    <w:uiPriority w:val="39"/>
    <w:rsid w:val="003B73BA"/>
    <w:pPr>
      <w:tabs>
        <w:tab w:val="right" w:pos="9000"/>
      </w:tabs>
      <w:ind w:left="227"/>
    </w:pPr>
    <w:rPr>
      <w:noProof/>
    </w:rPr>
  </w:style>
  <w:style w:type="character" w:styleId="PageNumber">
    <w:name w:val="page number"/>
    <w:basedOn w:val="DefaultParagraphFont"/>
    <w:rsid w:val="00D0783E"/>
  </w:style>
  <w:style w:type="character" w:styleId="Strong">
    <w:name w:val="Strong"/>
    <w:basedOn w:val="DefaultParagraphFont"/>
    <w:qFormat/>
    <w:rsid w:val="00D0783E"/>
    <w:rPr>
      <w:rFonts w:ascii="Times New Roman" w:hAnsi="Times New Roman" w:cs="Times New Roman" w:hint="default"/>
      <w:b/>
      <w:bCs/>
    </w:rPr>
  </w:style>
  <w:style w:type="paragraph" w:customStyle="1" w:styleId="Default">
    <w:name w:val="Default"/>
    <w:link w:val="DefaultChar"/>
    <w:rsid w:val="00D0783E"/>
    <w:pPr>
      <w:autoSpaceDE w:val="0"/>
      <w:autoSpaceDN w:val="0"/>
      <w:adjustRightInd w:val="0"/>
    </w:pPr>
    <w:rPr>
      <w:rFonts w:ascii="Calibri" w:hAnsi="Calibri" w:cs="Calibri"/>
      <w:color w:val="000000"/>
      <w:sz w:val="24"/>
      <w:szCs w:val="24"/>
    </w:rPr>
  </w:style>
  <w:style w:type="paragraph" w:customStyle="1" w:styleId="Para">
    <w:name w:val="Para"/>
    <w:basedOn w:val="Normal"/>
    <w:rsid w:val="00D0783E"/>
    <w:pPr>
      <w:keepLines/>
      <w:numPr>
        <w:ilvl w:val="2"/>
        <w:numId w:val="1"/>
      </w:numPr>
      <w:suppressAutoHyphens/>
      <w:spacing w:after="160" w:line="264" w:lineRule="auto"/>
    </w:pPr>
    <w:rPr>
      <w:color w:val="000000"/>
      <w:sz w:val="20"/>
      <w:szCs w:val="20"/>
    </w:rPr>
  </w:style>
  <w:style w:type="paragraph" w:customStyle="1" w:styleId="Subclause">
    <w:name w:val="Subclause"/>
    <w:basedOn w:val="Normal"/>
    <w:link w:val="SubclauseCharChar"/>
    <w:rsid w:val="00D0783E"/>
    <w:pPr>
      <w:keepLines/>
      <w:numPr>
        <w:ilvl w:val="1"/>
        <w:numId w:val="1"/>
      </w:numPr>
      <w:suppressAutoHyphens/>
      <w:spacing w:after="160" w:line="264" w:lineRule="auto"/>
      <w:outlineLvl w:val="1"/>
    </w:pPr>
    <w:rPr>
      <w:color w:val="000000"/>
      <w:sz w:val="20"/>
      <w:szCs w:val="20"/>
    </w:rPr>
  </w:style>
  <w:style w:type="character" w:customStyle="1" w:styleId="SubclauseCharChar">
    <w:name w:val="Subclause Char Char"/>
    <w:basedOn w:val="DefaultParagraphFont"/>
    <w:link w:val="Subclause"/>
    <w:rsid w:val="00D0783E"/>
    <w:rPr>
      <w:rFonts w:ascii="Calibri" w:hAnsi="Calibri"/>
      <w:color w:val="000000"/>
    </w:rPr>
  </w:style>
  <w:style w:type="paragraph" w:customStyle="1" w:styleId="ClauseHdg">
    <w:name w:val="ClauseHdg"/>
    <w:basedOn w:val="Normal"/>
    <w:next w:val="Subclause"/>
    <w:rsid w:val="00D0783E"/>
    <w:pPr>
      <w:keepNext/>
      <w:keepLines/>
      <w:numPr>
        <w:numId w:val="1"/>
      </w:numPr>
      <w:suppressAutoHyphens/>
      <w:spacing w:after="160" w:line="264" w:lineRule="auto"/>
      <w:outlineLvl w:val="0"/>
    </w:pPr>
    <w:rPr>
      <w:b/>
      <w:sz w:val="20"/>
      <w:szCs w:val="20"/>
      <w:lang w:eastAsia="en-US"/>
    </w:rPr>
  </w:style>
  <w:style w:type="paragraph" w:styleId="BalloonText">
    <w:name w:val="Balloon Text"/>
    <w:basedOn w:val="Normal"/>
    <w:semiHidden/>
    <w:rsid w:val="00B36C37"/>
    <w:rPr>
      <w:rFonts w:ascii="Tahoma" w:hAnsi="Tahoma" w:cs="Tahoma"/>
      <w:sz w:val="16"/>
      <w:szCs w:val="16"/>
    </w:rPr>
  </w:style>
  <w:style w:type="character" w:styleId="SubtleEmphasis">
    <w:name w:val="Subtle Emphasis"/>
    <w:basedOn w:val="DefaultParagraphFont"/>
    <w:qFormat/>
    <w:rsid w:val="0065428C"/>
    <w:rPr>
      <w:rFonts w:cs="Times New Roman"/>
      <w:i/>
      <w:iCs/>
      <w:color w:val="808080"/>
    </w:rPr>
  </w:style>
  <w:style w:type="character" w:styleId="CommentReference">
    <w:name w:val="annotation reference"/>
    <w:basedOn w:val="DefaultParagraphFont"/>
    <w:rsid w:val="00DA3E58"/>
    <w:rPr>
      <w:sz w:val="16"/>
      <w:szCs w:val="16"/>
    </w:rPr>
  </w:style>
  <w:style w:type="paragraph" w:styleId="CommentText">
    <w:name w:val="annotation text"/>
    <w:basedOn w:val="Normal"/>
    <w:link w:val="CommentTextChar"/>
    <w:rsid w:val="00DA3E58"/>
    <w:rPr>
      <w:sz w:val="20"/>
      <w:szCs w:val="20"/>
    </w:rPr>
  </w:style>
  <w:style w:type="paragraph" w:styleId="CommentSubject">
    <w:name w:val="annotation subject"/>
    <w:basedOn w:val="CommentText"/>
    <w:next w:val="CommentText"/>
    <w:semiHidden/>
    <w:rsid w:val="00DA3E58"/>
    <w:rPr>
      <w:b/>
      <w:bCs/>
    </w:rPr>
  </w:style>
  <w:style w:type="paragraph" w:styleId="FootnoteText">
    <w:name w:val="footnote text"/>
    <w:basedOn w:val="Normal"/>
    <w:semiHidden/>
    <w:rsid w:val="002371C6"/>
    <w:rPr>
      <w:rFonts w:ascii="Times New Roman" w:hAnsi="Times New Roman"/>
      <w:sz w:val="20"/>
      <w:szCs w:val="20"/>
    </w:rPr>
  </w:style>
  <w:style w:type="character" w:styleId="FootnoteReference">
    <w:name w:val="footnote reference"/>
    <w:basedOn w:val="DefaultParagraphFont"/>
    <w:semiHidden/>
    <w:rsid w:val="002371C6"/>
    <w:rPr>
      <w:rFonts w:cs="Times New Roman"/>
      <w:vertAlign w:val="superscript"/>
    </w:rPr>
  </w:style>
  <w:style w:type="paragraph" w:customStyle="1" w:styleId="BodyIndent0">
    <w:name w:val="Body Indent 0"/>
    <w:link w:val="BodyIndent0Char"/>
    <w:rsid w:val="00D4750C"/>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rsid w:val="00D4750C"/>
    <w:rPr>
      <w:rFonts w:ascii="Calibri" w:hAnsi="Calibri"/>
      <w:szCs w:val="24"/>
      <w:lang w:val="en-AU" w:eastAsia="en-AU" w:bidi="ar-SA"/>
    </w:rPr>
  </w:style>
  <w:style w:type="paragraph" w:styleId="TOC1">
    <w:name w:val="toc 1"/>
    <w:basedOn w:val="Normal"/>
    <w:next w:val="Normal"/>
    <w:autoRedefine/>
    <w:uiPriority w:val="39"/>
    <w:rsid w:val="003B73BA"/>
    <w:pPr>
      <w:tabs>
        <w:tab w:val="right" w:pos="9016"/>
      </w:tabs>
    </w:pPr>
    <w:rPr>
      <w:b/>
      <w:noProof/>
    </w:rPr>
  </w:style>
  <w:style w:type="character" w:customStyle="1" w:styleId="DefaultChar">
    <w:name w:val="Default Char"/>
    <w:basedOn w:val="DefaultParagraphFont"/>
    <w:link w:val="Default"/>
    <w:rsid w:val="008E56E6"/>
    <w:rPr>
      <w:rFonts w:ascii="Calibri" w:hAnsi="Calibri" w:cs="Calibri"/>
      <w:color w:val="000000"/>
      <w:sz w:val="24"/>
      <w:szCs w:val="24"/>
      <w:lang w:val="en-AU" w:eastAsia="en-AU" w:bidi="ar-SA"/>
    </w:rPr>
  </w:style>
  <w:style w:type="character" w:customStyle="1" w:styleId="Heading1Char">
    <w:name w:val="Heading 1 Char"/>
    <w:basedOn w:val="DefaultParagraphFont"/>
    <w:link w:val="Heading1"/>
    <w:rsid w:val="00D15D4B"/>
    <w:rPr>
      <w:rFonts w:ascii="Calibri" w:hAnsi="Calibri" w:cs="Arial"/>
      <w:b/>
      <w:bCs/>
      <w:kern w:val="32"/>
      <w:sz w:val="52"/>
      <w:szCs w:val="52"/>
    </w:rPr>
  </w:style>
  <w:style w:type="paragraph" w:customStyle="1" w:styleId="DocumentTitle">
    <w:name w:val="Document Title"/>
    <w:next w:val="Normal"/>
    <w:qFormat/>
    <w:rsid w:val="008254C4"/>
    <w:pPr>
      <w:jc w:val="center"/>
    </w:pPr>
    <w:rPr>
      <w:rFonts w:ascii="Calibri" w:hAnsi="Calibri"/>
      <w:b/>
      <w:color w:val="1869B2"/>
      <w:sz w:val="52"/>
      <w:szCs w:val="24"/>
    </w:rPr>
  </w:style>
  <w:style w:type="paragraph" w:customStyle="1" w:styleId="VersionNumber">
    <w:name w:val="Version Number"/>
    <w:next w:val="Normal"/>
    <w:link w:val="VersionNumberCharChar"/>
    <w:rsid w:val="008254C4"/>
    <w:pPr>
      <w:jc w:val="center"/>
    </w:pPr>
    <w:rPr>
      <w:rFonts w:ascii="Calibri" w:hAnsi="Calibri"/>
      <w:b/>
      <w:color w:val="1869B2"/>
      <w:sz w:val="32"/>
      <w:szCs w:val="24"/>
    </w:rPr>
  </w:style>
  <w:style w:type="character" w:customStyle="1" w:styleId="VersionNumberCharChar">
    <w:name w:val="Version Number Char Char"/>
    <w:basedOn w:val="DefaultParagraphFont"/>
    <w:link w:val="VersionNumber"/>
    <w:rsid w:val="008254C4"/>
    <w:rPr>
      <w:rFonts w:ascii="Calibri" w:hAnsi="Calibri"/>
      <w:b/>
      <w:color w:val="1869B2"/>
      <w:sz w:val="32"/>
      <w:szCs w:val="24"/>
      <w:lang w:val="en-AU" w:eastAsia="en-AU" w:bidi="ar-SA"/>
    </w:rPr>
  </w:style>
  <w:style w:type="paragraph" w:customStyle="1" w:styleId="TableofContents">
    <w:name w:val="Table of Contents"/>
    <w:next w:val="Normal"/>
    <w:rsid w:val="008254C4"/>
    <w:rPr>
      <w:rFonts w:ascii="Calibri" w:hAnsi="Calibri" w:cs="Arial"/>
      <w:b/>
      <w:bCs/>
      <w:color w:val="39B54A"/>
      <w:sz w:val="36"/>
      <w:szCs w:val="36"/>
    </w:rPr>
  </w:style>
  <w:style w:type="paragraph" w:customStyle="1" w:styleId="GreenHeading">
    <w:name w:val="Green Heading"/>
    <w:basedOn w:val="Normal"/>
    <w:next w:val="Normal"/>
    <w:rsid w:val="008254C4"/>
    <w:rPr>
      <w:rFonts w:cs="Arial"/>
      <w:b/>
      <w:bCs/>
      <w:color w:val="39B54A"/>
      <w:sz w:val="36"/>
      <w:szCs w:val="36"/>
    </w:rPr>
  </w:style>
  <w:style w:type="paragraph" w:customStyle="1" w:styleId="DCHHeading">
    <w:name w:val="DCH Heading"/>
    <w:link w:val="DCHHeadingCharChar"/>
    <w:rsid w:val="008254C4"/>
    <w:rPr>
      <w:rFonts w:ascii="Calibri" w:hAnsi="Calibri" w:cs="Arial"/>
      <w:b/>
      <w:color w:val="1869B2"/>
      <w:sz w:val="24"/>
      <w:szCs w:val="28"/>
      <w:lang w:eastAsia="en-US"/>
    </w:rPr>
  </w:style>
  <w:style w:type="paragraph" w:customStyle="1" w:styleId="Tabletext">
    <w:name w:val="Table text"/>
    <w:basedOn w:val="Normal"/>
    <w:rsid w:val="008254C4"/>
    <w:pPr>
      <w:autoSpaceDE w:val="0"/>
      <w:autoSpaceDN w:val="0"/>
      <w:adjustRightInd w:val="0"/>
    </w:pPr>
    <w:rPr>
      <w:sz w:val="20"/>
    </w:rPr>
  </w:style>
  <w:style w:type="paragraph" w:customStyle="1" w:styleId="TableTextCentred">
    <w:name w:val="Table Text Centred"/>
    <w:basedOn w:val="Normal"/>
    <w:rsid w:val="008254C4"/>
    <w:pPr>
      <w:spacing w:before="120" w:after="120"/>
      <w:jc w:val="center"/>
    </w:pPr>
    <w:rPr>
      <w:rFonts w:cs="Arial"/>
      <w:sz w:val="20"/>
      <w:szCs w:val="20"/>
    </w:rPr>
  </w:style>
  <w:style w:type="paragraph" w:customStyle="1" w:styleId="TableHeadingCentred">
    <w:name w:val="Table Heading Centred"/>
    <w:basedOn w:val="Normal"/>
    <w:rsid w:val="008254C4"/>
    <w:pPr>
      <w:jc w:val="center"/>
    </w:pPr>
    <w:rPr>
      <w:rFonts w:cs="Arial"/>
      <w:b/>
      <w:bCs/>
      <w:color w:val="FFFFFF"/>
    </w:rPr>
  </w:style>
  <w:style w:type="character" w:customStyle="1" w:styleId="DCHHeadingCharChar">
    <w:name w:val="DCH Heading Char Char"/>
    <w:basedOn w:val="DefaultParagraphFont"/>
    <w:link w:val="DCHHeading"/>
    <w:rsid w:val="008254C4"/>
    <w:rPr>
      <w:rFonts w:ascii="Calibri" w:hAnsi="Calibri" w:cs="Arial"/>
      <w:b/>
      <w:color w:val="1869B2"/>
      <w:sz w:val="24"/>
      <w:szCs w:val="28"/>
      <w:lang w:val="en-AU" w:eastAsia="en-US" w:bidi="ar-SA"/>
    </w:rPr>
  </w:style>
  <w:style w:type="paragraph" w:customStyle="1" w:styleId="Heading2Calibri">
    <w:name w:val="Heading 2 + Calibri"/>
    <w:aliases w:val="Bold,Custom Color(RGB(24,105,178))"/>
    <w:basedOn w:val="Default"/>
    <w:rsid w:val="00CF435A"/>
    <w:rPr>
      <w:rFonts w:cs="Times New Roman"/>
      <w:b/>
      <w:color w:val="1869B2"/>
      <w:szCs w:val="36"/>
    </w:rPr>
  </w:style>
  <w:style w:type="character" w:customStyle="1" w:styleId="CharChar">
    <w:name w:val="Char Char"/>
    <w:basedOn w:val="DefaultParagraphFont"/>
    <w:rsid w:val="00A72F27"/>
    <w:rPr>
      <w:rFonts w:ascii="Calibri" w:hAnsi="Calibri"/>
      <w:b/>
      <w:color w:val="1869B2"/>
      <w:sz w:val="24"/>
      <w:szCs w:val="36"/>
      <w:lang w:val="en-AU" w:eastAsia="en-AU" w:bidi="ar-SA"/>
    </w:rPr>
  </w:style>
  <w:style w:type="character" w:customStyle="1" w:styleId="CharChar1">
    <w:name w:val="Char Char1"/>
    <w:basedOn w:val="DefaultParagraphFont"/>
    <w:rsid w:val="00A72F27"/>
    <w:rPr>
      <w:rFonts w:ascii="Calibri" w:hAnsi="Calibri" w:cs="Arial"/>
      <w:b/>
      <w:bCs/>
      <w:kern w:val="32"/>
      <w:sz w:val="32"/>
      <w:szCs w:val="32"/>
      <w:lang w:val="en-AU" w:eastAsia="en-AU" w:bidi="ar-SA"/>
    </w:rPr>
  </w:style>
  <w:style w:type="paragraph" w:customStyle="1" w:styleId="FlowChartText">
    <w:name w:val="Flow Chart Text"/>
    <w:basedOn w:val="Normal"/>
    <w:rsid w:val="00EF238B"/>
    <w:pPr>
      <w:jc w:val="center"/>
    </w:pPr>
    <w:rPr>
      <w:b/>
      <w:sz w:val="20"/>
      <w:szCs w:val="20"/>
    </w:rPr>
  </w:style>
  <w:style w:type="paragraph" w:styleId="TOC3">
    <w:name w:val="toc 3"/>
    <w:basedOn w:val="Normal"/>
    <w:next w:val="Normal"/>
    <w:autoRedefine/>
    <w:uiPriority w:val="39"/>
    <w:rsid w:val="003B73BA"/>
    <w:pPr>
      <w:ind w:left="440"/>
    </w:pPr>
  </w:style>
  <w:style w:type="paragraph" w:customStyle="1" w:styleId="ListAlphaIndent0">
    <w:name w:val="List Alpha Indent 0"/>
    <w:basedOn w:val="BodyIndent0"/>
    <w:rsid w:val="009370BB"/>
    <w:pPr>
      <w:numPr>
        <w:numId w:val="11"/>
      </w:numPr>
    </w:pPr>
    <w:rPr>
      <w:color w:val="000000"/>
    </w:rPr>
  </w:style>
  <w:style w:type="paragraph" w:customStyle="1" w:styleId="TableBody">
    <w:name w:val="Table Body"/>
    <w:basedOn w:val="BodyIndent0"/>
    <w:rsid w:val="009370BB"/>
    <w:pPr>
      <w:spacing w:after="60" w:line="240" w:lineRule="auto"/>
    </w:pPr>
    <w:rPr>
      <w:lang w:eastAsia="en-US"/>
    </w:rPr>
  </w:style>
  <w:style w:type="paragraph" w:customStyle="1" w:styleId="ListNumber11Indent0">
    <w:name w:val="List Number 1.1 Indent 0"/>
    <w:basedOn w:val="BodyIndent0"/>
    <w:rsid w:val="009370BB"/>
    <w:pPr>
      <w:tabs>
        <w:tab w:val="left" w:pos="397"/>
      </w:tabs>
      <w:ind w:left="397" w:hanging="397"/>
    </w:pPr>
  </w:style>
  <w:style w:type="paragraph" w:customStyle="1" w:styleId="BodyIndent1">
    <w:name w:val="Body Indent 1"/>
    <w:basedOn w:val="BodyIndent0"/>
    <w:rsid w:val="009370BB"/>
    <w:pPr>
      <w:ind w:left="397"/>
    </w:pPr>
  </w:style>
  <w:style w:type="paragraph" w:customStyle="1" w:styleId="TableHeading">
    <w:name w:val="Table Heading"/>
    <w:basedOn w:val="TableBody"/>
    <w:rsid w:val="009370BB"/>
    <w:pPr>
      <w:keepLines/>
    </w:pPr>
    <w:rPr>
      <w:b/>
      <w:color w:val="FFFFFF"/>
    </w:rPr>
  </w:style>
  <w:style w:type="paragraph" w:styleId="ListBullet5">
    <w:name w:val="List Bullet 5"/>
    <w:basedOn w:val="Normal"/>
    <w:rsid w:val="009370BB"/>
    <w:pPr>
      <w:numPr>
        <w:numId w:val="3"/>
      </w:numPr>
      <w:spacing w:after="120" w:line="288" w:lineRule="auto"/>
    </w:pPr>
    <w:rPr>
      <w:rFonts w:ascii="Trebuchet MS" w:hAnsi="Trebuchet MS"/>
      <w:szCs w:val="20"/>
      <w:lang w:eastAsia="en-US"/>
    </w:rPr>
  </w:style>
  <w:style w:type="table" w:customStyle="1" w:styleId="DEEWRRFT">
    <w:name w:val="DEEWR RFT"/>
    <w:basedOn w:val="TableTheme"/>
    <w:rsid w:val="009370BB"/>
    <w:pPr>
      <w:keepLines/>
      <w:spacing w:after="60"/>
    </w:pPr>
    <w:rPr>
      <w:rFonts w:ascii="Calibri" w:hAnsi="Calibri"/>
    </w:rPr>
    <w:tblPr>
      <w:tblInd w:w="57" w:type="dxa"/>
      <w:tblCellMar>
        <w:top w:w="57" w:type="dxa"/>
        <w:left w:w="57" w:type="dxa"/>
        <w:bottom w:w="57" w:type="dxa"/>
        <w:right w:w="57" w:type="dxa"/>
      </w:tblCellMar>
    </w:tblPr>
    <w:trPr>
      <w:cantSplit/>
    </w:trPr>
    <w:tblStylePr w:type="firstRow">
      <w:pPr>
        <w:jc w:val="left"/>
      </w:pPr>
      <w:rPr>
        <w:rFonts w:ascii="Tahoma" w:hAnsi="Tahoma"/>
        <w:b w:val="0"/>
        <w:i w:val="0"/>
        <w:color w:val="FFFFFF"/>
        <w:sz w:val="20"/>
      </w:rPr>
      <w:tblPr/>
      <w:trPr>
        <w:tblHeader/>
      </w:trPr>
      <w:tcPr>
        <w:shd w:val="clear" w:color="auto" w:fill="800000"/>
      </w:tcPr>
    </w:tblStylePr>
  </w:style>
  <w:style w:type="table" w:styleId="TableTheme">
    <w:name w:val="Table Theme"/>
    <w:basedOn w:val="TableNormal"/>
    <w:rsid w:val="009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5E9"/>
    <w:pPr>
      <w:spacing w:after="200" w:line="276" w:lineRule="auto"/>
      <w:ind w:left="720"/>
    </w:pPr>
    <w:rPr>
      <w:rFonts w:eastAsiaTheme="minorHAnsi" w:cs="Calibri"/>
      <w:szCs w:val="22"/>
    </w:rPr>
  </w:style>
  <w:style w:type="paragraph" w:styleId="Title">
    <w:name w:val="Title"/>
    <w:basedOn w:val="Normal"/>
    <w:next w:val="Normal"/>
    <w:link w:val="TitleChar"/>
    <w:qFormat/>
    <w:rsid w:val="008F7C9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F7C99"/>
    <w:rPr>
      <w:rFonts w:asciiTheme="majorHAnsi" w:eastAsiaTheme="majorEastAsia" w:hAnsiTheme="majorHAnsi" w:cstheme="majorBidi"/>
      <w:b/>
      <w:bCs/>
      <w:kern w:val="28"/>
      <w:sz w:val="32"/>
      <w:szCs w:val="32"/>
    </w:rPr>
  </w:style>
  <w:style w:type="character" w:customStyle="1" w:styleId="CommentTextChar">
    <w:name w:val="Comment Text Char"/>
    <w:link w:val="CommentText"/>
    <w:rsid w:val="000E2667"/>
    <w:rPr>
      <w:rFonts w:ascii="Calibri" w:hAnsi="Calibri"/>
    </w:rPr>
  </w:style>
  <w:style w:type="paragraph" w:styleId="Revision">
    <w:name w:val="Revision"/>
    <w:hidden/>
    <w:uiPriority w:val="99"/>
    <w:semiHidden/>
    <w:rsid w:val="00C165D1"/>
    <w:rPr>
      <w:rFonts w:ascii="Calibri" w:hAnsi="Calibri"/>
      <w:sz w:val="22"/>
      <w:szCs w:val="24"/>
    </w:rPr>
  </w:style>
  <w:style w:type="character" w:customStyle="1" w:styleId="Heading4Char">
    <w:name w:val="Heading 4 Char"/>
    <w:basedOn w:val="DefaultParagraphFont"/>
    <w:link w:val="Heading4"/>
    <w:rsid w:val="007C272A"/>
    <w:rPr>
      <w:rFonts w:asciiTheme="minorHAnsi" w:hAnsiTheme="minorHAnsi" w:cstheme="minorHAnsi"/>
      <w:b/>
      <w:bCs/>
      <w:i/>
      <w:sz w:val="22"/>
      <w:szCs w:val="22"/>
    </w:rPr>
  </w:style>
  <w:style w:type="character" w:customStyle="1" w:styleId="TableBodyLeftCharChar">
    <w:name w:val="Table Body Left Char Char"/>
    <w:basedOn w:val="DefaultParagraphFont"/>
    <w:link w:val="TableBodyLeft"/>
    <w:uiPriority w:val="99"/>
    <w:rsid w:val="00E34A2A"/>
    <w:rPr>
      <w:rFonts w:ascii="Calibri" w:hAnsi="Calibri"/>
      <w:szCs w:val="24"/>
      <w:lang w:eastAsia="en-US"/>
    </w:rPr>
  </w:style>
  <w:style w:type="paragraph" w:customStyle="1" w:styleId="TableBodyLeft">
    <w:name w:val="Table Body Left"/>
    <w:basedOn w:val="Normal"/>
    <w:link w:val="TableBodyLeftCharChar"/>
    <w:uiPriority w:val="99"/>
    <w:rsid w:val="00E34A2A"/>
    <w:pPr>
      <w:keepLines/>
      <w:suppressAutoHyphens/>
      <w:spacing w:after="60" w:line="264" w:lineRule="auto"/>
    </w:pPr>
    <w:rPr>
      <w:sz w:val="20"/>
      <w:lang w:eastAsia="en-US"/>
    </w:rPr>
  </w:style>
  <w:style w:type="character" w:customStyle="1" w:styleId="BlueGDV1change">
    <w:name w:val="Blue (GDV 1 change)"/>
    <w:basedOn w:val="DefaultParagraphFont"/>
    <w:uiPriority w:val="1"/>
    <w:qFormat/>
    <w:rsid w:val="00E34A2A"/>
    <w:rPr>
      <w:rFonts w:ascii="Calibri" w:hAnsi="Calibri" w:cs="Calibri"/>
      <w:color w:val="auto"/>
      <w:sz w:val="22"/>
    </w:rPr>
  </w:style>
  <w:style w:type="character" w:customStyle="1" w:styleId="escbc-div2">
    <w:name w:val="escbc-div2"/>
    <w:basedOn w:val="DefaultParagraphFont"/>
    <w:rsid w:val="00FE31C7"/>
  </w:style>
  <w:style w:type="character" w:customStyle="1" w:styleId="GDV3additions">
    <w:name w:val="GDV3 additions"/>
    <w:basedOn w:val="DefaultParagraphFont"/>
    <w:uiPriority w:val="1"/>
    <w:qFormat/>
    <w:rsid w:val="001C06E7"/>
    <w:rPr>
      <w:rFonts w:asciiTheme="minorHAnsi" w:hAnsiTheme="minorHAnsi" w:cs="Calibri" w:hint="default"/>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20360">
      <w:bodyDiv w:val="1"/>
      <w:marLeft w:val="0"/>
      <w:marRight w:val="0"/>
      <w:marTop w:val="0"/>
      <w:marBottom w:val="0"/>
      <w:divBdr>
        <w:top w:val="none" w:sz="0" w:space="0" w:color="auto"/>
        <w:left w:val="none" w:sz="0" w:space="0" w:color="auto"/>
        <w:bottom w:val="none" w:sz="0" w:space="0" w:color="auto"/>
        <w:right w:val="none" w:sz="0" w:space="0" w:color="auto"/>
      </w:divBdr>
    </w:div>
    <w:div w:id="736173059">
      <w:bodyDiv w:val="1"/>
      <w:marLeft w:val="0"/>
      <w:marRight w:val="0"/>
      <w:marTop w:val="0"/>
      <w:marBottom w:val="0"/>
      <w:divBdr>
        <w:top w:val="none" w:sz="0" w:space="0" w:color="auto"/>
        <w:left w:val="none" w:sz="0" w:space="0" w:color="auto"/>
        <w:bottom w:val="none" w:sz="0" w:space="0" w:color="auto"/>
        <w:right w:val="none" w:sz="0" w:space="0" w:color="auto"/>
      </w:divBdr>
    </w:div>
    <w:div w:id="766272272">
      <w:bodyDiv w:val="1"/>
      <w:marLeft w:val="0"/>
      <w:marRight w:val="0"/>
      <w:marTop w:val="0"/>
      <w:marBottom w:val="0"/>
      <w:divBdr>
        <w:top w:val="none" w:sz="0" w:space="0" w:color="auto"/>
        <w:left w:val="none" w:sz="0" w:space="0" w:color="auto"/>
        <w:bottom w:val="none" w:sz="0" w:space="0" w:color="auto"/>
        <w:right w:val="none" w:sz="0" w:space="0" w:color="auto"/>
      </w:divBdr>
    </w:div>
    <w:div w:id="1281185174">
      <w:bodyDiv w:val="1"/>
      <w:marLeft w:val="0"/>
      <w:marRight w:val="0"/>
      <w:marTop w:val="0"/>
      <w:marBottom w:val="0"/>
      <w:divBdr>
        <w:top w:val="none" w:sz="0" w:space="0" w:color="auto"/>
        <w:left w:val="none" w:sz="0" w:space="0" w:color="auto"/>
        <w:bottom w:val="none" w:sz="0" w:space="0" w:color="auto"/>
        <w:right w:val="none" w:sz="0" w:space="0" w:color="auto"/>
      </w:divBdr>
    </w:div>
    <w:div w:id="1561134140">
      <w:bodyDiv w:val="1"/>
      <w:marLeft w:val="0"/>
      <w:marRight w:val="0"/>
      <w:marTop w:val="0"/>
      <w:marBottom w:val="0"/>
      <w:divBdr>
        <w:top w:val="none" w:sz="0" w:space="0" w:color="auto"/>
        <w:left w:val="none" w:sz="0" w:space="0" w:color="auto"/>
        <w:bottom w:val="none" w:sz="0" w:space="0" w:color="auto"/>
        <w:right w:val="none" w:sz="0" w:space="0" w:color="auto"/>
      </w:divBdr>
      <w:divsChild>
        <w:div w:id="1260336971">
          <w:marLeft w:val="0"/>
          <w:marRight w:val="0"/>
          <w:marTop w:val="0"/>
          <w:marBottom w:val="0"/>
          <w:divBdr>
            <w:top w:val="none" w:sz="0" w:space="0" w:color="auto"/>
            <w:left w:val="none" w:sz="0" w:space="0" w:color="auto"/>
            <w:bottom w:val="none" w:sz="0" w:space="0" w:color="auto"/>
            <w:right w:val="none" w:sz="0" w:space="0" w:color="auto"/>
          </w:divBdr>
          <w:divsChild>
            <w:div w:id="1526138595">
              <w:marLeft w:val="0"/>
              <w:marRight w:val="0"/>
              <w:marTop w:val="0"/>
              <w:marBottom w:val="0"/>
              <w:divBdr>
                <w:top w:val="none" w:sz="0" w:space="0" w:color="auto"/>
                <w:left w:val="none" w:sz="0" w:space="0" w:color="auto"/>
                <w:bottom w:val="none" w:sz="0" w:space="0" w:color="auto"/>
                <w:right w:val="none" w:sz="0" w:space="0" w:color="auto"/>
              </w:divBdr>
              <w:divsChild>
                <w:div w:id="412777970">
                  <w:marLeft w:val="0"/>
                  <w:marRight w:val="0"/>
                  <w:marTop w:val="0"/>
                  <w:marBottom w:val="0"/>
                  <w:divBdr>
                    <w:top w:val="none" w:sz="0" w:space="0" w:color="auto"/>
                    <w:left w:val="none" w:sz="0" w:space="0" w:color="auto"/>
                    <w:bottom w:val="none" w:sz="0" w:space="0" w:color="auto"/>
                    <w:right w:val="none" w:sz="0" w:space="0" w:color="auto"/>
                  </w:divBdr>
                  <w:divsChild>
                    <w:div w:id="1361013258">
                      <w:marLeft w:val="0"/>
                      <w:marRight w:val="0"/>
                      <w:marTop w:val="0"/>
                      <w:marBottom w:val="0"/>
                      <w:divBdr>
                        <w:top w:val="none" w:sz="0" w:space="0" w:color="auto"/>
                        <w:left w:val="none" w:sz="0" w:space="0" w:color="auto"/>
                        <w:bottom w:val="none" w:sz="0" w:space="0" w:color="auto"/>
                        <w:right w:val="none" w:sz="0" w:space="0" w:color="auto"/>
                      </w:divBdr>
                      <w:divsChild>
                        <w:div w:id="2061586143">
                          <w:marLeft w:val="3150"/>
                          <w:marRight w:val="225"/>
                          <w:marTop w:val="0"/>
                          <w:marBottom w:val="0"/>
                          <w:divBdr>
                            <w:top w:val="none" w:sz="0" w:space="0" w:color="auto"/>
                            <w:left w:val="none" w:sz="0" w:space="0" w:color="auto"/>
                            <w:bottom w:val="none" w:sz="0" w:space="0" w:color="auto"/>
                            <w:right w:val="none" w:sz="0" w:space="0" w:color="auto"/>
                          </w:divBdr>
                          <w:divsChild>
                            <w:div w:id="1912614458">
                              <w:marLeft w:val="0"/>
                              <w:marRight w:val="0"/>
                              <w:marTop w:val="0"/>
                              <w:marBottom w:val="0"/>
                              <w:divBdr>
                                <w:top w:val="none" w:sz="0" w:space="0" w:color="auto"/>
                                <w:left w:val="none" w:sz="0" w:space="0" w:color="auto"/>
                                <w:bottom w:val="none" w:sz="0" w:space="0" w:color="auto"/>
                                <w:right w:val="none" w:sz="0" w:space="0" w:color="auto"/>
                              </w:divBdr>
                              <w:divsChild>
                                <w:div w:id="2621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8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access.gov.au/sites/SecureSitePortal/DES/GuidelinesandSupportingDocuments/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snaccess.gov.au/sites/SecureSitePortal/DES/Pages/HomePag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snaccess.gov.au/sites/SecureSitePortal/Pages/HomePage.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2A24-E0BC-47ED-9A79-2C4FE2ED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3229</Words>
  <Characters>19104</Characters>
  <Application>Microsoft Office Word</Application>
  <DocSecurity>0</DocSecurity>
  <Lines>456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Links>
    <vt:vector size="48" baseType="variant">
      <vt:variant>
        <vt:i4>1835059</vt:i4>
      </vt:variant>
      <vt:variant>
        <vt:i4>44</vt:i4>
      </vt:variant>
      <vt:variant>
        <vt:i4>0</vt:i4>
      </vt:variant>
      <vt:variant>
        <vt:i4>5</vt:i4>
      </vt:variant>
      <vt:variant>
        <vt:lpwstr/>
      </vt:variant>
      <vt:variant>
        <vt:lpwstr>_Toc262827127</vt:lpwstr>
      </vt:variant>
      <vt:variant>
        <vt:i4>1835059</vt:i4>
      </vt:variant>
      <vt:variant>
        <vt:i4>38</vt:i4>
      </vt:variant>
      <vt:variant>
        <vt:i4>0</vt:i4>
      </vt:variant>
      <vt:variant>
        <vt:i4>5</vt:i4>
      </vt:variant>
      <vt:variant>
        <vt:lpwstr/>
      </vt:variant>
      <vt:variant>
        <vt:lpwstr>_Toc262827126</vt:lpwstr>
      </vt:variant>
      <vt:variant>
        <vt:i4>1835059</vt:i4>
      </vt:variant>
      <vt:variant>
        <vt:i4>32</vt:i4>
      </vt:variant>
      <vt:variant>
        <vt:i4>0</vt:i4>
      </vt:variant>
      <vt:variant>
        <vt:i4>5</vt:i4>
      </vt:variant>
      <vt:variant>
        <vt:lpwstr/>
      </vt:variant>
      <vt:variant>
        <vt:lpwstr>_Toc262827125</vt:lpwstr>
      </vt:variant>
      <vt:variant>
        <vt:i4>1835059</vt:i4>
      </vt:variant>
      <vt:variant>
        <vt:i4>26</vt:i4>
      </vt:variant>
      <vt:variant>
        <vt:i4>0</vt:i4>
      </vt:variant>
      <vt:variant>
        <vt:i4>5</vt:i4>
      </vt:variant>
      <vt:variant>
        <vt:lpwstr/>
      </vt:variant>
      <vt:variant>
        <vt:lpwstr>_Toc262827124</vt:lpwstr>
      </vt:variant>
      <vt:variant>
        <vt:i4>1835059</vt:i4>
      </vt:variant>
      <vt:variant>
        <vt:i4>20</vt:i4>
      </vt:variant>
      <vt:variant>
        <vt:i4>0</vt:i4>
      </vt:variant>
      <vt:variant>
        <vt:i4>5</vt:i4>
      </vt:variant>
      <vt:variant>
        <vt:lpwstr/>
      </vt:variant>
      <vt:variant>
        <vt:lpwstr>_Toc262827123</vt:lpwstr>
      </vt:variant>
      <vt:variant>
        <vt:i4>1835059</vt:i4>
      </vt:variant>
      <vt:variant>
        <vt:i4>14</vt:i4>
      </vt:variant>
      <vt:variant>
        <vt:i4>0</vt:i4>
      </vt:variant>
      <vt:variant>
        <vt:i4>5</vt:i4>
      </vt:variant>
      <vt:variant>
        <vt:lpwstr/>
      </vt:variant>
      <vt:variant>
        <vt:lpwstr>_Toc262827122</vt:lpwstr>
      </vt:variant>
      <vt:variant>
        <vt:i4>1835059</vt:i4>
      </vt:variant>
      <vt:variant>
        <vt:i4>8</vt:i4>
      </vt:variant>
      <vt:variant>
        <vt:i4>0</vt:i4>
      </vt:variant>
      <vt:variant>
        <vt:i4>5</vt:i4>
      </vt:variant>
      <vt:variant>
        <vt:lpwstr/>
      </vt:variant>
      <vt:variant>
        <vt:lpwstr>_Toc262827121</vt:lpwstr>
      </vt:variant>
      <vt:variant>
        <vt:i4>1835059</vt:i4>
      </vt:variant>
      <vt:variant>
        <vt:i4>2</vt:i4>
      </vt:variant>
      <vt:variant>
        <vt:i4>0</vt:i4>
      </vt:variant>
      <vt:variant>
        <vt:i4>5</vt:i4>
      </vt:variant>
      <vt:variant>
        <vt:lpwstr/>
      </vt:variant>
      <vt:variant>
        <vt:lpwstr>_Toc262827120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2023-12-19T03:07:00Z</dcterms:created>
  <dcterms:modified xsi:type="dcterms:W3CDTF">2023-12-19T03:08:00Z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1167DB9640174E15A95D572AB5272D6E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2023-12-19T03:08:03Z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993D70EEE8D8D2770ADFDD2E50D6588C</vt:lpwstr>
  </property>
  <property fmtid="{D5CDD505-2E9C-101B-9397-08002B2CF9AE}" pid="21" name="PM_Hash_Salt">
    <vt:lpwstr>C61A872941D193CEB1CBFF4F521B629A</vt:lpwstr>
  </property>
  <property fmtid="{D5CDD505-2E9C-101B-9397-08002B2CF9AE}" pid="22" name="PM_Hash_SHA1">
    <vt:lpwstr>E8274355CEAEE73C4A88DB7EF3978932279C55E8</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