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96B7" w14:textId="77777777"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6EBB6718" wp14:editId="266F02F4">
            <wp:extent cx="7541998" cy="1436354"/>
            <wp:effectExtent l="0" t="0" r="1905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0AA1" w14:textId="108EC528" w:rsidR="00C460F3" w:rsidRDefault="00C460F3" w:rsidP="00D03796">
      <w:pPr>
        <w:pStyle w:val="Title"/>
        <w:spacing w:before="0" w:after="120"/>
      </w:pPr>
      <w:r>
        <w:t>Factsheet</w:t>
      </w:r>
      <w:r w:rsidR="0022255E">
        <w:t>:</w:t>
      </w:r>
    </w:p>
    <w:p w14:paraId="502E3991" w14:textId="186345B2" w:rsidR="0022255E" w:rsidRDefault="0022255E" w:rsidP="00D03796">
      <w:pPr>
        <w:pStyle w:val="Title"/>
        <w:spacing w:before="0" w:after="120"/>
      </w:pPr>
      <w:r>
        <w:t>Outcomes Framework</w:t>
      </w:r>
    </w:p>
    <w:p w14:paraId="79867E8D" w14:textId="5DF9C67D" w:rsidR="004D2BDC" w:rsidRPr="00EA2E51" w:rsidRDefault="00C460F3" w:rsidP="00D03796">
      <w:pPr>
        <w:pStyle w:val="Heading1"/>
        <w:spacing w:before="120"/>
      </w:pPr>
      <w:r>
        <w:t>New FaC Activity requirements from 1 July 2021</w:t>
      </w:r>
    </w:p>
    <w:p w14:paraId="59CF0DA6" w14:textId="7D19854E" w:rsidR="00DD466C" w:rsidRDefault="00904B97" w:rsidP="00EA2E51">
      <w:pPr>
        <w:pStyle w:val="Heading2"/>
        <w:rPr>
          <w:sz w:val="28"/>
        </w:rPr>
      </w:pPr>
      <w:bookmarkStart w:id="1" w:name="_Toc391890681"/>
      <w:r>
        <w:rPr>
          <w:sz w:val="28"/>
        </w:rPr>
        <w:t>When will the draft FaC Activity Outcomes Framework be finalised?</w:t>
      </w:r>
    </w:p>
    <w:p w14:paraId="2799DA0E" w14:textId="7CE5799A" w:rsidR="00EC5E5B" w:rsidRPr="00636FD7" w:rsidRDefault="00DB6F58" w:rsidP="00636FD7">
      <w:pPr>
        <w:spacing w:before="0" w:after="120" w:line="276" w:lineRule="auto"/>
        <w:rPr>
          <w:sz w:val="22"/>
          <w:szCs w:val="22"/>
        </w:rPr>
      </w:pPr>
      <w:r w:rsidRPr="00636FD7">
        <w:rPr>
          <w:sz w:val="22"/>
          <w:szCs w:val="22"/>
        </w:rPr>
        <w:t xml:space="preserve">Taking </w:t>
      </w:r>
      <w:r w:rsidR="00D03796" w:rsidRPr="00636FD7">
        <w:rPr>
          <w:sz w:val="22"/>
          <w:szCs w:val="22"/>
        </w:rPr>
        <w:t>on board</w:t>
      </w:r>
      <w:r w:rsidRPr="00636FD7">
        <w:rPr>
          <w:sz w:val="22"/>
          <w:szCs w:val="22"/>
        </w:rPr>
        <w:t xml:space="preserve"> the feedback </w:t>
      </w:r>
      <w:r w:rsidR="00D03796" w:rsidRPr="00636FD7">
        <w:rPr>
          <w:sz w:val="22"/>
          <w:szCs w:val="22"/>
        </w:rPr>
        <w:t>from</w:t>
      </w:r>
      <w:r w:rsidRPr="00636FD7">
        <w:rPr>
          <w:sz w:val="22"/>
          <w:szCs w:val="22"/>
        </w:rPr>
        <w:t xml:space="preserve"> the </w:t>
      </w:r>
      <w:r w:rsidR="00D03796" w:rsidRPr="00636FD7">
        <w:rPr>
          <w:sz w:val="22"/>
          <w:szCs w:val="22"/>
        </w:rPr>
        <w:t>recent consultation</w:t>
      </w:r>
      <w:r w:rsidRPr="00636FD7">
        <w:rPr>
          <w:sz w:val="22"/>
          <w:szCs w:val="22"/>
        </w:rPr>
        <w:t>, t</w:t>
      </w:r>
      <w:r w:rsidR="001F69C0" w:rsidRPr="00636FD7">
        <w:rPr>
          <w:sz w:val="22"/>
          <w:szCs w:val="22"/>
        </w:rPr>
        <w:t>he department is working with the Australian Institute of Family Studies (AIFS)</w:t>
      </w:r>
      <w:r w:rsidRPr="00636FD7">
        <w:rPr>
          <w:sz w:val="22"/>
          <w:szCs w:val="22"/>
        </w:rPr>
        <w:t xml:space="preserve"> to refine the draft </w:t>
      </w:r>
      <w:proofErr w:type="spellStart"/>
      <w:r w:rsidRPr="00636FD7">
        <w:rPr>
          <w:sz w:val="22"/>
          <w:szCs w:val="22"/>
        </w:rPr>
        <w:t>FaC</w:t>
      </w:r>
      <w:proofErr w:type="spellEnd"/>
      <w:r w:rsidRPr="00636FD7">
        <w:rPr>
          <w:sz w:val="22"/>
          <w:szCs w:val="22"/>
        </w:rPr>
        <w:t xml:space="preserve"> Activity Outcomes Framework</w:t>
      </w:r>
      <w:r w:rsidR="003F0DCD" w:rsidRPr="00636FD7">
        <w:rPr>
          <w:sz w:val="22"/>
          <w:szCs w:val="22"/>
        </w:rPr>
        <w:t xml:space="preserve">. </w:t>
      </w:r>
      <w:r w:rsidR="00EC5E5B" w:rsidRPr="00636FD7">
        <w:rPr>
          <w:sz w:val="22"/>
          <w:szCs w:val="22"/>
        </w:rPr>
        <w:t xml:space="preserve"> </w:t>
      </w:r>
    </w:p>
    <w:p w14:paraId="0C02A1F3" w14:textId="1966AA55" w:rsidR="00EC5E5B" w:rsidRPr="00636FD7" w:rsidRDefault="00EC5E5B" w:rsidP="00EC5E5B">
      <w:pPr>
        <w:spacing w:before="0" w:after="120" w:line="276" w:lineRule="auto"/>
        <w:rPr>
          <w:sz w:val="22"/>
          <w:szCs w:val="22"/>
        </w:rPr>
      </w:pPr>
      <w:r w:rsidRPr="00636FD7">
        <w:rPr>
          <w:sz w:val="22"/>
          <w:szCs w:val="22"/>
        </w:rPr>
        <w:t xml:space="preserve">A draft outcomes framework has been included in the Operational Guidelines. </w:t>
      </w:r>
    </w:p>
    <w:p w14:paraId="4270C47A" w14:textId="77777777" w:rsidR="00EC5E5B" w:rsidRPr="00636FD7" w:rsidRDefault="00EC5E5B" w:rsidP="00EC5E5B">
      <w:pPr>
        <w:spacing w:before="0" w:after="120" w:line="276" w:lineRule="auto"/>
        <w:rPr>
          <w:sz w:val="22"/>
          <w:szCs w:val="22"/>
        </w:rPr>
      </w:pPr>
      <w:r w:rsidRPr="00636FD7">
        <w:rPr>
          <w:sz w:val="22"/>
          <w:szCs w:val="22"/>
        </w:rPr>
        <w:t>The department does not anticipate major changes will be made to the draft outcomes framework, and expects the outcomes framework to be finalised in mid to late 2021.</w:t>
      </w:r>
    </w:p>
    <w:p w14:paraId="7A11F7BC" w14:textId="5AA8E665" w:rsidR="00EC5E5B" w:rsidRPr="00636FD7" w:rsidRDefault="00EC5E5B" w:rsidP="00636FD7">
      <w:pPr>
        <w:spacing w:before="0" w:after="120" w:line="276" w:lineRule="auto"/>
        <w:rPr>
          <w:sz w:val="22"/>
          <w:szCs w:val="22"/>
        </w:rPr>
      </w:pPr>
      <w:r w:rsidRPr="00636FD7">
        <w:rPr>
          <w:sz w:val="22"/>
          <w:szCs w:val="22"/>
        </w:rPr>
        <w:t>The department is also working with the Australian Institute of Family Studies to develop supporting documents to link the outcomes in the outcomes framework to appro</w:t>
      </w:r>
      <w:r w:rsidR="00730429">
        <w:rPr>
          <w:sz w:val="22"/>
          <w:szCs w:val="22"/>
        </w:rPr>
        <w:t>priate indicates to allow these</w:t>
      </w:r>
      <w:r w:rsidR="00730429">
        <w:rPr>
          <w:rFonts w:eastAsiaTheme="minorHAnsi"/>
          <w:sz w:val="22"/>
          <w:szCs w:val="22"/>
        </w:rPr>
        <w:t> </w:t>
      </w:r>
      <w:r w:rsidRPr="00636FD7">
        <w:rPr>
          <w:sz w:val="22"/>
          <w:szCs w:val="22"/>
        </w:rPr>
        <w:t>to be monitored and recorded in the Data Exchange.</w:t>
      </w:r>
    </w:p>
    <w:p w14:paraId="32506B54" w14:textId="77777777" w:rsidR="00D74ED6" w:rsidRDefault="00591C3D" w:rsidP="00D74ED6">
      <w:pPr>
        <w:spacing w:after="120" w:line="240" w:lineRule="auto"/>
        <w:rPr>
          <w:rFonts w:ascii="Georgia" w:hAnsi="Georgia" w:cs="Arial"/>
          <w:bCs/>
          <w:iCs/>
          <w:color w:val="500778"/>
          <w:sz w:val="28"/>
          <w:szCs w:val="28"/>
        </w:rPr>
      </w:pPr>
      <w:r>
        <w:rPr>
          <w:rFonts w:ascii="Georgia" w:hAnsi="Georgia" w:cs="Arial"/>
          <w:bCs/>
          <w:iCs/>
          <w:color w:val="500778"/>
          <w:sz w:val="28"/>
          <w:szCs w:val="28"/>
        </w:rPr>
        <w:t>What is the process for developing Program Logics and Theories of Change under our new grant agreement</w:t>
      </w:r>
      <w:r w:rsidRPr="00591C3D">
        <w:rPr>
          <w:rFonts w:ascii="Georgia" w:hAnsi="Georgia" w:cs="Arial"/>
          <w:bCs/>
          <w:iCs/>
          <w:color w:val="500778"/>
          <w:sz w:val="28"/>
          <w:szCs w:val="28"/>
        </w:rPr>
        <w:t>?</w:t>
      </w:r>
      <w:r>
        <w:rPr>
          <w:rFonts w:ascii="Georgia" w:hAnsi="Georgia" w:cs="Arial"/>
          <w:bCs/>
          <w:iCs/>
          <w:color w:val="500778"/>
          <w:sz w:val="28"/>
          <w:szCs w:val="28"/>
        </w:rPr>
        <w:t xml:space="preserve"> </w:t>
      </w:r>
    </w:p>
    <w:p w14:paraId="3EF79627" w14:textId="0BDD968B" w:rsidR="00D74ED6" w:rsidRPr="00636FD7" w:rsidRDefault="00591C3D" w:rsidP="00636FD7">
      <w:pPr>
        <w:spacing w:before="0" w:after="120" w:line="276" w:lineRule="auto"/>
        <w:rPr>
          <w:sz w:val="22"/>
          <w:szCs w:val="22"/>
        </w:rPr>
      </w:pPr>
      <w:r w:rsidRPr="00636FD7">
        <w:rPr>
          <w:sz w:val="22"/>
          <w:szCs w:val="22"/>
        </w:rPr>
        <w:t>The department is working with AIFS to create a template for the Program Logic and Theory of</w:t>
      </w:r>
      <w:r w:rsidR="00834ABA">
        <w:rPr>
          <w:rFonts w:eastAsiaTheme="minorHAnsi"/>
          <w:sz w:val="22"/>
          <w:szCs w:val="22"/>
        </w:rPr>
        <w:t> </w:t>
      </w:r>
      <w:r w:rsidRPr="00636FD7">
        <w:rPr>
          <w:sz w:val="22"/>
          <w:szCs w:val="22"/>
        </w:rPr>
        <w:t xml:space="preserve">Change. This template will be available </w:t>
      </w:r>
      <w:r w:rsidR="00EC5E5B" w:rsidRPr="00636FD7">
        <w:rPr>
          <w:sz w:val="22"/>
          <w:szCs w:val="22"/>
        </w:rPr>
        <w:t>shortly</w:t>
      </w:r>
      <w:r w:rsidRPr="00636FD7">
        <w:rPr>
          <w:sz w:val="22"/>
          <w:szCs w:val="22"/>
        </w:rPr>
        <w:t xml:space="preserve">. </w:t>
      </w:r>
    </w:p>
    <w:p w14:paraId="4599DAAD" w14:textId="371BB8F9" w:rsidR="00D74ED6" w:rsidRPr="00636FD7" w:rsidRDefault="00D74ED6" w:rsidP="00636FD7">
      <w:pPr>
        <w:spacing w:before="0" w:after="120" w:line="276" w:lineRule="auto"/>
        <w:rPr>
          <w:sz w:val="22"/>
          <w:szCs w:val="22"/>
        </w:rPr>
      </w:pPr>
      <w:r w:rsidRPr="00636FD7">
        <w:rPr>
          <w:sz w:val="22"/>
          <w:szCs w:val="22"/>
        </w:rPr>
        <w:t xml:space="preserve">Providers will have extended time to meet this requirement, with a </w:t>
      </w:r>
      <w:r w:rsidRPr="00636FD7">
        <w:rPr>
          <w:b/>
          <w:sz w:val="22"/>
          <w:szCs w:val="22"/>
        </w:rPr>
        <w:t>draft</w:t>
      </w:r>
      <w:r w:rsidRPr="00636FD7">
        <w:rPr>
          <w:sz w:val="22"/>
          <w:szCs w:val="22"/>
        </w:rPr>
        <w:t xml:space="preserve"> due in </w:t>
      </w:r>
      <w:r w:rsidRPr="00636FD7">
        <w:rPr>
          <w:b/>
          <w:sz w:val="22"/>
          <w:szCs w:val="22"/>
        </w:rPr>
        <w:t>March</w:t>
      </w:r>
      <w:r w:rsidR="00834ABA">
        <w:rPr>
          <w:rFonts w:eastAsiaTheme="minorHAnsi"/>
          <w:sz w:val="22"/>
          <w:szCs w:val="22"/>
        </w:rPr>
        <w:t> </w:t>
      </w:r>
      <w:r w:rsidRPr="00636FD7">
        <w:rPr>
          <w:b/>
          <w:sz w:val="22"/>
          <w:szCs w:val="22"/>
        </w:rPr>
        <w:t>2022</w:t>
      </w:r>
      <w:r w:rsidRPr="00636FD7">
        <w:rPr>
          <w:sz w:val="22"/>
          <w:szCs w:val="22"/>
        </w:rPr>
        <w:t xml:space="preserve">, and the </w:t>
      </w:r>
      <w:r w:rsidRPr="00636FD7">
        <w:rPr>
          <w:b/>
          <w:sz w:val="22"/>
          <w:szCs w:val="22"/>
        </w:rPr>
        <w:t>final</w:t>
      </w:r>
      <w:r w:rsidR="00834ABA">
        <w:rPr>
          <w:sz w:val="22"/>
          <w:szCs w:val="22"/>
        </w:rPr>
        <w:t xml:space="preserve"> version</w:t>
      </w:r>
      <w:r w:rsidR="00834ABA">
        <w:rPr>
          <w:rFonts w:eastAsiaTheme="minorHAnsi"/>
          <w:sz w:val="22"/>
          <w:szCs w:val="22"/>
        </w:rPr>
        <w:t> </w:t>
      </w:r>
      <w:r w:rsidR="00834ABA">
        <w:rPr>
          <w:b/>
          <w:sz w:val="22"/>
          <w:szCs w:val="22"/>
        </w:rPr>
        <w:t>30</w:t>
      </w:r>
      <w:r w:rsidR="00834ABA">
        <w:rPr>
          <w:rFonts w:eastAsiaTheme="minorHAnsi"/>
          <w:sz w:val="22"/>
          <w:szCs w:val="22"/>
        </w:rPr>
        <w:t> </w:t>
      </w:r>
      <w:r w:rsidRPr="00636FD7">
        <w:rPr>
          <w:b/>
          <w:sz w:val="22"/>
          <w:szCs w:val="22"/>
        </w:rPr>
        <w:t>June 2023</w:t>
      </w:r>
      <w:r w:rsidRPr="00636FD7">
        <w:rPr>
          <w:sz w:val="22"/>
          <w:szCs w:val="22"/>
        </w:rPr>
        <w:t xml:space="preserve">. </w:t>
      </w:r>
    </w:p>
    <w:p w14:paraId="4EB8A64F" w14:textId="3E9E9A5F" w:rsidR="00D74ED6" w:rsidRPr="009C70AB" w:rsidRDefault="00D74ED6" w:rsidP="00636FD7">
      <w:pPr>
        <w:spacing w:before="0" w:after="120" w:line="276" w:lineRule="auto"/>
        <w:rPr>
          <w:sz w:val="22"/>
          <w:szCs w:val="22"/>
        </w:rPr>
      </w:pPr>
      <w:r w:rsidRPr="009C70AB">
        <w:rPr>
          <w:sz w:val="22"/>
          <w:szCs w:val="22"/>
        </w:rPr>
        <w:t>All service providers will be required to develop a program</w:t>
      </w:r>
      <w:r w:rsidR="00925FF4" w:rsidRPr="009C70AB">
        <w:rPr>
          <w:sz w:val="22"/>
          <w:szCs w:val="22"/>
        </w:rPr>
        <w:t xml:space="preserve"> logic for each funded activity, with</w:t>
      </w:r>
      <w:r w:rsidRPr="009C70AB">
        <w:rPr>
          <w:sz w:val="22"/>
          <w:szCs w:val="22"/>
        </w:rPr>
        <w:t xml:space="preserve"> </w:t>
      </w:r>
      <w:r w:rsidR="00925FF4" w:rsidRPr="009C70AB">
        <w:rPr>
          <w:sz w:val="22"/>
          <w:szCs w:val="22"/>
        </w:rPr>
        <w:t>t</w:t>
      </w:r>
      <w:r w:rsidRPr="009C70AB">
        <w:rPr>
          <w:sz w:val="22"/>
          <w:szCs w:val="22"/>
        </w:rPr>
        <w:t xml:space="preserve">he exception </w:t>
      </w:r>
      <w:r w:rsidR="00925FF4" w:rsidRPr="009C70AB">
        <w:rPr>
          <w:sz w:val="22"/>
          <w:szCs w:val="22"/>
        </w:rPr>
        <w:t>of the</w:t>
      </w:r>
      <w:r w:rsidRPr="009C70AB">
        <w:rPr>
          <w:sz w:val="22"/>
          <w:szCs w:val="22"/>
        </w:rPr>
        <w:t xml:space="preserve"> </w:t>
      </w:r>
      <w:proofErr w:type="spellStart"/>
      <w:r w:rsidRPr="009C70AB">
        <w:rPr>
          <w:sz w:val="22"/>
          <w:szCs w:val="22"/>
        </w:rPr>
        <w:t>CfC</w:t>
      </w:r>
      <w:proofErr w:type="spellEnd"/>
      <w:r w:rsidRPr="009C70AB">
        <w:rPr>
          <w:sz w:val="22"/>
          <w:szCs w:val="22"/>
        </w:rPr>
        <w:t xml:space="preserve"> Facilitating Partner program</w:t>
      </w:r>
      <w:r w:rsidR="00925FF4" w:rsidRPr="009C70AB">
        <w:rPr>
          <w:sz w:val="22"/>
          <w:szCs w:val="22"/>
        </w:rPr>
        <w:t>.</w:t>
      </w:r>
    </w:p>
    <w:p w14:paraId="42670FEF" w14:textId="41675434" w:rsidR="00D74ED6" w:rsidRPr="00D74ED6" w:rsidRDefault="00D74ED6" w:rsidP="00D74ED6">
      <w:pPr>
        <w:spacing w:after="120" w:line="240" w:lineRule="auto"/>
        <w:rPr>
          <w:rFonts w:ascii="Georgia" w:hAnsi="Georgia" w:cs="Arial"/>
          <w:bCs/>
          <w:iCs/>
          <w:color w:val="500778"/>
          <w:sz w:val="28"/>
          <w:szCs w:val="28"/>
        </w:rPr>
      </w:pPr>
      <w:r w:rsidRPr="00D74ED6">
        <w:rPr>
          <w:rFonts w:ascii="Georgia" w:hAnsi="Georgia" w:cs="Arial"/>
          <w:bCs/>
          <w:iCs/>
          <w:color w:val="500778"/>
          <w:sz w:val="28"/>
          <w:szCs w:val="28"/>
        </w:rPr>
        <w:t>What support is available to help meet this new requirement?</w:t>
      </w:r>
    </w:p>
    <w:p w14:paraId="7604AF76" w14:textId="4A9AD18C" w:rsidR="00E32C08" w:rsidRPr="009C70AB" w:rsidRDefault="00D74ED6" w:rsidP="00636FD7">
      <w:pPr>
        <w:spacing w:before="0" w:after="120" w:line="276" w:lineRule="auto"/>
        <w:rPr>
          <w:sz w:val="22"/>
          <w:szCs w:val="22"/>
        </w:rPr>
      </w:pPr>
      <w:r w:rsidRPr="009C70AB">
        <w:rPr>
          <w:sz w:val="22"/>
          <w:szCs w:val="22"/>
        </w:rPr>
        <w:t>The department is considering the most appropriate way o</w:t>
      </w:r>
      <w:r w:rsidR="00E32C08" w:rsidRPr="009C70AB">
        <w:rPr>
          <w:sz w:val="22"/>
          <w:szCs w:val="22"/>
        </w:rPr>
        <w:t xml:space="preserve">f assessing the program logics. </w:t>
      </w:r>
      <w:r w:rsidRPr="009C70AB">
        <w:rPr>
          <w:sz w:val="22"/>
          <w:szCs w:val="22"/>
        </w:rPr>
        <w:t>This</w:t>
      </w:r>
      <w:r w:rsidR="00E32C08" w:rsidRPr="009C70AB">
        <w:rPr>
          <w:sz w:val="22"/>
          <w:szCs w:val="22"/>
        </w:rPr>
        <w:t xml:space="preserve"> work provides an opportunity to further consult with providers in developing specific requirements, including align</w:t>
      </w:r>
      <w:r w:rsidR="00F14281" w:rsidRPr="009C70AB">
        <w:rPr>
          <w:sz w:val="22"/>
          <w:szCs w:val="22"/>
        </w:rPr>
        <w:t>ing program logics</w:t>
      </w:r>
      <w:r w:rsidR="00E32C08" w:rsidRPr="009C70AB">
        <w:rPr>
          <w:sz w:val="22"/>
          <w:szCs w:val="22"/>
        </w:rPr>
        <w:t xml:space="preserve"> with data collection and outcomes measurement tools</w:t>
      </w:r>
      <w:r w:rsidR="009C70AB">
        <w:rPr>
          <w:sz w:val="22"/>
          <w:szCs w:val="22"/>
        </w:rPr>
        <w:t>.</w:t>
      </w:r>
    </w:p>
    <w:p w14:paraId="5B4A0A63" w14:textId="617C1C07" w:rsidR="00F14281" w:rsidRPr="009C70AB" w:rsidRDefault="00D74ED6" w:rsidP="00636FD7">
      <w:pPr>
        <w:spacing w:before="0" w:after="120" w:line="276" w:lineRule="auto"/>
        <w:rPr>
          <w:sz w:val="22"/>
          <w:szCs w:val="22"/>
        </w:rPr>
      </w:pPr>
      <w:r w:rsidRPr="009C70AB">
        <w:rPr>
          <w:sz w:val="22"/>
          <w:szCs w:val="22"/>
        </w:rPr>
        <w:t>Funding Arrangement Manager</w:t>
      </w:r>
      <w:r w:rsidR="008E22D0">
        <w:rPr>
          <w:sz w:val="22"/>
          <w:szCs w:val="22"/>
        </w:rPr>
        <w:t>s</w:t>
      </w:r>
      <w:r w:rsidRPr="009C70AB">
        <w:rPr>
          <w:sz w:val="22"/>
          <w:szCs w:val="22"/>
        </w:rPr>
        <w:t xml:space="preserve"> (FAM</w:t>
      </w:r>
      <w:r w:rsidR="008E22D0">
        <w:rPr>
          <w:sz w:val="22"/>
          <w:szCs w:val="22"/>
        </w:rPr>
        <w:t>s</w:t>
      </w:r>
      <w:r w:rsidRPr="009C70AB">
        <w:rPr>
          <w:sz w:val="22"/>
          <w:szCs w:val="22"/>
        </w:rPr>
        <w:t>) will also have a key role to play in supporting the introduction of the program logic requirement.</w:t>
      </w:r>
      <w:r w:rsidR="009C70AB">
        <w:rPr>
          <w:sz w:val="22"/>
          <w:szCs w:val="22"/>
        </w:rPr>
        <w:t xml:space="preserve"> </w:t>
      </w:r>
      <w:r w:rsidR="00F14281" w:rsidRPr="009C70AB">
        <w:rPr>
          <w:sz w:val="22"/>
          <w:szCs w:val="22"/>
        </w:rPr>
        <w:t xml:space="preserve">The </w:t>
      </w:r>
      <w:hyperlink r:id="rId9" w:history="1">
        <w:r w:rsidR="00F14281" w:rsidRPr="00273887">
          <w:rPr>
            <w:sz w:val="22"/>
            <w:szCs w:val="22"/>
            <w:u w:val="single"/>
          </w:rPr>
          <w:t>AIFS Expert Panel Project</w:t>
        </w:r>
        <w:r w:rsidR="00F14281" w:rsidRPr="009C70AB">
          <w:rPr>
            <w:sz w:val="22"/>
            <w:szCs w:val="22"/>
          </w:rPr>
          <w:t xml:space="preserve"> team</w:t>
        </w:r>
      </w:hyperlink>
      <w:r w:rsidR="00F14281" w:rsidRPr="009C70AB">
        <w:rPr>
          <w:sz w:val="22"/>
          <w:szCs w:val="22"/>
        </w:rPr>
        <w:t xml:space="preserve"> provides free advice to FaC Activity providers. </w:t>
      </w:r>
    </w:p>
    <w:p w14:paraId="2EE8EAF1" w14:textId="190E5155" w:rsidR="00591C3D" w:rsidRPr="00D74ED6" w:rsidRDefault="00D74ED6" w:rsidP="00D74ED6">
      <w:pPr>
        <w:spacing w:after="120" w:line="240" w:lineRule="auto"/>
        <w:rPr>
          <w:rFonts w:ascii="Georgia" w:hAnsi="Georgia" w:cs="Arial"/>
          <w:bCs/>
          <w:iCs/>
          <w:color w:val="500778"/>
          <w:sz w:val="28"/>
          <w:szCs w:val="28"/>
        </w:rPr>
      </w:pPr>
      <w:r w:rsidRPr="00D74ED6">
        <w:rPr>
          <w:rFonts w:ascii="Georgia" w:hAnsi="Georgia" w:cs="Arial"/>
          <w:bCs/>
          <w:iCs/>
          <w:color w:val="500778"/>
          <w:sz w:val="28"/>
          <w:szCs w:val="28"/>
        </w:rPr>
        <w:t>How does the FaC Activity Outcomes Framework, the program logic and theories of change and outcomes reporting all ‘fit’ together?</w:t>
      </w:r>
    </w:p>
    <w:p w14:paraId="7D3369F4" w14:textId="52D7F96F" w:rsidR="001F69C0" w:rsidRDefault="001F69C0" w:rsidP="009C70AB">
      <w:pPr>
        <w:spacing w:before="0" w:after="120" w:line="276" w:lineRule="auto"/>
        <w:rPr>
          <w:sz w:val="22"/>
          <w:szCs w:val="22"/>
        </w:rPr>
      </w:pPr>
      <w:r w:rsidRPr="009C70AB">
        <w:rPr>
          <w:sz w:val="22"/>
          <w:szCs w:val="22"/>
        </w:rPr>
        <w:t xml:space="preserve">It is expected that providers will be able to reflect the outcomes from the framework in their </w:t>
      </w:r>
      <w:r w:rsidR="009C70AB">
        <w:rPr>
          <w:sz w:val="22"/>
          <w:szCs w:val="22"/>
        </w:rPr>
        <w:t>AWP</w:t>
      </w:r>
      <w:r w:rsidRPr="009C70AB">
        <w:rPr>
          <w:sz w:val="22"/>
          <w:szCs w:val="22"/>
        </w:rPr>
        <w:t>s and Program Logics</w:t>
      </w:r>
      <w:r w:rsidR="00D03796" w:rsidRPr="009C70AB">
        <w:rPr>
          <w:sz w:val="22"/>
          <w:szCs w:val="22"/>
        </w:rPr>
        <w:t xml:space="preserve">. </w:t>
      </w:r>
      <w:r w:rsidRPr="009C70AB">
        <w:rPr>
          <w:sz w:val="22"/>
          <w:szCs w:val="22"/>
        </w:rPr>
        <w:t xml:space="preserve">The department is also working </w:t>
      </w:r>
      <w:r w:rsidR="00D03796" w:rsidRPr="009C70AB">
        <w:rPr>
          <w:sz w:val="22"/>
          <w:szCs w:val="22"/>
        </w:rPr>
        <w:t>on guidance to help providers</w:t>
      </w:r>
      <w:r w:rsidRPr="009C70AB">
        <w:rPr>
          <w:sz w:val="22"/>
          <w:szCs w:val="22"/>
        </w:rPr>
        <w:t xml:space="preserve"> measure and </w:t>
      </w:r>
      <w:r w:rsidRPr="009C70AB">
        <w:rPr>
          <w:sz w:val="22"/>
          <w:szCs w:val="22"/>
        </w:rPr>
        <w:lastRenderedPageBreak/>
        <w:t>map the outcomes from the framework using SCORE. This will assist in measuring these outcomes through the Data Exchange.</w:t>
      </w:r>
      <w:bookmarkEnd w:id="1"/>
      <w:r w:rsidR="008E22D0">
        <w:rPr>
          <w:sz w:val="22"/>
          <w:szCs w:val="22"/>
        </w:rPr>
        <w:t xml:space="preserve"> </w:t>
      </w:r>
      <w:r w:rsidR="002A0E52">
        <w:rPr>
          <w:sz w:val="22"/>
          <w:szCs w:val="22"/>
        </w:rPr>
        <w:t>Please see the following diagram for further explanation</w:t>
      </w:r>
      <w:r w:rsidR="008E22D0">
        <w:rPr>
          <w:sz w:val="22"/>
          <w:szCs w:val="22"/>
        </w:rPr>
        <w:t>.</w:t>
      </w:r>
    </w:p>
    <w:p w14:paraId="13485ADA" w14:textId="0A49414D" w:rsidR="008E22D0" w:rsidRDefault="008E22D0" w:rsidP="009C70AB">
      <w:pPr>
        <w:spacing w:before="0" w:after="120" w:line="276" w:lineRule="auto"/>
        <w:rPr>
          <w:rFonts w:ascii="Georgia" w:hAnsi="Georgia" w:cs="Arial"/>
          <w:bCs/>
          <w:iCs/>
          <w:color w:val="500778"/>
          <w:sz w:val="28"/>
          <w:szCs w:val="28"/>
        </w:rPr>
        <w:sectPr w:rsidR="008E22D0" w:rsidSect="009C70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11" w:right="851" w:bottom="567" w:left="851" w:header="0" w:footer="471" w:gutter="0"/>
          <w:cols w:space="708"/>
          <w:titlePg/>
          <w:docGrid w:linePitch="360"/>
        </w:sectPr>
      </w:pPr>
    </w:p>
    <w:p w14:paraId="6D59BF24" w14:textId="540D0A13" w:rsidR="008E22D0" w:rsidRDefault="008E22D0" w:rsidP="009C70AB">
      <w:pPr>
        <w:spacing w:before="0" w:after="120" w:line="276" w:lineRule="auto"/>
        <w:rPr>
          <w:rFonts w:ascii="Georgia" w:hAnsi="Georgia" w:cs="Arial"/>
          <w:bCs/>
          <w:iCs/>
          <w:color w:val="500778"/>
          <w:sz w:val="28"/>
          <w:szCs w:val="28"/>
        </w:rPr>
      </w:pPr>
    </w:p>
    <w:p w14:paraId="48193C87" w14:textId="7684400D" w:rsidR="008E22D0" w:rsidRDefault="00C1146E" w:rsidP="00C1146E">
      <w:pPr>
        <w:spacing w:after="120" w:line="240" w:lineRule="auto"/>
        <w:rPr>
          <w:rFonts w:ascii="Georgia" w:hAnsi="Georgia" w:cs="Arial"/>
          <w:bCs/>
          <w:iCs/>
          <w:color w:val="500778"/>
          <w:sz w:val="28"/>
          <w:szCs w:val="28"/>
        </w:rPr>
      </w:pPr>
      <w:r>
        <w:rPr>
          <w:rFonts w:ascii="Georgia" w:hAnsi="Georgia" w:cs="Arial"/>
          <w:bCs/>
          <w:iCs/>
          <w:color w:val="500778"/>
          <w:sz w:val="28"/>
          <w:szCs w:val="28"/>
        </w:rPr>
        <w:t>Diagram showing th</w:t>
      </w:r>
      <w:r w:rsidR="008E22D0">
        <w:rPr>
          <w:rFonts w:ascii="Georgia" w:hAnsi="Georgia" w:cs="Arial"/>
          <w:bCs/>
          <w:iCs/>
          <w:color w:val="500778"/>
          <w:sz w:val="28"/>
          <w:szCs w:val="28"/>
        </w:rPr>
        <w:t xml:space="preserve">e connection between </w:t>
      </w:r>
      <w:r>
        <w:rPr>
          <w:rFonts w:ascii="Georgia" w:hAnsi="Georgia" w:cs="Arial"/>
          <w:bCs/>
          <w:iCs/>
          <w:color w:val="500778"/>
          <w:sz w:val="28"/>
          <w:szCs w:val="28"/>
        </w:rPr>
        <w:t>requirements.</w:t>
      </w:r>
      <w:r w:rsidR="008E22D0">
        <w:rPr>
          <w:rFonts w:ascii="Georgia" w:hAnsi="Georgia" w:cs="Arial"/>
          <w:bCs/>
          <w:iCs/>
          <w:color w:val="500778"/>
          <w:sz w:val="28"/>
          <w:szCs w:val="28"/>
        </w:rPr>
        <w:t xml:space="preserve"> </w:t>
      </w:r>
    </w:p>
    <w:p w14:paraId="2F4153BB" w14:textId="4A9A26CA" w:rsidR="008E22D0" w:rsidRPr="009C70AB" w:rsidRDefault="002A7B5E" w:rsidP="009C70AB">
      <w:pPr>
        <w:spacing w:before="0" w:after="120"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4D1500F" wp14:editId="46C4B2FC">
            <wp:simplePos x="0" y="0"/>
            <wp:positionH relativeFrom="page">
              <wp:align>center</wp:align>
            </wp:positionH>
            <wp:positionV relativeFrom="paragraph">
              <wp:posOffset>241935</wp:posOffset>
            </wp:positionV>
            <wp:extent cx="9476740" cy="4053205"/>
            <wp:effectExtent l="0" t="0" r="0" b="4445"/>
            <wp:wrapTight wrapText="bothSides">
              <wp:wrapPolygon edited="0">
                <wp:start x="0" y="0"/>
                <wp:lineTo x="0" y="21522"/>
                <wp:lineTo x="21536" y="21522"/>
                <wp:lineTo x="21536" y="0"/>
                <wp:lineTo x="0" y="0"/>
              </wp:wrapPolygon>
            </wp:wrapTight>
            <wp:docPr id="3" name="Picture 3" descr="This diagram shows that the Outcomes Framework, DEX PArtnership Approach, Program Logics, AWPs and Review points are all linked and lead from the first to the last." title="Diagram showing connections between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tcomes framework diagra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674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22D0" w:rsidRPr="009C70AB" w:rsidSect="008E22D0">
      <w:pgSz w:w="16838" w:h="11906" w:orient="landscape" w:code="9"/>
      <w:pgMar w:top="851" w:right="1111" w:bottom="851" w:left="567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FA41F" w14:textId="77777777" w:rsidR="00B74EDF" w:rsidRDefault="00B74EDF">
      <w:r>
        <w:separator/>
      </w:r>
    </w:p>
  </w:endnote>
  <w:endnote w:type="continuationSeparator" w:id="0">
    <w:p w14:paraId="2539FD6A" w14:textId="77777777" w:rsidR="00B74EDF" w:rsidRDefault="00B7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3096" w14:textId="77777777" w:rsidR="00F74077" w:rsidRDefault="00F74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A2B0" w14:textId="77777777" w:rsidR="00F74077" w:rsidRDefault="00F74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616A" w14:textId="77777777" w:rsidR="00F74077" w:rsidRDefault="00F74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92578" w14:textId="77777777" w:rsidR="00B74EDF" w:rsidRDefault="00B74EDF">
      <w:r>
        <w:separator/>
      </w:r>
    </w:p>
  </w:footnote>
  <w:footnote w:type="continuationSeparator" w:id="0">
    <w:p w14:paraId="4BD97022" w14:textId="77777777" w:rsidR="00B74EDF" w:rsidRDefault="00B7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57749" w14:textId="77777777" w:rsidR="00F74077" w:rsidRDefault="00F74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A573B" w14:textId="77777777" w:rsidR="00F74077" w:rsidRDefault="00F74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C893" w14:textId="77777777" w:rsidR="00142F3E" w:rsidRDefault="00F74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63D"/>
    <w:multiLevelType w:val="hybridMultilevel"/>
    <w:tmpl w:val="D50E3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585"/>
    <w:multiLevelType w:val="hybridMultilevel"/>
    <w:tmpl w:val="5A446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2776"/>
    <w:multiLevelType w:val="hybridMultilevel"/>
    <w:tmpl w:val="3F483548"/>
    <w:lvl w:ilvl="0" w:tplc="0C0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4" w15:restartNumberingAfterBreak="0">
    <w:nsid w:val="25F71B8E"/>
    <w:multiLevelType w:val="hybridMultilevel"/>
    <w:tmpl w:val="80663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B384F"/>
    <w:multiLevelType w:val="hybridMultilevel"/>
    <w:tmpl w:val="EA9E5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AB"/>
    <w:rsid w:val="00002C18"/>
    <w:rsid w:val="00007CA4"/>
    <w:rsid w:val="00010549"/>
    <w:rsid w:val="00012A54"/>
    <w:rsid w:val="00012F84"/>
    <w:rsid w:val="00013F99"/>
    <w:rsid w:val="00017194"/>
    <w:rsid w:val="00025376"/>
    <w:rsid w:val="00026836"/>
    <w:rsid w:val="00027B26"/>
    <w:rsid w:val="0003104E"/>
    <w:rsid w:val="00031195"/>
    <w:rsid w:val="00032861"/>
    <w:rsid w:val="000345E9"/>
    <w:rsid w:val="00035CA1"/>
    <w:rsid w:val="0003679F"/>
    <w:rsid w:val="00037976"/>
    <w:rsid w:val="00040F68"/>
    <w:rsid w:val="00041434"/>
    <w:rsid w:val="000435BB"/>
    <w:rsid w:val="0004467F"/>
    <w:rsid w:val="00044A4F"/>
    <w:rsid w:val="00045CCD"/>
    <w:rsid w:val="00047524"/>
    <w:rsid w:val="00047ACD"/>
    <w:rsid w:val="000505B2"/>
    <w:rsid w:val="00050E5B"/>
    <w:rsid w:val="000547EF"/>
    <w:rsid w:val="00054B89"/>
    <w:rsid w:val="0006601E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405C"/>
    <w:rsid w:val="00096F54"/>
    <w:rsid w:val="00097BFF"/>
    <w:rsid w:val="000A5E56"/>
    <w:rsid w:val="000A669D"/>
    <w:rsid w:val="000A66A8"/>
    <w:rsid w:val="000A7DCF"/>
    <w:rsid w:val="000B019C"/>
    <w:rsid w:val="000B1083"/>
    <w:rsid w:val="000B134D"/>
    <w:rsid w:val="000B2605"/>
    <w:rsid w:val="000C014D"/>
    <w:rsid w:val="000D0178"/>
    <w:rsid w:val="000D4703"/>
    <w:rsid w:val="000D693C"/>
    <w:rsid w:val="000E12D4"/>
    <w:rsid w:val="000E2440"/>
    <w:rsid w:val="000E2FB3"/>
    <w:rsid w:val="00100DAB"/>
    <w:rsid w:val="00104669"/>
    <w:rsid w:val="00110028"/>
    <w:rsid w:val="0011449B"/>
    <w:rsid w:val="00116EDF"/>
    <w:rsid w:val="00124B26"/>
    <w:rsid w:val="00124B54"/>
    <w:rsid w:val="00130C4E"/>
    <w:rsid w:val="00131B54"/>
    <w:rsid w:val="001354B7"/>
    <w:rsid w:val="001404FA"/>
    <w:rsid w:val="00140604"/>
    <w:rsid w:val="001413C5"/>
    <w:rsid w:val="00142956"/>
    <w:rsid w:val="00143502"/>
    <w:rsid w:val="00143BFB"/>
    <w:rsid w:val="00144494"/>
    <w:rsid w:val="00144868"/>
    <w:rsid w:val="0014488F"/>
    <w:rsid w:val="00151D95"/>
    <w:rsid w:val="001523BD"/>
    <w:rsid w:val="00157709"/>
    <w:rsid w:val="00161470"/>
    <w:rsid w:val="00163699"/>
    <w:rsid w:val="00164B54"/>
    <w:rsid w:val="00167330"/>
    <w:rsid w:val="00167CF4"/>
    <w:rsid w:val="0017271C"/>
    <w:rsid w:val="0018132A"/>
    <w:rsid w:val="00185F6A"/>
    <w:rsid w:val="0018667F"/>
    <w:rsid w:val="001943DD"/>
    <w:rsid w:val="00195374"/>
    <w:rsid w:val="001A127F"/>
    <w:rsid w:val="001A1F53"/>
    <w:rsid w:val="001A2321"/>
    <w:rsid w:val="001A2881"/>
    <w:rsid w:val="001A3515"/>
    <w:rsid w:val="001A3B2F"/>
    <w:rsid w:val="001A3CA4"/>
    <w:rsid w:val="001A3EA4"/>
    <w:rsid w:val="001A7604"/>
    <w:rsid w:val="001B1B10"/>
    <w:rsid w:val="001B2AD5"/>
    <w:rsid w:val="001B35C4"/>
    <w:rsid w:val="001B3AEC"/>
    <w:rsid w:val="001B5000"/>
    <w:rsid w:val="001B6F28"/>
    <w:rsid w:val="001B7B1F"/>
    <w:rsid w:val="001D36F2"/>
    <w:rsid w:val="001D4585"/>
    <w:rsid w:val="001D5D54"/>
    <w:rsid w:val="001E36CE"/>
    <w:rsid w:val="001E41C8"/>
    <w:rsid w:val="001F3AD7"/>
    <w:rsid w:val="001F45EB"/>
    <w:rsid w:val="001F69C0"/>
    <w:rsid w:val="00207630"/>
    <w:rsid w:val="00211380"/>
    <w:rsid w:val="00213082"/>
    <w:rsid w:val="0021714E"/>
    <w:rsid w:val="00222187"/>
    <w:rsid w:val="0022255E"/>
    <w:rsid w:val="00222C8D"/>
    <w:rsid w:val="00222E33"/>
    <w:rsid w:val="00227B95"/>
    <w:rsid w:val="0023523A"/>
    <w:rsid w:val="002353DF"/>
    <w:rsid w:val="00235F71"/>
    <w:rsid w:val="0025272A"/>
    <w:rsid w:val="00253552"/>
    <w:rsid w:val="0025475A"/>
    <w:rsid w:val="002561FC"/>
    <w:rsid w:val="00261570"/>
    <w:rsid w:val="00266AC3"/>
    <w:rsid w:val="00271922"/>
    <w:rsid w:val="0027204E"/>
    <w:rsid w:val="00272F99"/>
    <w:rsid w:val="00273412"/>
    <w:rsid w:val="00273887"/>
    <w:rsid w:val="00274ACF"/>
    <w:rsid w:val="00283644"/>
    <w:rsid w:val="00285F1B"/>
    <w:rsid w:val="00291372"/>
    <w:rsid w:val="00295831"/>
    <w:rsid w:val="00296F1B"/>
    <w:rsid w:val="0029744D"/>
    <w:rsid w:val="002A0E52"/>
    <w:rsid w:val="002A4F3A"/>
    <w:rsid w:val="002A6DF5"/>
    <w:rsid w:val="002A7B5E"/>
    <w:rsid w:val="002D00B0"/>
    <w:rsid w:val="002D2E16"/>
    <w:rsid w:val="002D4DA9"/>
    <w:rsid w:val="002D748B"/>
    <w:rsid w:val="002E2DFA"/>
    <w:rsid w:val="002F0424"/>
    <w:rsid w:val="002F19EF"/>
    <w:rsid w:val="002F1D90"/>
    <w:rsid w:val="002F74FB"/>
    <w:rsid w:val="00302415"/>
    <w:rsid w:val="00302DC0"/>
    <w:rsid w:val="003031D4"/>
    <w:rsid w:val="0030541A"/>
    <w:rsid w:val="0030693C"/>
    <w:rsid w:val="00307F87"/>
    <w:rsid w:val="003102F6"/>
    <w:rsid w:val="00313304"/>
    <w:rsid w:val="00313C48"/>
    <w:rsid w:val="00314D15"/>
    <w:rsid w:val="003162AD"/>
    <w:rsid w:val="00321148"/>
    <w:rsid w:val="00321798"/>
    <w:rsid w:val="00322EC6"/>
    <w:rsid w:val="00324F52"/>
    <w:rsid w:val="00325F44"/>
    <w:rsid w:val="00326976"/>
    <w:rsid w:val="00326F73"/>
    <w:rsid w:val="003311D7"/>
    <w:rsid w:val="00332B8B"/>
    <w:rsid w:val="003374BD"/>
    <w:rsid w:val="00342476"/>
    <w:rsid w:val="00344386"/>
    <w:rsid w:val="00347104"/>
    <w:rsid w:val="003473D7"/>
    <w:rsid w:val="0035213F"/>
    <w:rsid w:val="003555D2"/>
    <w:rsid w:val="00363DF3"/>
    <w:rsid w:val="003656B1"/>
    <w:rsid w:val="0037056B"/>
    <w:rsid w:val="00377173"/>
    <w:rsid w:val="003774DA"/>
    <w:rsid w:val="00382079"/>
    <w:rsid w:val="00392557"/>
    <w:rsid w:val="003945C0"/>
    <w:rsid w:val="003A06C2"/>
    <w:rsid w:val="003A304E"/>
    <w:rsid w:val="003B13C4"/>
    <w:rsid w:val="003B6D2E"/>
    <w:rsid w:val="003C1742"/>
    <w:rsid w:val="003C430D"/>
    <w:rsid w:val="003C7404"/>
    <w:rsid w:val="003D3C5A"/>
    <w:rsid w:val="003D404A"/>
    <w:rsid w:val="003D46A9"/>
    <w:rsid w:val="003E582B"/>
    <w:rsid w:val="003E6FDA"/>
    <w:rsid w:val="003F0DCD"/>
    <w:rsid w:val="003F3072"/>
    <w:rsid w:val="003F324C"/>
    <w:rsid w:val="00401A2A"/>
    <w:rsid w:val="00407470"/>
    <w:rsid w:val="004103D7"/>
    <w:rsid w:val="0041307C"/>
    <w:rsid w:val="004167B4"/>
    <w:rsid w:val="00430D7E"/>
    <w:rsid w:val="00432202"/>
    <w:rsid w:val="00433B04"/>
    <w:rsid w:val="00435DA4"/>
    <w:rsid w:val="004379A6"/>
    <w:rsid w:val="00440BD3"/>
    <w:rsid w:val="00441535"/>
    <w:rsid w:val="00443691"/>
    <w:rsid w:val="004446BF"/>
    <w:rsid w:val="00446F93"/>
    <w:rsid w:val="004476A5"/>
    <w:rsid w:val="004649E2"/>
    <w:rsid w:val="00464E8C"/>
    <w:rsid w:val="0046617E"/>
    <w:rsid w:val="00466D36"/>
    <w:rsid w:val="00467185"/>
    <w:rsid w:val="0047050C"/>
    <w:rsid w:val="00475504"/>
    <w:rsid w:val="00480376"/>
    <w:rsid w:val="00480F21"/>
    <w:rsid w:val="00484FED"/>
    <w:rsid w:val="00492595"/>
    <w:rsid w:val="00495AF1"/>
    <w:rsid w:val="00496513"/>
    <w:rsid w:val="004A09B3"/>
    <w:rsid w:val="004A4947"/>
    <w:rsid w:val="004A7EBE"/>
    <w:rsid w:val="004B3301"/>
    <w:rsid w:val="004C201F"/>
    <w:rsid w:val="004C3D08"/>
    <w:rsid w:val="004D2BDC"/>
    <w:rsid w:val="004D44E8"/>
    <w:rsid w:val="004E1295"/>
    <w:rsid w:val="004E1AC8"/>
    <w:rsid w:val="004F775C"/>
    <w:rsid w:val="004F77BF"/>
    <w:rsid w:val="005015E4"/>
    <w:rsid w:val="0050291D"/>
    <w:rsid w:val="0050697E"/>
    <w:rsid w:val="0050705F"/>
    <w:rsid w:val="00512C67"/>
    <w:rsid w:val="00524B3C"/>
    <w:rsid w:val="00527579"/>
    <w:rsid w:val="005300B9"/>
    <w:rsid w:val="005315A9"/>
    <w:rsid w:val="005316BE"/>
    <w:rsid w:val="00532B56"/>
    <w:rsid w:val="005379EA"/>
    <w:rsid w:val="00537B50"/>
    <w:rsid w:val="00540AD0"/>
    <w:rsid w:val="0054164B"/>
    <w:rsid w:val="0054322A"/>
    <w:rsid w:val="00543923"/>
    <w:rsid w:val="005519C9"/>
    <w:rsid w:val="005523D1"/>
    <w:rsid w:val="00554A9C"/>
    <w:rsid w:val="005565FD"/>
    <w:rsid w:val="00557624"/>
    <w:rsid w:val="0056023E"/>
    <w:rsid w:val="005658EF"/>
    <w:rsid w:val="00573824"/>
    <w:rsid w:val="005811DA"/>
    <w:rsid w:val="005822A3"/>
    <w:rsid w:val="00585EC6"/>
    <w:rsid w:val="0059070B"/>
    <w:rsid w:val="00591C3D"/>
    <w:rsid w:val="00594445"/>
    <w:rsid w:val="005A4561"/>
    <w:rsid w:val="005B1225"/>
    <w:rsid w:val="005B492D"/>
    <w:rsid w:val="005C09F4"/>
    <w:rsid w:val="005C561A"/>
    <w:rsid w:val="005C5B93"/>
    <w:rsid w:val="005C6208"/>
    <w:rsid w:val="005C66FF"/>
    <w:rsid w:val="005C785A"/>
    <w:rsid w:val="005D03CA"/>
    <w:rsid w:val="005D3405"/>
    <w:rsid w:val="005D45AB"/>
    <w:rsid w:val="005E4662"/>
    <w:rsid w:val="005E567E"/>
    <w:rsid w:val="005F093F"/>
    <w:rsid w:val="005F214A"/>
    <w:rsid w:val="005F4329"/>
    <w:rsid w:val="005F6BD6"/>
    <w:rsid w:val="005F7F54"/>
    <w:rsid w:val="00601C99"/>
    <w:rsid w:val="00607597"/>
    <w:rsid w:val="0061538B"/>
    <w:rsid w:val="00616ED6"/>
    <w:rsid w:val="00623A73"/>
    <w:rsid w:val="00624CB3"/>
    <w:rsid w:val="006255E4"/>
    <w:rsid w:val="006325E2"/>
    <w:rsid w:val="00636FD7"/>
    <w:rsid w:val="00640E02"/>
    <w:rsid w:val="00641020"/>
    <w:rsid w:val="006410C1"/>
    <w:rsid w:val="00643F4D"/>
    <w:rsid w:val="00647F05"/>
    <w:rsid w:val="006530EF"/>
    <w:rsid w:val="00654D06"/>
    <w:rsid w:val="006569B4"/>
    <w:rsid w:val="00656CF8"/>
    <w:rsid w:val="0066005A"/>
    <w:rsid w:val="00661536"/>
    <w:rsid w:val="006678ED"/>
    <w:rsid w:val="006679D8"/>
    <w:rsid w:val="0067233D"/>
    <w:rsid w:val="00672F1C"/>
    <w:rsid w:val="006735AD"/>
    <w:rsid w:val="006745AE"/>
    <w:rsid w:val="00675BEF"/>
    <w:rsid w:val="00676496"/>
    <w:rsid w:val="00676AF3"/>
    <w:rsid w:val="00676D10"/>
    <w:rsid w:val="00680F71"/>
    <w:rsid w:val="00682A53"/>
    <w:rsid w:val="00683BAF"/>
    <w:rsid w:val="00686880"/>
    <w:rsid w:val="0069174B"/>
    <w:rsid w:val="006923EC"/>
    <w:rsid w:val="00693FA1"/>
    <w:rsid w:val="006A2713"/>
    <w:rsid w:val="006B05E3"/>
    <w:rsid w:val="006B09BC"/>
    <w:rsid w:val="006B2E11"/>
    <w:rsid w:val="006B2E77"/>
    <w:rsid w:val="006B42A0"/>
    <w:rsid w:val="006B4E59"/>
    <w:rsid w:val="006C0767"/>
    <w:rsid w:val="006C3402"/>
    <w:rsid w:val="006C3622"/>
    <w:rsid w:val="006C395C"/>
    <w:rsid w:val="006C45D4"/>
    <w:rsid w:val="006C7278"/>
    <w:rsid w:val="006D151C"/>
    <w:rsid w:val="006D2E54"/>
    <w:rsid w:val="006D6494"/>
    <w:rsid w:val="006E1F3C"/>
    <w:rsid w:val="006E6073"/>
    <w:rsid w:val="006E77D9"/>
    <w:rsid w:val="006F5B91"/>
    <w:rsid w:val="006F7300"/>
    <w:rsid w:val="00703C09"/>
    <w:rsid w:val="0070764A"/>
    <w:rsid w:val="007106A7"/>
    <w:rsid w:val="00711437"/>
    <w:rsid w:val="00712300"/>
    <w:rsid w:val="00713FF0"/>
    <w:rsid w:val="00720739"/>
    <w:rsid w:val="00721695"/>
    <w:rsid w:val="007242B4"/>
    <w:rsid w:val="00725FB2"/>
    <w:rsid w:val="0072783B"/>
    <w:rsid w:val="00730429"/>
    <w:rsid w:val="00730C64"/>
    <w:rsid w:val="007322AF"/>
    <w:rsid w:val="00735477"/>
    <w:rsid w:val="00736DCA"/>
    <w:rsid w:val="00740164"/>
    <w:rsid w:val="007410A3"/>
    <w:rsid w:val="00742399"/>
    <w:rsid w:val="00742502"/>
    <w:rsid w:val="007457E8"/>
    <w:rsid w:val="0074640C"/>
    <w:rsid w:val="0075003D"/>
    <w:rsid w:val="00751B37"/>
    <w:rsid w:val="0075246D"/>
    <w:rsid w:val="0075331D"/>
    <w:rsid w:val="00754D44"/>
    <w:rsid w:val="00761BB8"/>
    <w:rsid w:val="007658E1"/>
    <w:rsid w:val="00767B7E"/>
    <w:rsid w:val="007746A9"/>
    <w:rsid w:val="00785465"/>
    <w:rsid w:val="00787656"/>
    <w:rsid w:val="00795C73"/>
    <w:rsid w:val="007A67EA"/>
    <w:rsid w:val="007A6885"/>
    <w:rsid w:val="007B15AF"/>
    <w:rsid w:val="007B26EE"/>
    <w:rsid w:val="007B7E83"/>
    <w:rsid w:val="007C079C"/>
    <w:rsid w:val="007C1631"/>
    <w:rsid w:val="007C415F"/>
    <w:rsid w:val="007C5510"/>
    <w:rsid w:val="007C636F"/>
    <w:rsid w:val="007D0077"/>
    <w:rsid w:val="007D0EF8"/>
    <w:rsid w:val="007D39EB"/>
    <w:rsid w:val="007D4708"/>
    <w:rsid w:val="007E510C"/>
    <w:rsid w:val="007E7FBA"/>
    <w:rsid w:val="007F1795"/>
    <w:rsid w:val="007F2CEA"/>
    <w:rsid w:val="007F461B"/>
    <w:rsid w:val="007F728A"/>
    <w:rsid w:val="00800A4D"/>
    <w:rsid w:val="00802371"/>
    <w:rsid w:val="00807B4F"/>
    <w:rsid w:val="008131E7"/>
    <w:rsid w:val="008136EF"/>
    <w:rsid w:val="00813711"/>
    <w:rsid w:val="00814279"/>
    <w:rsid w:val="008263C2"/>
    <w:rsid w:val="00826524"/>
    <w:rsid w:val="00832AD2"/>
    <w:rsid w:val="00834ABA"/>
    <w:rsid w:val="00842959"/>
    <w:rsid w:val="008451FE"/>
    <w:rsid w:val="00845B90"/>
    <w:rsid w:val="008466A1"/>
    <w:rsid w:val="00846C1D"/>
    <w:rsid w:val="00851152"/>
    <w:rsid w:val="00851758"/>
    <w:rsid w:val="008520EF"/>
    <w:rsid w:val="0085392E"/>
    <w:rsid w:val="00856D5A"/>
    <w:rsid w:val="008609EB"/>
    <w:rsid w:val="00860A8E"/>
    <w:rsid w:val="00862D6D"/>
    <w:rsid w:val="00863ACB"/>
    <w:rsid w:val="00864E1B"/>
    <w:rsid w:val="008653E0"/>
    <w:rsid w:val="008657FB"/>
    <w:rsid w:val="00865EA9"/>
    <w:rsid w:val="00871D4F"/>
    <w:rsid w:val="00874FB3"/>
    <w:rsid w:val="00880BDE"/>
    <w:rsid w:val="00880BE3"/>
    <w:rsid w:val="00882588"/>
    <w:rsid w:val="00895792"/>
    <w:rsid w:val="008A3738"/>
    <w:rsid w:val="008A384C"/>
    <w:rsid w:val="008A6981"/>
    <w:rsid w:val="008B342B"/>
    <w:rsid w:val="008B645B"/>
    <w:rsid w:val="008B67B8"/>
    <w:rsid w:val="008B774D"/>
    <w:rsid w:val="008C123E"/>
    <w:rsid w:val="008C3ED0"/>
    <w:rsid w:val="008C5585"/>
    <w:rsid w:val="008C5E94"/>
    <w:rsid w:val="008D4E4B"/>
    <w:rsid w:val="008E22D0"/>
    <w:rsid w:val="008E5ED1"/>
    <w:rsid w:val="008E6E9D"/>
    <w:rsid w:val="008F1897"/>
    <w:rsid w:val="008F3E0C"/>
    <w:rsid w:val="008F4774"/>
    <w:rsid w:val="008F68F7"/>
    <w:rsid w:val="008F7480"/>
    <w:rsid w:val="008F7B7C"/>
    <w:rsid w:val="009037B6"/>
    <w:rsid w:val="00904B97"/>
    <w:rsid w:val="00906CBE"/>
    <w:rsid w:val="00906FFA"/>
    <w:rsid w:val="00907CBA"/>
    <w:rsid w:val="00910384"/>
    <w:rsid w:val="009139C0"/>
    <w:rsid w:val="009161C8"/>
    <w:rsid w:val="009164AD"/>
    <w:rsid w:val="00921765"/>
    <w:rsid w:val="00922289"/>
    <w:rsid w:val="00925D3A"/>
    <w:rsid w:val="00925FF4"/>
    <w:rsid w:val="00936E97"/>
    <w:rsid w:val="00936EBE"/>
    <w:rsid w:val="00936F46"/>
    <w:rsid w:val="0094271E"/>
    <w:rsid w:val="00943142"/>
    <w:rsid w:val="00943A29"/>
    <w:rsid w:val="0095197E"/>
    <w:rsid w:val="00952AB2"/>
    <w:rsid w:val="009551E0"/>
    <w:rsid w:val="00955801"/>
    <w:rsid w:val="00955AB9"/>
    <w:rsid w:val="0095654E"/>
    <w:rsid w:val="00956F3C"/>
    <w:rsid w:val="0095779B"/>
    <w:rsid w:val="0096485D"/>
    <w:rsid w:val="00981468"/>
    <w:rsid w:val="009817E7"/>
    <w:rsid w:val="009818A7"/>
    <w:rsid w:val="009900F0"/>
    <w:rsid w:val="00990A5A"/>
    <w:rsid w:val="00991769"/>
    <w:rsid w:val="00994E9F"/>
    <w:rsid w:val="00996931"/>
    <w:rsid w:val="009A0F18"/>
    <w:rsid w:val="009A1477"/>
    <w:rsid w:val="009A178E"/>
    <w:rsid w:val="009A3517"/>
    <w:rsid w:val="009A4CD8"/>
    <w:rsid w:val="009A4E6F"/>
    <w:rsid w:val="009A531A"/>
    <w:rsid w:val="009A6AFA"/>
    <w:rsid w:val="009A726D"/>
    <w:rsid w:val="009B075B"/>
    <w:rsid w:val="009B15B2"/>
    <w:rsid w:val="009B3ED1"/>
    <w:rsid w:val="009B4444"/>
    <w:rsid w:val="009C07EC"/>
    <w:rsid w:val="009C206F"/>
    <w:rsid w:val="009C433C"/>
    <w:rsid w:val="009C5B91"/>
    <w:rsid w:val="009C70AB"/>
    <w:rsid w:val="009C7215"/>
    <w:rsid w:val="009D28B7"/>
    <w:rsid w:val="009D4EF3"/>
    <w:rsid w:val="009D7E1A"/>
    <w:rsid w:val="009E2162"/>
    <w:rsid w:val="009F2345"/>
    <w:rsid w:val="009F2F95"/>
    <w:rsid w:val="009F501D"/>
    <w:rsid w:val="009F7E42"/>
    <w:rsid w:val="00A006EB"/>
    <w:rsid w:val="00A03709"/>
    <w:rsid w:val="00A06C77"/>
    <w:rsid w:val="00A10147"/>
    <w:rsid w:val="00A12E4C"/>
    <w:rsid w:val="00A13D26"/>
    <w:rsid w:val="00A146A5"/>
    <w:rsid w:val="00A17411"/>
    <w:rsid w:val="00A17B0C"/>
    <w:rsid w:val="00A2223D"/>
    <w:rsid w:val="00A223EF"/>
    <w:rsid w:val="00A27AB6"/>
    <w:rsid w:val="00A34214"/>
    <w:rsid w:val="00A34A74"/>
    <w:rsid w:val="00A35351"/>
    <w:rsid w:val="00A417B7"/>
    <w:rsid w:val="00A42ADE"/>
    <w:rsid w:val="00A50705"/>
    <w:rsid w:val="00A50A9D"/>
    <w:rsid w:val="00A53DF8"/>
    <w:rsid w:val="00A55BA1"/>
    <w:rsid w:val="00A60693"/>
    <w:rsid w:val="00A67728"/>
    <w:rsid w:val="00A736B5"/>
    <w:rsid w:val="00A81A4F"/>
    <w:rsid w:val="00A82E14"/>
    <w:rsid w:val="00A901E9"/>
    <w:rsid w:val="00A95B7C"/>
    <w:rsid w:val="00A9762C"/>
    <w:rsid w:val="00AA1532"/>
    <w:rsid w:val="00AA4067"/>
    <w:rsid w:val="00AB1A5B"/>
    <w:rsid w:val="00AB25BE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2859"/>
    <w:rsid w:val="00AE3BC3"/>
    <w:rsid w:val="00AE457D"/>
    <w:rsid w:val="00AE5956"/>
    <w:rsid w:val="00AE619F"/>
    <w:rsid w:val="00AF08BE"/>
    <w:rsid w:val="00AF373A"/>
    <w:rsid w:val="00AF7EFE"/>
    <w:rsid w:val="00B03BEE"/>
    <w:rsid w:val="00B0407B"/>
    <w:rsid w:val="00B049AA"/>
    <w:rsid w:val="00B0517E"/>
    <w:rsid w:val="00B056E2"/>
    <w:rsid w:val="00B06FC7"/>
    <w:rsid w:val="00B11314"/>
    <w:rsid w:val="00B1192C"/>
    <w:rsid w:val="00B138E3"/>
    <w:rsid w:val="00B13930"/>
    <w:rsid w:val="00B149A2"/>
    <w:rsid w:val="00B210D1"/>
    <w:rsid w:val="00B23267"/>
    <w:rsid w:val="00B25891"/>
    <w:rsid w:val="00B27149"/>
    <w:rsid w:val="00B40D26"/>
    <w:rsid w:val="00B4451B"/>
    <w:rsid w:val="00B45A78"/>
    <w:rsid w:val="00B51316"/>
    <w:rsid w:val="00B55B33"/>
    <w:rsid w:val="00B72D62"/>
    <w:rsid w:val="00B74EDF"/>
    <w:rsid w:val="00B757A7"/>
    <w:rsid w:val="00B76920"/>
    <w:rsid w:val="00B775AD"/>
    <w:rsid w:val="00B83174"/>
    <w:rsid w:val="00B843C8"/>
    <w:rsid w:val="00B906D0"/>
    <w:rsid w:val="00B94B39"/>
    <w:rsid w:val="00B951E2"/>
    <w:rsid w:val="00B952D1"/>
    <w:rsid w:val="00B95B1D"/>
    <w:rsid w:val="00B96F37"/>
    <w:rsid w:val="00BA21BD"/>
    <w:rsid w:val="00BA5B26"/>
    <w:rsid w:val="00BA607C"/>
    <w:rsid w:val="00BB036F"/>
    <w:rsid w:val="00BB3E2A"/>
    <w:rsid w:val="00BC16F5"/>
    <w:rsid w:val="00BC1AD9"/>
    <w:rsid w:val="00BC287D"/>
    <w:rsid w:val="00BC4A76"/>
    <w:rsid w:val="00BD0ED6"/>
    <w:rsid w:val="00BD32E5"/>
    <w:rsid w:val="00BD67DE"/>
    <w:rsid w:val="00BD7ADD"/>
    <w:rsid w:val="00BE2944"/>
    <w:rsid w:val="00BE41C3"/>
    <w:rsid w:val="00BE6767"/>
    <w:rsid w:val="00BE68D7"/>
    <w:rsid w:val="00BF0784"/>
    <w:rsid w:val="00BF7763"/>
    <w:rsid w:val="00C01253"/>
    <w:rsid w:val="00C02ED3"/>
    <w:rsid w:val="00C04D5E"/>
    <w:rsid w:val="00C1146E"/>
    <w:rsid w:val="00C1364F"/>
    <w:rsid w:val="00C17FF1"/>
    <w:rsid w:val="00C24EA2"/>
    <w:rsid w:val="00C24F70"/>
    <w:rsid w:val="00C25D5B"/>
    <w:rsid w:val="00C325C4"/>
    <w:rsid w:val="00C33479"/>
    <w:rsid w:val="00C35B48"/>
    <w:rsid w:val="00C460F3"/>
    <w:rsid w:val="00C47BA2"/>
    <w:rsid w:val="00C612DC"/>
    <w:rsid w:val="00C619BB"/>
    <w:rsid w:val="00C622CB"/>
    <w:rsid w:val="00C642FC"/>
    <w:rsid w:val="00C64D15"/>
    <w:rsid w:val="00C74F74"/>
    <w:rsid w:val="00C7554B"/>
    <w:rsid w:val="00C76376"/>
    <w:rsid w:val="00C77084"/>
    <w:rsid w:val="00C80192"/>
    <w:rsid w:val="00C83E31"/>
    <w:rsid w:val="00C916A4"/>
    <w:rsid w:val="00CA2A52"/>
    <w:rsid w:val="00CA2B15"/>
    <w:rsid w:val="00CA4A80"/>
    <w:rsid w:val="00CA6490"/>
    <w:rsid w:val="00CB01AF"/>
    <w:rsid w:val="00CB05BE"/>
    <w:rsid w:val="00CB5744"/>
    <w:rsid w:val="00CB7022"/>
    <w:rsid w:val="00CB737F"/>
    <w:rsid w:val="00CC1B7F"/>
    <w:rsid w:val="00CC637E"/>
    <w:rsid w:val="00CD1937"/>
    <w:rsid w:val="00CE214C"/>
    <w:rsid w:val="00CE4D2A"/>
    <w:rsid w:val="00CE6858"/>
    <w:rsid w:val="00CF3CCA"/>
    <w:rsid w:val="00CF50BE"/>
    <w:rsid w:val="00CF553B"/>
    <w:rsid w:val="00CF6A52"/>
    <w:rsid w:val="00D03583"/>
    <w:rsid w:val="00D03796"/>
    <w:rsid w:val="00D03D7A"/>
    <w:rsid w:val="00D064A9"/>
    <w:rsid w:val="00D116EC"/>
    <w:rsid w:val="00D117B4"/>
    <w:rsid w:val="00D14425"/>
    <w:rsid w:val="00D169F7"/>
    <w:rsid w:val="00D21382"/>
    <w:rsid w:val="00D26D01"/>
    <w:rsid w:val="00D33DA3"/>
    <w:rsid w:val="00D45D9D"/>
    <w:rsid w:val="00D4723B"/>
    <w:rsid w:val="00D50DDA"/>
    <w:rsid w:val="00D52FA8"/>
    <w:rsid w:val="00D55D3E"/>
    <w:rsid w:val="00D55EE8"/>
    <w:rsid w:val="00D56360"/>
    <w:rsid w:val="00D5785A"/>
    <w:rsid w:val="00D64C48"/>
    <w:rsid w:val="00D659A8"/>
    <w:rsid w:val="00D7266F"/>
    <w:rsid w:val="00D731C4"/>
    <w:rsid w:val="00D74ED6"/>
    <w:rsid w:val="00D76BB8"/>
    <w:rsid w:val="00D81BAA"/>
    <w:rsid w:val="00D85BE0"/>
    <w:rsid w:val="00D8793F"/>
    <w:rsid w:val="00D87C1A"/>
    <w:rsid w:val="00D87F42"/>
    <w:rsid w:val="00D87FD7"/>
    <w:rsid w:val="00D92167"/>
    <w:rsid w:val="00D9502B"/>
    <w:rsid w:val="00D958B7"/>
    <w:rsid w:val="00D97047"/>
    <w:rsid w:val="00D97108"/>
    <w:rsid w:val="00DB6F58"/>
    <w:rsid w:val="00DC13BD"/>
    <w:rsid w:val="00DC5665"/>
    <w:rsid w:val="00DD466C"/>
    <w:rsid w:val="00DD46FC"/>
    <w:rsid w:val="00DD4F44"/>
    <w:rsid w:val="00DD5D8B"/>
    <w:rsid w:val="00DE0F9E"/>
    <w:rsid w:val="00DE5D76"/>
    <w:rsid w:val="00E04C8D"/>
    <w:rsid w:val="00E128D8"/>
    <w:rsid w:val="00E25773"/>
    <w:rsid w:val="00E27484"/>
    <w:rsid w:val="00E307B9"/>
    <w:rsid w:val="00E30D45"/>
    <w:rsid w:val="00E32C08"/>
    <w:rsid w:val="00E40288"/>
    <w:rsid w:val="00E42FE4"/>
    <w:rsid w:val="00E44A67"/>
    <w:rsid w:val="00E46FAA"/>
    <w:rsid w:val="00E50FB5"/>
    <w:rsid w:val="00E5750B"/>
    <w:rsid w:val="00E60E2E"/>
    <w:rsid w:val="00E630B7"/>
    <w:rsid w:val="00E63A24"/>
    <w:rsid w:val="00E67232"/>
    <w:rsid w:val="00E67913"/>
    <w:rsid w:val="00E67B8A"/>
    <w:rsid w:val="00E71A2D"/>
    <w:rsid w:val="00E72CB5"/>
    <w:rsid w:val="00E73600"/>
    <w:rsid w:val="00E8698A"/>
    <w:rsid w:val="00E87ABF"/>
    <w:rsid w:val="00E91EB6"/>
    <w:rsid w:val="00E923F2"/>
    <w:rsid w:val="00E924CF"/>
    <w:rsid w:val="00E96C17"/>
    <w:rsid w:val="00EA15D9"/>
    <w:rsid w:val="00EA2E51"/>
    <w:rsid w:val="00EA31CC"/>
    <w:rsid w:val="00EB14DF"/>
    <w:rsid w:val="00EB252D"/>
    <w:rsid w:val="00EB2B64"/>
    <w:rsid w:val="00EB3A07"/>
    <w:rsid w:val="00EB4143"/>
    <w:rsid w:val="00EB4728"/>
    <w:rsid w:val="00EB6DB0"/>
    <w:rsid w:val="00EC05C1"/>
    <w:rsid w:val="00EC1364"/>
    <w:rsid w:val="00EC207A"/>
    <w:rsid w:val="00EC33B0"/>
    <w:rsid w:val="00EC3F31"/>
    <w:rsid w:val="00EC5E5B"/>
    <w:rsid w:val="00ED3C91"/>
    <w:rsid w:val="00ED4112"/>
    <w:rsid w:val="00EE3DA0"/>
    <w:rsid w:val="00EF1347"/>
    <w:rsid w:val="00EF2BEB"/>
    <w:rsid w:val="00F01129"/>
    <w:rsid w:val="00F03D93"/>
    <w:rsid w:val="00F03D9E"/>
    <w:rsid w:val="00F104C1"/>
    <w:rsid w:val="00F11CCA"/>
    <w:rsid w:val="00F14281"/>
    <w:rsid w:val="00F176F4"/>
    <w:rsid w:val="00F227BF"/>
    <w:rsid w:val="00F22EAB"/>
    <w:rsid w:val="00F24BD1"/>
    <w:rsid w:val="00F2732C"/>
    <w:rsid w:val="00F27745"/>
    <w:rsid w:val="00F303EE"/>
    <w:rsid w:val="00F309F5"/>
    <w:rsid w:val="00F374B2"/>
    <w:rsid w:val="00F40AFC"/>
    <w:rsid w:val="00F42C7B"/>
    <w:rsid w:val="00F43DF6"/>
    <w:rsid w:val="00F4730E"/>
    <w:rsid w:val="00F50A92"/>
    <w:rsid w:val="00F53F24"/>
    <w:rsid w:val="00F63341"/>
    <w:rsid w:val="00F65873"/>
    <w:rsid w:val="00F70324"/>
    <w:rsid w:val="00F70577"/>
    <w:rsid w:val="00F74077"/>
    <w:rsid w:val="00F75284"/>
    <w:rsid w:val="00F7536E"/>
    <w:rsid w:val="00F81F93"/>
    <w:rsid w:val="00F839A8"/>
    <w:rsid w:val="00F86F1B"/>
    <w:rsid w:val="00F92A21"/>
    <w:rsid w:val="00F92E9B"/>
    <w:rsid w:val="00F95814"/>
    <w:rsid w:val="00F95853"/>
    <w:rsid w:val="00F969DA"/>
    <w:rsid w:val="00FA01D9"/>
    <w:rsid w:val="00FA031C"/>
    <w:rsid w:val="00FA73B5"/>
    <w:rsid w:val="00FB13C1"/>
    <w:rsid w:val="00FB267C"/>
    <w:rsid w:val="00FB420B"/>
    <w:rsid w:val="00FC1B12"/>
    <w:rsid w:val="00FC1C5F"/>
    <w:rsid w:val="00FC5A4D"/>
    <w:rsid w:val="00FC5C0C"/>
    <w:rsid w:val="00FC64EF"/>
    <w:rsid w:val="00FC71CB"/>
    <w:rsid w:val="00FD2673"/>
    <w:rsid w:val="00FD6B54"/>
    <w:rsid w:val="00FD7608"/>
    <w:rsid w:val="00FE026D"/>
    <w:rsid w:val="00FE22FA"/>
    <w:rsid w:val="00FE26C9"/>
    <w:rsid w:val="00FE2A29"/>
    <w:rsid w:val="00FE644B"/>
    <w:rsid w:val="00FE7B86"/>
    <w:rsid w:val="00FF380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F3D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817E7"/>
    <w:pPr>
      <w:keepNext/>
      <w:keepLines/>
      <w:spacing w:before="360" w:after="30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before="120" w:after="120"/>
      <w:ind w:left="397"/>
      <w:contextualSpacing/>
    </w:pPr>
    <w:rPr>
      <w:rFonts w:ascii="Georgia" w:hAnsi="Georgia" w:cs="Arial"/>
      <w:bCs/>
      <w:iCs/>
      <w:color w:val="50077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4329"/>
    <w:rPr>
      <w:rFonts w:ascii="Georgia" w:hAnsi="Georgia" w:cs="Arial"/>
      <w:bCs/>
      <w:iCs/>
      <w:color w:val="50077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Cs/>
      <w:iCs/>
      <w:color w:val="50077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F4329"/>
    <w:rPr>
      <w:rFonts w:ascii="Georgia" w:hAnsi="Georgia" w:cs="Arial"/>
      <w:bCs/>
      <w:color w:val="50077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9817E7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F4329"/>
    <w:rPr>
      <w:rFonts w:ascii="Georgia" w:hAnsi="Georgia" w:cs="Arial"/>
      <w:bCs/>
      <w:color w:val="50077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ascii="Arial" w:eastAsiaTheme="minorHAnsi" w:hAnsi="Arial" w:cstheme="minorBidi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2974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4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44D"/>
    <w:rPr>
      <w:rFonts w:ascii="Arial" w:hAnsi="Arial"/>
      <w:b/>
      <w:bCs/>
      <w:spacing w:val="4"/>
    </w:rPr>
  </w:style>
  <w:style w:type="paragraph" w:styleId="NormalWeb">
    <w:name w:val="Normal (Web)"/>
    <w:basedOn w:val="Normal"/>
    <w:uiPriority w:val="99"/>
    <w:unhideWhenUsed/>
    <w:rsid w:val="009A726D"/>
    <w:pPr>
      <w:spacing w:before="100" w:beforeAutospacing="1" w:after="100" w:afterAutospacing="1" w:line="240" w:lineRule="auto"/>
    </w:pPr>
    <w:rPr>
      <w:rFonts w:ascii="Times New Roman" w:hAnsi="Times New Roman"/>
      <w:spacing w:val="0"/>
    </w:rPr>
  </w:style>
  <w:style w:type="character" w:styleId="Emphasis">
    <w:name w:val="Emphasis"/>
    <w:basedOn w:val="DefaultParagraphFont"/>
    <w:uiPriority w:val="20"/>
    <w:qFormat/>
    <w:rsid w:val="009A726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461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1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1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2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1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9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ifs.gov.au/cfca/expert-panel-project/about-expert-panel-projec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7373-37FF-472A-B828-C6E52309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2021-04-28T23:41:00Z</dcterms:created>
  <dcterms:modified xsi:type="dcterms:W3CDTF">2021-04-28T23:41:00Z</dcterms:modified>
</cp:coreProperties>
</file>