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96B7" w14:textId="77777777" w:rsidR="005316BE" w:rsidRDefault="00CF553B" w:rsidP="00537B50">
      <w:pPr>
        <w:spacing w:before="0" w:after="0"/>
        <w:ind w:left="-850"/>
      </w:pPr>
      <w:bookmarkStart w:id="0" w:name="_GoBack"/>
      <w:bookmarkEnd w:id="0"/>
      <w:r>
        <w:rPr>
          <w:noProof/>
        </w:rPr>
        <w:drawing>
          <wp:inline distT="0" distB="0" distL="0" distR="0" wp14:anchorId="6EBB6718" wp14:editId="266F02F4">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4C570AA1" w14:textId="57E4CC14" w:rsidR="00C460F3" w:rsidRDefault="00C460F3" w:rsidP="00F22EAB">
      <w:pPr>
        <w:pStyle w:val="Title"/>
      </w:pPr>
      <w:r>
        <w:t>Fact</w:t>
      </w:r>
      <w:r w:rsidR="003E6DA7">
        <w:t xml:space="preserve"> S</w:t>
      </w:r>
      <w:r>
        <w:t>heet</w:t>
      </w:r>
      <w:r w:rsidR="003E6DA7">
        <w:t>:</w:t>
      </w:r>
    </w:p>
    <w:p w14:paraId="6D094A4E" w14:textId="498C72F0" w:rsidR="003E6DA7" w:rsidRDefault="00C13777" w:rsidP="003E6DA7">
      <w:pPr>
        <w:pStyle w:val="Title"/>
      </w:pPr>
      <w:r>
        <w:t xml:space="preserve">SACS and </w:t>
      </w:r>
      <w:r w:rsidR="00CB295B">
        <w:t>Indexation</w:t>
      </w:r>
    </w:p>
    <w:p w14:paraId="79867E8D" w14:textId="5DF9C67D" w:rsidR="004D2BDC" w:rsidRPr="00EA2E51" w:rsidRDefault="00C460F3" w:rsidP="00EA2E51">
      <w:pPr>
        <w:pStyle w:val="Heading1"/>
      </w:pPr>
      <w:r>
        <w:t xml:space="preserve">New </w:t>
      </w:r>
      <w:proofErr w:type="spellStart"/>
      <w:r>
        <w:t>FaC</w:t>
      </w:r>
      <w:proofErr w:type="spellEnd"/>
      <w:r>
        <w:t xml:space="preserve"> Activity requirements from 1 July 2021</w:t>
      </w:r>
    </w:p>
    <w:p w14:paraId="59CF0DA6" w14:textId="39E0BC1E" w:rsidR="00DD466C" w:rsidRPr="00EA2E51" w:rsidRDefault="00A4749A" w:rsidP="00EA2E51">
      <w:pPr>
        <w:pStyle w:val="Heading2"/>
        <w:rPr>
          <w:sz w:val="28"/>
        </w:rPr>
      </w:pPr>
      <w:bookmarkStart w:id="1" w:name="_Toc391890681"/>
      <w:r w:rsidRPr="00EA2E51">
        <w:rPr>
          <w:sz w:val="28"/>
        </w:rPr>
        <w:t xml:space="preserve">Will my organisation continue to receive </w:t>
      </w:r>
      <w:r w:rsidR="00695AB3">
        <w:rPr>
          <w:sz w:val="28"/>
        </w:rPr>
        <w:t xml:space="preserve">the former </w:t>
      </w:r>
      <w:r w:rsidRPr="00EA2E51">
        <w:rPr>
          <w:sz w:val="28"/>
        </w:rPr>
        <w:t>SACS payments?</w:t>
      </w:r>
    </w:p>
    <w:bookmarkEnd w:id="1"/>
    <w:p w14:paraId="53CCECA3" w14:textId="3A2EB927" w:rsidR="007C5ACD" w:rsidRPr="007C5ACD" w:rsidRDefault="007C5ACD" w:rsidP="007C5ACD">
      <w:pPr>
        <w:rPr>
          <w:rFonts w:asciiTheme="minorHAnsi" w:hAnsiTheme="minorHAnsi" w:cstheme="minorHAnsi"/>
          <w:sz w:val="22"/>
          <w:szCs w:val="22"/>
        </w:rPr>
      </w:pPr>
      <w:r w:rsidRPr="007C5ACD">
        <w:rPr>
          <w:rFonts w:asciiTheme="minorHAnsi" w:hAnsiTheme="minorHAnsi" w:cstheme="minorHAnsi"/>
          <w:sz w:val="22"/>
          <w:szCs w:val="22"/>
        </w:rPr>
        <w:t xml:space="preserve">All DSS grants for frontline social services impacted by the cessation of the Social and Community Services </w:t>
      </w:r>
      <w:r w:rsidR="00386A36">
        <w:rPr>
          <w:rFonts w:asciiTheme="minorHAnsi" w:hAnsiTheme="minorHAnsi" w:cstheme="minorHAnsi"/>
          <w:sz w:val="22"/>
          <w:szCs w:val="22"/>
        </w:rPr>
        <w:t xml:space="preserve">(SACS) </w:t>
      </w:r>
      <w:r w:rsidRPr="007C5ACD">
        <w:rPr>
          <w:rFonts w:asciiTheme="minorHAnsi" w:hAnsiTheme="minorHAnsi" w:cstheme="minorHAnsi"/>
          <w:sz w:val="22"/>
          <w:szCs w:val="22"/>
        </w:rPr>
        <w:t>Pay Equity Special Account will have th</w:t>
      </w:r>
      <w:r w:rsidR="00C41D12">
        <w:rPr>
          <w:rFonts w:asciiTheme="minorHAnsi" w:hAnsiTheme="minorHAnsi" w:cstheme="minorHAnsi"/>
          <w:sz w:val="22"/>
          <w:szCs w:val="22"/>
        </w:rPr>
        <w:t>eir funding rebased from 1</w:t>
      </w:r>
      <w:r w:rsidR="00C41D12">
        <w:rPr>
          <w:rFonts w:eastAsiaTheme="minorHAnsi"/>
          <w:sz w:val="22"/>
          <w:szCs w:val="22"/>
        </w:rPr>
        <w:t> </w:t>
      </w:r>
      <w:r w:rsidR="00C41D12">
        <w:rPr>
          <w:rFonts w:asciiTheme="minorHAnsi" w:hAnsiTheme="minorHAnsi" w:cstheme="minorHAnsi"/>
          <w:sz w:val="22"/>
          <w:szCs w:val="22"/>
        </w:rPr>
        <w:t>July</w:t>
      </w:r>
      <w:r w:rsidR="00C41D12">
        <w:rPr>
          <w:rFonts w:eastAsiaTheme="minorHAnsi"/>
          <w:sz w:val="22"/>
          <w:szCs w:val="22"/>
        </w:rPr>
        <w:t> </w:t>
      </w:r>
      <w:r w:rsidRPr="007C5ACD">
        <w:rPr>
          <w:rFonts w:asciiTheme="minorHAnsi" w:hAnsiTheme="minorHAnsi" w:cstheme="minorHAnsi"/>
          <w:sz w:val="22"/>
          <w:szCs w:val="22"/>
        </w:rPr>
        <w:t>2021 to</w:t>
      </w:r>
      <w:r w:rsidR="00386A36">
        <w:rPr>
          <w:rFonts w:eastAsiaTheme="minorHAnsi"/>
          <w:sz w:val="22"/>
          <w:szCs w:val="22"/>
        </w:rPr>
        <w:t> </w:t>
      </w:r>
      <w:r w:rsidRPr="007C5ACD">
        <w:rPr>
          <w:rFonts w:asciiTheme="minorHAnsi" w:hAnsiTheme="minorHAnsi" w:cstheme="minorHAnsi"/>
          <w:sz w:val="22"/>
          <w:szCs w:val="22"/>
        </w:rPr>
        <w:t>ensure wage costs continue to be met.</w:t>
      </w:r>
    </w:p>
    <w:p w14:paraId="640E96E6" w14:textId="783C992B" w:rsidR="007C5ACD" w:rsidRDefault="007C5ACD" w:rsidP="007C5ACD">
      <w:pPr>
        <w:rPr>
          <w:rFonts w:asciiTheme="minorHAnsi" w:hAnsiTheme="minorHAnsi" w:cstheme="minorHAnsi"/>
          <w:sz w:val="22"/>
          <w:szCs w:val="22"/>
        </w:rPr>
      </w:pPr>
      <w:r>
        <w:rPr>
          <w:rFonts w:asciiTheme="minorHAnsi" w:hAnsiTheme="minorHAnsi" w:cstheme="minorHAnsi"/>
          <w:sz w:val="22"/>
          <w:szCs w:val="22"/>
        </w:rPr>
        <w:t>In the 2020-21</w:t>
      </w:r>
      <w:r w:rsidRPr="00C01253">
        <w:rPr>
          <w:rFonts w:asciiTheme="minorHAnsi" w:hAnsiTheme="minorHAnsi" w:cstheme="minorHAnsi"/>
          <w:sz w:val="22"/>
          <w:szCs w:val="22"/>
        </w:rPr>
        <w:t xml:space="preserve"> Budget</w:t>
      </w:r>
      <w:r>
        <w:rPr>
          <w:rFonts w:asciiTheme="minorHAnsi" w:hAnsiTheme="minorHAnsi" w:cstheme="minorHAnsi"/>
          <w:sz w:val="22"/>
          <w:szCs w:val="22"/>
        </w:rPr>
        <w:t xml:space="preserve">, the </w:t>
      </w:r>
      <w:r w:rsidR="00F40215">
        <w:rPr>
          <w:rFonts w:asciiTheme="minorHAnsi" w:hAnsiTheme="minorHAnsi" w:cstheme="minorHAnsi"/>
          <w:sz w:val="22"/>
          <w:szCs w:val="22"/>
        </w:rPr>
        <w:t>G</w:t>
      </w:r>
      <w:r>
        <w:rPr>
          <w:rFonts w:asciiTheme="minorHAnsi" w:hAnsiTheme="minorHAnsi" w:cstheme="minorHAnsi"/>
          <w:sz w:val="22"/>
          <w:szCs w:val="22"/>
        </w:rPr>
        <w:t xml:space="preserve">overnment announced </w:t>
      </w:r>
      <w:r w:rsidRPr="00C01253">
        <w:rPr>
          <w:rFonts w:asciiTheme="minorHAnsi" w:hAnsiTheme="minorHAnsi" w:cstheme="minorHAnsi"/>
          <w:sz w:val="22"/>
          <w:szCs w:val="22"/>
        </w:rPr>
        <w:t>$132.6 million from 2021-22 to support social services impacted by the legislated cessation of the Social and Community Services Special Account.</w:t>
      </w:r>
    </w:p>
    <w:p w14:paraId="4170CDAD" w14:textId="0CBC3239" w:rsidR="00695AB3" w:rsidRPr="00C01253" w:rsidRDefault="00A4749A" w:rsidP="00A4749A">
      <w:pPr>
        <w:rPr>
          <w:rFonts w:asciiTheme="minorHAnsi" w:hAnsiTheme="minorHAnsi" w:cstheme="minorHAnsi"/>
          <w:sz w:val="22"/>
          <w:szCs w:val="22"/>
        </w:rPr>
      </w:pPr>
      <w:r w:rsidRPr="00C01253">
        <w:rPr>
          <w:rFonts w:cs="Arial"/>
          <w:color w:val="2C2A29"/>
          <w:sz w:val="22"/>
          <w:szCs w:val="22"/>
        </w:rPr>
        <w:t xml:space="preserve">If your organisation is </w:t>
      </w:r>
      <w:r>
        <w:rPr>
          <w:rFonts w:cs="Arial"/>
          <w:color w:val="2C2A29"/>
          <w:sz w:val="22"/>
          <w:szCs w:val="22"/>
        </w:rPr>
        <w:t xml:space="preserve">receiving </w:t>
      </w:r>
      <w:r w:rsidRPr="00C01253">
        <w:rPr>
          <w:rFonts w:cs="Arial"/>
          <w:color w:val="2C2A29"/>
          <w:sz w:val="22"/>
          <w:szCs w:val="22"/>
        </w:rPr>
        <w:t>funding under th</w:t>
      </w:r>
      <w:r>
        <w:rPr>
          <w:rFonts w:cs="Arial"/>
          <w:color w:val="2C2A29"/>
          <w:sz w:val="22"/>
          <w:szCs w:val="22"/>
        </w:rPr>
        <w:t>is</w:t>
      </w:r>
      <w:r w:rsidRPr="00C01253">
        <w:rPr>
          <w:rFonts w:cs="Arial"/>
          <w:color w:val="2C2A29"/>
          <w:sz w:val="22"/>
          <w:szCs w:val="22"/>
        </w:rPr>
        <w:t xml:space="preserve"> extension</w:t>
      </w:r>
      <w:r>
        <w:rPr>
          <w:rFonts w:cs="Arial"/>
          <w:color w:val="2C2A29"/>
          <w:sz w:val="22"/>
          <w:szCs w:val="22"/>
        </w:rPr>
        <w:t xml:space="preserve"> process</w:t>
      </w:r>
      <w:r w:rsidRPr="00C01253">
        <w:rPr>
          <w:rFonts w:cs="Arial"/>
          <w:color w:val="2C2A29"/>
          <w:sz w:val="22"/>
          <w:szCs w:val="22"/>
        </w:rPr>
        <w:t xml:space="preserve"> and </w:t>
      </w:r>
      <w:r w:rsidRPr="00C01253">
        <w:rPr>
          <w:rFonts w:asciiTheme="minorHAnsi" w:hAnsiTheme="minorHAnsi" w:cstheme="minorHAnsi"/>
          <w:sz w:val="22"/>
          <w:szCs w:val="22"/>
        </w:rPr>
        <w:t>SACS</w:t>
      </w:r>
      <w:r w:rsidRPr="00C01253">
        <w:rPr>
          <w:rFonts w:cs="Arial"/>
          <w:color w:val="2C2A29"/>
          <w:sz w:val="22"/>
          <w:szCs w:val="22"/>
        </w:rPr>
        <w:t xml:space="preserve"> applies to your current grant, an</w:t>
      </w:r>
      <w:r>
        <w:rPr>
          <w:rFonts w:cs="Arial"/>
          <w:color w:val="2C2A29"/>
          <w:sz w:val="20"/>
          <w:szCs w:val="20"/>
        </w:rPr>
        <w:t xml:space="preserve"> </w:t>
      </w:r>
      <w:r w:rsidRPr="00C01253">
        <w:rPr>
          <w:rFonts w:asciiTheme="minorHAnsi" w:hAnsiTheme="minorHAnsi" w:cstheme="minorHAnsi"/>
          <w:sz w:val="22"/>
          <w:szCs w:val="22"/>
        </w:rPr>
        <w:t>equivalent amount of SACS (</w:t>
      </w:r>
      <w:r w:rsidR="00695AB3">
        <w:rPr>
          <w:rFonts w:asciiTheme="minorHAnsi" w:hAnsiTheme="minorHAnsi" w:cstheme="minorHAnsi"/>
          <w:sz w:val="22"/>
          <w:szCs w:val="22"/>
        </w:rPr>
        <w:t>including i</w:t>
      </w:r>
      <w:r w:rsidRPr="00C01253">
        <w:rPr>
          <w:rFonts w:asciiTheme="minorHAnsi" w:hAnsiTheme="minorHAnsi" w:cstheme="minorHAnsi"/>
          <w:sz w:val="22"/>
          <w:szCs w:val="22"/>
        </w:rPr>
        <w:t>ndexation</w:t>
      </w:r>
      <w:r w:rsidR="00695AB3">
        <w:rPr>
          <w:rFonts w:asciiTheme="minorHAnsi" w:hAnsiTheme="minorHAnsi" w:cstheme="minorHAnsi"/>
          <w:sz w:val="22"/>
          <w:szCs w:val="22"/>
        </w:rPr>
        <w:t xml:space="preserve"> for the previous year</w:t>
      </w:r>
      <w:r w:rsidRPr="00C01253">
        <w:rPr>
          <w:rFonts w:asciiTheme="minorHAnsi" w:hAnsiTheme="minorHAnsi" w:cstheme="minorHAnsi"/>
          <w:sz w:val="22"/>
          <w:szCs w:val="22"/>
        </w:rPr>
        <w:t>) will be provided as part of your</w:t>
      </w:r>
      <w:r w:rsidR="00695AB3">
        <w:rPr>
          <w:rFonts w:asciiTheme="minorHAnsi" w:hAnsiTheme="minorHAnsi" w:cstheme="minorHAnsi"/>
          <w:sz w:val="22"/>
          <w:szCs w:val="22"/>
        </w:rPr>
        <w:t xml:space="preserve"> new</w:t>
      </w:r>
      <w:r w:rsidRPr="00C01253">
        <w:rPr>
          <w:rFonts w:asciiTheme="minorHAnsi" w:hAnsiTheme="minorHAnsi" w:cstheme="minorHAnsi"/>
          <w:sz w:val="22"/>
          <w:szCs w:val="22"/>
        </w:rPr>
        <w:t xml:space="preserve"> base funding </w:t>
      </w:r>
      <w:r w:rsidR="00C41D12">
        <w:rPr>
          <w:rFonts w:asciiTheme="minorHAnsi" w:hAnsiTheme="minorHAnsi" w:cstheme="minorHAnsi"/>
          <w:sz w:val="22"/>
          <w:szCs w:val="22"/>
        </w:rPr>
        <w:t>in your grant commencing from 1</w:t>
      </w:r>
      <w:r w:rsidR="00C41D12">
        <w:rPr>
          <w:rFonts w:eastAsiaTheme="minorHAnsi"/>
          <w:sz w:val="22"/>
          <w:szCs w:val="22"/>
        </w:rPr>
        <w:t> </w:t>
      </w:r>
      <w:r w:rsidR="00C41D12">
        <w:rPr>
          <w:rFonts w:asciiTheme="minorHAnsi" w:hAnsiTheme="minorHAnsi" w:cstheme="minorHAnsi"/>
          <w:sz w:val="22"/>
          <w:szCs w:val="22"/>
        </w:rPr>
        <w:t>July</w:t>
      </w:r>
      <w:r w:rsidR="00C41D12">
        <w:rPr>
          <w:rFonts w:eastAsiaTheme="minorHAnsi"/>
          <w:sz w:val="22"/>
          <w:szCs w:val="22"/>
        </w:rPr>
        <w:t> </w:t>
      </w:r>
      <w:r w:rsidRPr="00C01253">
        <w:rPr>
          <w:rFonts w:asciiTheme="minorHAnsi" w:hAnsiTheme="minorHAnsi" w:cstheme="minorHAnsi"/>
          <w:sz w:val="22"/>
          <w:szCs w:val="22"/>
        </w:rPr>
        <w:t>2021.</w:t>
      </w:r>
    </w:p>
    <w:p w14:paraId="39DD3A98" w14:textId="7389C3BD" w:rsidR="00C13777" w:rsidRPr="00EA2E51" w:rsidRDefault="00C13777" w:rsidP="00C13777">
      <w:pPr>
        <w:pStyle w:val="Heading2"/>
        <w:rPr>
          <w:sz w:val="28"/>
        </w:rPr>
      </w:pPr>
      <w:r w:rsidRPr="00EA2E51">
        <w:rPr>
          <w:sz w:val="28"/>
        </w:rPr>
        <w:t xml:space="preserve">Will my organisation </w:t>
      </w:r>
      <w:r>
        <w:rPr>
          <w:sz w:val="28"/>
        </w:rPr>
        <w:t>be able to negotiate the base payment</w:t>
      </w:r>
      <w:r w:rsidRPr="00EA2E51">
        <w:rPr>
          <w:sz w:val="28"/>
        </w:rPr>
        <w:t>?</w:t>
      </w:r>
    </w:p>
    <w:p w14:paraId="5D034422" w14:textId="407516B5" w:rsidR="00C13777" w:rsidRDefault="00C13777" w:rsidP="00C13777">
      <w:pPr>
        <w:rPr>
          <w:rFonts w:asciiTheme="minorHAnsi" w:hAnsiTheme="minorHAnsi" w:cstheme="minorHAnsi"/>
          <w:sz w:val="22"/>
          <w:szCs w:val="22"/>
        </w:rPr>
      </w:pPr>
      <w:r>
        <w:rPr>
          <w:rFonts w:asciiTheme="minorHAnsi" w:hAnsiTheme="minorHAnsi" w:cstheme="minorHAnsi"/>
          <w:sz w:val="22"/>
          <w:szCs w:val="22"/>
        </w:rPr>
        <w:t>As above, i</w:t>
      </w:r>
      <w:r w:rsidRPr="00C01253">
        <w:rPr>
          <w:rFonts w:cs="Arial"/>
          <w:color w:val="2C2A29"/>
          <w:sz w:val="22"/>
          <w:szCs w:val="22"/>
        </w:rPr>
        <w:t xml:space="preserve">f your organisation is </w:t>
      </w:r>
      <w:r>
        <w:rPr>
          <w:rFonts w:cs="Arial"/>
          <w:color w:val="2C2A29"/>
          <w:sz w:val="22"/>
          <w:szCs w:val="22"/>
        </w:rPr>
        <w:t xml:space="preserve">receiving </w:t>
      </w:r>
      <w:r w:rsidRPr="00C01253">
        <w:rPr>
          <w:rFonts w:cs="Arial"/>
          <w:color w:val="2C2A29"/>
          <w:sz w:val="22"/>
          <w:szCs w:val="22"/>
        </w:rPr>
        <w:t>funding under th</w:t>
      </w:r>
      <w:r>
        <w:rPr>
          <w:rFonts w:cs="Arial"/>
          <w:color w:val="2C2A29"/>
          <w:sz w:val="22"/>
          <w:szCs w:val="22"/>
        </w:rPr>
        <w:t>is</w:t>
      </w:r>
      <w:r w:rsidRPr="00C01253">
        <w:rPr>
          <w:rFonts w:cs="Arial"/>
          <w:color w:val="2C2A29"/>
          <w:sz w:val="22"/>
          <w:szCs w:val="22"/>
        </w:rPr>
        <w:t xml:space="preserve"> extension</w:t>
      </w:r>
      <w:r>
        <w:rPr>
          <w:rFonts w:cs="Arial"/>
          <w:color w:val="2C2A29"/>
          <w:sz w:val="22"/>
          <w:szCs w:val="22"/>
        </w:rPr>
        <w:t xml:space="preserve"> process</w:t>
      </w:r>
      <w:r w:rsidRPr="00C01253">
        <w:rPr>
          <w:rFonts w:cs="Arial"/>
          <w:color w:val="2C2A29"/>
          <w:sz w:val="22"/>
          <w:szCs w:val="22"/>
        </w:rPr>
        <w:t xml:space="preserve"> and </w:t>
      </w:r>
      <w:r w:rsidRPr="00C01253">
        <w:rPr>
          <w:rFonts w:asciiTheme="minorHAnsi" w:hAnsiTheme="minorHAnsi" w:cstheme="minorHAnsi"/>
          <w:sz w:val="22"/>
          <w:szCs w:val="22"/>
        </w:rPr>
        <w:t>SACS</w:t>
      </w:r>
      <w:r w:rsidRPr="00C01253">
        <w:rPr>
          <w:rFonts w:cs="Arial"/>
          <w:color w:val="2C2A29"/>
          <w:sz w:val="22"/>
          <w:szCs w:val="22"/>
        </w:rPr>
        <w:t xml:space="preserve"> applies to</w:t>
      </w:r>
      <w:r w:rsidR="00305637">
        <w:rPr>
          <w:rFonts w:cs="Arial"/>
          <w:color w:val="2C2A29"/>
          <w:sz w:val="22"/>
          <w:szCs w:val="22"/>
        </w:rPr>
        <w:t> </w:t>
      </w:r>
      <w:r w:rsidRPr="00C01253">
        <w:rPr>
          <w:rFonts w:cs="Arial"/>
          <w:color w:val="2C2A29"/>
          <w:sz w:val="22"/>
          <w:szCs w:val="22"/>
        </w:rPr>
        <w:t>your current grant, an</w:t>
      </w:r>
      <w:r>
        <w:rPr>
          <w:rFonts w:cs="Arial"/>
          <w:color w:val="2C2A29"/>
          <w:sz w:val="20"/>
          <w:szCs w:val="20"/>
        </w:rPr>
        <w:t xml:space="preserve"> </w:t>
      </w:r>
      <w:r w:rsidRPr="00C01253">
        <w:rPr>
          <w:rFonts w:asciiTheme="minorHAnsi" w:hAnsiTheme="minorHAnsi" w:cstheme="minorHAnsi"/>
          <w:sz w:val="22"/>
          <w:szCs w:val="22"/>
        </w:rPr>
        <w:t xml:space="preserve">equivalent amount of SACS </w:t>
      </w:r>
      <w:r w:rsidR="000116EF" w:rsidRPr="00C01253">
        <w:rPr>
          <w:rFonts w:asciiTheme="minorHAnsi" w:hAnsiTheme="minorHAnsi" w:cstheme="minorHAnsi"/>
          <w:sz w:val="22"/>
          <w:szCs w:val="22"/>
        </w:rPr>
        <w:t>(</w:t>
      </w:r>
      <w:r w:rsidR="000116EF">
        <w:rPr>
          <w:rFonts w:asciiTheme="minorHAnsi" w:hAnsiTheme="minorHAnsi" w:cstheme="minorHAnsi"/>
          <w:sz w:val="22"/>
          <w:szCs w:val="22"/>
        </w:rPr>
        <w:t>including i</w:t>
      </w:r>
      <w:r w:rsidR="000116EF" w:rsidRPr="00C01253">
        <w:rPr>
          <w:rFonts w:asciiTheme="minorHAnsi" w:hAnsiTheme="minorHAnsi" w:cstheme="minorHAnsi"/>
          <w:sz w:val="22"/>
          <w:szCs w:val="22"/>
        </w:rPr>
        <w:t>ndexation</w:t>
      </w:r>
      <w:r w:rsidR="000116EF">
        <w:rPr>
          <w:rFonts w:asciiTheme="minorHAnsi" w:hAnsiTheme="minorHAnsi" w:cstheme="minorHAnsi"/>
          <w:sz w:val="22"/>
          <w:szCs w:val="22"/>
        </w:rPr>
        <w:t xml:space="preserve"> for the previous year</w:t>
      </w:r>
      <w:r w:rsidR="000116EF" w:rsidRPr="00C01253">
        <w:rPr>
          <w:rFonts w:asciiTheme="minorHAnsi" w:hAnsiTheme="minorHAnsi" w:cstheme="minorHAnsi"/>
          <w:sz w:val="22"/>
          <w:szCs w:val="22"/>
        </w:rPr>
        <w:t>)</w:t>
      </w:r>
      <w:r w:rsidRPr="00C01253">
        <w:rPr>
          <w:rFonts w:asciiTheme="minorHAnsi" w:hAnsiTheme="minorHAnsi" w:cstheme="minorHAnsi"/>
          <w:sz w:val="22"/>
          <w:szCs w:val="22"/>
        </w:rPr>
        <w:t xml:space="preserve"> will be provided as part of</w:t>
      </w:r>
      <w:r w:rsidR="00305637">
        <w:rPr>
          <w:rFonts w:asciiTheme="minorHAnsi" w:hAnsiTheme="minorHAnsi" w:cstheme="minorHAnsi"/>
          <w:sz w:val="22"/>
          <w:szCs w:val="22"/>
        </w:rPr>
        <w:t> </w:t>
      </w:r>
      <w:r w:rsidRPr="00C01253">
        <w:rPr>
          <w:rFonts w:asciiTheme="minorHAnsi" w:hAnsiTheme="minorHAnsi" w:cstheme="minorHAnsi"/>
          <w:sz w:val="22"/>
          <w:szCs w:val="22"/>
        </w:rPr>
        <w:t>your base funding in your grant commencing from 1 July 2021.</w:t>
      </w:r>
      <w:r>
        <w:rPr>
          <w:rFonts w:asciiTheme="minorHAnsi" w:hAnsiTheme="minorHAnsi" w:cstheme="minorHAnsi"/>
          <w:sz w:val="22"/>
          <w:szCs w:val="22"/>
        </w:rPr>
        <w:t xml:space="preserve"> Otherwise funding for the delivery of the funded activity remains unchanged.</w:t>
      </w:r>
    </w:p>
    <w:p w14:paraId="15526562" w14:textId="229B6F03" w:rsidR="00C13777" w:rsidRPr="00C13777" w:rsidRDefault="00C13777" w:rsidP="00C13777">
      <w:pPr>
        <w:rPr>
          <w:rFonts w:asciiTheme="minorHAnsi" w:hAnsiTheme="minorHAnsi" w:cstheme="minorHAnsi"/>
          <w:sz w:val="22"/>
          <w:szCs w:val="22"/>
        </w:rPr>
      </w:pPr>
      <w:r w:rsidRPr="00C13777">
        <w:rPr>
          <w:rFonts w:asciiTheme="minorHAnsi" w:hAnsiTheme="minorHAnsi" w:cstheme="minorHAnsi"/>
          <w:sz w:val="22"/>
          <w:szCs w:val="22"/>
        </w:rPr>
        <w:t>The department will work with providers to ensure the successful implementation of any necessary program changes, including renegotiating geographical location</w:t>
      </w:r>
      <w:r>
        <w:rPr>
          <w:rFonts w:asciiTheme="minorHAnsi" w:hAnsiTheme="minorHAnsi" w:cstheme="minorHAnsi"/>
          <w:sz w:val="22"/>
          <w:szCs w:val="22"/>
        </w:rPr>
        <w:t>s and service boundaries</w:t>
      </w:r>
      <w:r w:rsidRPr="00C13777">
        <w:rPr>
          <w:rFonts w:asciiTheme="minorHAnsi" w:hAnsiTheme="minorHAnsi" w:cstheme="minorHAnsi"/>
          <w:sz w:val="22"/>
          <w:szCs w:val="22"/>
        </w:rPr>
        <w:t>, within the existing funding levels.</w:t>
      </w:r>
    </w:p>
    <w:p w14:paraId="3B1777C4" w14:textId="1D003CBC" w:rsidR="00C13777" w:rsidRPr="00EA2E51" w:rsidRDefault="00C13777" w:rsidP="00C13777">
      <w:pPr>
        <w:pStyle w:val="Heading2"/>
        <w:rPr>
          <w:sz w:val="28"/>
        </w:rPr>
      </w:pPr>
      <w:r>
        <w:rPr>
          <w:sz w:val="28"/>
        </w:rPr>
        <w:t>How often is indexation applied and how is it calculated</w:t>
      </w:r>
      <w:r w:rsidRPr="00EA2E51">
        <w:rPr>
          <w:sz w:val="28"/>
        </w:rPr>
        <w:t>?</w:t>
      </w:r>
    </w:p>
    <w:p w14:paraId="506805D6" w14:textId="77777777" w:rsidR="00C13777" w:rsidRPr="00C13777" w:rsidRDefault="00C13777" w:rsidP="00C13777">
      <w:pPr>
        <w:rPr>
          <w:rFonts w:asciiTheme="minorHAnsi" w:hAnsiTheme="minorHAnsi" w:cstheme="minorHAnsi"/>
          <w:sz w:val="22"/>
          <w:szCs w:val="22"/>
        </w:rPr>
      </w:pPr>
      <w:r w:rsidRPr="00C13777">
        <w:rPr>
          <w:rFonts w:asciiTheme="minorHAnsi" w:hAnsiTheme="minorHAnsi" w:cstheme="minorHAnsi"/>
          <w:sz w:val="22"/>
          <w:szCs w:val="22"/>
        </w:rPr>
        <w:t>Indexation is paid to eligible grantees via a Notice of Change (</w:t>
      </w:r>
      <w:proofErr w:type="spellStart"/>
      <w:r w:rsidRPr="00C13777">
        <w:rPr>
          <w:rFonts w:asciiTheme="minorHAnsi" w:hAnsiTheme="minorHAnsi" w:cstheme="minorHAnsi"/>
          <w:sz w:val="22"/>
          <w:szCs w:val="22"/>
        </w:rPr>
        <w:t>NoC</w:t>
      </w:r>
      <w:proofErr w:type="spellEnd"/>
      <w:r w:rsidRPr="00C13777">
        <w:rPr>
          <w:rFonts w:asciiTheme="minorHAnsi" w:hAnsiTheme="minorHAnsi" w:cstheme="minorHAnsi"/>
          <w:sz w:val="22"/>
          <w:szCs w:val="22"/>
        </w:rPr>
        <w:t xml:space="preserve">) issued by the Community Grants Hub (CGH) once per financial year. The purpose of indexation is to ensure that grant funding takes into account the changing purchasing power of funding amounts from year to year. The indexation rate is calculated yearly, based on program specific price and wage costs. </w:t>
      </w:r>
    </w:p>
    <w:p w14:paraId="7DE98F0A" w14:textId="63ED22C1" w:rsidR="001E099A" w:rsidRPr="001E099A" w:rsidRDefault="002A1583" w:rsidP="001E099A">
      <w:pPr>
        <w:rPr>
          <w:rFonts w:asciiTheme="minorHAnsi" w:hAnsiTheme="minorHAnsi" w:cstheme="minorHAnsi"/>
          <w:sz w:val="22"/>
          <w:szCs w:val="22"/>
        </w:rPr>
      </w:pPr>
      <w:r w:rsidRPr="002A1583">
        <w:rPr>
          <w:rFonts w:asciiTheme="minorHAnsi" w:hAnsiTheme="minorHAnsi" w:cstheme="minorHAnsi"/>
          <w:sz w:val="22"/>
          <w:szCs w:val="22"/>
        </w:rPr>
        <w:t>The application of indexation to a grant program, and annual indexation parameters, are a matter for decision by the Australian Government.</w:t>
      </w:r>
    </w:p>
    <w:p w14:paraId="04215BFC" w14:textId="5C557AA5" w:rsidR="001E099A" w:rsidRPr="001E099A" w:rsidRDefault="001E099A" w:rsidP="001E099A">
      <w:pPr>
        <w:rPr>
          <w:rFonts w:asciiTheme="minorHAnsi" w:hAnsiTheme="minorHAnsi" w:cstheme="minorHAnsi"/>
          <w:sz w:val="22"/>
          <w:szCs w:val="22"/>
        </w:rPr>
      </w:pPr>
      <w:r w:rsidRPr="001E099A">
        <w:rPr>
          <w:rFonts w:asciiTheme="minorHAnsi" w:hAnsiTheme="minorHAnsi" w:cstheme="minorHAnsi"/>
          <w:sz w:val="22"/>
          <w:szCs w:val="22"/>
        </w:rPr>
        <w:t>Indexation parameter updates may vary between grant programs. These updates may increase or</w:t>
      </w:r>
      <w:r w:rsidR="00305637">
        <w:rPr>
          <w:rFonts w:asciiTheme="minorHAnsi" w:hAnsiTheme="minorHAnsi" w:cstheme="minorHAnsi"/>
          <w:sz w:val="22"/>
          <w:szCs w:val="22"/>
        </w:rPr>
        <w:t> </w:t>
      </w:r>
      <w:r w:rsidRPr="001E099A">
        <w:rPr>
          <w:rFonts w:asciiTheme="minorHAnsi" w:hAnsiTheme="minorHAnsi" w:cstheme="minorHAnsi"/>
          <w:sz w:val="22"/>
          <w:szCs w:val="22"/>
        </w:rPr>
        <w:t>decrease each year based on movements in Wage Cost Indi</w:t>
      </w:r>
      <w:r>
        <w:rPr>
          <w:rFonts w:asciiTheme="minorHAnsi" w:hAnsiTheme="minorHAnsi" w:cstheme="minorHAnsi"/>
          <w:sz w:val="22"/>
          <w:szCs w:val="22"/>
        </w:rPr>
        <w:t>ces and Consumer Price Indices.</w:t>
      </w:r>
    </w:p>
    <w:p w14:paraId="0ED29503" w14:textId="3080A567" w:rsidR="001E099A" w:rsidRPr="001E099A" w:rsidRDefault="001E099A" w:rsidP="001E099A">
      <w:pPr>
        <w:rPr>
          <w:rFonts w:asciiTheme="minorHAnsi" w:hAnsiTheme="minorHAnsi" w:cstheme="minorHAnsi"/>
          <w:sz w:val="22"/>
          <w:szCs w:val="22"/>
        </w:rPr>
      </w:pPr>
      <w:r w:rsidRPr="001E099A">
        <w:rPr>
          <w:rFonts w:asciiTheme="minorHAnsi" w:hAnsiTheme="minorHAnsi" w:cstheme="minorHAnsi"/>
          <w:sz w:val="22"/>
          <w:szCs w:val="22"/>
        </w:rPr>
        <w:lastRenderedPageBreak/>
        <w:t>The department passes on indexation to grant recipients where Government has made a decision to</w:t>
      </w:r>
      <w:r w:rsidR="00305637">
        <w:rPr>
          <w:rFonts w:asciiTheme="minorHAnsi" w:hAnsiTheme="minorHAnsi" w:cstheme="minorHAnsi"/>
          <w:sz w:val="22"/>
          <w:szCs w:val="22"/>
        </w:rPr>
        <w:t> </w:t>
      </w:r>
      <w:r w:rsidRPr="001E099A">
        <w:rPr>
          <w:rFonts w:asciiTheme="minorHAnsi" w:hAnsiTheme="minorHAnsi" w:cstheme="minorHAnsi"/>
          <w:sz w:val="22"/>
          <w:szCs w:val="22"/>
        </w:rPr>
        <w:t>apply indexation to the grant program.</w:t>
      </w:r>
    </w:p>
    <w:p w14:paraId="3FAB4BFD" w14:textId="5C44BB49" w:rsidR="001E099A" w:rsidRDefault="001E099A" w:rsidP="001E099A">
      <w:pPr>
        <w:rPr>
          <w:rFonts w:asciiTheme="minorHAnsi" w:hAnsiTheme="minorHAnsi" w:cstheme="minorHAnsi"/>
          <w:sz w:val="22"/>
          <w:szCs w:val="22"/>
        </w:rPr>
      </w:pPr>
      <w:r w:rsidRPr="001E099A">
        <w:rPr>
          <w:rFonts w:asciiTheme="minorHAnsi" w:hAnsiTheme="minorHAnsi" w:cstheme="minorHAnsi"/>
          <w:sz w:val="22"/>
          <w:szCs w:val="22"/>
        </w:rPr>
        <w:t>Some grants do not attract indexation supplementation because they are fixed price services, funded for 12 m</w:t>
      </w:r>
      <w:r>
        <w:rPr>
          <w:rFonts w:asciiTheme="minorHAnsi" w:hAnsiTheme="minorHAnsi" w:cstheme="minorHAnsi"/>
          <w:sz w:val="22"/>
          <w:szCs w:val="22"/>
        </w:rPr>
        <w:t>onths or less or project based.</w:t>
      </w:r>
    </w:p>
    <w:p w14:paraId="53D1C80B" w14:textId="3DBA1588" w:rsidR="001E099A" w:rsidRPr="001E099A" w:rsidRDefault="001E099A" w:rsidP="001E099A">
      <w:pPr>
        <w:rPr>
          <w:rFonts w:asciiTheme="minorHAnsi" w:hAnsiTheme="minorHAnsi" w:cstheme="minorHAnsi"/>
          <w:sz w:val="22"/>
          <w:szCs w:val="22"/>
        </w:rPr>
      </w:pPr>
      <w:r>
        <w:rPr>
          <w:rFonts w:asciiTheme="minorHAnsi" w:hAnsiTheme="minorHAnsi" w:cstheme="minorHAnsi"/>
          <w:sz w:val="22"/>
          <w:szCs w:val="22"/>
        </w:rPr>
        <w:t>An example of how indexation is applied for eligible funded activities is outlined in the table below.</w:t>
      </w:r>
    </w:p>
    <w:p w14:paraId="58C6BF72" w14:textId="48E5DE51" w:rsidR="001E099A" w:rsidRPr="001E099A" w:rsidRDefault="001E099A" w:rsidP="001E099A">
      <w:pPr>
        <w:rPr>
          <w:rFonts w:asciiTheme="minorHAnsi" w:hAnsiTheme="minorHAnsi" w:cstheme="minorHAnsi"/>
          <w:b/>
          <w:sz w:val="18"/>
          <w:szCs w:val="22"/>
        </w:rPr>
      </w:pPr>
      <w:r w:rsidRPr="001E099A">
        <w:rPr>
          <w:rFonts w:asciiTheme="minorHAnsi" w:hAnsiTheme="minorHAnsi" w:cstheme="minorHAnsi"/>
          <w:b/>
          <w:sz w:val="18"/>
          <w:szCs w:val="22"/>
        </w:rPr>
        <w:t>This table provides an example of how indexation may be applied for a three year grant commencing in 2021-22 (not based on actual indexation parameters)</w:t>
      </w:r>
    </w:p>
    <w:tbl>
      <w:tblPr>
        <w:tblW w:w="10348" w:type="dxa"/>
        <w:tblInd w:w="-10" w:type="dxa"/>
        <w:tblCellMar>
          <w:left w:w="0" w:type="dxa"/>
          <w:right w:w="0" w:type="dxa"/>
        </w:tblCellMar>
        <w:tblLook w:val="04A0" w:firstRow="1" w:lastRow="0" w:firstColumn="1" w:lastColumn="0" w:noHBand="0" w:noVBand="1"/>
      </w:tblPr>
      <w:tblGrid>
        <w:gridCol w:w="2261"/>
        <w:gridCol w:w="1992"/>
        <w:gridCol w:w="1984"/>
        <w:gridCol w:w="1985"/>
        <w:gridCol w:w="2126"/>
      </w:tblGrid>
      <w:tr w:rsidR="001E099A" w:rsidRPr="001E099A" w14:paraId="72C68602" w14:textId="77777777" w:rsidTr="001E099A">
        <w:tc>
          <w:tcPr>
            <w:tcW w:w="22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80367D3" w14:textId="77777777" w:rsidR="001E099A" w:rsidRPr="001E099A" w:rsidRDefault="001E099A" w:rsidP="001E099A">
            <w:pPr>
              <w:spacing w:line="240" w:lineRule="auto"/>
              <w:rPr>
                <w:rFonts w:asciiTheme="minorHAnsi" w:hAnsiTheme="minorHAnsi" w:cstheme="minorHAnsi"/>
                <w:i/>
                <w:sz w:val="20"/>
                <w:szCs w:val="22"/>
              </w:rPr>
            </w:pPr>
            <w:r w:rsidRPr="001E099A">
              <w:rPr>
                <w:rFonts w:asciiTheme="minorHAnsi" w:hAnsiTheme="minorHAnsi" w:cstheme="minorHAnsi"/>
                <w:i/>
                <w:sz w:val="20"/>
                <w:szCs w:val="22"/>
              </w:rPr>
              <w:t>Financial Year</w:t>
            </w:r>
          </w:p>
        </w:tc>
        <w:tc>
          <w:tcPr>
            <w:tcW w:w="199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5B2F627" w14:textId="77777777" w:rsidR="001E099A" w:rsidRPr="001E099A" w:rsidRDefault="001E099A" w:rsidP="001E099A">
            <w:pPr>
              <w:spacing w:line="240" w:lineRule="auto"/>
              <w:rPr>
                <w:rFonts w:asciiTheme="minorHAnsi" w:hAnsiTheme="minorHAnsi" w:cstheme="minorHAnsi"/>
                <w:i/>
                <w:sz w:val="20"/>
                <w:szCs w:val="22"/>
              </w:rPr>
            </w:pPr>
            <w:r w:rsidRPr="001E099A">
              <w:rPr>
                <w:rFonts w:asciiTheme="minorHAnsi" w:hAnsiTheme="minorHAnsi" w:cstheme="minorHAnsi"/>
                <w:i/>
                <w:sz w:val="20"/>
                <w:szCs w:val="22"/>
              </w:rPr>
              <w:t xml:space="preserve">Base Funding </w:t>
            </w:r>
          </w:p>
          <w:p w14:paraId="0D99EA3F" w14:textId="77777777" w:rsidR="001E099A" w:rsidRPr="001E099A" w:rsidRDefault="001E099A" w:rsidP="001E099A">
            <w:pPr>
              <w:spacing w:line="240" w:lineRule="auto"/>
              <w:rPr>
                <w:rFonts w:asciiTheme="minorHAnsi" w:hAnsiTheme="minorHAnsi" w:cstheme="minorHAnsi"/>
                <w:i/>
                <w:sz w:val="20"/>
                <w:szCs w:val="22"/>
              </w:rPr>
            </w:pPr>
            <w:r w:rsidRPr="001E099A">
              <w:rPr>
                <w:rFonts w:asciiTheme="minorHAnsi" w:hAnsiTheme="minorHAnsi" w:cstheme="minorHAnsi"/>
                <w:i/>
                <w:sz w:val="20"/>
                <w:szCs w:val="22"/>
              </w:rPr>
              <w:t xml:space="preserve">(in funding agreement) </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4BC2F94" w14:textId="77777777" w:rsidR="001E099A" w:rsidRPr="001E099A" w:rsidRDefault="001E099A" w:rsidP="001E099A">
            <w:pPr>
              <w:spacing w:line="240" w:lineRule="auto"/>
              <w:rPr>
                <w:rFonts w:asciiTheme="minorHAnsi" w:hAnsiTheme="minorHAnsi" w:cstheme="minorHAnsi"/>
                <w:i/>
                <w:sz w:val="20"/>
                <w:szCs w:val="22"/>
              </w:rPr>
            </w:pPr>
            <w:r w:rsidRPr="001E099A">
              <w:rPr>
                <w:rFonts w:asciiTheme="minorHAnsi" w:hAnsiTheme="minorHAnsi" w:cstheme="minorHAnsi"/>
                <w:i/>
                <w:sz w:val="20"/>
                <w:szCs w:val="22"/>
              </w:rPr>
              <w:t>2022-23 Indexation (1.3%)</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27A1F8D" w14:textId="77777777" w:rsidR="001E099A" w:rsidRPr="001E099A" w:rsidRDefault="001E099A" w:rsidP="001E099A">
            <w:pPr>
              <w:spacing w:line="240" w:lineRule="auto"/>
              <w:rPr>
                <w:rFonts w:asciiTheme="minorHAnsi" w:hAnsiTheme="minorHAnsi" w:cstheme="minorHAnsi"/>
                <w:i/>
                <w:sz w:val="20"/>
                <w:szCs w:val="22"/>
              </w:rPr>
            </w:pPr>
            <w:r w:rsidRPr="001E099A">
              <w:rPr>
                <w:rFonts w:asciiTheme="minorHAnsi" w:hAnsiTheme="minorHAnsi" w:cstheme="minorHAnsi"/>
                <w:i/>
                <w:sz w:val="20"/>
                <w:szCs w:val="22"/>
              </w:rPr>
              <w:t>2023-24 Indexation</w:t>
            </w:r>
          </w:p>
          <w:p w14:paraId="42193572" w14:textId="77777777" w:rsidR="001E099A" w:rsidRPr="001E099A" w:rsidRDefault="001E099A" w:rsidP="001E099A">
            <w:pPr>
              <w:spacing w:line="240" w:lineRule="auto"/>
              <w:rPr>
                <w:rFonts w:asciiTheme="minorHAnsi" w:hAnsiTheme="minorHAnsi" w:cstheme="minorHAnsi"/>
                <w:i/>
                <w:sz w:val="20"/>
                <w:szCs w:val="22"/>
              </w:rPr>
            </w:pPr>
            <w:r w:rsidRPr="001E099A">
              <w:rPr>
                <w:rFonts w:asciiTheme="minorHAnsi" w:hAnsiTheme="minorHAnsi" w:cstheme="minorHAnsi"/>
                <w:i/>
                <w:sz w:val="20"/>
                <w:szCs w:val="22"/>
              </w:rPr>
              <w:t>(1.3%)</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C242C5B" w14:textId="77777777" w:rsidR="001E099A" w:rsidRPr="001E099A" w:rsidRDefault="001E099A" w:rsidP="001E099A">
            <w:pPr>
              <w:spacing w:line="240" w:lineRule="auto"/>
              <w:rPr>
                <w:rFonts w:asciiTheme="minorHAnsi" w:hAnsiTheme="minorHAnsi" w:cstheme="minorHAnsi"/>
                <w:i/>
                <w:sz w:val="20"/>
                <w:szCs w:val="22"/>
              </w:rPr>
            </w:pPr>
            <w:r w:rsidRPr="001E099A">
              <w:rPr>
                <w:rFonts w:asciiTheme="minorHAnsi" w:hAnsiTheme="minorHAnsi" w:cstheme="minorHAnsi"/>
                <w:i/>
                <w:sz w:val="20"/>
                <w:szCs w:val="22"/>
              </w:rPr>
              <w:t>Total received funding</w:t>
            </w:r>
          </w:p>
        </w:tc>
      </w:tr>
      <w:tr w:rsidR="001E099A" w:rsidRPr="001E099A" w14:paraId="64BDE91B" w14:textId="77777777" w:rsidTr="001E099A">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FEA98"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2021-22</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0EA7AA67"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$100,000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140FB72"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4FB2FF0"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6AD6C3"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$100,000</w:t>
            </w:r>
          </w:p>
        </w:tc>
      </w:tr>
      <w:tr w:rsidR="001E099A" w:rsidRPr="001E099A" w14:paraId="5322BE92" w14:textId="77777777" w:rsidTr="001E099A">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48ACC"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2022-23</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176D93B8"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$100,000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1C8CAFD"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$1,300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F20413F"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373F8F6"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$101,300</w:t>
            </w:r>
          </w:p>
        </w:tc>
      </w:tr>
      <w:tr w:rsidR="001E099A" w:rsidRPr="001E099A" w14:paraId="3C6B0256" w14:textId="77777777" w:rsidTr="001E099A">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5D2A2"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2023-24</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4F9E8AC2"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$100,000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03E22B3"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$1,300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AC5E7EC"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$1,317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55F19BB"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$102,617</w:t>
            </w:r>
          </w:p>
        </w:tc>
      </w:tr>
      <w:tr w:rsidR="001E099A" w:rsidRPr="001E099A" w14:paraId="784E0BAF" w14:textId="77777777" w:rsidTr="001E099A">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56A31"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Total</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3207C88C"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$300,000</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FA56851" w14:textId="77777777" w:rsidR="001E099A" w:rsidRPr="001E099A" w:rsidRDefault="001E099A">
            <w:pPr>
              <w:rPr>
                <w:rFonts w:asciiTheme="minorHAnsi" w:hAnsiTheme="minorHAnsi" w:cstheme="minorHAnsi"/>
                <w:sz w:val="20"/>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79FD3E0" w14:textId="77777777" w:rsidR="001E099A" w:rsidRPr="001E099A" w:rsidRDefault="001E099A">
            <w:pPr>
              <w:rPr>
                <w:rFonts w:asciiTheme="minorHAnsi" w:hAnsiTheme="minorHAnsi" w:cstheme="minorHAnsi"/>
                <w:sz w:val="20"/>
                <w:szCs w:val="22"/>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9901A4F" w14:textId="77777777" w:rsidR="001E099A" w:rsidRPr="001E099A" w:rsidRDefault="001E099A">
            <w:pPr>
              <w:rPr>
                <w:rFonts w:asciiTheme="minorHAnsi" w:hAnsiTheme="minorHAnsi" w:cstheme="minorHAnsi"/>
                <w:sz w:val="20"/>
                <w:szCs w:val="22"/>
              </w:rPr>
            </w:pPr>
            <w:r w:rsidRPr="001E099A">
              <w:rPr>
                <w:rFonts w:asciiTheme="minorHAnsi" w:hAnsiTheme="minorHAnsi" w:cstheme="minorHAnsi"/>
                <w:sz w:val="20"/>
                <w:szCs w:val="22"/>
              </w:rPr>
              <w:t>$303,917</w:t>
            </w:r>
          </w:p>
        </w:tc>
      </w:tr>
    </w:tbl>
    <w:p w14:paraId="6523213F" w14:textId="61B12BF4" w:rsidR="001E099A" w:rsidRPr="001E099A" w:rsidRDefault="001E099A" w:rsidP="001E099A">
      <w:pPr>
        <w:pStyle w:val="TalkingPoint"/>
        <w:numPr>
          <w:ilvl w:val="0"/>
          <w:numId w:val="0"/>
        </w:numPr>
        <w:rPr>
          <w:rFonts w:ascii="Arial" w:eastAsiaTheme="minorHAnsi" w:hAnsi="Arial" w:cs="Arial"/>
          <w:sz w:val="22"/>
          <w:szCs w:val="10"/>
          <w:highlight w:val="yellow"/>
        </w:rPr>
      </w:pPr>
    </w:p>
    <w:p w14:paraId="76FF220D" w14:textId="77777777" w:rsidR="00AF0D46" w:rsidRDefault="00AF0D46" w:rsidP="001E099A">
      <w:pPr>
        <w:pStyle w:val="Heading2"/>
        <w:rPr>
          <w:sz w:val="28"/>
        </w:rPr>
      </w:pPr>
    </w:p>
    <w:p w14:paraId="5F16B76D" w14:textId="762EA865" w:rsidR="001E099A" w:rsidRPr="00EA2E51" w:rsidRDefault="001E099A" w:rsidP="001E099A">
      <w:pPr>
        <w:pStyle w:val="Heading2"/>
        <w:rPr>
          <w:sz w:val="28"/>
        </w:rPr>
      </w:pPr>
      <w:r>
        <w:rPr>
          <w:sz w:val="28"/>
        </w:rPr>
        <w:t>Where can I go for more information or if I have further questions</w:t>
      </w:r>
      <w:r w:rsidRPr="00EA2E51">
        <w:rPr>
          <w:sz w:val="28"/>
        </w:rPr>
        <w:t>?</w:t>
      </w:r>
    </w:p>
    <w:p w14:paraId="64F0080E" w14:textId="2B385549" w:rsidR="001E099A" w:rsidRPr="001E099A" w:rsidRDefault="001E099A" w:rsidP="001E099A">
      <w:pPr>
        <w:rPr>
          <w:rFonts w:eastAsiaTheme="minorHAnsi" w:cs="Arial"/>
          <w:sz w:val="22"/>
          <w:szCs w:val="10"/>
          <w:lang w:eastAsia="en-US"/>
        </w:rPr>
      </w:pPr>
      <w:r>
        <w:rPr>
          <w:rFonts w:eastAsiaTheme="minorHAnsi" w:cs="Arial"/>
          <w:sz w:val="22"/>
          <w:szCs w:val="10"/>
          <w:lang w:eastAsia="en-US"/>
        </w:rPr>
        <w:t>You should contact your Funding Arrangement Manager in the first instance to discus</w:t>
      </w:r>
      <w:r w:rsidR="00695AB3">
        <w:rPr>
          <w:rFonts w:eastAsiaTheme="minorHAnsi" w:cs="Arial"/>
          <w:sz w:val="22"/>
          <w:szCs w:val="10"/>
          <w:lang w:eastAsia="en-US"/>
        </w:rPr>
        <w:t>s</w:t>
      </w:r>
      <w:r w:rsidR="003E6B2D">
        <w:rPr>
          <w:rFonts w:eastAsiaTheme="minorHAnsi" w:cs="Arial"/>
          <w:sz w:val="22"/>
          <w:szCs w:val="10"/>
          <w:lang w:eastAsia="en-US"/>
        </w:rPr>
        <w:t xml:space="preserve"> any issues</w:t>
      </w:r>
      <w:r w:rsidR="00695AB3">
        <w:rPr>
          <w:rFonts w:eastAsiaTheme="minorHAnsi" w:cs="Arial"/>
          <w:sz w:val="22"/>
          <w:szCs w:val="10"/>
          <w:lang w:eastAsia="en-US"/>
        </w:rPr>
        <w:t>.</w:t>
      </w:r>
    </w:p>
    <w:sectPr w:rsidR="001E099A" w:rsidRPr="001E099A" w:rsidSect="007410A3">
      <w:headerReference w:type="even" r:id="rId9"/>
      <w:headerReference w:type="default" r:id="rId10"/>
      <w:footerReference w:type="even" r:id="rId11"/>
      <w:footerReference w:type="default" r:id="rId12"/>
      <w:headerReference w:type="first" r:id="rId13"/>
      <w:footerReference w:type="first" r:id="rId14"/>
      <w:pgSz w:w="11906" w:h="16838" w:code="9"/>
      <w:pgMar w:top="1112" w:right="851" w:bottom="851"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92BB7" w14:textId="77777777" w:rsidR="00867606" w:rsidRDefault="00867606">
      <w:r>
        <w:separator/>
      </w:r>
    </w:p>
  </w:endnote>
  <w:endnote w:type="continuationSeparator" w:id="0">
    <w:p w14:paraId="29BA20E5" w14:textId="77777777" w:rsidR="00867606" w:rsidRDefault="0086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A729E" w14:textId="77777777" w:rsidR="00240BB0" w:rsidRDefault="00240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C0DA" w14:textId="77777777" w:rsidR="00240BB0" w:rsidRDefault="00240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FD662" w14:textId="77777777" w:rsidR="00240BB0" w:rsidRDefault="00240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23A0" w14:textId="77777777" w:rsidR="00867606" w:rsidRDefault="00867606">
      <w:r>
        <w:separator/>
      </w:r>
    </w:p>
  </w:footnote>
  <w:footnote w:type="continuationSeparator" w:id="0">
    <w:p w14:paraId="1B689F3D" w14:textId="77777777" w:rsidR="00867606" w:rsidRDefault="0086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C718" w14:textId="77777777" w:rsidR="00240BB0" w:rsidRDefault="00240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AA9E" w14:textId="77777777" w:rsidR="00240BB0" w:rsidRDefault="00240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C893" w14:textId="77777777" w:rsidR="00142F3E" w:rsidRDefault="00240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A2B5C"/>
    <w:multiLevelType w:val="hybridMultilevel"/>
    <w:tmpl w:val="09D47E0E"/>
    <w:lvl w:ilvl="0" w:tplc="90CC7330">
      <w:start w:val="1"/>
      <w:numFmt w:val="bullet"/>
      <w:pStyle w:val="TalkingPoint"/>
      <w:lvlText w:val=""/>
      <w:lvlJc w:val="left"/>
      <w:pPr>
        <w:ind w:left="360" w:hanging="360"/>
      </w:pPr>
      <w:rPr>
        <w:rFonts w:ascii="Symbol" w:hAnsi="Symbol" w:hint="default"/>
        <w:color w:val="auto"/>
        <w:sz w:val="32"/>
        <w:szCs w:val="32"/>
        <w:effect w:val="none"/>
      </w:rPr>
    </w:lvl>
    <w:lvl w:ilvl="1" w:tplc="7F427348">
      <w:start w:val="1"/>
      <w:numFmt w:val="bullet"/>
      <w:lvlText w:val="-"/>
      <w:lvlJc w:val="left"/>
      <w:pPr>
        <w:ind w:left="1080" w:hanging="360"/>
      </w:pPr>
      <w:rPr>
        <w:rFonts w:ascii="Courier New" w:hAnsi="Courier New" w:cs="Times New Roman" w:hint="default"/>
      </w:rPr>
    </w:lvl>
    <w:lvl w:ilvl="2" w:tplc="F9E0A762">
      <w:start w:val="1"/>
      <w:numFmt w:val="bullet"/>
      <w:lvlText w:val=""/>
      <w:lvlJc w:val="left"/>
      <w:pPr>
        <w:ind w:left="1800" w:hanging="360"/>
      </w:pPr>
      <w:rPr>
        <w:rFonts w:ascii="Wingdings" w:hAnsi="Wingdings" w:hint="default"/>
      </w:rPr>
    </w:lvl>
    <w:lvl w:ilvl="3" w:tplc="0292DD2E">
      <w:start w:val="1"/>
      <w:numFmt w:val="bullet"/>
      <w:lvlText w:val=""/>
      <w:lvlJc w:val="left"/>
      <w:pPr>
        <w:ind w:left="2520" w:hanging="360"/>
      </w:pPr>
      <w:rPr>
        <w:rFonts w:ascii="Symbol" w:hAnsi="Symbol" w:hint="default"/>
      </w:rPr>
    </w:lvl>
    <w:lvl w:ilvl="4" w:tplc="D3D4120E">
      <w:start w:val="1"/>
      <w:numFmt w:val="bullet"/>
      <w:lvlText w:val="o"/>
      <w:lvlJc w:val="left"/>
      <w:pPr>
        <w:ind w:left="3240" w:hanging="360"/>
      </w:pPr>
      <w:rPr>
        <w:rFonts w:ascii="Courier New" w:hAnsi="Courier New" w:cs="Courier New" w:hint="default"/>
      </w:rPr>
    </w:lvl>
    <w:lvl w:ilvl="5" w:tplc="2B38494C">
      <w:start w:val="1"/>
      <w:numFmt w:val="bullet"/>
      <w:lvlText w:val=""/>
      <w:lvlJc w:val="left"/>
      <w:pPr>
        <w:ind w:left="3960" w:hanging="360"/>
      </w:pPr>
      <w:rPr>
        <w:rFonts w:ascii="Wingdings" w:hAnsi="Wingdings" w:hint="default"/>
      </w:rPr>
    </w:lvl>
    <w:lvl w:ilvl="6" w:tplc="3FBA4B30">
      <w:start w:val="1"/>
      <w:numFmt w:val="bullet"/>
      <w:lvlText w:val=""/>
      <w:lvlJc w:val="left"/>
      <w:pPr>
        <w:ind w:left="4680" w:hanging="360"/>
      </w:pPr>
      <w:rPr>
        <w:rFonts w:ascii="Symbol" w:hAnsi="Symbol" w:hint="default"/>
      </w:rPr>
    </w:lvl>
    <w:lvl w:ilvl="7" w:tplc="D2ACC5BC">
      <w:start w:val="1"/>
      <w:numFmt w:val="bullet"/>
      <w:lvlText w:val="o"/>
      <w:lvlJc w:val="left"/>
      <w:pPr>
        <w:ind w:left="5400" w:hanging="360"/>
      </w:pPr>
      <w:rPr>
        <w:rFonts w:ascii="Courier New" w:hAnsi="Courier New" w:cs="Courier New" w:hint="default"/>
      </w:rPr>
    </w:lvl>
    <w:lvl w:ilvl="8" w:tplc="51C2E8B2">
      <w:start w:val="1"/>
      <w:numFmt w:val="bullet"/>
      <w:lvlText w:val=""/>
      <w:lvlJc w:val="left"/>
      <w:pPr>
        <w:ind w:left="6120" w:hanging="360"/>
      </w:pPr>
      <w:rPr>
        <w:rFonts w:ascii="Wingdings" w:hAnsi="Wingdings" w:hint="default"/>
      </w:rPr>
    </w:lvl>
  </w:abstractNum>
  <w:abstractNum w:abstractNumId="2" w15:restartNumberingAfterBreak="0">
    <w:nsid w:val="21004813"/>
    <w:multiLevelType w:val="hybridMultilevel"/>
    <w:tmpl w:val="AD8ED492"/>
    <w:lvl w:ilvl="0" w:tplc="7D70BDD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32776"/>
    <w:multiLevelType w:val="hybridMultilevel"/>
    <w:tmpl w:val="3F483548"/>
    <w:lvl w:ilvl="0" w:tplc="0C090001">
      <w:start w:val="1"/>
      <w:numFmt w:val="bullet"/>
      <w:lvlText w:val=""/>
      <w:lvlJc w:val="left"/>
      <w:pPr>
        <w:ind w:left="2028" w:hanging="360"/>
      </w:pPr>
      <w:rPr>
        <w:rFonts w:ascii="Symbol" w:hAnsi="Symbol" w:hint="default"/>
      </w:rPr>
    </w:lvl>
    <w:lvl w:ilvl="1" w:tplc="0C090003">
      <w:start w:val="1"/>
      <w:numFmt w:val="bullet"/>
      <w:lvlText w:val="o"/>
      <w:lvlJc w:val="left"/>
      <w:pPr>
        <w:ind w:left="2748" w:hanging="360"/>
      </w:pPr>
      <w:rPr>
        <w:rFonts w:ascii="Courier New" w:hAnsi="Courier New" w:cs="Courier New" w:hint="default"/>
      </w:rPr>
    </w:lvl>
    <w:lvl w:ilvl="2" w:tplc="0C090005" w:tentative="1">
      <w:start w:val="1"/>
      <w:numFmt w:val="bullet"/>
      <w:lvlText w:val=""/>
      <w:lvlJc w:val="left"/>
      <w:pPr>
        <w:ind w:left="3468" w:hanging="360"/>
      </w:pPr>
      <w:rPr>
        <w:rFonts w:ascii="Wingdings" w:hAnsi="Wingdings" w:hint="default"/>
      </w:rPr>
    </w:lvl>
    <w:lvl w:ilvl="3" w:tplc="0C090001" w:tentative="1">
      <w:start w:val="1"/>
      <w:numFmt w:val="bullet"/>
      <w:lvlText w:val=""/>
      <w:lvlJc w:val="left"/>
      <w:pPr>
        <w:ind w:left="4188" w:hanging="360"/>
      </w:pPr>
      <w:rPr>
        <w:rFonts w:ascii="Symbol" w:hAnsi="Symbol" w:hint="default"/>
      </w:rPr>
    </w:lvl>
    <w:lvl w:ilvl="4" w:tplc="0C090003" w:tentative="1">
      <w:start w:val="1"/>
      <w:numFmt w:val="bullet"/>
      <w:lvlText w:val="o"/>
      <w:lvlJc w:val="left"/>
      <w:pPr>
        <w:ind w:left="4908" w:hanging="360"/>
      </w:pPr>
      <w:rPr>
        <w:rFonts w:ascii="Courier New" w:hAnsi="Courier New" w:cs="Courier New" w:hint="default"/>
      </w:rPr>
    </w:lvl>
    <w:lvl w:ilvl="5" w:tplc="0C090005" w:tentative="1">
      <w:start w:val="1"/>
      <w:numFmt w:val="bullet"/>
      <w:lvlText w:val=""/>
      <w:lvlJc w:val="left"/>
      <w:pPr>
        <w:ind w:left="5628" w:hanging="360"/>
      </w:pPr>
      <w:rPr>
        <w:rFonts w:ascii="Wingdings" w:hAnsi="Wingdings" w:hint="default"/>
      </w:rPr>
    </w:lvl>
    <w:lvl w:ilvl="6" w:tplc="0C090001" w:tentative="1">
      <w:start w:val="1"/>
      <w:numFmt w:val="bullet"/>
      <w:lvlText w:val=""/>
      <w:lvlJc w:val="left"/>
      <w:pPr>
        <w:ind w:left="6348" w:hanging="360"/>
      </w:pPr>
      <w:rPr>
        <w:rFonts w:ascii="Symbol" w:hAnsi="Symbol" w:hint="default"/>
      </w:rPr>
    </w:lvl>
    <w:lvl w:ilvl="7" w:tplc="0C090003" w:tentative="1">
      <w:start w:val="1"/>
      <w:numFmt w:val="bullet"/>
      <w:lvlText w:val="o"/>
      <w:lvlJc w:val="left"/>
      <w:pPr>
        <w:ind w:left="7068" w:hanging="360"/>
      </w:pPr>
      <w:rPr>
        <w:rFonts w:ascii="Courier New" w:hAnsi="Courier New" w:cs="Courier New" w:hint="default"/>
      </w:rPr>
    </w:lvl>
    <w:lvl w:ilvl="8" w:tplc="0C090005" w:tentative="1">
      <w:start w:val="1"/>
      <w:numFmt w:val="bullet"/>
      <w:lvlText w:val=""/>
      <w:lvlJc w:val="left"/>
      <w:pPr>
        <w:ind w:left="7788" w:hanging="360"/>
      </w:pPr>
      <w:rPr>
        <w:rFonts w:ascii="Wingdings" w:hAnsi="Wingdings" w:hint="default"/>
      </w:rPr>
    </w:lvl>
  </w:abstractNum>
  <w:abstractNum w:abstractNumId="4" w15:restartNumberingAfterBreak="0">
    <w:nsid w:val="25F71B8E"/>
    <w:multiLevelType w:val="hybridMultilevel"/>
    <w:tmpl w:val="8066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4B384F"/>
    <w:multiLevelType w:val="hybridMultilevel"/>
    <w:tmpl w:val="EA9E5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AB"/>
    <w:rsid w:val="00002C18"/>
    <w:rsid w:val="00007CA4"/>
    <w:rsid w:val="00010549"/>
    <w:rsid w:val="000116EF"/>
    <w:rsid w:val="00012A54"/>
    <w:rsid w:val="00012F84"/>
    <w:rsid w:val="00013F99"/>
    <w:rsid w:val="00017194"/>
    <w:rsid w:val="00025376"/>
    <w:rsid w:val="00025580"/>
    <w:rsid w:val="00026836"/>
    <w:rsid w:val="00027B26"/>
    <w:rsid w:val="0003104E"/>
    <w:rsid w:val="00031195"/>
    <w:rsid w:val="00032861"/>
    <w:rsid w:val="000345E9"/>
    <w:rsid w:val="00035CA1"/>
    <w:rsid w:val="0003679F"/>
    <w:rsid w:val="00037976"/>
    <w:rsid w:val="00040F68"/>
    <w:rsid w:val="00041434"/>
    <w:rsid w:val="000435BB"/>
    <w:rsid w:val="0004467F"/>
    <w:rsid w:val="00044A4F"/>
    <w:rsid w:val="00045CCD"/>
    <w:rsid w:val="00047524"/>
    <w:rsid w:val="00047ACD"/>
    <w:rsid w:val="000505B2"/>
    <w:rsid w:val="00050E5B"/>
    <w:rsid w:val="000547EF"/>
    <w:rsid w:val="00054B89"/>
    <w:rsid w:val="0006601E"/>
    <w:rsid w:val="00067CD0"/>
    <w:rsid w:val="00080F2E"/>
    <w:rsid w:val="00081CEB"/>
    <w:rsid w:val="00083791"/>
    <w:rsid w:val="00086E3C"/>
    <w:rsid w:val="00087B2C"/>
    <w:rsid w:val="00087DBD"/>
    <w:rsid w:val="00090570"/>
    <w:rsid w:val="00090753"/>
    <w:rsid w:val="0009405C"/>
    <w:rsid w:val="00096F54"/>
    <w:rsid w:val="00097BFF"/>
    <w:rsid w:val="000A5E56"/>
    <w:rsid w:val="000A669D"/>
    <w:rsid w:val="000A66A8"/>
    <w:rsid w:val="000A7DCF"/>
    <w:rsid w:val="000B1083"/>
    <w:rsid w:val="000B134D"/>
    <w:rsid w:val="000B2605"/>
    <w:rsid w:val="000C014D"/>
    <w:rsid w:val="000D0178"/>
    <w:rsid w:val="000D4703"/>
    <w:rsid w:val="000D693C"/>
    <w:rsid w:val="000E12D4"/>
    <w:rsid w:val="000E2440"/>
    <w:rsid w:val="000E2FB3"/>
    <w:rsid w:val="00100DAB"/>
    <w:rsid w:val="00104669"/>
    <w:rsid w:val="00110028"/>
    <w:rsid w:val="0011449B"/>
    <w:rsid w:val="00116EDF"/>
    <w:rsid w:val="00124B26"/>
    <w:rsid w:val="00124B54"/>
    <w:rsid w:val="00130C4E"/>
    <w:rsid w:val="00131B54"/>
    <w:rsid w:val="001354B7"/>
    <w:rsid w:val="001404FA"/>
    <w:rsid w:val="00140604"/>
    <w:rsid w:val="001413C5"/>
    <w:rsid w:val="00142956"/>
    <w:rsid w:val="00143502"/>
    <w:rsid w:val="00143BFB"/>
    <w:rsid w:val="00144494"/>
    <w:rsid w:val="00144868"/>
    <w:rsid w:val="0014488F"/>
    <w:rsid w:val="00151D95"/>
    <w:rsid w:val="001523BD"/>
    <w:rsid w:val="00152B91"/>
    <w:rsid w:val="00157709"/>
    <w:rsid w:val="00161470"/>
    <w:rsid w:val="00163699"/>
    <w:rsid w:val="00164B54"/>
    <w:rsid w:val="00167330"/>
    <w:rsid w:val="00167CF4"/>
    <w:rsid w:val="0017271C"/>
    <w:rsid w:val="0018132A"/>
    <w:rsid w:val="00185F6A"/>
    <w:rsid w:val="0018667F"/>
    <w:rsid w:val="001943DD"/>
    <w:rsid w:val="00195374"/>
    <w:rsid w:val="001A127F"/>
    <w:rsid w:val="001A1F53"/>
    <w:rsid w:val="001A2321"/>
    <w:rsid w:val="001A2881"/>
    <w:rsid w:val="001A3515"/>
    <w:rsid w:val="001A3B2F"/>
    <w:rsid w:val="001A3CA4"/>
    <w:rsid w:val="001A3EA4"/>
    <w:rsid w:val="001A7604"/>
    <w:rsid w:val="001B1B10"/>
    <w:rsid w:val="001B2AD5"/>
    <w:rsid w:val="001B35C4"/>
    <w:rsid w:val="001B3AEC"/>
    <w:rsid w:val="001B5000"/>
    <w:rsid w:val="001B6F28"/>
    <w:rsid w:val="001B7B1F"/>
    <w:rsid w:val="001D36F2"/>
    <w:rsid w:val="001D4585"/>
    <w:rsid w:val="001D5D54"/>
    <w:rsid w:val="001E099A"/>
    <w:rsid w:val="001E36CE"/>
    <w:rsid w:val="001E41C8"/>
    <w:rsid w:val="001F3AD7"/>
    <w:rsid w:val="001F45EB"/>
    <w:rsid w:val="00207630"/>
    <w:rsid w:val="00211380"/>
    <w:rsid w:val="00213082"/>
    <w:rsid w:val="0021714E"/>
    <w:rsid w:val="00222187"/>
    <w:rsid w:val="00222C8D"/>
    <w:rsid w:val="00222E33"/>
    <w:rsid w:val="00227B95"/>
    <w:rsid w:val="0023523A"/>
    <w:rsid w:val="002353DF"/>
    <w:rsid w:val="00235F71"/>
    <w:rsid w:val="00240BB0"/>
    <w:rsid w:val="0025272A"/>
    <w:rsid w:val="00253552"/>
    <w:rsid w:val="0025475A"/>
    <w:rsid w:val="002561FC"/>
    <w:rsid w:val="00261570"/>
    <w:rsid w:val="00266AC3"/>
    <w:rsid w:val="00271922"/>
    <w:rsid w:val="0027204E"/>
    <w:rsid w:val="00272F99"/>
    <w:rsid w:val="00273412"/>
    <w:rsid w:val="00274ACF"/>
    <w:rsid w:val="00283644"/>
    <w:rsid w:val="00285F1B"/>
    <w:rsid w:val="00291372"/>
    <w:rsid w:val="00295831"/>
    <w:rsid w:val="00296F1B"/>
    <w:rsid w:val="0029744D"/>
    <w:rsid w:val="002A1583"/>
    <w:rsid w:val="002A4F3A"/>
    <w:rsid w:val="002A61E1"/>
    <w:rsid w:val="002A6DF5"/>
    <w:rsid w:val="002D00B0"/>
    <w:rsid w:val="002D2E16"/>
    <w:rsid w:val="002D4DA9"/>
    <w:rsid w:val="002D748B"/>
    <w:rsid w:val="002E2DFA"/>
    <w:rsid w:val="002F0424"/>
    <w:rsid w:val="002F19EF"/>
    <w:rsid w:val="002F1D90"/>
    <w:rsid w:val="002F74FB"/>
    <w:rsid w:val="00302415"/>
    <w:rsid w:val="00302DC0"/>
    <w:rsid w:val="003031D4"/>
    <w:rsid w:val="0030541A"/>
    <w:rsid w:val="00305637"/>
    <w:rsid w:val="0030693C"/>
    <w:rsid w:val="00307F87"/>
    <w:rsid w:val="003102F6"/>
    <w:rsid w:val="00313304"/>
    <w:rsid w:val="00313C48"/>
    <w:rsid w:val="00314D15"/>
    <w:rsid w:val="003162AD"/>
    <w:rsid w:val="00321148"/>
    <w:rsid w:val="00321798"/>
    <w:rsid w:val="00322EC6"/>
    <w:rsid w:val="00324F52"/>
    <w:rsid w:val="00325F44"/>
    <w:rsid w:val="00326976"/>
    <w:rsid w:val="00326F73"/>
    <w:rsid w:val="003311D7"/>
    <w:rsid w:val="00332B8B"/>
    <w:rsid w:val="003374BD"/>
    <w:rsid w:val="00342476"/>
    <w:rsid w:val="00344386"/>
    <w:rsid w:val="00347104"/>
    <w:rsid w:val="003473D7"/>
    <w:rsid w:val="0035213F"/>
    <w:rsid w:val="003555D2"/>
    <w:rsid w:val="00363DF3"/>
    <w:rsid w:val="003656B1"/>
    <w:rsid w:val="0037056B"/>
    <w:rsid w:val="00377173"/>
    <w:rsid w:val="003774DA"/>
    <w:rsid w:val="00382079"/>
    <w:rsid w:val="00386A36"/>
    <w:rsid w:val="00392557"/>
    <w:rsid w:val="003945C0"/>
    <w:rsid w:val="003A06C2"/>
    <w:rsid w:val="003A304E"/>
    <w:rsid w:val="003B13C4"/>
    <w:rsid w:val="003B6D2E"/>
    <w:rsid w:val="003C1742"/>
    <w:rsid w:val="003C430D"/>
    <w:rsid w:val="003C7404"/>
    <w:rsid w:val="003D3C5A"/>
    <w:rsid w:val="003D404A"/>
    <w:rsid w:val="003D46A9"/>
    <w:rsid w:val="003E582B"/>
    <w:rsid w:val="003E6B2D"/>
    <w:rsid w:val="003E6DA7"/>
    <w:rsid w:val="003E6FDA"/>
    <w:rsid w:val="003F3072"/>
    <w:rsid w:val="003F324C"/>
    <w:rsid w:val="00401A2A"/>
    <w:rsid w:val="00407470"/>
    <w:rsid w:val="004103D7"/>
    <w:rsid w:val="0041307C"/>
    <w:rsid w:val="004167B4"/>
    <w:rsid w:val="00430D7E"/>
    <w:rsid w:val="00432202"/>
    <w:rsid w:val="00433B04"/>
    <w:rsid w:val="00435DA4"/>
    <w:rsid w:val="004379A6"/>
    <w:rsid w:val="00440BD3"/>
    <w:rsid w:val="00441535"/>
    <w:rsid w:val="00443691"/>
    <w:rsid w:val="004446BF"/>
    <w:rsid w:val="00446F93"/>
    <w:rsid w:val="004476A5"/>
    <w:rsid w:val="004649E2"/>
    <w:rsid w:val="00464E8C"/>
    <w:rsid w:val="0046617E"/>
    <w:rsid w:val="00466D36"/>
    <w:rsid w:val="00467185"/>
    <w:rsid w:val="0047050C"/>
    <w:rsid w:val="00475504"/>
    <w:rsid w:val="00480376"/>
    <w:rsid w:val="00480F21"/>
    <w:rsid w:val="00484FED"/>
    <w:rsid w:val="00492595"/>
    <w:rsid w:val="00495AF1"/>
    <w:rsid w:val="00496513"/>
    <w:rsid w:val="004A09B3"/>
    <w:rsid w:val="004A4947"/>
    <w:rsid w:val="004A7EBE"/>
    <w:rsid w:val="004B3301"/>
    <w:rsid w:val="004C201F"/>
    <w:rsid w:val="004C3D08"/>
    <w:rsid w:val="004D2BDC"/>
    <w:rsid w:val="004D44E8"/>
    <w:rsid w:val="004E1295"/>
    <w:rsid w:val="004E1AC8"/>
    <w:rsid w:val="004F775C"/>
    <w:rsid w:val="004F77BF"/>
    <w:rsid w:val="005015E4"/>
    <w:rsid w:val="0050291D"/>
    <w:rsid w:val="0050697E"/>
    <w:rsid w:val="0050705F"/>
    <w:rsid w:val="00512C67"/>
    <w:rsid w:val="00524B3C"/>
    <w:rsid w:val="00527579"/>
    <w:rsid w:val="005300B9"/>
    <w:rsid w:val="005315A9"/>
    <w:rsid w:val="005316BE"/>
    <w:rsid w:val="00532B56"/>
    <w:rsid w:val="005379EA"/>
    <w:rsid w:val="00537B50"/>
    <w:rsid w:val="00540AD0"/>
    <w:rsid w:val="0054164B"/>
    <w:rsid w:val="0054322A"/>
    <w:rsid w:val="00543923"/>
    <w:rsid w:val="005519C9"/>
    <w:rsid w:val="005523D1"/>
    <w:rsid w:val="00554A9C"/>
    <w:rsid w:val="005565FD"/>
    <w:rsid w:val="00557624"/>
    <w:rsid w:val="0056023E"/>
    <w:rsid w:val="005658EF"/>
    <w:rsid w:val="00573824"/>
    <w:rsid w:val="005811DA"/>
    <w:rsid w:val="005822A3"/>
    <w:rsid w:val="00585EC6"/>
    <w:rsid w:val="0059070B"/>
    <w:rsid w:val="00594445"/>
    <w:rsid w:val="005A4561"/>
    <w:rsid w:val="005B1225"/>
    <w:rsid w:val="005B492D"/>
    <w:rsid w:val="005C09F4"/>
    <w:rsid w:val="005C561A"/>
    <w:rsid w:val="005C5B93"/>
    <w:rsid w:val="005C66FF"/>
    <w:rsid w:val="005C785A"/>
    <w:rsid w:val="005D03CA"/>
    <w:rsid w:val="005D3405"/>
    <w:rsid w:val="005D45AB"/>
    <w:rsid w:val="005E4662"/>
    <w:rsid w:val="005E567E"/>
    <w:rsid w:val="005F093F"/>
    <w:rsid w:val="005F214A"/>
    <w:rsid w:val="005F4329"/>
    <w:rsid w:val="005F6BD6"/>
    <w:rsid w:val="005F7F54"/>
    <w:rsid w:val="00601C99"/>
    <w:rsid w:val="00607597"/>
    <w:rsid w:val="0061538B"/>
    <w:rsid w:val="00616ED6"/>
    <w:rsid w:val="00623A73"/>
    <w:rsid w:val="00624C82"/>
    <w:rsid w:val="00624CB3"/>
    <w:rsid w:val="006255E4"/>
    <w:rsid w:val="00625D93"/>
    <w:rsid w:val="006325E2"/>
    <w:rsid w:val="00637677"/>
    <w:rsid w:val="00640E02"/>
    <w:rsid w:val="00641020"/>
    <w:rsid w:val="006410C1"/>
    <w:rsid w:val="00643F4D"/>
    <w:rsid w:val="00647F05"/>
    <w:rsid w:val="00652A0C"/>
    <w:rsid w:val="006530EF"/>
    <w:rsid w:val="00654D06"/>
    <w:rsid w:val="006569B4"/>
    <w:rsid w:val="00656CF8"/>
    <w:rsid w:val="0066005A"/>
    <w:rsid w:val="00661536"/>
    <w:rsid w:val="006678ED"/>
    <w:rsid w:val="006679D8"/>
    <w:rsid w:val="0067233D"/>
    <w:rsid w:val="00672F1C"/>
    <w:rsid w:val="006735AD"/>
    <w:rsid w:val="006745AE"/>
    <w:rsid w:val="00675BEF"/>
    <w:rsid w:val="00676496"/>
    <w:rsid w:val="00676AF3"/>
    <w:rsid w:val="00676D10"/>
    <w:rsid w:val="00680F71"/>
    <w:rsid w:val="00682A53"/>
    <w:rsid w:val="00683BAF"/>
    <w:rsid w:val="00686880"/>
    <w:rsid w:val="0069174B"/>
    <w:rsid w:val="00693FA1"/>
    <w:rsid w:val="00695AB3"/>
    <w:rsid w:val="006A2713"/>
    <w:rsid w:val="006B05E3"/>
    <w:rsid w:val="006B09BC"/>
    <w:rsid w:val="006B2E11"/>
    <w:rsid w:val="006B2E77"/>
    <w:rsid w:val="006B42A0"/>
    <w:rsid w:val="006B4E59"/>
    <w:rsid w:val="006C0767"/>
    <w:rsid w:val="006C3402"/>
    <w:rsid w:val="006C3622"/>
    <w:rsid w:val="006C395C"/>
    <w:rsid w:val="006C45D4"/>
    <w:rsid w:val="006C7278"/>
    <w:rsid w:val="006D151C"/>
    <w:rsid w:val="006D2E54"/>
    <w:rsid w:val="006D6494"/>
    <w:rsid w:val="006E1F3C"/>
    <w:rsid w:val="006E6073"/>
    <w:rsid w:val="006E77D9"/>
    <w:rsid w:val="006F5B91"/>
    <w:rsid w:val="006F7300"/>
    <w:rsid w:val="00703C09"/>
    <w:rsid w:val="0070764A"/>
    <w:rsid w:val="007106A7"/>
    <w:rsid w:val="00711437"/>
    <w:rsid w:val="00712300"/>
    <w:rsid w:val="00713FF0"/>
    <w:rsid w:val="00720739"/>
    <w:rsid w:val="00721695"/>
    <w:rsid w:val="007242B4"/>
    <w:rsid w:val="00725FB2"/>
    <w:rsid w:val="0072783B"/>
    <w:rsid w:val="0072790F"/>
    <w:rsid w:val="00730C64"/>
    <w:rsid w:val="007322AF"/>
    <w:rsid w:val="00735477"/>
    <w:rsid w:val="00736DCA"/>
    <w:rsid w:val="00740164"/>
    <w:rsid w:val="007410A3"/>
    <w:rsid w:val="00742399"/>
    <w:rsid w:val="00742502"/>
    <w:rsid w:val="007457E8"/>
    <w:rsid w:val="0074640C"/>
    <w:rsid w:val="0075003D"/>
    <w:rsid w:val="00751B37"/>
    <w:rsid w:val="0075246D"/>
    <w:rsid w:val="0075331D"/>
    <w:rsid w:val="00754D44"/>
    <w:rsid w:val="00761BB8"/>
    <w:rsid w:val="007658E1"/>
    <w:rsid w:val="00767B7E"/>
    <w:rsid w:val="007746A9"/>
    <w:rsid w:val="00785465"/>
    <w:rsid w:val="00787656"/>
    <w:rsid w:val="00795C73"/>
    <w:rsid w:val="007A67EA"/>
    <w:rsid w:val="007A6885"/>
    <w:rsid w:val="007B15AF"/>
    <w:rsid w:val="007B26EE"/>
    <w:rsid w:val="007B7E83"/>
    <w:rsid w:val="007C079C"/>
    <w:rsid w:val="007C1631"/>
    <w:rsid w:val="007C415F"/>
    <w:rsid w:val="007C5ACD"/>
    <w:rsid w:val="007C636F"/>
    <w:rsid w:val="007D0077"/>
    <w:rsid w:val="007D0EF8"/>
    <w:rsid w:val="007D39EB"/>
    <w:rsid w:val="007D4708"/>
    <w:rsid w:val="007E510C"/>
    <w:rsid w:val="007E7FBA"/>
    <w:rsid w:val="007F2CEA"/>
    <w:rsid w:val="007F461B"/>
    <w:rsid w:val="007F728A"/>
    <w:rsid w:val="00800A4D"/>
    <w:rsid w:val="00802371"/>
    <w:rsid w:val="00807B4F"/>
    <w:rsid w:val="008131E7"/>
    <w:rsid w:val="008136EF"/>
    <w:rsid w:val="00813711"/>
    <w:rsid w:val="00814279"/>
    <w:rsid w:val="008263C2"/>
    <w:rsid w:val="00826524"/>
    <w:rsid w:val="00832AD2"/>
    <w:rsid w:val="0083515A"/>
    <w:rsid w:val="00842959"/>
    <w:rsid w:val="008451FE"/>
    <w:rsid w:val="00845B90"/>
    <w:rsid w:val="008466A1"/>
    <w:rsid w:val="00846C1D"/>
    <w:rsid w:val="00851152"/>
    <w:rsid w:val="00851758"/>
    <w:rsid w:val="008520EF"/>
    <w:rsid w:val="0085392E"/>
    <w:rsid w:val="00856D5A"/>
    <w:rsid w:val="008609EB"/>
    <w:rsid w:val="00860A8E"/>
    <w:rsid w:val="00862D6D"/>
    <w:rsid w:val="00864E1B"/>
    <w:rsid w:val="008653E0"/>
    <w:rsid w:val="008657FB"/>
    <w:rsid w:val="00865EA9"/>
    <w:rsid w:val="00867606"/>
    <w:rsid w:val="00871D4F"/>
    <w:rsid w:val="00874FB3"/>
    <w:rsid w:val="00880BDE"/>
    <w:rsid w:val="00880BE3"/>
    <w:rsid w:val="00882588"/>
    <w:rsid w:val="00895792"/>
    <w:rsid w:val="008A3738"/>
    <w:rsid w:val="008A384C"/>
    <w:rsid w:val="008A6981"/>
    <w:rsid w:val="008B342B"/>
    <w:rsid w:val="008B645B"/>
    <w:rsid w:val="008B67B8"/>
    <w:rsid w:val="008B774D"/>
    <w:rsid w:val="008C123E"/>
    <w:rsid w:val="008C3ED0"/>
    <w:rsid w:val="008C5585"/>
    <w:rsid w:val="008C5E94"/>
    <w:rsid w:val="008D4E4B"/>
    <w:rsid w:val="008E5ED1"/>
    <w:rsid w:val="008E6E9D"/>
    <w:rsid w:val="008F1897"/>
    <w:rsid w:val="008F3E0C"/>
    <w:rsid w:val="008F4774"/>
    <w:rsid w:val="008F68F7"/>
    <w:rsid w:val="008F7480"/>
    <w:rsid w:val="008F7B7C"/>
    <w:rsid w:val="009037B6"/>
    <w:rsid w:val="00906CBE"/>
    <w:rsid w:val="00906FFA"/>
    <w:rsid w:val="00907CBA"/>
    <w:rsid w:val="00910384"/>
    <w:rsid w:val="009139C0"/>
    <w:rsid w:val="009161C8"/>
    <w:rsid w:val="009164AD"/>
    <w:rsid w:val="00921765"/>
    <w:rsid w:val="00922289"/>
    <w:rsid w:val="00936E97"/>
    <w:rsid w:val="00936EBE"/>
    <w:rsid w:val="00936F46"/>
    <w:rsid w:val="0094271E"/>
    <w:rsid w:val="00943142"/>
    <w:rsid w:val="00943A29"/>
    <w:rsid w:val="0095197E"/>
    <w:rsid w:val="00952AB2"/>
    <w:rsid w:val="009551E0"/>
    <w:rsid w:val="00955801"/>
    <w:rsid w:val="00955AB9"/>
    <w:rsid w:val="0095654E"/>
    <w:rsid w:val="00956F3C"/>
    <w:rsid w:val="0095779B"/>
    <w:rsid w:val="0096485D"/>
    <w:rsid w:val="00981468"/>
    <w:rsid w:val="009817E7"/>
    <w:rsid w:val="009818A7"/>
    <w:rsid w:val="009900F0"/>
    <w:rsid w:val="00990A5A"/>
    <w:rsid w:val="00991769"/>
    <w:rsid w:val="00994E9F"/>
    <w:rsid w:val="00996931"/>
    <w:rsid w:val="009A0F18"/>
    <w:rsid w:val="009A1477"/>
    <w:rsid w:val="009A178E"/>
    <w:rsid w:val="009A3517"/>
    <w:rsid w:val="009A4CD8"/>
    <w:rsid w:val="009A4E6F"/>
    <w:rsid w:val="009A531A"/>
    <w:rsid w:val="009A6AFA"/>
    <w:rsid w:val="009A726D"/>
    <w:rsid w:val="009B3ED1"/>
    <w:rsid w:val="009B4444"/>
    <w:rsid w:val="009C07EC"/>
    <w:rsid w:val="009C206F"/>
    <w:rsid w:val="009C433C"/>
    <w:rsid w:val="009C5B91"/>
    <w:rsid w:val="009C7215"/>
    <w:rsid w:val="009D28B7"/>
    <w:rsid w:val="009D4EF3"/>
    <w:rsid w:val="009D7E1A"/>
    <w:rsid w:val="009E2162"/>
    <w:rsid w:val="009F2345"/>
    <w:rsid w:val="009F2F95"/>
    <w:rsid w:val="009F501D"/>
    <w:rsid w:val="009F7E42"/>
    <w:rsid w:val="00A006EB"/>
    <w:rsid w:val="00A03709"/>
    <w:rsid w:val="00A06C77"/>
    <w:rsid w:val="00A10147"/>
    <w:rsid w:val="00A12E4C"/>
    <w:rsid w:val="00A13D26"/>
    <w:rsid w:val="00A146A5"/>
    <w:rsid w:val="00A17411"/>
    <w:rsid w:val="00A17B0C"/>
    <w:rsid w:val="00A2223D"/>
    <w:rsid w:val="00A223EF"/>
    <w:rsid w:val="00A27AB6"/>
    <w:rsid w:val="00A34214"/>
    <w:rsid w:val="00A34A74"/>
    <w:rsid w:val="00A35351"/>
    <w:rsid w:val="00A417B7"/>
    <w:rsid w:val="00A42ADE"/>
    <w:rsid w:val="00A4749A"/>
    <w:rsid w:val="00A50705"/>
    <w:rsid w:val="00A50A9D"/>
    <w:rsid w:val="00A53DF8"/>
    <w:rsid w:val="00A55BA1"/>
    <w:rsid w:val="00A60693"/>
    <w:rsid w:val="00A67728"/>
    <w:rsid w:val="00A70161"/>
    <w:rsid w:val="00A736A8"/>
    <w:rsid w:val="00A736B5"/>
    <w:rsid w:val="00A81A4F"/>
    <w:rsid w:val="00A82E14"/>
    <w:rsid w:val="00A901E9"/>
    <w:rsid w:val="00A95B7C"/>
    <w:rsid w:val="00A9762C"/>
    <w:rsid w:val="00AA1532"/>
    <w:rsid w:val="00AA4067"/>
    <w:rsid w:val="00AB1A5B"/>
    <w:rsid w:val="00AB25BE"/>
    <w:rsid w:val="00AC0A54"/>
    <w:rsid w:val="00AC125E"/>
    <w:rsid w:val="00AC45DF"/>
    <w:rsid w:val="00AC474D"/>
    <w:rsid w:val="00AC4DFD"/>
    <w:rsid w:val="00AC58FD"/>
    <w:rsid w:val="00AC60CD"/>
    <w:rsid w:val="00AD1A56"/>
    <w:rsid w:val="00AD60E6"/>
    <w:rsid w:val="00AD793A"/>
    <w:rsid w:val="00AE2859"/>
    <w:rsid w:val="00AE3BC3"/>
    <w:rsid w:val="00AE457D"/>
    <w:rsid w:val="00AE5956"/>
    <w:rsid w:val="00AE619F"/>
    <w:rsid w:val="00AF08BE"/>
    <w:rsid w:val="00AF0D46"/>
    <w:rsid w:val="00AF373A"/>
    <w:rsid w:val="00AF7EFE"/>
    <w:rsid w:val="00B03BEE"/>
    <w:rsid w:val="00B0407B"/>
    <w:rsid w:val="00B049AA"/>
    <w:rsid w:val="00B0517E"/>
    <w:rsid w:val="00B056E2"/>
    <w:rsid w:val="00B11314"/>
    <w:rsid w:val="00B1192C"/>
    <w:rsid w:val="00B138E3"/>
    <w:rsid w:val="00B13930"/>
    <w:rsid w:val="00B149A2"/>
    <w:rsid w:val="00B210D1"/>
    <w:rsid w:val="00B23267"/>
    <w:rsid w:val="00B25891"/>
    <w:rsid w:val="00B27149"/>
    <w:rsid w:val="00B40D26"/>
    <w:rsid w:val="00B4451B"/>
    <w:rsid w:val="00B45A78"/>
    <w:rsid w:val="00B51316"/>
    <w:rsid w:val="00B55B33"/>
    <w:rsid w:val="00B72D62"/>
    <w:rsid w:val="00B757A7"/>
    <w:rsid w:val="00B76920"/>
    <w:rsid w:val="00B775AD"/>
    <w:rsid w:val="00B83174"/>
    <w:rsid w:val="00B843C8"/>
    <w:rsid w:val="00B906D0"/>
    <w:rsid w:val="00B94B39"/>
    <w:rsid w:val="00B951E2"/>
    <w:rsid w:val="00B952D1"/>
    <w:rsid w:val="00B95B1D"/>
    <w:rsid w:val="00B96F37"/>
    <w:rsid w:val="00BA21BD"/>
    <w:rsid w:val="00BA5B26"/>
    <w:rsid w:val="00BA607C"/>
    <w:rsid w:val="00BB036F"/>
    <w:rsid w:val="00BB3E2A"/>
    <w:rsid w:val="00BC16F5"/>
    <w:rsid w:val="00BC1AD9"/>
    <w:rsid w:val="00BC287D"/>
    <w:rsid w:val="00BC47D1"/>
    <w:rsid w:val="00BC4A76"/>
    <w:rsid w:val="00BD0ED6"/>
    <w:rsid w:val="00BD32E5"/>
    <w:rsid w:val="00BD67DE"/>
    <w:rsid w:val="00BD7ADD"/>
    <w:rsid w:val="00BE2944"/>
    <w:rsid w:val="00BE41C3"/>
    <w:rsid w:val="00BE6767"/>
    <w:rsid w:val="00BE68D7"/>
    <w:rsid w:val="00BF0784"/>
    <w:rsid w:val="00BF68C0"/>
    <w:rsid w:val="00BF7763"/>
    <w:rsid w:val="00C01253"/>
    <w:rsid w:val="00C02ED3"/>
    <w:rsid w:val="00C04D5E"/>
    <w:rsid w:val="00C1364F"/>
    <w:rsid w:val="00C13777"/>
    <w:rsid w:val="00C17FF1"/>
    <w:rsid w:val="00C24EA2"/>
    <w:rsid w:val="00C24F70"/>
    <w:rsid w:val="00C25D5B"/>
    <w:rsid w:val="00C325C4"/>
    <w:rsid w:val="00C33479"/>
    <w:rsid w:val="00C35B48"/>
    <w:rsid w:val="00C41D12"/>
    <w:rsid w:val="00C460F3"/>
    <w:rsid w:val="00C47BA2"/>
    <w:rsid w:val="00C612DC"/>
    <w:rsid w:val="00C622CB"/>
    <w:rsid w:val="00C642FC"/>
    <w:rsid w:val="00C64D15"/>
    <w:rsid w:val="00C716E3"/>
    <w:rsid w:val="00C74F74"/>
    <w:rsid w:val="00C7554B"/>
    <w:rsid w:val="00C76376"/>
    <w:rsid w:val="00C77084"/>
    <w:rsid w:val="00C80192"/>
    <w:rsid w:val="00C83E31"/>
    <w:rsid w:val="00C916A4"/>
    <w:rsid w:val="00CA2A52"/>
    <w:rsid w:val="00CA2B15"/>
    <w:rsid w:val="00CA4A80"/>
    <w:rsid w:val="00CA6490"/>
    <w:rsid w:val="00CB01AF"/>
    <w:rsid w:val="00CB05BE"/>
    <w:rsid w:val="00CB295B"/>
    <w:rsid w:val="00CB5744"/>
    <w:rsid w:val="00CB7022"/>
    <w:rsid w:val="00CC1B7F"/>
    <w:rsid w:val="00CC637E"/>
    <w:rsid w:val="00CD1937"/>
    <w:rsid w:val="00CE214C"/>
    <w:rsid w:val="00CE4D2A"/>
    <w:rsid w:val="00CE6858"/>
    <w:rsid w:val="00CF3CCA"/>
    <w:rsid w:val="00CF50BE"/>
    <w:rsid w:val="00CF553B"/>
    <w:rsid w:val="00CF6A52"/>
    <w:rsid w:val="00D03583"/>
    <w:rsid w:val="00D03D7A"/>
    <w:rsid w:val="00D064A9"/>
    <w:rsid w:val="00D116EC"/>
    <w:rsid w:val="00D117B4"/>
    <w:rsid w:val="00D14425"/>
    <w:rsid w:val="00D169F7"/>
    <w:rsid w:val="00D21382"/>
    <w:rsid w:val="00D26D01"/>
    <w:rsid w:val="00D33DA3"/>
    <w:rsid w:val="00D4138A"/>
    <w:rsid w:val="00D45D9D"/>
    <w:rsid w:val="00D4723B"/>
    <w:rsid w:val="00D50DDA"/>
    <w:rsid w:val="00D52FA8"/>
    <w:rsid w:val="00D55D3E"/>
    <w:rsid w:val="00D55EE8"/>
    <w:rsid w:val="00D56360"/>
    <w:rsid w:val="00D5785A"/>
    <w:rsid w:val="00D64C48"/>
    <w:rsid w:val="00D659A8"/>
    <w:rsid w:val="00D7266F"/>
    <w:rsid w:val="00D731C4"/>
    <w:rsid w:val="00D76BB8"/>
    <w:rsid w:val="00D81BAA"/>
    <w:rsid w:val="00D85BE0"/>
    <w:rsid w:val="00D8793F"/>
    <w:rsid w:val="00D87C1A"/>
    <w:rsid w:val="00D87F42"/>
    <w:rsid w:val="00D87FD7"/>
    <w:rsid w:val="00D92167"/>
    <w:rsid w:val="00D9502B"/>
    <w:rsid w:val="00D958B7"/>
    <w:rsid w:val="00D97047"/>
    <w:rsid w:val="00D97108"/>
    <w:rsid w:val="00DC13BD"/>
    <w:rsid w:val="00DC5665"/>
    <w:rsid w:val="00DD466C"/>
    <w:rsid w:val="00DD46FC"/>
    <w:rsid w:val="00DD4F44"/>
    <w:rsid w:val="00DD5D8B"/>
    <w:rsid w:val="00DE0F9E"/>
    <w:rsid w:val="00DE5D76"/>
    <w:rsid w:val="00E04C8D"/>
    <w:rsid w:val="00E128D8"/>
    <w:rsid w:val="00E25773"/>
    <w:rsid w:val="00E27484"/>
    <w:rsid w:val="00E307B9"/>
    <w:rsid w:val="00E30D45"/>
    <w:rsid w:val="00E40288"/>
    <w:rsid w:val="00E42FE4"/>
    <w:rsid w:val="00E44A67"/>
    <w:rsid w:val="00E46FAA"/>
    <w:rsid w:val="00E50FB5"/>
    <w:rsid w:val="00E5750B"/>
    <w:rsid w:val="00E60E2E"/>
    <w:rsid w:val="00E630B7"/>
    <w:rsid w:val="00E63A24"/>
    <w:rsid w:val="00E67232"/>
    <w:rsid w:val="00E67913"/>
    <w:rsid w:val="00E67B8A"/>
    <w:rsid w:val="00E67D02"/>
    <w:rsid w:val="00E71A2D"/>
    <w:rsid w:val="00E72CB5"/>
    <w:rsid w:val="00E73600"/>
    <w:rsid w:val="00E8698A"/>
    <w:rsid w:val="00E87ABF"/>
    <w:rsid w:val="00E91EB6"/>
    <w:rsid w:val="00E923F2"/>
    <w:rsid w:val="00E924CF"/>
    <w:rsid w:val="00E96C17"/>
    <w:rsid w:val="00EA15D9"/>
    <w:rsid w:val="00EA2E51"/>
    <w:rsid w:val="00EA31CC"/>
    <w:rsid w:val="00EB14DF"/>
    <w:rsid w:val="00EB252D"/>
    <w:rsid w:val="00EB2B64"/>
    <w:rsid w:val="00EB3A07"/>
    <w:rsid w:val="00EB4143"/>
    <w:rsid w:val="00EB4728"/>
    <w:rsid w:val="00EB6DB0"/>
    <w:rsid w:val="00EC05C1"/>
    <w:rsid w:val="00EC1364"/>
    <w:rsid w:val="00EC207A"/>
    <w:rsid w:val="00EC33B0"/>
    <w:rsid w:val="00EC3F31"/>
    <w:rsid w:val="00ED3C91"/>
    <w:rsid w:val="00ED4112"/>
    <w:rsid w:val="00ED5E0D"/>
    <w:rsid w:val="00EE3DA0"/>
    <w:rsid w:val="00EE77DC"/>
    <w:rsid w:val="00EF1347"/>
    <w:rsid w:val="00EF2BEB"/>
    <w:rsid w:val="00F01129"/>
    <w:rsid w:val="00F03D93"/>
    <w:rsid w:val="00F03D9E"/>
    <w:rsid w:val="00F104C1"/>
    <w:rsid w:val="00F11CCA"/>
    <w:rsid w:val="00F176F4"/>
    <w:rsid w:val="00F227BF"/>
    <w:rsid w:val="00F22EAB"/>
    <w:rsid w:val="00F24BD1"/>
    <w:rsid w:val="00F2732C"/>
    <w:rsid w:val="00F27745"/>
    <w:rsid w:val="00F303EE"/>
    <w:rsid w:val="00F309F5"/>
    <w:rsid w:val="00F374B2"/>
    <w:rsid w:val="00F40215"/>
    <w:rsid w:val="00F40AFC"/>
    <w:rsid w:val="00F42C7B"/>
    <w:rsid w:val="00F43DF6"/>
    <w:rsid w:val="00F4730E"/>
    <w:rsid w:val="00F50A92"/>
    <w:rsid w:val="00F53F24"/>
    <w:rsid w:val="00F56CBD"/>
    <w:rsid w:val="00F63341"/>
    <w:rsid w:val="00F65873"/>
    <w:rsid w:val="00F70324"/>
    <w:rsid w:val="00F70577"/>
    <w:rsid w:val="00F75284"/>
    <w:rsid w:val="00F7536E"/>
    <w:rsid w:val="00F81F93"/>
    <w:rsid w:val="00F839A8"/>
    <w:rsid w:val="00F86F1B"/>
    <w:rsid w:val="00F92A21"/>
    <w:rsid w:val="00F92E9B"/>
    <w:rsid w:val="00F95814"/>
    <w:rsid w:val="00F95853"/>
    <w:rsid w:val="00F969DA"/>
    <w:rsid w:val="00FA01D9"/>
    <w:rsid w:val="00FA031C"/>
    <w:rsid w:val="00FA73B5"/>
    <w:rsid w:val="00FB13C1"/>
    <w:rsid w:val="00FB267C"/>
    <w:rsid w:val="00FB2B1E"/>
    <w:rsid w:val="00FB420B"/>
    <w:rsid w:val="00FC1C5F"/>
    <w:rsid w:val="00FC5A4D"/>
    <w:rsid w:val="00FC5C0C"/>
    <w:rsid w:val="00FC64EF"/>
    <w:rsid w:val="00FC71CB"/>
    <w:rsid w:val="00FD2673"/>
    <w:rsid w:val="00FD6B54"/>
    <w:rsid w:val="00FD7608"/>
    <w:rsid w:val="00FE026D"/>
    <w:rsid w:val="00FE22FA"/>
    <w:rsid w:val="00FE26C9"/>
    <w:rsid w:val="00FE2A29"/>
    <w:rsid w:val="00FE644B"/>
    <w:rsid w:val="00FE7B86"/>
    <w:rsid w:val="00FF3801"/>
    <w:rsid w:val="00FF7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3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9817E7"/>
    <w:pPr>
      <w:keepNext/>
      <w:keepLines/>
      <w:spacing w:before="360" w:after="30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9817E7"/>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29744D"/>
    <w:rPr>
      <w:sz w:val="16"/>
      <w:szCs w:val="16"/>
    </w:rPr>
  </w:style>
  <w:style w:type="paragraph" w:styleId="CommentText">
    <w:name w:val="annotation text"/>
    <w:basedOn w:val="Normal"/>
    <w:link w:val="CommentTextChar"/>
    <w:semiHidden/>
    <w:unhideWhenUsed/>
    <w:rsid w:val="0029744D"/>
    <w:pPr>
      <w:spacing w:line="240" w:lineRule="auto"/>
    </w:pPr>
    <w:rPr>
      <w:sz w:val="20"/>
      <w:szCs w:val="20"/>
    </w:rPr>
  </w:style>
  <w:style w:type="character" w:customStyle="1" w:styleId="CommentTextChar">
    <w:name w:val="Comment Text Char"/>
    <w:basedOn w:val="DefaultParagraphFont"/>
    <w:link w:val="CommentText"/>
    <w:semiHidden/>
    <w:rsid w:val="0029744D"/>
    <w:rPr>
      <w:rFonts w:ascii="Arial" w:hAnsi="Arial"/>
      <w:spacing w:val="4"/>
    </w:rPr>
  </w:style>
  <w:style w:type="paragraph" w:styleId="CommentSubject">
    <w:name w:val="annotation subject"/>
    <w:basedOn w:val="CommentText"/>
    <w:next w:val="CommentText"/>
    <w:link w:val="CommentSubjectChar"/>
    <w:semiHidden/>
    <w:unhideWhenUsed/>
    <w:rsid w:val="0029744D"/>
    <w:rPr>
      <w:b/>
      <w:bCs/>
    </w:rPr>
  </w:style>
  <w:style w:type="character" w:customStyle="1" w:styleId="CommentSubjectChar">
    <w:name w:val="Comment Subject Char"/>
    <w:basedOn w:val="CommentTextChar"/>
    <w:link w:val="CommentSubject"/>
    <w:semiHidden/>
    <w:rsid w:val="0029744D"/>
    <w:rPr>
      <w:rFonts w:ascii="Arial" w:hAnsi="Arial"/>
      <w:b/>
      <w:bCs/>
      <w:spacing w:val="4"/>
    </w:rPr>
  </w:style>
  <w:style w:type="paragraph" w:styleId="NormalWeb">
    <w:name w:val="Normal (Web)"/>
    <w:basedOn w:val="Normal"/>
    <w:uiPriority w:val="99"/>
    <w:unhideWhenUsed/>
    <w:rsid w:val="009A726D"/>
    <w:pPr>
      <w:spacing w:before="100" w:beforeAutospacing="1" w:after="100" w:afterAutospacing="1" w:line="240" w:lineRule="auto"/>
    </w:pPr>
    <w:rPr>
      <w:rFonts w:ascii="Times New Roman" w:hAnsi="Times New Roman"/>
      <w:spacing w:val="0"/>
    </w:rPr>
  </w:style>
  <w:style w:type="character" w:styleId="Emphasis">
    <w:name w:val="Emphasis"/>
    <w:basedOn w:val="DefaultParagraphFont"/>
    <w:uiPriority w:val="20"/>
    <w:qFormat/>
    <w:rsid w:val="009A726D"/>
    <w:rPr>
      <w:i/>
      <w:iCs/>
    </w:rPr>
  </w:style>
  <w:style w:type="character" w:styleId="FollowedHyperlink">
    <w:name w:val="FollowedHyperlink"/>
    <w:basedOn w:val="DefaultParagraphFont"/>
    <w:uiPriority w:val="99"/>
    <w:semiHidden/>
    <w:unhideWhenUsed/>
    <w:rsid w:val="007F461B"/>
    <w:rPr>
      <w:color w:val="000000" w:themeColor="followedHyperlink"/>
      <w:u w:val="single"/>
    </w:rPr>
  </w:style>
  <w:style w:type="paragraph" w:customStyle="1" w:styleId="Normal2">
    <w:name w:val="Normal_2"/>
    <w:qFormat/>
    <w:rsid w:val="007C5ACD"/>
    <w:pPr>
      <w:keepLines/>
      <w:spacing w:after="240" w:line="260" w:lineRule="exact"/>
      <w:jc w:val="both"/>
    </w:pPr>
    <w:rPr>
      <w:rFonts w:ascii="Book Antiqua" w:hAnsi="Book Antiqua"/>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locked/>
    <w:rsid w:val="00C13777"/>
    <w:rPr>
      <w:rFonts w:ascii="Arial" w:hAnsi="Arial"/>
      <w:spacing w:val="4"/>
      <w:sz w:val="24"/>
      <w:szCs w:val="24"/>
    </w:rPr>
  </w:style>
  <w:style w:type="character" w:customStyle="1" w:styleId="TalkingPointChar">
    <w:name w:val="TalkingPoint Char"/>
    <w:basedOn w:val="DefaultParagraphFont"/>
    <w:link w:val="TalkingPoint"/>
    <w:locked/>
    <w:rsid w:val="001E099A"/>
    <w:rPr>
      <w:rFonts w:ascii="Calibri" w:hAnsi="Calibri" w:cs="Calibri"/>
      <w:color w:val="000000"/>
      <w:lang w:eastAsia="en-US"/>
    </w:rPr>
  </w:style>
  <w:style w:type="paragraph" w:customStyle="1" w:styleId="TalkingPoint">
    <w:name w:val="TalkingPoint"/>
    <w:basedOn w:val="Normal"/>
    <w:link w:val="TalkingPointChar"/>
    <w:rsid w:val="001E099A"/>
    <w:pPr>
      <w:numPr>
        <w:numId w:val="7"/>
      </w:numPr>
      <w:spacing w:before="0" w:after="0" w:line="240" w:lineRule="auto"/>
    </w:pPr>
    <w:rPr>
      <w:rFonts w:ascii="Calibri" w:hAnsi="Calibri" w:cs="Calibri"/>
      <w:color w:val="000000"/>
      <w:spacing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8218">
      <w:bodyDiv w:val="1"/>
      <w:marLeft w:val="0"/>
      <w:marRight w:val="0"/>
      <w:marTop w:val="0"/>
      <w:marBottom w:val="0"/>
      <w:divBdr>
        <w:top w:val="none" w:sz="0" w:space="0" w:color="auto"/>
        <w:left w:val="none" w:sz="0" w:space="0" w:color="auto"/>
        <w:bottom w:val="none" w:sz="0" w:space="0" w:color="auto"/>
        <w:right w:val="none" w:sz="0" w:space="0" w:color="auto"/>
      </w:divBdr>
    </w:div>
    <w:div w:id="332995790">
      <w:bodyDiv w:val="1"/>
      <w:marLeft w:val="0"/>
      <w:marRight w:val="0"/>
      <w:marTop w:val="0"/>
      <w:marBottom w:val="0"/>
      <w:divBdr>
        <w:top w:val="none" w:sz="0" w:space="0" w:color="auto"/>
        <w:left w:val="none" w:sz="0" w:space="0" w:color="auto"/>
        <w:bottom w:val="none" w:sz="0" w:space="0" w:color="auto"/>
        <w:right w:val="none" w:sz="0" w:space="0" w:color="auto"/>
      </w:divBdr>
    </w:div>
    <w:div w:id="40850638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191939">
      <w:bodyDiv w:val="1"/>
      <w:marLeft w:val="0"/>
      <w:marRight w:val="0"/>
      <w:marTop w:val="0"/>
      <w:marBottom w:val="0"/>
      <w:divBdr>
        <w:top w:val="none" w:sz="0" w:space="0" w:color="auto"/>
        <w:left w:val="none" w:sz="0" w:space="0" w:color="auto"/>
        <w:bottom w:val="none" w:sz="0" w:space="0" w:color="auto"/>
        <w:right w:val="none" w:sz="0" w:space="0" w:color="auto"/>
      </w:divBdr>
    </w:div>
    <w:div w:id="996878725">
      <w:bodyDiv w:val="1"/>
      <w:marLeft w:val="0"/>
      <w:marRight w:val="0"/>
      <w:marTop w:val="0"/>
      <w:marBottom w:val="0"/>
      <w:divBdr>
        <w:top w:val="none" w:sz="0" w:space="0" w:color="auto"/>
        <w:left w:val="none" w:sz="0" w:space="0" w:color="auto"/>
        <w:bottom w:val="none" w:sz="0" w:space="0" w:color="auto"/>
        <w:right w:val="none" w:sz="0" w:space="0" w:color="auto"/>
      </w:divBdr>
    </w:div>
    <w:div w:id="109787064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73306913">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46679269">
      <w:bodyDiv w:val="1"/>
      <w:marLeft w:val="0"/>
      <w:marRight w:val="0"/>
      <w:marTop w:val="0"/>
      <w:marBottom w:val="0"/>
      <w:divBdr>
        <w:top w:val="none" w:sz="0" w:space="0" w:color="auto"/>
        <w:left w:val="none" w:sz="0" w:space="0" w:color="auto"/>
        <w:bottom w:val="none" w:sz="0" w:space="0" w:color="auto"/>
        <w:right w:val="none" w:sz="0" w:space="0" w:color="auto"/>
      </w:divBdr>
    </w:div>
    <w:div w:id="1683432769">
      <w:bodyDiv w:val="1"/>
      <w:marLeft w:val="0"/>
      <w:marRight w:val="0"/>
      <w:marTop w:val="0"/>
      <w:marBottom w:val="0"/>
      <w:divBdr>
        <w:top w:val="none" w:sz="0" w:space="0" w:color="auto"/>
        <w:left w:val="none" w:sz="0" w:space="0" w:color="auto"/>
        <w:bottom w:val="none" w:sz="0" w:space="0" w:color="auto"/>
        <w:right w:val="none" w:sz="0" w:space="0" w:color="auto"/>
      </w:divBdr>
    </w:div>
    <w:div w:id="1748191655">
      <w:bodyDiv w:val="1"/>
      <w:marLeft w:val="0"/>
      <w:marRight w:val="0"/>
      <w:marTop w:val="0"/>
      <w:marBottom w:val="0"/>
      <w:divBdr>
        <w:top w:val="none" w:sz="0" w:space="0" w:color="auto"/>
        <w:left w:val="none" w:sz="0" w:space="0" w:color="auto"/>
        <w:bottom w:val="none" w:sz="0" w:space="0" w:color="auto"/>
        <w:right w:val="none" w:sz="0" w:space="0" w:color="auto"/>
      </w:divBdr>
    </w:div>
    <w:div w:id="1830057577">
      <w:bodyDiv w:val="1"/>
      <w:marLeft w:val="0"/>
      <w:marRight w:val="0"/>
      <w:marTop w:val="0"/>
      <w:marBottom w:val="0"/>
      <w:divBdr>
        <w:top w:val="none" w:sz="0" w:space="0" w:color="auto"/>
        <w:left w:val="none" w:sz="0" w:space="0" w:color="auto"/>
        <w:bottom w:val="none" w:sz="0" w:space="0" w:color="auto"/>
        <w:right w:val="none" w:sz="0" w:space="0" w:color="auto"/>
      </w:divBdr>
    </w:div>
    <w:div w:id="1844006052">
      <w:bodyDiv w:val="1"/>
      <w:marLeft w:val="0"/>
      <w:marRight w:val="0"/>
      <w:marTop w:val="0"/>
      <w:marBottom w:val="0"/>
      <w:divBdr>
        <w:top w:val="none" w:sz="0" w:space="0" w:color="auto"/>
        <w:left w:val="none" w:sz="0" w:space="0" w:color="auto"/>
        <w:bottom w:val="none" w:sz="0" w:space="0" w:color="auto"/>
        <w:right w:val="none" w:sz="0" w:space="0" w:color="auto"/>
      </w:divBdr>
    </w:div>
    <w:div w:id="1985236979">
      <w:bodyDiv w:val="1"/>
      <w:marLeft w:val="0"/>
      <w:marRight w:val="0"/>
      <w:marTop w:val="0"/>
      <w:marBottom w:val="0"/>
      <w:divBdr>
        <w:top w:val="none" w:sz="0" w:space="0" w:color="auto"/>
        <w:left w:val="none" w:sz="0" w:space="0" w:color="auto"/>
        <w:bottom w:val="none" w:sz="0" w:space="0" w:color="auto"/>
        <w:right w:val="none" w:sz="0" w:space="0" w:color="auto"/>
      </w:divBdr>
      <w:divsChild>
        <w:div w:id="1453279102">
          <w:marLeft w:val="446"/>
          <w:marRight w:val="0"/>
          <w:marTop w:val="240"/>
          <w:marBottom w:val="0"/>
          <w:divBdr>
            <w:top w:val="none" w:sz="0" w:space="0" w:color="auto"/>
            <w:left w:val="none" w:sz="0" w:space="0" w:color="auto"/>
            <w:bottom w:val="none" w:sz="0" w:space="0" w:color="auto"/>
            <w:right w:val="none" w:sz="0" w:space="0" w:color="auto"/>
          </w:divBdr>
        </w:div>
        <w:div w:id="2130664108">
          <w:marLeft w:val="446"/>
          <w:marRight w:val="0"/>
          <w:marTop w:val="240"/>
          <w:marBottom w:val="0"/>
          <w:divBdr>
            <w:top w:val="none" w:sz="0" w:space="0" w:color="auto"/>
            <w:left w:val="none" w:sz="0" w:space="0" w:color="auto"/>
            <w:bottom w:val="none" w:sz="0" w:space="0" w:color="auto"/>
            <w:right w:val="none" w:sz="0" w:space="0" w:color="auto"/>
          </w:divBdr>
        </w:div>
        <w:div w:id="610823294">
          <w:marLeft w:val="446"/>
          <w:marRight w:val="0"/>
          <w:marTop w:val="240"/>
          <w:marBottom w:val="0"/>
          <w:divBdr>
            <w:top w:val="none" w:sz="0" w:space="0" w:color="auto"/>
            <w:left w:val="none" w:sz="0" w:space="0" w:color="auto"/>
            <w:bottom w:val="none" w:sz="0" w:space="0" w:color="auto"/>
            <w:right w:val="none" w:sz="0" w:space="0" w:color="auto"/>
          </w:divBdr>
        </w:div>
        <w:div w:id="2114473120">
          <w:marLeft w:val="446"/>
          <w:marRight w:val="0"/>
          <w:marTop w:val="240"/>
          <w:marBottom w:val="0"/>
          <w:divBdr>
            <w:top w:val="none" w:sz="0" w:space="0" w:color="auto"/>
            <w:left w:val="none" w:sz="0" w:space="0" w:color="auto"/>
            <w:bottom w:val="none" w:sz="0" w:space="0" w:color="auto"/>
            <w:right w:val="none" w:sz="0" w:space="0" w:color="auto"/>
          </w:divBdr>
        </w:div>
        <w:div w:id="629477987">
          <w:marLeft w:val="446"/>
          <w:marRight w:val="0"/>
          <w:marTop w:val="24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77B8-76C0-4EFA-B08F-10FF77B9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2706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2021-04-28T23:38:00Z</dcterms:created>
  <dcterms:modified xsi:type="dcterms:W3CDTF">2021-04-28T23:38:00Z</dcterms:modified>
</cp:coreProperties>
</file>