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96B7" w14:textId="77777777" w:rsidR="005316BE" w:rsidRDefault="00CF553B" w:rsidP="00537B50">
      <w:pPr>
        <w:spacing w:before="0" w:after="0"/>
        <w:ind w:left="-850"/>
      </w:pPr>
      <w:bookmarkStart w:id="0" w:name="_GoBack"/>
      <w:bookmarkEnd w:id="0"/>
      <w:r>
        <w:rPr>
          <w:noProof/>
        </w:rPr>
        <w:drawing>
          <wp:inline distT="0" distB="0" distL="0" distR="0" wp14:anchorId="6EBB6718" wp14:editId="266F02F4">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4C570AA1" w14:textId="57E4CC14" w:rsidR="00C460F3" w:rsidRDefault="00C460F3" w:rsidP="00F22EAB">
      <w:pPr>
        <w:pStyle w:val="Title"/>
      </w:pPr>
      <w:r>
        <w:t>Fact</w:t>
      </w:r>
      <w:r w:rsidR="003E6DA7">
        <w:t xml:space="preserve"> S</w:t>
      </w:r>
      <w:r>
        <w:t>heet</w:t>
      </w:r>
      <w:r w:rsidR="003E6DA7">
        <w:t>:</w:t>
      </w:r>
    </w:p>
    <w:p w14:paraId="6D094A4E" w14:textId="0CF224ED" w:rsidR="003E6DA7" w:rsidRDefault="00956914" w:rsidP="003E6DA7">
      <w:pPr>
        <w:pStyle w:val="Title"/>
      </w:pPr>
      <w:r>
        <w:t>Grant Extension Process</w:t>
      </w:r>
    </w:p>
    <w:p w14:paraId="79867E8D" w14:textId="62144145" w:rsidR="004D2BDC" w:rsidRPr="00614E26" w:rsidRDefault="00C460F3" w:rsidP="00EA2E51">
      <w:pPr>
        <w:pStyle w:val="Heading1"/>
        <w:rPr>
          <w:szCs w:val="36"/>
        </w:rPr>
      </w:pPr>
      <w:r w:rsidRPr="00614E26">
        <w:rPr>
          <w:szCs w:val="36"/>
        </w:rPr>
        <w:t xml:space="preserve">New </w:t>
      </w:r>
      <w:proofErr w:type="spellStart"/>
      <w:r w:rsidR="00D17F7F" w:rsidRPr="00614E26">
        <w:rPr>
          <w:szCs w:val="36"/>
        </w:rPr>
        <w:t>FaC</w:t>
      </w:r>
      <w:proofErr w:type="spellEnd"/>
      <w:r w:rsidR="00B664ED" w:rsidRPr="00614E26">
        <w:rPr>
          <w:szCs w:val="36"/>
        </w:rPr>
        <w:t xml:space="preserve"> </w:t>
      </w:r>
      <w:r w:rsidRPr="00614E26">
        <w:rPr>
          <w:szCs w:val="36"/>
        </w:rPr>
        <w:t>Activity requirements from 1 July 2021</w:t>
      </w:r>
    </w:p>
    <w:p w14:paraId="21E7A1B5" w14:textId="4FF072B7" w:rsidR="00C956C8" w:rsidRDefault="00C956C8" w:rsidP="00EA2E51">
      <w:pPr>
        <w:pStyle w:val="Heading2"/>
        <w:rPr>
          <w:sz w:val="28"/>
        </w:rPr>
      </w:pPr>
      <w:bookmarkStart w:id="1" w:name="_Toc391890681"/>
      <w:r>
        <w:rPr>
          <w:sz w:val="28"/>
        </w:rPr>
        <w:t>Why is my organisation only receiving two years funding?</w:t>
      </w:r>
    </w:p>
    <w:p w14:paraId="5D730753" w14:textId="77777777" w:rsidR="00B960B0" w:rsidRDefault="00B960B0" w:rsidP="00B960B0">
      <w:pPr>
        <w:rPr>
          <w:rFonts w:asciiTheme="minorHAnsi" w:hAnsiTheme="minorHAnsi" w:cstheme="minorHAnsi"/>
          <w:sz w:val="22"/>
          <w:szCs w:val="22"/>
        </w:rPr>
      </w:pPr>
      <w:r>
        <w:rPr>
          <w:rFonts w:asciiTheme="minorHAnsi" w:hAnsiTheme="minorHAnsi" w:cstheme="minorHAnsi"/>
          <w:sz w:val="22"/>
          <w:szCs w:val="22"/>
        </w:rPr>
        <w:t>At the end of November 2020, the Department of Social Services (the department) notified in</w:t>
      </w:r>
      <w:r>
        <w:rPr>
          <w:rFonts w:asciiTheme="minorHAnsi" w:hAnsiTheme="minorHAnsi" w:cstheme="minorHAnsi"/>
          <w:sz w:val="22"/>
          <w:szCs w:val="22"/>
        </w:rPr>
        <w:noBreakHyphen/>
        <w:t>scope service providers about funding extensions commencing on 1 July 2021 for the following programs:</w:t>
      </w:r>
    </w:p>
    <w:p w14:paraId="05118935" w14:textId="68E15F4E" w:rsidR="00B960B0" w:rsidRDefault="00B960B0" w:rsidP="00B960B0">
      <w:pPr>
        <w:rPr>
          <w:rFonts w:asciiTheme="minorHAnsi" w:hAnsiTheme="minorHAnsi" w:cstheme="minorHAnsi"/>
          <w:sz w:val="22"/>
          <w:szCs w:val="22"/>
        </w:rPr>
      </w:pPr>
      <w:r w:rsidRPr="00B960B0">
        <w:rPr>
          <w:rFonts w:asciiTheme="minorHAnsi" w:hAnsiTheme="minorHAnsi" w:cstheme="minorHAnsi"/>
          <w:sz w:val="22"/>
          <w:szCs w:val="22"/>
        </w:rPr>
        <w:t>Five-year grant extensions to 30 June 2026</w:t>
      </w:r>
      <w:r>
        <w:rPr>
          <w:rFonts w:asciiTheme="minorHAnsi" w:hAnsiTheme="minorHAnsi" w:cstheme="minorHAnsi"/>
          <w:sz w:val="22"/>
          <w:szCs w:val="22"/>
        </w:rPr>
        <w:t xml:space="preserve"> for:</w:t>
      </w:r>
    </w:p>
    <w:p w14:paraId="0CC96F34" w14:textId="77777777" w:rsidR="00B960B0" w:rsidRPr="00B960B0" w:rsidRDefault="00B960B0" w:rsidP="00B960B0">
      <w:pPr>
        <w:pStyle w:val="ListParagraph"/>
        <w:numPr>
          <w:ilvl w:val="0"/>
          <w:numId w:val="7"/>
        </w:numPr>
        <w:rPr>
          <w:rFonts w:asciiTheme="minorHAnsi" w:hAnsiTheme="minorHAnsi" w:cstheme="minorHAnsi"/>
          <w:sz w:val="22"/>
          <w:szCs w:val="22"/>
        </w:rPr>
      </w:pPr>
      <w:r w:rsidRPr="00B960B0">
        <w:rPr>
          <w:rFonts w:asciiTheme="minorHAnsi" w:hAnsiTheme="minorHAnsi" w:cstheme="minorHAnsi"/>
          <w:sz w:val="22"/>
          <w:szCs w:val="22"/>
        </w:rPr>
        <w:t>Communities for Children Facilitating Partners (</w:t>
      </w:r>
      <w:proofErr w:type="spellStart"/>
      <w:r w:rsidRPr="00B960B0">
        <w:rPr>
          <w:rFonts w:asciiTheme="minorHAnsi" w:hAnsiTheme="minorHAnsi" w:cstheme="minorHAnsi"/>
          <w:sz w:val="22"/>
          <w:szCs w:val="22"/>
        </w:rPr>
        <w:t>CfC</w:t>
      </w:r>
      <w:proofErr w:type="spellEnd"/>
      <w:r w:rsidRPr="00B960B0">
        <w:rPr>
          <w:rFonts w:asciiTheme="minorHAnsi" w:hAnsiTheme="minorHAnsi" w:cstheme="minorHAnsi"/>
          <w:sz w:val="22"/>
          <w:szCs w:val="22"/>
        </w:rPr>
        <w:t xml:space="preserve"> FPs)</w:t>
      </w:r>
    </w:p>
    <w:p w14:paraId="26BBD32B" w14:textId="77777777" w:rsidR="00B960B0" w:rsidRPr="00B960B0" w:rsidRDefault="00B960B0" w:rsidP="00B960B0">
      <w:pPr>
        <w:pStyle w:val="ListParagraph"/>
        <w:numPr>
          <w:ilvl w:val="0"/>
          <w:numId w:val="7"/>
        </w:numPr>
        <w:rPr>
          <w:rFonts w:asciiTheme="minorHAnsi" w:hAnsiTheme="minorHAnsi" w:cstheme="minorHAnsi"/>
          <w:sz w:val="22"/>
          <w:szCs w:val="22"/>
        </w:rPr>
      </w:pPr>
      <w:r w:rsidRPr="00B960B0">
        <w:rPr>
          <w:rFonts w:asciiTheme="minorHAnsi" w:hAnsiTheme="minorHAnsi" w:cstheme="minorHAnsi"/>
          <w:sz w:val="22"/>
          <w:szCs w:val="22"/>
        </w:rPr>
        <w:t>Family and Relationship Services (FaRS)*</w:t>
      </w:r>
    </w:p>
    <w:p w14:paraId="0EA0D1B8" w14:textId="77777777" w:rsidR="00B960B0" w:rsidRPr="00B960B0" w:rsidRDefault="00B960B0" w:rsidP="00B960B0">
      <w:pPr>
        <w:pStyle w:val="ListParagraph"/>
        <w:numPr>
          <w:ilvl w:val="0"/>
          <w:numId w:val="7"/>
        </w:numPr>
        <w:rPr>
          <w:rFonts w:asciiTheme="minorHAnsi" w:hAnsiTheme="minorHAnsi" w:cstheme="minorHAnsi"/>
          <w:sz w:val="22"/>
          <w:szCs w:val="22"/>
        </w:rPr>
      </w:pPr>
      <w:r w:rsidRPr="00B960B0">
        <w:rPr>
          <w:rFonts w:asciiTheme="minorHAnsi" w:hAnsiTheme="minorHAnsi" w:cstheme="minorHAnsi"/>
          <w:sz w:val="22"/>
          <w:szCs w:val="22"/>
        </w:rPr>
        <w:t>Family Mental Health Support Services (FMHSS) and</w:t>
      </w:r>
    </w:p>
    <w:p w14:paraId="4A9A430E" w14:textId="77777777" w:rsidR="00B960B0" w:rsidRPr="00B960B0" w:rsidRDefault="00B960B0" w:rsidP="00B960B0">
      <w:pPr>
        <w:pStyle w:val="ListParagraph"/>
        <w:numPr>
          <w:ilvl w:val="0"/>
          <w:numId w:val="7"/>
        </w:numPr>
        <w:rPr>
          <w:rFonts w:asciiTheme="minorHAnsi" w:hAnsiTheme="minorHAnsi" w:cstheme="minorHAnsi"/>
          <w:sz w:val="22"/>
          <w:szCs w:val="22"/>
        </w:rPr>
      </w:pPr>
      <w:r w:rsidRPr="00B960B0">
        <w:rPr>
          <w:rFonts w:asciiTheme="minorHAnsi" w:hAnsiTheme="minorHAnsi" w:cstheme="minorHAnsi"/>
          <w:sz w:val="22"/>
          <w:szCs w:val="22"/>
        </w:rPr>
        <w:t>five national Children and Parenting Support (</w:t>
      </w:r>
      <w:proofErr w:type="spellStart"/>
      <w:r w:rsidRPr="00B960B0">
        <w:rPr>
          <w:rFonts w:asciiTheme="minorHAnsi" w:hAnsiTheme="minorHAnsi" w:cstheme="minorHAnsi"/>
          <w:sz w:val="22"/>
          <w:szCs w:val="22"/>
        </w:rPr>
        <w:t>CaPS</w:t>
      </w:r>
      <w:proofErr w:type="spellEnd"/>
      <w:r w:rsidRPr="00B960B0">
        <w:rPr>
          <w:rFonts w:asciiTheme="minorHAnsi" w:hAnsiTheme="minorHAnsi" w:cstheme="minorHAnsi"/>
          <w:sz w:val="22"/>
          <w:szCs w:val="22"/>
        </w:rPr>
        <w:t>) providers</w:t>
      </w:r>
    </w:p>
    <w:p w14:paraId="1B0B474E" w14:textId="7616E1E5" w:rsidR="00B960B0" w:rsidRDefault="00B960B0" w:rsidP="00B960B0">
      <w:pPr>
        <w:rPr>
          <w:rFonts w:asciiTheme="minorHAnsi" w:hAnsiTheme="minorHAnsi" w:cstheme="minorHAnsi"/>
          <w:sz w:val="22"/>
          <w:szCs w:val="22"/>
        </w:rPr>
      </w:pPr>
      <w:r>
        <w:rPr>
          <w:rFonts w:asciiTheme="minorHAnsi" w:hAnsiTheme="minorHAnsi" w:cstheme="minorHAnsi"/>
          <w:sz w:val="22"/>
          <w:szCs w:val="22"/>
        </w:rPr>
        <w:t xml:space="preserve">* Future funding arrangements for FaRS Specialised Family Violence Services </w:t>
      </w:r>
      <w:r w:rsidR="0028121E">
        <w:rPr>
          <w:rFonts w:asciiTheme="minorHAnsi" w:hAnsiTheme="minorHAnsi" w:cstheme="minorHAnsi"/>
          <w:sz w:val="22"/>
          <w:szCs w:val="22"/>
        </w:rPr>
        <w:t xml:space="preserve">(SFVS) </w:t>
      </w:r>
      <w:r>
        <w:rPr>
          <w:rFonts w:asciiTheme="minorHAnsi" w:hAnsiTheme="minorHAnsi" w:cstheme="minorHAnsi"/>
          <w:sz w:val="22"/>
          <w:szCs w:val="22"/>
        </w:rPr>
        <w:t>who have funding until 30 June 2022 will be considered under the next National Plan to Reduce Violence against Women and their Children.</w:t>
      </w:r>
    </w:p>
    <w:p w14:paraId="1ABB3F4C" w14:textId="20ECF656" w:rsidR="00B960B0" w:rsidRDefault="00B960B0" w:rsidP="00B960B0">
      <w:pPr>
        <w:rPr>
          <w:rFonts w:asciiTheme="minorHAnsi" w:hAnsiTheme="minorHAnsi" w:cstheme="minorHAnsi"/>
          <w:sz w:val="22"/>
          <w:szCs w:val="22"/>
        </w:rPr>
      </w:pPr>
      <w:r w:rsidRPr="00B960B0">
        <w:rPr>
          <w:rFonts w:asciiTheme="minorHAnsi" w:hAnsiTheme="minorHAnsi" w:cstheme="minorHAnsi"/>
          <w:sz w:val="22"/>
          <w:szCs w:val="22"/>
        </w:rPr>
        <w:t>Two-year grant extensions to 30 June 2023</w:t>
      </w:r>
      <w:r>
        <w:rPr>
          <w:rFonts w:asciiTheme="minorHAnsi" w:hAnsiTheme="minorHAnsi" w:cstheme="minorHAnsi"/>
          <w:sz w:val="22"/>
          <w:szCs w:val="22"/>
        </w:rPr>
        <w:t xml:space="preserve"> for other providers delivering CaPS or Budget Based Funded (BBF) services.</w:t>
      </w:r>
    </w:p>
    <w:p w14:paraId="4A579F06" w14:textId="3096A3C4" w:rsidR="00B960B0" w:rsidRPr="00E52893" w:rsidRDefault="00B960B0" w:rsidP="00E52893">
      <w:pPr>
        <w:rPr>
          <w:rFonts w:asciiTheme="minorHAnsi" w:hAnsiTheme="minorHAnsi" w:cstheme="minorHAnsi"/>
          <w:sz w:val="22"/>
          <w:szCs w:val="22"/>
        </w:rPr>
      </w:pPr>
      <w:r w:rsidRPr="00E52893">
        <w:rPr>
          <w:rFonts w:asciiTheme="minorHAnsi" w:hAnsiTheme="minorHAnsi" w:cstheme="minorHAnsi"/>
          <w:sz w:val="22"/>
          <w:szCs w:val="22"/>
        </w:rPr>
        <w:t>Two-year extensions for providers of CaPS and BBF services will ensure funding certainty and allow time to consult with providers on opportunities for improved collaboration and coordination of service delivery.</w:t>
      </w:r>
    </w:p>
    <w:bookmarkEnd w:id="1"/>
    <w:p w14:paraId="44571F02" w14:textId="2FAE41B9" w:rsidR="00C956C8" w:rsidRDefault="00C956C8" w:rsidP="00C956C8">
      <w:pPr>
        <w:pStyle w:val="Heading2"/>
        <w:rPr>
          <w:sz w:val="28"/>
        </w:rPr>
      </w:pPr>
      <w:r>
        <w:rPr>
          <w:sz w:val="28"/>
        </w:rPr>
        <w:t>When can my organisation expect to receive a letter of offer?</w:t>
      </w:r>
    </w:p>
    <w:p w14:paraId="1902884B" w14:textId="1054BDC3" w:rsidR="00C956C8" w:rsidRDefault="0060200D" w:rsidP="00C956C8">
      <w:pPr>
        <w:rPr>
          <w:rFonts w:asciiTheme="minorHAnsi" w:hAnsiTheme="minorHAnsi" w:cstheme="minorHAnsi"/>
          <w:sz w:val="22"/>
          <w:szCs w:val="22"/>
        </w:rPr>
      </w:pPr>
      <w:r>
        <w:rPr>
          <w:rFonts w:asciiTheme="minorHAnsi" w:hAnsiTheme="minorHAnsi" w:cstheme="minorHAnsi"/>
          <w:sz w:val="22"/>
          <w:szCs w:val="22"/>
        </w:rPr>
        <w:t>Eligible service providers were notified in November 2020</w:t>
      </w:r>
      <w:r w:rsidRPr="0060200D">
        <w:t xml:space="preserve"> </w:t>
      </w:r>
      <w:r w:rsidRPr="0060200D">
        <w:rPr>
          <w:rFonts w:asciiTheme="minorHAnsi" w:hAnsiTheme="minorHAnsi" w:cstheme="minorHAnsi"/>
          <w:sz w:val="22"/>
          <w:szCs w:val="22"/>
        </w:rPr>
        <w:t>that grant arrangements would be extended and th</w:t>
      </w:r>
      <w:r>
        <w:rPr>
          <w:rFonts w:asciiTheme="minorHAnsi" w:hAnsiTheme="minorHAnsi" w:cstheme="minorHAnsi"/>
          <w:sz w:val="22"/>
          <w:szCs w:val="22"/>
        </w:rPr>
        <w:t xml:space="preserve">at the </w:t>
      </w:r>
      <w:r w:rsidRPr="0060200D">
        <w:rPr>
          <w:rFonts w:asciiTheme="minorHAnsi" w:hAnsiTheme="minorHAnsi" w:cstheme="minorHAnsi"/>
          <w:sz w:val="22"/>
          <w:szCs w:val="22"/>
        </w:rPr>
        <w:t xml:space="preserve">department would finalise grant agreements following the </w:t>
      </w:r>
      <w:proofErr w:type="spellStart"/>
      <w:r>
        <w:rPr>
          <w:rFonts w:asciiTheme="minorHAnsi" w:hAnsiTheme="minorHAnsi" w:cstheme="minorHAnsi"/>
          <w:sz w:val="22"/>
          <w:szCs w:val="22"/>
        </w:rPr>
        <w:t>FaC</w:t>
      </w:r>
      <w:proofErr w:type="spellEnd"/>
      <w:r>
        <w:rPr>
          <w:rFonts w:asciiTheme="minorHAnsi" w:hAnsiTheme="minorHAnsi" w:cstheme="minorHAnsi"/>
          <w:sz w:val="22"/>
          <w:szCs w:val="22"/>
        </w:rPr>
        <w:t xml:space="preserve"> Activity consultation</w:t>
      </w:r>
      <w:r w:rsidRPr="0060200D">
        <w:rPr>
          <w:rFonts w:asciiTheme="minorHAnsi" w:hAnsiTheme="minorHAnsi" w:cstheme="minorHAnsi"/>
          <w:sz w:val="22"/>
          <w:szCs w:val="22"/>
        </w:rPr>
        <w:t>.</w:t>
      </w:r>
      <w:r>
        <w:rPr>
          <w:rFonts w:asciiTheme="minorHAnsi" w:hAnsiTheme="minorHAnsi" w:cstheme="minorHAnsi"/>
          <w:sz w:val="22"/>
          <w:szCs w:val="22"/>
        </w:rPr>
        <w:t xml:space="preserve"> </w:t>
      </w:r>
      <w:r w:rsidR="00E52893">
        <w:rPr>
          <w:rFonts w:asciiTheme="minorHAnsi" w:hAnsiTheme="minorHAnsi" w:cstheme="minorHAnsi"/>
          <w:sz w:val="22"/>
          <w:szCs w:val="22"/>
        </w:rPr>
        <w:t xml:space="preserve">On 26 March 2021, the department emailed a letter to providers </w:t>
      </w:r>
      <w:r>
        <w:rPr>
          <w:rFonts w:asciiTheme="minorHAnsi" w:hAnsiTheme="minorHAnsi" w:cstheme="minorHAnsi"/>
          <w:sz w:val="22"/>
          <w:szCs w:val="22"/>
        </w:rPr>
        <w:t xml:space="preserve">formally </w:t>
      </w:r>
      <w:r w:rsidR="00E52893">
        <w:rPr>
          <w:rFonts w:asciiTheme="minorHAnsi" w:hAnsiTheme="minorHAnsi" w:cstheme="minorHAnsi"/>
          <w:sz w:val="22"/>
          <w:szCs w:val="22"/>
        </w:rPr>
        <w:t>notifying them of the intent to offer an extension to their funding.</w:t>
      </w:r>
    </w:p>
    <w:p w14:paraId="4170E2F5" w14:textId="68F75AD1" w:rsidR="00E52893" w:rsidRDefault="00E52893" w:rsidP="00C956C8">
      <w:pPr>
        <w:rPr>
          <w:rFonts w:eastAsiaTheme="minorHAnsi"/>
          <w:sz w:val="22"/>
          <w:szCs w:val="22"/>
        </w:rPr>
      </w:pPr>
      <w:r>
        <w:rPr>
          <w:rFonts w:eastAsiaTheme="minorHAnsi"/>
          <w:sz w:val="22"/>
          <w:szCs w:val="22"/>
        </w:rPr>
        <w:t xml:space="preserve">A formal letter of offer </w:t>
      </w:r>
      <w:r w:rsidR="008A2768">
        <w:rPr>
          <w:rFonts w:eastAsiaTheme="minorHAnsi"/>
          <w:sz w:val="22"/>
          <w:szCs w:val="22"/>
        </w:rPr>
        <w:t xml:space="preserve">including the new grant agreement for signing </w:t>
      </w:r>
      <w:r>
        <w:rPr>
          <w:rFonts w:eastAsiaTheme="minorHAnsi"/>
          <w:sz w:val="22"/>
          <w:szCs w:val="22"/>
        </w:rPr>
        <w:t>is expected to be sent to</w:t>
      </w:r>
      <w:r w:rsidR="00AC4CB5">
        <w:rPr>
          <w:rFonts w:eastAsiaTheme="minorHAnsi"/>
          <w:sz w:val="22"/>
          <w:szCs w:val="22"/>
        </w:rPr>
        <w:t> </w:t>
      </w:r>
      <w:r>
        <w:rPr>
          <w:rFonts w:eastAsiaTheme="minorHAnsi"/>
          <w:sz w:val="22"/>
          <w:szCs w:val="22"/>
        </w:rPr>
        <w:t>organisations from the end of April 2021.</w:t>
      </w:r>
    </w:p>
    <w:p w14:paraId="5100112D" w14:textId="4FD3BF39" w:rsidR="00E52893" w:rsidRDefault="00E52893" w:rsidP="00E52893">
      <w:pPr>
        <w:rPr>
          <w:rFonts w:asciiTheme="minorHAnsi" w:hAnsiTheme="minorHAnsi" w:cstheme="minorHAnsi"/>
          <w:sz w:val="22"/>
          <w:szCs w:val="22"/>
        </w:rPr>
      </w:pPr>
      <w:r>
        <w:rPr>
          <w:rFonts w:eastAsiaTheme="minorHAnsi"/>
          <w:sz w:val="22"/>
          <w:szCs w:val="22"/>
        </w:rPr>
        <w:t xml:space="preserve">If your organisation has not received a letter of offer </w:t>
      </w:r>
      <w:r>
        <w:rPr>
          <w:rFonts w:asciiTheme="minorHAnsi" w:hAnsiTheme="minorHAnsi" w:cstheme="minorHAnsi"/>
          <w:sz w:val="22"/>
          <w:szCs w:val="22"/>
        </w:rPr>
        <w:t>and you believe it should have, you should contact your Funding Arrangement Manager.</w:t>
      </w:r>
    </w:p>
    <w:p w14:paraId="717672FC" w14:textId="2104DA4D" w:rsidR="00C956C8" w:rsidRDefault="00C956C8" w:rsidP="00C956C8">
      <w:pPr>
        <w:pStyle w:val="Heading2"/>
        <w:rPr>
          <w:sz w:val="28"/>
        </w:rPr>
      </w:pPr>
      <w:r>
        <w:rPr>
          <w:sz w:val="28"/>
        </w:rPr>
        <w:lastRenderedPageBreak/>
        <w:t>Why has my organisation been asked to transition to the Whole of Government Standard Grant Agreement?</w:t>
      </w:r>
    </w:p>
    <w:p w14:paraId="3EC186D6" w14:textId="77777777" w:rsidR="00E52893" w:rsidRDefault="00E52893" w:rsidP="00E52893">
      <w:pPr>
        <w:rPr>
          <w:rFonts w:cs="Arial"/>
          <w:sz w:val="22"/>
          <w:szCs w:val="22"/>
        </w:rPr>
      </w:pPr>
      <w:r>
        <w:rPr>
          <w:rFonts w:cs="Arial"/>
          <w:sz w:val="22"/>
          <w:szCs w:val="22"/>
        </w:rPr>
        <w:t xml:space="preserve">The offer of extended funding will require transition to the Standard </w:t>
      </w:r>
      <w:r>
        <w:rPr>
          <w:rFonts w:asciiTheme="minorHAnsi" w:hAnsiTheme="minorHAnsi" w:cstheme="minorHAnsi"/>
          <w:sz w:val="22"/>
          <w:szCs w:val="22"/>
        </w:rPr>
        <w:t>Commonwealth Grant Agreement, Terms and Conditions and Supplementary Terms and Conditions for some providers. This is to bring funding arrangements in line with standardised administrative arrangements for Commonwealth grants.</w:t>
      </w:r>
    </w:p>
    <w:p w14:paraId="2E397C91" w14:textId="0FF92CE6" w:rsidR="00C956C8" w:rsidRDefault="00E52893" w:rsidP="00E52893">
      <w:pPr>
        <w:rPr>
          <w:rFonts w:asciiTheme="minorHAnsi" w:hAnsiTheme="minorHAnsi" w:cstheme="minorHAnsi"/>
          <w:sz w:val="22"/>
          <w:szCs w:val="22"/>
        </w:rPr>
      </w:pPr>
      <w:r>
        <w:rPr>
          <w:rFonts w:asciiTheme="minorHAnsi" w:hAnsiTheme="minorHAnsi" w:cstheme="minorHAnsi"/>
          <w:sz w:val="22"/>
          <w:szCs w:val="22"/>
        </w:rPr>
        <w:t xml:space="preserve">Further information about government grants administration can be found on the Australian Government Department of Finance website at </w:t>
      </w:r>
      <w:hyperlink r:id="rId9" w:history="1">
        <w:r>
          <w:rPr>
            <w:rStyle w:val="Hyperlink"/>
            <w:rFonts w:asciiTheme="minorHAnsi" w:hAnsiTheme="minorHAnsi" w:cstheme="minorHAnsi"/>
            <w:sz w:val="22"/>
            <w:szCs w:val="22"/>
          </w:rPr>
          <w:t>Commonwealth grants | Department of Finance</w:t>
        </w:r>
      </w:hyperlink>
      <w:r>
        <w:rPr>
          <w:rFonts w:asciiTheme="minorHAnsi" w:hAnsiTheme="minorHAnsi" w:cstheme="minorHAnsi"/>
          <w:sz w:val="22"/>
          <w:szCs w:val="22"/>
        </w:rPr>
        <w:t>.</w:t>
      </w:r>
    </w:p>
    <w:p w14:paraId="4C8A51E3" w14:textId="3926E243" w:rsidR="00C956C8" w:rsidRDefault="00B664ED" w:rsidP="00C956C8">
      <w:pPr>
        <w:pStyle w:val="Heading2"/>
        <w:rPr>
          <w:sz w:val="28"/>
        </w:rPr>
      </w:pPr>
      <w:r>
        <w:rPr>
          <w:sz w:val="28"/>
        </w:rPr>
        <w:t>Can I negotiate t</w:t>
      </w:r>
      <w:r w:rsidR="00C956C8">
        <w:rPr>
          <w:sz w:val="28"/>
        </w:rPr>
        <w:t>he terms and conditions outlined in the new grant agreement</w:t>
      </w:r>
      <w:r>
        <w:rPr>
          <w:sz w:val="28"/>
        </w:rPr>
        <w:t>?</w:t>
      </w:r>
    </w:p>
    <w:p w14:paraId="70ADB6AD" w14:textId="46AE297A" w:rsidR="00C956C8" w:rsidRDefault="007F5E51" w:rsidP="00C956C8">
      <w:pPr>
        <w:rPr>
          <w:rFonts w:asciiTheme="minorHAnsi" w:hAnsiTheme="minorHAnsi" w:cstheme="minorHAnsi"/>
          <w:sz w:val="22"/>
          <w:szCs w:val="22"/>
        </w:rPr>
      </w:pPr>
      <w:r>
        <w:rPr>
          <w:rFonts w:asciiTheme="minorHAnsi" w:hAnsiTheme="minorHAnsi" w:cstheme="minorHAnsi"/>
          <w:sz w:val="22"/>
          <w:szCs w:val="22"/>
        </w:rPr>
        <w:t>No. T</w:t>
      </w:r>
      <w:r w:rsidR="00E52893">
        <w:rPr>
          <w:rFonts w:asciiTheme="minorHAnsi" w:hAnsiTheme="minorHAnsi" w:cstheme="minorHAnsi"/>
          <w:sz w:val="22"/>
          <w:szCs w:val="22"/>
        </w:rPr>
        <w:t xml:space="preserve">he Standard Terms and Conditions apply to all Standard </w:t>
      </w:r>
      <w:r w:rsidR="00036FBE">
        <w:rPr>
          <w:rFonts w:asciiTheme="minorHAnsi" w:hAnsiTheme="minorHAnsi" w:cstheme="minorHAnsi"/>
          <w:sz w:val="22"/>
          <w:szCs w:val="22"/>
        </w:rPr>
        <w:t xml:space="preserve">Commonwealth Grant Agreements. </w:t>
      </w:r>
      <w:r w:rsidR="00E52893">
        <w:rPr>
          <w:rFonts w:asciiTheme="minorHAnsi" w:hAnsiTheme="minorHAnsi" w:cstheme="minorHAnsi"/>
          <w:sz w:val="22"/>
          <w:szCs w:val="22"/>
        </w:rPr>
        <w:t xml:space="preserve">The department has determined additional clauses provided in the Supplementary Terms and Conditions which align with government priorities, </w:t>
      </w:r>
      <w:r w:rsidR="006C06D4">
        <w:rPr>
          <w:rFonts w:asciiTheme="minorHAnsi" w:hAnsiTheme="minorHAnsi" w:cstheme="minorHAnsi"/>
          <w:sz w:val="22"/>
          <w:szCs w:val="22"/>
        </w:rPr>
        <w:t xml:space="preserve">including those </w:t>
      </w:r>
      <w:r w:rsidR="003F0CE6">
        <w:rPr>
          <w:rFonts w:asciiTheme="minorHAnsi" w:hAnsiTheme="minorHAnsi" w:cstheme="minorHAnsi"/>
          <w:sz w:val="22"/>
          <w:szCs w:val="22"/>
        </w:rPr>
        <w:t>requirements that</w:t>
      </w:r>
      <w:r w:rsidR="00E52893">
        <w:rPr>
          <w:rFonts w:asciiTheme="minorHAnsi" w:hAnsiTheme="minorHAnsi" w:cstheme="minorHAnsi"/>
          <w:sz w:val="22"/>
          <w:szCs w:val="22"/>
        </w:rPr>
        <w:t xml:space="preserve"> aim to ensure the safety and wellbeing of vulnerable people and children.</w:t>
      </w:r>
    </w:p>
    <w:p w14:paraId="09462267" w14:textId="7650964F" w:rsidR="00036FBE" w:rsidRPr="00036FBE" w:rsidRDefault="00036FBE" w:rsidP="00036FBE">
      <w:pPr>
        <w:pStyle w:val="Heading2"/>
        <w:rPr>
          <w:sz w:val="28"/>
        </w:rPr>
      </w:pPr>
      <w:r w:rsidRPr="00036FBE">
        <w:rPr>
          <w:sz w:val="28"/>
        </w:rPr>
        <w:t>What support will the d</w:t>
      </w:r>
      <w:r w:rsidR="003F0CE6">
        <w:rPr>
          <w:sz w:val="28"/>
        </w:rPr>
        <w:t>epartment provide to enable my o</w:t>
      </w:r>
      <w:r w:rsidRPr="00036FBE">
        <w:rPr>
          <w:sz w:val="28"/>
        </w:rPr>
        <w:t>rganisation to meet the service improvement measures outlined in the grant?</w:t>
      </w:r>
    </w:p>
    <w:p w14:paraId="6D05AFFF" w14:textId="75F4D207" w:rsidR="00036FBE" w:rsidRDefault="00036FBE" w:rsidP="00036FBE">
      <w:pPr>
        <w:rPr>
          <w:rFonts w:asciiTheme="minorHAnsi" w:hAnsiTheme="minorHAnsi" w:cstheme="minorHAnsi"/>
          <w:sz w:val="22"/>
          <w:szCs w:val="22"/>
        </w:rPr>
      </w:pPr>
      <w:r>
        <w:rPr>
          <w:rFonts w:asciiTheme="minorHAnsi" w:hAnsiTheme="minorHAnsi" w:cstheme="minorHAnsi"/>
          <w:sz w:val="22"/>
          <w:szCs w:val="22"/>
        </w:rPr>
        <w:t>The first 12 months under new grant agreements will be a transition period where the department will work with you to resolve any issues or barriers. The department is also developing a package of support, based on the feedback we received through consultation</w:t>
      </w:r>
      <w:r w:rsidR="00B94467">
        <w:rPr>
          <w:rFonts w:asciiTheme="minorHAnsi" w:hAnsiTheme="minorHAnsi" w:cstheme="minorHAnsi"/>
          <w:sz w:val="22"/>
          <w:szCs w:val="22"/>
        </w:rPr>
        <w:t>s</w:t>
      </w:r>
      <w:r>
        <w:rPr>
          <w:rFonts w:asciiTheme="minorHAnsi" w:hAnsiTheme="minorHAnsi" w:cstheme="minorHAnsi"/>
          <w:sz w:val="22"/>
          <w:szCs w:val="22"/>
        </w:rPr>
        <w:t>, which will continue to assist providers who require support.</w:t>
      </w:r>
    </w:p>
    <w:p w14:paraId="3263C6AB" w14:textId="1AB6665E" w:rsidR="000A5BAF" w:rsidRDefault="000A5BAF" w:rsidP="000A5BAF">
      <w:pPr>
        <w:pStyle w:val="Heading2"/>
        <w:rPr>
          <w:sz w:val="28"/>
        </w:rPr>
      </w:pPr>
      <w:r>
        <w:rPr>
          <w:sz w:val="28"/>
        </w:rPr>
        <w:t xml:space="preserve">How will the new grants contribute to national </w:t>
      </w:r>
      <w:proofErr w:type="gramStart"/>
      <w:r>
        <w:rPr>
          <w:sz w:val="28"/>
        </w:rPr>
        <w:t>Closing</w:t>
      </w:r>
      <w:proofErr w:type="gramEnd"/>
      <w:r>
        <w:rPr>
          <w:sz w:val="28"/>
        </w:rPr>
        <w:t xml:space="preserve"> the Gap targets, particularly, to strengthen and improve formal partnerships and shared </w:t>
      </w:r>
      <w:r w:rsidR="007F5E51">
        <w:rPr>
          <w:sz w:val="28"/>
        </w:rPr>
        <w:t>decision-making</w:t>
      </w:r>
      <w:r>
        <w:rPr>
          <w:sz w:val="28"/>
        </w:rPr>
        <w:t>?</w:t>
      </w:r>
    </w:p>
    <w:p w14:paraId="38C96BB5" w14:textId="4C2A510D" w:rsidR="000A5BAF" w:rsidRPr="000A4569" w:rsidRDefault="000A5BAF" w:rsidP="000A5BAF">
      <w:pPr>
        <w:rPr>
          <w:rFonts w:asciiTheme="minorHAnsi" w:hAnsiTheme="minorHAnsi" w:cstheme="minorHAnsi"/>
          <w:sz w:val="22"/>
          <w:szCs w:val="22"/>
        </w:rPr>
      </w:pPr>
      <w:r w:rsidRPr="000A4569">
        <w:rPr>
          <w:rFonts w:asciiTheme="minorHAnsi" w:hAnsiTheme="minorHAnsi" w:cstheme="minorHAnsi"/>
          <w:sz w:val="22"/>
          <w:szCs w:val="22"/>
        </w:rPr>
        <w:t>The department is committed to strengthening and improving partnerships with the Aboriginal and Torres Strait Islander community controlled sector. The department is continuing to consult on future opportunities to increase the involvement of Aboriginal and Torres Strait Islander organisations and to improve targeting and accessibility of services for vulnerable Aboriginal and Torres Strait Islander families and children.</w:t>
      </w:r>
    </w:p>
    <w:p w14:paraId="2235D393" w14:textId="4CC3AB2B" w:rsidR="000A5BAF" w:rsidRPr="000A4569" w:rsidRDefault="000A5BAF" w:rsidP="000A5BAF">
      <w:pPr>
        <w:rPr>
          <w:rFonts w:asciiTheme="minorHAnsi" w:hAnsiTheme="minorHAnsi" w:cstheme="minorHAnsi"/>
          <w:sz w:val="22"/>
          <w:szCs w:val="22"/>
        </w:rPr>
      </w:pPr>
      <w:r w:rsidRPr="000A4569">
        <w:rPr>
          <w:rFonts w:asciiTheme="minorHAnsi" w:hAnsiTheme="minorHAnsi" w:cstheme="minorHAnsi"/>
          <w:sz w:val="22"/>
          <w:szCs w:val="22"/>
        </w:rPr>
        <w:t xml:space="preserve">While grant extensions will be offered to existing organisations, this does not prevent the establishment of new </w:t>
      </w:r>
      <w:r>
        <w:rPr>
          <w:rFonts w:asciiTheme="minorHAnsi" w:hAnsiTheme="minorHAnsi" w:cstheme="minorHAnsi"/>
          <w:sz w:val="22"/>
          <w:szCs w:val="22"/>
        </w:rPr>
        <w:t xml:space="preserve">service delivery </w:t>
      </w:r>
      <w:r w:rsidRPr="000A4569">
        <w:rPr>
          <w:rFonts w:asciiTheme="minorHAnsi" w:hAnsiTheme="minorHAnsi" w:cstheme="minorHAnsi"/>
          <w:sz w:val="22"/>
          <w:szCs w:val="22"/>
        </w:rPr>
        <w:t>partnerships with Aboriginal and Torres Strait Islander community controlled organisations.</w:t>
      </w:r>
      <w:r w:rsidR="00D941A4">
        <w:rPr>
          <w:rFonts w:asciiTheme="minorHAnsi" w:hAnsiTheme="minorHAnsi" w:cstheme="minorHAnsi"/>
          <w:sz w:val="22"/>
          <w:szCs w:val="22"/>
        </w:rPr>
        <w:t xml:space="preserve"> For more information on developing genuine partnerships, see the SNAICC partnership tools resource </w:t>
      </w:r>
      <w:hyperlink r:id="rId10" w:history="1">
        <w:r w:rsidR="00D941A4" w:rsidRPr="00D941A4">
          <w:rPr>
            <w:rStyle w:val="Hyperlink"/>
            <w:rFonts w:asciiTheme="minorHAnsi" w:hAnsiTheme="minorHAnsi" w:cstheme="minorHAnsi"/>
            <w:sz w:val="22"/>
            <w:szCs w:val="22"/>
          </w:rPr>
          <w:t>here</w:t>
        </w:r>
      </w:hyperlink>
      <w:r w:rsidR="00D941A4">
        <w:rPr>
          <w:rFonts w:asciiTheme="minorHAnsi" w:hAnsiTheme="minorHAnsi" w:cstheme="minorHAnsi"/>
          <w:sz w:val="22"/>
          <w:szCs w:val="22"/>
        </w:rPr>
        <w:t xml:space="preserve">. </w:t>
      </w:r>
    </w:p>
    <w:p w14:paraId="00245206" w14:textId="63EC2F2B" w:rsidR="00EA5B5A" w:rsidRPr="00EA2E51" w:rsidRDefault="00EA5B5A" w:rsidP="00EA5B5A">
      <w:pPr>
        <w:pStyle w:val="Heading2"/>
        <w:rPr>
          <w:sz w:val="28"/>
        </w:rPr>
      </w:pPr>
      <w:r>
        <w:rPr>
          <w:sz w:val="28"/>
        </w:rPr>
        <w:t>Where can I go for more information or if I have further questions</w:t>
      </w:r>
      <w:r w:rsidRPr="00EA2E51">
        <w:rPr>
          <w:sz w:val="28"/>
        </w:rPr>
        <w:t>?</w:t>
      </w:r>
    </w:p>
    <w:p w14:paraId="411743FD" w14:textId="3256805A" w:rsidR="00C956C8" w:rsidRPr="00036FBE" w:rsidRDefault="00EA5B5A" w:rsidP="00036FBE">
      <w:pPr>
        <w:rPr>
          <w:rFonts w:eastAsiaTheme="minorHAnsi" w:cs="Arial"/>
          <w:sz w:val="22"/>
          <w:szCs w:val="10"/>
          <w:lang w:eastAsia="en-US"/>
        </w:rPr>
      </w:pPr>
      <w:r>
        <w:rPr>
          <w:rFonts w:eastAsiaTheme="minorHAnsi" w:cs="Arial"/>
          <w:sz w:val="22"/>
          <w:szCs w:val="10"/>
          <w:lang w:eastAsia="en-US"/>
        </w:rPr>
        <w:t>You should contact your Funding Arrangement Manager in the first instance to discuss</w:t>
      </w:r>
      <w:r w:rsidR="00B94467">
        <w:rPr>
          <w:rFonts w:eastAsiaTheme="minorHAnsi" w:cs="Arial"/>
          <w:sz w:val="22"/>
          <w:szCs w:val="10"/>
          <w:lang w:eastAsia="en-US"/>
        </w:rPr>
        <w:t xml:space="preserve"> any issues</w:t>
      </w:r>
      <w:r>
        <w:rPr>
          <w:rFonts w:eastAsiaTheme="minorHAnsi" w:cs="Arial"/>
          <w:sz w:val="22"/>
          <w:szCs w:val="10"/>
          <w:lang w:eastAsia="en-US"/>
        </w:rPr>
        <w:t>.</w:t>
      </w:r>
    </w:p>
    <w:sectPr w:rsidR="00C956C8" w:rsidRPr="00036FBE" w:rsidSect="000A4569">
      <w:headerReference w:type="even" r:id="rId11"/>
      <w:headerReference w:type="default" r:id="rId12"/>
      <w:footerReference w:type="even" r:id="rId13"/>
      <w:footerReference w:type="default" r:id="rId14"/>
      <w:headerReference w:type="first" r:id="rId15"/>
      <w:footerReference w:type="first" r:id="rId16"/>
      <w:pgSz w:w="11906" w:h="16838" w:code="9"/>
      <w:pgMar w:top="993" w:right="851" w:bottom="851"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C7BF5" w14:textId="77777777" w:rsidR="00B06C70" w:rsidRDefault="00B06C70">
      <w:r>
        <w:separator/>
      </w:r>
    </w:p>
  </w:endnote>
  <w:endnote w:type="continuationSeparator" w:id="0">
    <w:p w14:paraId="16C80CD3" w14:textId="77777777" w:rsidR="00B06C70" w:rsidRDefault="00B0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BB2" w14:textId="77777777" w:rsidR="001A4754" w:rsidRDefault="001A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EF63" w14:textId="77777777" w:rsidR="001A4754" w:rsidRDefault="001A4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BBE6" w14:textId="77777777" w:rsidR="001A4754" w:rsidRDefault="001A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5ABE" w14:textId="77777777" w:rsidR="00B06C70" w:rsidRDefault="00B06C70">
      <w:r>
        <w:separator/>
      </w:r>
    </w:p>
  </w:footnote>
  <w:footnote w:type="continuationSeparator" w:id="0">
    <w:p w14:paraId="036F8F87" w14:textId="77777777" w:rsidR="00B06C70" w:rsidRDefault="00B0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955D" w14:textId="77777777" w:rsidR="001A4754" w:rsidRDefault="001A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7E13" w14:textId="77777777" w:rsidR="001A4754" w:rsidRDefault="001A4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C893" w14:textId="77777777" w:rsidR="00142F3E" w:rsidRDefault="001A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E32776"/>
    <w:multiLevelType w:val="hybridMultilevel"/>
    <w:tmpl w:val="3F483548"/>
    <w:lvl w:ilvl="0" w:tplc="0C090001">
      <w:start w:val="1"/>
      <w:numFmt w:val="bullet"/>
      <w:lvlText w:val=""/>
      <w:lvlJc w:val="left"/>
      <w:pPr>
        <w:ind w:left="2028" w:hanging="360"/>
      </w:pPr>
      <w:rPr>
        <w:rFonts w:ascii="Symbol" w:hAnsi="Symbol" w:hint="default"/>
      </w:rPr>
    </w:lvl>
    <w:lvl w:ilvl="1" w:tplc="0C090003">
      <w:start w:val="1"/>
      <w:numFmt w:val="bullet"/>
      <w:lvlText w:val="o"/>
      <w:lvlJc w:val="left"/>
      <w:pPr>
        <w:ind w:left="2748" w:hanging="360"/>
      </w:pPr>
      <w:rPr>
        <w:rFonts w:ascii="Courier New" w:hAnsi="Courier New" w:cs="Courier New" w:hint="default"/>
      </w:rPr>
    </w:lvl>
    <w:lvl w:ilvl="2" w:tplc="0C090005" w:tentative="1">
      <w:start w:val="1"/>
      <w:numFmt w:val="bullet"/>
      <w:lvlText w:val=""/>
      <w:lvlJc w:val="left"/>
      <w:pPr>
        <w:ind w:left="3468" w:hanging="360"/>
      </w:pPr>
      <w:rPr>
        <w:rFonts w:ascii="Wingdings" w:hAnsi="Wingdings" w:hint="default"/>
      </w:rPr>
    </w:lvl>
    <w:lvl w:ilvl="3" w:tplc="0C090001" w:tentative="1">
      <w:start w:val="1"/>
      <w:numFmt w:val="bullet"/>
      <w:lvlText w:val=""/>
      <w:lvlJc w:val="left"/>
      <w:pPr>
        <w:ind w:left="4188" w:hanging="360"/>
      </w:pPr>
      <w:rPr>
        <w:rFonts w:ascii="Symbol" w:hAnsi="Symbol" w:hint="default"/>
      </w:rPr>
    </w:lvl>
    <w:lvl w:ilvl="4" w:tplc="0C090003" w:tentative="1">
      <w:start w:val="1"/>
      <w:numFmt w:val="bullet"/>
      <w:lvlText w:val="o"/>
      <w:lvlJc w:val="left"/>
      <w:pPr>
        <w:ind w:left="4908" w:hanging="360"/>
      </w:pPr>
      <w:rPr>
        <w:rFonts w:ascii="Courier New" w:hAnsi="Courier New" w:cs="Courier New" w:hint="default"/>
      </w:rPr>
    </w:lvl>
    <w:lvl w:ilvl="5" w:tplc="0C090005" w:tentative="1">
      <w:start w:val="1"/>
      <w:numFmt w:val="bullet"/>
      <w:lvlText w:val=""/>
      <w:lvlJc w:val="left"/>
      <w:pPr>
        <w:ind w:left="5628" w:hanging="360"/>
      </w:pPr>
      <w:rPr>
        <w:rFonts w:ascii="Wingdings" w:hAnsi="Wingdings" w:hint="default"/>
      </w:rPr>
    </w:lvl>
    <w:lvl w:ilvl="6" w:tplc="0C090001" w:tentative="1">
      <w:start w:val="1"/>
      <w:numFmt w:val="bullet"/>
      <w:lvlText w:val=""/>
      <w:lvlJc w:val="left"/>
      <w:pPr>
        <w:ind w:left="6348" w:hanging="360"/>
      </w:pPr>
      <w:rPr>
        <w:rFonts w:ascii="Symbol" w:hAnsi="Symbol" w:hint="default"/>
      </w:rPr>
    </w:lvl>
    <w:lvl w:ilvl="7" w:tplc="0C090003" w:tentative="1">
      <w:start w:val="1"/>
      <w:numFmt w:val="bullet"/>
      <w:lvlText w:val="o"/>
      <w:lvlJc w:val="left"/>
      <w:pPr>
        <w:ind w:left="7068" w:hanging="360"/>
      </w:pPr>
      <w:rPr>
        <w:rFonts w:ascii="Courier New" w:hAnsi="Courier New" w:cs="Courier New" w:hint="default"/>
      </w:rPr>
    </w:lvl>
    <w:lvl w:ilvl="8" w:tplc="0C090005" w:tentative="1">
      <w:start w:val="1"/>
      <w:numFmt w:val="bullet"/>
      <w:lvlText w:val=""/>
      <w:lvlJc w:val="left"/>
      <w:pPr>
        <w:ind w:left="7788" w:hanging="360"/>
      </w:pPr>
      <w:rPr>
        <w:rFonts w:ascii="Wingdings" w:hAnsi="Wingdings" w:hint="default"/>
      </w:rPr>
    </w:lvl>
  </w:abstractNum>
  <w:abstractNum w:abstractNumId="2" w15:restartNumberingAfterBreak="0">
    <w:nsid w:val="25F71B8E"/>
    <w:multiLevelType w:val="hybridMultilevel"/>
    <w:tmpl w:val="8066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B65643"/>
    <w:multiLevelType w:val="hybridMultilevel"/>
    <w:tmpl w:val="1BD29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4B384F"/>
    <w:multiLevelType w:val="hybridMultilevel"/>
    <w:tmpl w:val="EA9E5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AB"/>
    <w:rsid w:val="00002C18"/>
    <w:rsid w:val="00007CA4"/>
    <w:rsid w:val="00010549"/>
    <w:rsid w:val="00012A54"/>
    <w:rsid w:val="00012F84"/>
    <w:rsid w:val="00013F99"/>
    <w:rsid w:val="00017194"/>
    <w:rsid w:val="00025376"/>
    <w:rsid w:val="00025580"/>
    <w:rsid w:val="00026836"/>
    <w:rsid w:val="00027B26"/>
    <w:rsid w:val="0003104E"/>
    <w:rsid w:val="00031195"/>
    <w:rsid w:val="00032861"/>
    <w:rsid w:val="000345E9"/>
    <w:rsid w:val="00035CA1"/>
    <w:rsid w:val="0003679F"/>
    <w:rsid w:val="00036FBE"/>
    <w:rsid w:val="00037976"/>
    <w:rsid w:val="00040F68"/>
    <w:rsid w:val="00041434"/>
    <w:rsid w:val="000435BB"/>
    <w:rsid w:val="0004467F"/>
    <w:rsid w:val="00044A4F"/>
    <w:rsid w:val="00045CCD"/>
    <w:rsid w:val="00047524"/>
    <w:rsid w:val="00047ACD"/>
    <w:rsid w:val="000505B2"/>
    <w:rsid w:val="00050E5B"/>
    <w:rsid w:val="000547EF"/>
    <w:rsid w:val="00054B89"/>
    <w:rsid w:val="0006601E"/>
    <w:rsid w:val="00067CD0"/>
    <w:rsid w:val="00080F2E"/>
    <w:rsid w:val="00081CEB"/>
    <w:rsid w:val="00083791"/>
    <w:rsid w:val="00086E3C"/>
    <w:rsid w:val="00087B2C"/>
    <w:rsid w:val="00087DBD"/>
    <w:rsid w:val="00090570"/>
    <w:rsid w:val="00090753"/>
    <w:rsid w:val="0009405C"/>
    <w:rsid w:val="00096F54"/>
    <w:rsid w:val="00097BFF"/>
    <w:rsid w:val="000A4569"/>
    <w:rsid w:val="000A5BAF"/>
    <w:rsid w:val="000A5E56"/>
    <w:rsid w:val="000A669D"/>
    <w:rsid w:val="000A66A8"/>
    <w:rsid w:val="000A7DCF"/>
    <w:rsid w:val="000B1083"/>
    <w:rsid w:val="000B134D"/>
    <w:rsid w:val="000B2605"/>
    <w:rsid w:val="000C014D"/>
    <w:rsid w:val="000D0178"/>
    <w:rsid w:val="000D4703"/>
    <w:rsid w:val="000D693C"/>
    <w:rsid w:val="000E12D4"/>
    <w:rsid w:val="000E2440"/>
    <w:rsid w:val="000E2FB3"/>
    <w:rsid w:val="000F41A2"/>
    <w:rsid w:val="000F7B13"/>
    <w:rsid w:val="00100DAB"/>
    <w:rsid w:val="00104669"/>
    <w:rsid w:val="00110028"/>
    <w:rsid w:val="0011449B"/>
    <w:rsid w:val="00116EDF"/>
    <w:rsid w:val="00124B26"/>
    <w:rsid w:val="00124B54"/>
    <w:rsid w:val="00130C4E"/>
    <w:rsid w:val="00131B54"/>
    <w:rsid w:val="001354B7"/>
    <w:rsid w:val="001404FA"/>
    <w:rsid w:val="00140604"/>
    <w:rsid w:val="001413C5"/>
    <w:rsid w:val="00142956"/>
    <w:rsid w:val="00143502"/>
    <w:rsid w:val="00143BFB"/>
    <w:rsid w:val="00144494"/>
    <w:rsid w:val="00144868"/>
    <w:rsid w:val="0014488F"/>
    <w:rsid w:val="00151D95"/>
    <w:rsid w:val="001523BD"/>
    <w:rsid w:val="00157709"/>
    <w:rsid w:val="00161470"/>
    <w:rsid w:val="00163699"/>
    <w:rsid w:val="00164B54"/>
    <w:rsid w:val="00167330"/>
    <w:rsid w:val="00167CF4"/>
    <w:rsid w:val="0017271C"/>
    <w:rsid w:val="0018132A"/>
    <w:rsid w:val="00185F6A"/>
    <w:rsid w:val="0018667F"/>
    <w:rsid w:val="001943DD"/>
    <w:rsid w:val="00195374"/>
    <w:rsid w:val="001A127F"/>
    <w:rsid w:val="001A1F53"/>
    <w:rsid w:val="001A2321"/>
    <w:rsid w:val="001A2881"/>
    <w:rsid w:val="001A3515"/>
    <w:rsid w:val="001A3B2F"/>
    <w:rsid w:val="001A3CA4"/>
    <w:rsid w:val="001A3EA4"/>
    <w:rsid w:val="001A4754"/>
    <w:rsid w:val="001A7604"/>
    <w:rsid w:val="001B1B10"/>
    <w:rsid w:val="001B2AD5"/>
    <w:rsid w:val="001B35C4"/>
    <w:rsid w:val="001B3AEC"/>
    <w:rsid w:val="001B5000"/>
    <w:rsid w:val="001B6F28"/>
    <w:rsid w:val="001B7B1F"/>
    <w:rsid w:val="001D36F2"/>
    <w:rsid w:val="001D4585"/>
    <w:rsid w:val="001D5D54"/>
    <w:rsid w:val="001E36CE"/>
    <w:rsid w:val="001E41C8"/>
    <w:rsid w:val="001F3AD7"/>
    <w:rsid w:val="001F45EB"/>
    <w:rsid w:val="001F7097"/>
    <w:rsid w:val="00207630"/>
    <w:rsid w:val="00211380"/>
    <w:rsid w:val="00213082"/>
    <w:rsid w:val="00215A68"/>
    <w:rsid w:val="0021714E"/>
    <w:rsid w:val="00222187"/>
    <w:rsid w:val="00222C8D"/>
    <w:rsid w:val="00222E33"/>
    <w:rsid w:val="00227B95"/>
    <w:rsid w:val="0023523A"/>
    <w:rsid w:val="002353DF"/>
    <w:rsid w:val="00235F71"/>
    <w:rsid w:val="0025272A"/>
    <w:rsid w:val="00253552"/>
    <w:rsid w:val="0025475A"/>
    <w:rsid w:val="002561FC"/>
    <w:rsid w:val="00261570"/>
    <w:rsid w:val="00266AC3"/>
    <w:rsid w:val="00271922"/>
    <w:rsid w:val="0027204E"/>
    <w:rsid w:val="00272F99"/>
    <w:rsid w:val="00273412"/>
    <w:rsid w:val="00274ACF"/>
    <w:rsid w:val="0028121E"/>
    <w:rsid w:val="00283644"/>
    <w:rsid w:val="00285F1B"/>
    <w:rsid w:val="00291372"/>
    <w:rsid w:val="00295831"/>
    <w:rsid w:val="00296F1B"/>
    <w:rsid w:val="0029744D"/>
    <w:rsid w:val="002A4F3A"/>
    <w:rsid w:val="002A6DF5"/>
    <w:rsid w:val="002D00B0"/>
    <w:rsid w:val="002D2E16"/>
    <w:rsid w:val="002D4DA9"/>
    <w:rsid w:val="002D748B"/>
    <w:rsid w:val="002E2DFA"/>
    <w:rsid w:val="002F0424"/>
    <w:rsid w:val="002F19EF"/>
    <w:rsid w:val="002F1D90"/>
    <w:rsid w:val="002F74FB"/>
    <w:rsid w:val="00302415"/>
    <w:rsid w:val="00302DC0"/>
    <w:rsid w:val="003031D4"/>
    <w:rsid w:val="0030541A"/>
    <w:rsid w:val="0030693C"/>
    <w:rsid w:val="00307F87"/>
    <w:rsid w:val="003102F6"/>
    <w:rsid w:val="00313304"/>
    <w:rsid w:val="00313C48"/>
    <w:rsid w:val="00314D15"/>
    <w:rsid w:val="003162AD"/>
    <w:rsid w:val="00317AEF"/>
    <w:rsid w:val="00321148"/>
    <w:rsid w:val="00321798"/>
    <w:rsid w:val="00322EC6"/>
    <w:rsid w:val="00324F52"/>
    <w:rsid w:val="00325F44"/>
    <w:rsid w:val="00326976"/>
    <w:rsid w:val="00326F73"/>
    <w:rsid w:val="003311D7"/>
    <w:rsid w:val="00332B8B"/>
    <w:rsid w:val="003374BD"/>
    <w:rsid w:val="00342476"/>
    <w:rsid w:val="00344386"/>
    <w:rsid w:val="00347104"/>
    <w:rsid w:val="003473D7"/>
    <w:rsid w:val="0035213F"/>
    <w:rsid w:val="003555D2"/>
    <w:rsid w:val="00363DF3"/>
    <w:rsid w:val="003656B1"/>
    <w:rsid w:val="0037056B"/>
    <w:rsid w:val="00377173"/>
    <w:rsid w:val="003774DA"/>
    <w:rsid w:val="00382079"/>
    <w:rsid w:val="00392557"/>
    <w:rsid w:val="003945C0"/>
    <w:rsid w:val="003A06C2"/>
    <w:rsid w:val="003A304E"/>
    <w:rsid w:val="003B13C4"/>
    <w:rsid w:val="003B6D2E"/>
    <w:rsid w:val="003C1742"/>
    <w:rsid w:val="003C430D"/>
    <w:rsid w:val="003C7404"/>
    <w:rsid w:val="003D3C5A"/>
    <w:rsid w:val="003D404A"/>
    <w:rsid w:val="003D46A9"/>
    <w:rsid w:val="003E582B"/>
    <w:rsid w:val="003E6DA7"/>
    <w:rsid w:val="003E6FDA"/>
    <w:rsid w:val="003F0CE6"/>
    <w:rsid w:val="003F3072"/>
    <w:rsid w:val="003F324C"/>
    <w:rsid w:val="00401A2A"/>
    <w:rsid w:val="00407470"/>
    <w:rsid w:val="004103D7"/>
    <w:rsid w:val="0041307C"/>
    <w:rsid w:val="004167B4"/>
    <w:rsid w:val="00430D7E"/>
    <w:rsid w:val="00432202"/>
    <w:rsid w:val="00433B04"/>
    <w:rsid w:val="00435DA4"/>
    <w:rsid w:val="004379A6"/>
    <w:rsid w:val="00440BD3"/>
    <w:rsid w:val="00441535"/>
    <w:rsid w:val="00443691"/>
    <w:rsid w:val="004446BF"/>
    <w:rsid w:val="00446F93"/>
    <w:rsid w:val="004476A5"/>
    <w:rsid w:val="004649E2"/>
    <w:rsid w:val="00464E8C"/>
    <w:rsid w:val="0046617E"/>
    <w:rsid w:val="00466D36"/>
    <w:rsid w:val="00467185"/>
    <w:rsid w:val="004677C2"/>
    <w:rsid w:val="0047050C"/>
    <w:rsid w:val="00475504"/>
    <w:rsid w:val="00480376"/>
    <w:rsid w:val="00480F21"/>
    <w:rsid w:val="00484FED"/>
    <w:rsid w:val="00492595"/>
    <w:rsid w:val="00495AF1"/>
    <w:rsid w:val="00496513"/>
    <w:rsid w:val="004A09B3"/>
    <w:rsid w:val="004A4947"/>
    <w:rsid w:val="004A7EBE"/>
    <w:rsid w:val="004B3301"/>
    <w:rsid w:val="004C201F"/>
    <w:rsid w:val="004C3D08"/>
    <w:rsid w:val="004C715D"/>
    <w:rsid w:val="004D2BDC"/>
    <w:rsid w:val="004D44E8"/>
    <w:rsid w:val="004E1295"/>
    <w:rsid w:val="004E1AC8"/>
    <w:rsid w:val="004F775C"/>
    <w:rsid w:val="004F77BF"/>
    <w:rsid w:val="005015E4"/>
    <w:rsid w:val="0050291D"/>
    <w:rsid w:val="0050697E"/>
    <w:rsid w:val="0050705F"/>
    <w:rsid w:val="00512C67"/>
    <w:rsid w:val="00524341"/>
    <w:rsid w:val="00524B3C"/>
    <w:rsid w:val="00527579"/>
    <w:rsid w:val="005300B9"/>
    <w:rsid w:val="005315A9"/>
    <w:rsid w:val="005316BE"/>
    <w:rsid w:val="00532B56"/>
    <w:rsid w:val="005379EA"/>
    <w:rsid w:val="00537B50"/>
    <w:rsid w:val="00540AD0"/>
    <w:rsid w:val="0054164B"/>
    <w:rsid w:val="0054322A"/>
    <w:rsid w:val="00543923"/>
    <w:rsid w:val="005519C9"/>
    <w:rsid w:val="005523D1"/>
    <w:rsid w:val="00554A9C"/>
    <w:rsid w:val="005565FD"/>
    <w:rsid w:val="00557624"/>
    <w:rsid w:val="0056023E"/>
    <w:rsid w:val="005658EF"/>
    <w:rsid w:val="00573824"/>
    <w:rsid w:val="005811DA"/>
    <w:rsid w:val="005822A3"/>
    <w:rsid w:val="00585EC6"/>
    <w:rsid w:val="0059070B"/>
    <w:rsid w:val="00594445"/>
    <w:rsid w:val="005A4561"/>
    <w:rsid w:val="005B1225"/>
    <w:rsid w:val="005B492D"/>
    <w:rsid w:val="005C09F4"/>
    <w:rsid w:val="005C561A"/>
    <w:rsid w:val="005C5B93"/>
    <w:rsid w:val="005C66FF"/>
    <w:rsid w:val="005C785A"/>
    <w:rsid w:val="005D03CA"/>
    <w:rsid w:val="005D3405"/>
    <w:rsid w:val="005D45AB"/>
    <w:rsid w:val="005E4662"/>
    <w:rsid w:val="005E567E"/>
    <w:rsid w:val="005F093F"/>
    <w:rsid w:val="005F214A"/>
    <w:rsid w:val="005F4329"/>
    <w:rsid w:val="005F6BD6"/>
    <w:rsid w:val="005F7F54"/>
    <w:rsid w:val="00601C99"/>
    <w:rsid w:val="0060200D"/>
    <w:rsid w:val="00607597"/>
    <w:rsid w:val="00613BCB"/>
    <w:rsid w:val="00614E26"/>
    <w:rsid w:val="0061538B"/>
    <w:rsid w:val="00616ED6"/>
    <w:rsid w:val="00623A73"/>
    <w:rsid w:val="00624C82"/>
    <w:rsid w:val="00624CB3"/>
    <w:rsid w:val="006255E4"/>
    <w:rsid w:val="00625D93"/>
    <w:rsid w:val="006325E2"/>
    <w:rsid w:val="00640E02"/>
    <w:rsid w:val="00641020"/>
    <w:rsid w:val="006410C1"/>
    <w:rsid w:val="006420B2"/>
    <w:rsid w:val="00643F4D"/>
    <w:rsid w:val="00647F05"/>
    <w:rsid w:val="006530EF"/>
    <w:rsid w:val="00654D06"/>
    <w:rsid w:val="006569B4"/>
    <w:rsid w:val="00656CF8"/>
    <w:rsid w:val="0066005A"/>
    <w:rsid w:val="00661536"/>
    <w:rsid w:val="006678ED"/>
    <w:rsid w:val="006679D8"/>
    <w:rsid w:val="0067233D"/>
    <w:rsid w:val="00672F1C"/>
    <w:rsid w:val="006735AD"/>
    <w:rsid w:val="006745AE"/>
    <w:rsid w:val="00675BEF"/>
    <w:rsid w:val="00676496"/>
    <w:rsid w:val="00676AF3"/>
    <w:rsid w:val="00676D10"/>
    <w:rsid w:val="00680F71"/>
    <w:rsid w:val="00682A53"/>
    <w:rsid w:val="00683BAF"/>
    <w:rsid w:val="00686880"/>
    <w:rsid w:val="0069174B"/>
    <w:rsid w:val="00693FA1"/>
    <w:rsid w:val="006A2713"/>
    <w:rsid w:val="006B05E3"/>
    <w:rsid w:val="006B09BC"/>
    <w:rsid w:val="006B2E11"/>
    <w:rsid w:val="006B2E77"/>
    <w:rsid w:val="006B42A0"/>
    <w:rsid w:val="006B4E59"/>
    <w:rsid w:val="006C06D4"/>
    <w:rsid w:val="006C0767"/>
    <w:rsid w:val="006C3402"/>
    <w:rsid w:val="006C3622"/>
    <w:rsid w:val="006C395C"/>
    <w:rsid w:val="006C45D4"/>
    <w:rsid w:val="006C7278"/>
    <w:rsid w:val="006D151C"/>
    <w:rsid w:val="006D2E54"/>
    <w:rsid w:val="006D6494"/>
    <w:rsid w:val="006E1F3C"/>
    <w:rsid w:val="006E6073"/>
    <w:rsid w:val="006E77D9"/>
    <w:rsid w:val="006F5B91"/>
    <w:rsid w:val="006F7300"/>
    <w:rsid w:val="00703C09"/>
    <w:rsid w:val="0070764A"/>
    <w:rsid w:val="007106A7"/>
    <w:rsid w:val="00711437"/>
    <w:rsid w:val="00712300"/>
    <w:rsid w:val="00713FF0"/>
    <w:rsid w:val="00720739"/>
    <w:rsid w:val="00721695"/>
    <w:rsid w:val="007242B4"/>
    <w:rsid w:val="00725FB2"/>
    <w:rsid w:val="0072783B"/>
    <w:rsid w:val="00730C64"/>
    <w:rsid w:val="007322AF"/>
    <w:rsid w:val="00735477"/>
    <w:rsid w:val="00736DCA"/>
    <w:rsid w:val="00740164"/>
    <w:rsid w:val="007410A3"/>
    <w:rsid w:val="00742399"/>
    <w:rsid w:val="00742502"/>
    <w:rsid w:val="007457E8"/>
    <w:rsid w:val="0074640C"/>
    <w:rsid w:val="0075003D"/>
    <w:rsid w:val="00751B37"/>
    <w:rsid w:val="0075246D"/>
    <w:rsid w:val="0075331D"/>
    <w:rsid w:val="00754D44"/>
    <w:rsid w:val="00761BB8"/>
    <w:rsid w:val="007658E1"/>
    <w:rsid w:val="00767B7E"/>
    <w:rsid w:val="007746A9"/>
    <w:rsid w:val="00785465"/>
    <w:rsid w:val="00787656"/>
    <w:rsid w:val="00795C73"/>
    <w:rsid w:val="007A67EA"/>
    <w:rsid w:val="007A6885"/>
    <w:rsid w:val="007B15AF"/>
    <w:rsid w:val="007B26EE"/>
    <w:rsid w:val="007B7E83"/>
    <w:rsid w:val="007C079C"/>
    <w:rsid w:val="007C1631"/>
    <w:rsid w:val="007C415F"/>
    <w:rsid w:val="007C636F"/>
    <w:rsid w:val="007D0077"/>
    <w:rsid w:val="007D0EF8"/>
    <w:rsid w:val="007D28E7"/>
    <w:rsid w:val="007D39EB"/>
    <w:rsid w:val="007D4708"/>
    <w:rsid w:val="007E510C"/>
    <w:rsid w:val="007E7FBA"/>
    <w:rsid w:val="007F2CEA"/>
    <w:rsid w:val="007F461B"/>
    <w:rsid w:val="007F5E51"/>
    <w:rsid w:val="007F728A"/>
    <w:rsid w:val="00800A4D"/>
    <w:rsid w:val="00802371"/>
    <w:rsid w:val="00807B4F"/>
    <w:rsid w:val="008131E7"/>
    <w:rsid w:val="008136EF"/>
    <w:rsid w:val="00813711"/>
    <w:rsid w:val="00814279"/>
    <w:rsid w:val="008263C2"/>
    <w:rsid w:val="00826524"/>
    <w:rsid w:val="00832AD2"/>
    <w:rsid w:val="00842959"/>
    <w:rsid w:val="008451FE"/>
    <w:rsid w:val="00845B90"/>
    <w:rsid w:val="008466A1"/>
    <w:rsid w:val="00846C1D"/>
    <w:rsid w:val="00851152"/>
    <w:rsid w:val="00851758"/>
    <w:rsid w:val="008520EF"/>
    <w:rsid w:val="0085392E"/>
    <w:rsid w:val="00856D5A"/>
    <w:rsid w:val="008609EB"/>
    <w:rsid w:val="00860A8E"/>
    <w:rsid w:val="00862D6D"/>
    <w:rsid w:val="00864E1B"/>
    <w:rsid w:val="008653E0"/>
    <w:rsid w:val="008657FB"/>
    <w:rsid w:val="00865EA9"/>
    <w:rsid w:val="00871D4F"/>
    <w:rsid w:val="00874FB3"/>
    <w:rsid w:val="00880BDE"/>
    <w:rsid w:val="00880BE3"/>
    <w:rsid w:val="00882588"/>
    <w:rsid w:val="00895792"/>
    <w:rsid w:val="008A2768"/>
    <w:rsid w:val="008A3738"/>
    <w:rsid w:val="008A384C"/>
    <w:rsid w:val="008A6981"/>
    <w:rsid w:val="008A78DA"/>
    <w:rsid w:val="008B342B"/>
    <w:rsid w:val="008B645B"/>
    <w:rsid w:val="008B67B8"/>
    <w:rsid w:val="008B774D"/>
    <w:rsid w:val="008C123E"/>
    <w:rsid w:val="008C3ED0"/>
    <w:rsid w:val="008C5585"/>
    <w:rsid w:val="008C5E94"/>
    <w:rsid w:val="008D4E4B"/>
    <w:rsid w:val="008E5ED1"/>
    <w:rsid w:val="008E6E9D"/>
    <w:rsid w:val="008F1897"/>
    <w:rsid w:val="008F3E0C"/>
    <w:rsid w:val="008F4774"/>
    <w:rsid w:val="008F62D2"/>
    <w:rsid w:val="008F68F7"/>
    <w:rsid w:val="008F7480"/>
    <w:rsid w:val="008F7B7C"/>
    <w:rsid w:val="009037B6"/>
    <w:rsid w:val="00906CBE"/>
    <w:rsid w:val="00906FFA"/>
    <w:rsid w:val="00907CBA"/>
    <w:rsid w:val="00910384"/>
    <w:rsid w:val="009139C0"/>
    <w:rsid w:val="009161C8"/>
    <w:rsid w:val="009164AD"/>
    <w:rsid w:val="00921765"/>
    <w:rsid w:val="00922289"/>
    <w:rsid w:val="00936E97"/>
    <w:rsid w:val="00936EBE"/>
    <w:rsid w:val="00936F46"/>
    <w:rsid w:val="0094271E"/>
    <w:rsid w:val="00943142"/>
    <w:rsid w:val="00943A29"/>
    <w:rsid w:val="0095197E"/>
    <w:rsid w:val="00952AB2"/>
    <w:rsid w:val="009551E0"/>
    <w:rsid w:val="00955801"/>
    <w:rsid w:val="00955AB9"/>
    <w:rsid w:val="0095654E"/>
    <w:rsid w:val="00956914"/>
    <w:rsid w:val="00956F3C"/>
    <w:rsid w:val="0095779B"/>
    <w:rsid w:val="0096485D"/>
    <w:rsid w:val="00981468"/>
    <w:rsid w:val="009817E7"/>
    <w:rsid w:val="009818A7"/>
    <w:rsid w:val="009900F0"/>
    <w:rsid w:val="00990A5A"/>
    <w:rsid w:val="00991769"/>
    <w:rsid w:val="00994517"/>
    <w:rsid w:val="00994E9F"/>
    <w:rsid w:val="00996931"/>
    <w:rsid w:val="009A0F18"/>
    <w:rsid w:val="009A1477"/>
    <w:rsid w:val="009A178E"/>
    <w:rsid w:val="009A3517"/>
    <w:rsid w:val="009A40DD"/>
    <w:rsid w:val="009A4CD8"/>
    <w:rsid w:val="009A4E6F"/>
    <w:rsid w:val="009A531A"/>
    <w:rsid w:val="009A6AFA"/>
    <w:rsid w:val="009A726D"/>
    <w:rsid w:val="009B3ED1"/>
    <w:rsid w:val="009B4444"/>
    <w:rsid w:val="009C07EC"/>
    <w:rsid w:val="009C206F"/>
    <w:rsid w:val="009C433C"/>
    <w:rsid w:val="009C5B91"/>
    <w:rsid w:val="009C7215"/>
    <w:rsid w:val="009D28B7"/>
    <w:rsid w:val="009D4EF3"/>
    <w:rsid w:val="009D7E1A"/>
    <w:rsid w:val="009E2162"/>
    <w:rsid w:val="009F2345"/>
    <w:rsid w:val="009F2F95"/>
    <w:rsid w:val="009F501D"/>
    <w:rsid w:val="009F7E42"/>
    <w:rsid w:val="00A006EB"/>
    <w:rsid w:val="00A03709"/>
    <w:rsid w:val="00A06C77"/>
    <w:rsid w:val="00A10147"/>
    <w:rsid w:val="00A12E4C"/>
    <w:rsid w:val="00A13D26"/>
    <w:rsid w:val="00A146A5"/>
    <w:rsid w:val="00A14AAC"/>
    <w:rsid w:val="00A17411"/>
    <w:rsid w:val="00A17B0C"/>
    <w:rsid w:val="00A2223D"/>
    <w:rsid w:val="00A223EF"/>
    <w:rsid w:val="00A27177"/>
    <w:rsid w:val="00A27AB6"/>
    <w:rsid w:val="00A34214"/>
    <w:rsid w:val="00A34A74"/>
    <w:rsid w:val="00A35351"/>
    <w:rsid w:val="00A417B7"/>
    <w:rsid w:val="00A42ADE"/>
    <w:rsid w:val="00A50705"/>
    <w:rsid w:val="00A50A9D"/>
    <w:rsid w:val="00A53DF8"/>
    <w:rsid w:val="00A55BA1"/>
    <w:rsid w:val="00A60693"/>
    <w:rsid w:val="00A67728"/>
    <w:rsid w:val="00A736B5"/>
    <w:rsid w:val="00A81A4F"/>
    <w:rsid w:val="00A82E14"/>
    <w:rsid w:val="00A901E9"/>
    <w:rsid w:val="00A95B7C"/>
    <w:rsid w:val="00A9762C"/>
    <w:rsid w:val="00AA1532"/>
    <w:rsid w:val="00AA4067"/>
    <w:rsid w:val="00AB1A5B"/>
    <w:rsid w:val="00AB25BE"/>
    <w:rsid w:val="00AC0A54"/>
    <w:rsid w:val="00AC125E"/>
    <w:rsid w:val="00AC45DF"/>
    <w:rsid w:val="00AC474D"/>
    <w:rsid w:val="00AC4CB5"/>
    <w:rsid w:val="00AC4DFD"/>
    <w:rsid w:val="00AC58FD"/>
    <w:rsid w:val="00AC60CD"/>
    <w:rsid w:val="00AD60E6"/>
    <w:rsid w:val="00AD793A"/>
    <w:rsid w:val="00AE2859"/>
    <w:rsid w:val="00AE3BC3"/>
    <w:rsid w:val="00AE457D"/>
    <w:rsid w:val="00AE5956"/>
    <w:rsid w:val="00AE619F"/>
    <w:rsid w:val="00AF08BE"/>
    <w:rsid w:val="00AF373A"/>
    <w:rsid w:val="00AF7EFE"/>
    <w:rsid w:val="00B03BEE"/>
    <w:rsid w:val="00B0407B"/>
    <w:rsid w:val="00B049AA"/>
    <w:rsid w:val="00B0517E"/>
    <w:rsid w:val="00B056E2"/>
    <w:rsid w:val="00B06C70"/>
    <w:rsid w:val="00B11314"/>
    <w:rsid w:val="00B1192C"/>
    <w:rsid w:val="00B138E3"/>
    <w:rsid w:val="00B13930"/>
    <w:rsid w:val="00B149A2"/>
    <w:rsid w:val="00B210D1"/>
    <w:rsid w:val="00B23267"/>
    <w:rsid w:val="00B25891"/>
    <w:rsid w:val="00B27149"/>
    <w:rsid w:val="00B40D26"/>
    <w:rsid w:val="00B4451B"/>
    <w:rsid w:val="00B45A78"/>
    <w:rsid w:val="00B51316"/>
    <w:rsid w:val="00B55B33"/>
    <w:rsid w:val="00B664ED"/>
    <w:rsid w:val="00B72D62"/>
    <w:rsid w:val="00B757A7"/>
    <w:rsid w:val="00B76920"/>
    <w:rsid w:val="00B775AD"/>
    <w:rsid w:val="00B83174"/>
    <w:rsid w:val="00B843C8"/>
    <w:rsid w:val="00B906D0"/>
    <w:rsid w:val="00B92BFB"/>
    <w:rsid w:val="00B94467"/>
    <w:rsid w:val="00B94B39"/>
    <w:rsid w:val="00B951E2"/>
    <w:rsid w:val="00B952D1"/>
    <w:rsid w:val="00B95B1D"/>
    <w:rsid w:val="00B960B0"/>
    <w:rsid w:val="00B96F37"/>
    <w:rsid w:val="00BA21BD"/>
    <w:rsid w:val="00BA5B26"/>
    <w:rsid w:val="00BA607C"/>
    <w:rsid w:val="00BB036F"/>
    <w:rsid w:val="00BB3E2A"/>
    <w:rsid w:val="00BC16F5"/>
    <w:rsid w:val="00BC1AD9"/>
    <w:rsid w:val="00BC287D"/>
    <w:rsid w:val="00BC4A76"/>
    <w:rsid w:val="00BC5209"/>
    <w:rsid w:val="00BC5235"/>
    <w:rsid w:val="00BD0ED6"/>
    <w:rsid w:val="00BD32E5"/>
    <w:rsid w:val="00BD67DE"/>
    <w:rsid w:val="00BD7ADD"/>
    <w:rsid w:val="00BE2944"/>
    <w:rsid w:val="00BE41C3"/>
    <w:rsid w:val="00BE6767"/>
    <w:rsid w:val="00BE68D7"/>
    <w:rsid w:val="00BF0784"/>
    <w:rsid w:val="00BF7763"/>
    <w:rsid w:val="00C01253"/>
    <w:rsid w:val="00C02ED3"/>
    <w:rsid w:val="00C04D5E"/>
    <w:rsid w:val="00C1364F"/>
    <w:rsid w:val="00C17FF1"/>
    <w:rsid w:val="00C24EA2"/>
    <w:rsid w:val="00C24F70"/>
    <w:rsid w:val="00C25D5B"/>
    <w:rsid w:val="00C325C4"/>
    <w:rsid w:val="00C33479"/>
    <w:rsid w:val="00C35B48"/>
    <w:rsid w:val="00C460F3"/>
    <w:rsid w:val="00C47BA2"/>
    <w:rsid w:val="00C612DC"/>
    <w:rsid w:val="00C622CB"/>
    <w:rsid w:val="00C642FC"/>
    <w:rsid w:val="00C64D15"/>
    <w:rsid w:val="00C716E3"/>
    <w:rsid w:val="00C74F74"/>
    <w:rsid w:val="00C7554B"/>
    <w:rsid w:val="00C76376"/>
    <w:rsid w:val="00C77084"/>
    <w:rsid w:val="00C80192"/>
    <w:rsid w:val="00C83E31"/>
    <w:rsid w:val="00C916A4"/>
    <w:rsid w:val="00C956C8"/>
    <w:rsid w:val="00CA2A52"/>
    <w:rsid w:val="00CA2B15"/>
    <w:rsid w:val="00CA4A80"/>
    <w:rsid w:val="00CA6490"/>
    <w:rsid w:val="00CB01AF"/>
    <w:rsid w:val="00CB05BE"/>
    <w:rsid w:val="00CB5744"/>
    <w:rsid w:val="00CB7022"/>
    <w:rsid w:val="00CC1B7F"/>
    <w:rsid w:val="00CC637E"/>
    <w:rsid w:val="00CD1937"/>
    <w:rsid w:val="00CE214C"/>
    <w:rsid w:val="00CE4D2A"/>
    <w:rsid w:val="00CE6858"/>
    <w:rsid w:val="00CF3CCA"/>
    <w:rsid w:val="00CF50BE"/>
    <w:rsid w:val="00CF553B"/>
    <w:rsid w:val="00CF6A52"/>
    <w:rsid w:val="00D03583"/>
    <w:rsid w:val="00D03D7A"/>
    <w:rsid w:val="00D064A9"/>
    <w:rsid w:val="00D116EC"/>
    <w:rsid w:val="00D117B4"/>
    <w:rsid w:val="00D14425"/>
    <w:rsid w:val="00D169F7"/>
    <w:rsid w:val="00D17F7F"/>
    <w:rsid w:val="00D21382"/>
    <w:rsid w:val="00D26D01"/>
    <w:rsid w:val="00D308EC"/>
    <w:rsid w:val="00D335AB"/>
    <w:rsid w:val="00D33DA3"/>
    <w:rsid w:val="00D45D9D"/>
    <w:rsid w:val="00D4723B"/>
    <w:rsid w:val="00D50DDA"/>
    <w:rsid w:val="00D52FA8"/>
    <w:rsid w:val="00D55D3E"/>
    <w:rsid w:val="00D55EE8"/>
    <w:rsid w:val="00D56360"/>
    <w:rsid w:val="00D5785A"/>
    <w:rsid w:val="00D64C48"/>
    <w:rsid w:val="00D659A8"/>
    <w:rsid w:val="00D7266F"/>
    <w:rsid w:val="00D731C4"/>
    <w:rsid w:val="00D76BB8"/>
    <w:rsid w:val="00D81BAA"/>
    <w:rsid w:val="00D85BE0"/>
    <w:rsid w:val="00D8793F"/>
    <w:rsid w:val="00D87C1A"/>
    <w:rsid w:val="00D87F42"/>
    <w:rsid w:val="00D87FD7"/>
    <w:rsid w:val="00D92167"/>
    <w:rsid w:val="00D941A4"/>
    <w:rsid w:val="00D9502B"/>
    <w:rsid w:val="00D958B7"/>
    <w:rsid w:val="00D97047"/>
    <w:rsid w:val="00D97108"/>
    <w:rsid w:val="00DC13BD"/>
    <w:rsid w:val="00DC5665"/>
    <w:rsid w:val="00DD1B9E"/>
    <w:rsid w:val="00DD466C"/>
    <w:rsid w:val="00DD46FC"/>
    <w:rsid w:val="00DD4F44"/>
    <w:rsid w:val="00DD5D8B"/>
    <w:rsid w:val="00DE0F9E"/>
    <w:rsid w:val="00DE5D76"/>
    <w:rsid w:val="00DE6365"/>
    <w:rsid w:val="00E04C8D"/>
    <w:rsid w:val="00E128D8"/>
    <w:rsid w:val="00E25773"/>
    <w:rsid w:val="00E27484"/>
    <w:rsid w:val="00E27959"/>
    <w:rsid w:val="00E307B9"/>
    <w:rsid w:val="00E30D45"/>
    <w:rsid w:val="00E40288"/>
    <w:rsid w:val="00E42FE4"/>
    <w:rsid w:val="00E44A67"/>
    <w:rsid w:val="00E46FAA"/>
    <w:rsid w:val="00E50FB5"/>
    <w:rsid w:val="00E52893"/>
    <w:rsid w:val="00E52BC6"/>
    <w:rsid w:val="00E5750B"/>
    <w:rsid w:val="00E60E2E"/>
    <w:rsid w:val="00E630B7"/>
    <w:rsid w:val="00E63A24"/>
    <w:rsid w:val="00E67232"/>
    <w:rsid w:val="00E67913"/>
    <w:rsid w:val="00E67B8A"/>
    <w:rsid w:val="00E67D02"/>
    <w:rsid w:val="00E71A2D"/>
    <w:rsid w:val="00E72CB5"/>
    <w:rsid w:val="00E73600"/>
    <w:rsid w:val="00E8698A"/>
    <w:rsid w:val="00E87ABF"/>
    <w:rsid w:val="00E91EB6"/>
    <w:rsid w:val="00E923F2"/>
    <w:rsid w:val="00E924CF"/>
    <w:rsid w:val="00E96C17"/>
    <w:rsid w:val="00EA15D9"/>
    <w:rsid w:val="00EA2E51"/>
    <w:rsid w:val="00EA31CC"/>
    <w:rsid w:val="00EA5B5A"/>
    <w:rsid w:val="00EB14DF"/>
    <w:rsid w:val="00EB252D"/>
    <w:rsid w:val="00EB2B64"/>
    <w:rsid w:val="00EB3A07"/>
    <w:rsid w:val="00EB4143"/>
    <w:rsid w:val="00EB4728"/>
    <w:rsid w:val="00EB6DB0"/>
    <w:rsid w:val="00EC05C1"/>
    <w:rsid w:val="00EC1364"/>
    <w:rsid w:val="00EC207A"/>
    <w:rsid w:val="00EC33B0"/>
    <w:rsid w:val="00EC3F31"/>
    <w:rsid w:val="00ED3C91"/>
    <w:rsid w:val="00ED4112"/>
    <w:rsid w:val="00ED5E0D"/>
    <w:rsid w:val="00EE3DA0"/>
    <w:rsid w:val="00EF1347"/>
    <w:rsid w:val="00EF2BEB"/>
    <w:rsid w:val="00F01129"/>
    <w:rsid w:val="00F03D93"/>
    <w:rsid w:val="00F03D9E"/>
    <w:rsid w:val="00F104C1"/>
    <w:rsid w:val="00F11CCA"/>
    <w:rsid w:val="00F176F4"/>
    <w:rsid w:val="00F227BF"/>
    <w:rsid w:val="00F22EAB"/>
    <w:rsid w:val="00F24BD1"/>
    <w:rsid w:val="00F2732C"/>
    <w:rsid w:val="00F27745"/>
    <w:rsid w:val="00F303EE"/>
    <w:rsid w:val="00F309F5"/>
    <w:rsid w:val="00F374B2"/>
    <w:rsid w:val="00F40AFC"/>
    <w:rsid w:val="00F42C7B"/>
    <w:rsid w:val="00F43DF6"/>
    <w:rsid w:val="00F4730E"/>
    <w:rsid w:val="00F50A92"/>
    <w:rsid w:val="00F53F24"/>
    <w:rsid w:val="00F63341"/>
    <w:rsid w:val="00F65873"/>
    <w:rsid w:val="00F70324"/>
    <w:rsid w:val="00F70577"/>
    <w:rsid w:val="00F75284"/>
    <w:rsid w:val="00F7536E"/>
    <w:rsid w:val="00F81F93"/>
    <w:rsid w:val="00F839A8"/>
    <w:rsid w:val="00F86F1B"/>
    <w:rsid w:val="00F92A21"/>
    <w:rsid w:val="00F92E9B"/>
    <w:rsid w:val="00F95814"/>
    <w:rsid w:val="00F95853"/>
    <w:rsid w:val="00F969DA"/>
    <w:rsid w:val="00FA01D9"/>
    <w:rsid w:val="00FA031C"/>
    <w:rsid w:val="00FA73B5"/>
    <w:rsid w:val="00FB13C1"/>
    <w:rsid w:val="00FB267C"/>
    <w:rsid w:val="00FB2B1E"/>
    <w:rsid w:val="00FB420B"/>
    <w:rsid w:val="00FC1C5F"/>
    <w:rsid w:val="00FC5A4D"/>
    <w:rsid w:val="00FC5C0C"/>
    <w:rsid w:val="00FC64EF"/>
    <w:rsid w:val="00FC71CB"/>
    <w:rsid w:val="00FD2673"/>
    <w:rsid w:val="00FD6B54"/>
    <w:rsid w:val="00FD7608"/>
    <w:rsid w:val="00FE026D"/>
    <w:rsid w:val="00FE22FA"/>
    <w:rsid w:val="00FE26C9"/>
    <w:rsid w:val="00FE2A29"/>
    <w:rsid w:val="00FE644B"/>
    <w:rsid w:val="00FE7B86"/>
    <w:rsid w:val="00FF3801"/>
    <w:rsid w:val="00FF7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3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9817E7"/>
    <w:pPr>
      <w:keepNext/>
      <w:keepLines/>
      <w:spacing w:before="360" w:after="30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9817E7"/>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29744D"/>
    <w:rPr>
      <w:sz w:val="16"/>
      <w:szCs w:val="16"/>
    </w:rPr>
  </w:style>
  <w:style w:type="paragraph" w:styleId="CommentText">
    <w:name w:val="annotation text"/>
    <w:basedOn w:val="Normal"/>
    <w:link w:val="CommentTextChar"/>
    <w:semiHidden/>
    <w:unhideWhenUsed/>
    <w:rsid w:val="0029744D"/>
    <w:pPr>
      <w:spacing w:line="240" w:lineRule="auto"/>
    </w:pPr>
    <w:rPr>
      <w:sz w:val="20"/>
      <w:szCs w:val="20"/>
    </w:rPr>
  </w:style>
  <w:style w:type="character" w:customStyle="1" w:styleId="CommentTextChar">
    <w:name w:val="Comment Text Char"/>
    <w:basedOn w:val="DefaultParagraphFont"/>
    <w:link w:val="CommentText"/>
    <w:semiHidden/>
    <w:rsid w:val="0029744D"/>
    <w:rPr>
      <w:rFonts w:ascii="Arial" w:hAnsi="Arial"/>
      <w:spacing w:val="4"/>
    </w:rPr>
  </w:style>
  <w:style w:type="paragraph" w:styleId="CommentSubject">
    <w:name w:val="annotation subject"/>
    <w:basedOn w:val="CommentText"/>
    <w:next w:val="CommentText"/>
    <w:link w:val="CommentSubjectChar"/>
    <w:semiHidden/>
    <w:unhideWhenUsed/>
    <w:rsid w:val="0029744D"/>
    <w:rPr>
      <w:b/>
      <w:bCs/>
    </w:rPr>
  </w:style>
  <w:style w:type="character" w:customStyle="1" w:styleId="CommentSubjectChar">
    <w:name w:val="Comment Subject Char"/>
    <w:basedOn w:val="CommentTextChar"/>
    <w:link w:val="CommentSubject"/>
    <w:semiHidden/>
    <w:rsid w:val="0029744D"/>
    <w:rPr>
      <w:rFonts w:ascii="Arial" w:hAnsi="Arial"/>
      <w:b/>
      <w:bCs/>
      <w:spacing w:val="4"/>
    </w:rPr>
  </w:style>
  <w:style w:type="paragraph" w:styleId="NormalWeb">
    <w:name w:val="Normal (Web)"/>
    <w:basedOn w:val="Normal"/>
    <w:uiPriority w:val="99"/>
    <w:unhideWhenUsed/>
    <w:rsid w:val="009A726D"/>
    <w:pPr>
      <w:spacing w:before="100" w:beforeAutospacing="1" w:after="100" w:afterAutospacing="1" w:line="240" w:lineRule="auto"/>
    </w:pPr>
    <w:rPr>
      <w:rFonts w:ascii="Times New Roman" w:hAnsi="Times New Roman"/>
      <w:spacing w:val="0"/>
    </w:rPr>
  </w:style>
  <w:style w:type="character" w:styleId="Emphasis">
    <w:name w:val="Emphasis"/>
    <w:basedOn w:val="DefaultParagraphFont"/>
    <w:uiPriority w:val="20"/>
    <w:qFormat/>
    <w:rsid w:val="009A726D"/>
    <w:rPr>
      <w:i/>
      <w:iCs/>
    </w:rPr>
  </w:style>
  <w:style w:type="character" w:styleId="FollowedHyperlink">
    <w:name w:val="FollowedHyperlink"/>
    <w:basedOn w:val="DefaultParagraphFont"/>
    <w:uiPriority w:val="99"/>
    <w:semiHidden/>
    <w:unhideWhenUsed/>
    <w:rsid w:val="007F461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8218">
      <w:bodyDiv w:val="1"/>
      <w:marLeft w:val="0"/>
      <w:marRight w:val="0"/>
      <w:marTop w:val="0"/>
      <w:marBottom w:val="0"/>
      <w:divBdr>
        <w:top w:val="none" w:sz="0" w:space="0" w:color="auto"/>
        <w:left w:val="none" w:sz="0" w:space="0" w:color="auto"/>
        <w:bottom w:val="none" w:sz="0" w:space="0" w:color="auto"/>
        <w:right w:val="none" w:sz="0" w:space="0" w:color="auto"/>
      </w:divBdr>
    </w:div>
    <w:div w:id="332995790">
      <w:bodyDiv w:val="1"/>
      <w:marLeft w:val="0"/>
      <w:marRight w:val="0"/>
      <w:marTop w:val="0"/>
      <w:marBottom w:val="0"/>
      <w:divBdr>
        <w:top w:val="none" w:sz="0" w:space="0" w:color="auto"/>
        <w:left w:val="none" w:sz="0" w:space="0" w:color="auto"/>
        <w:bottom w:val="none" w:sz="0" w:space="0" w:color="auto"/>
        <w:right w:val="none" w:sz="0" w:space="0" w:color="auto"/>
      </w:divBdr>
    </w:div>
    <w:div w:id="408506380">
      <w:bodyDiv w:val="1"/>
      <w:marLeft w:val="0"/>
      <w:marRight w:val="0"/>
      <w:marTop w:val="0"/>
      <w:marBottom w:val="0"/>
      <w:divBdr>
        <w:top w:val="none" w:sz="0" w:space="0" w:color="auto"/>
        <w:left w:val="none" w:sz="0" w:space="0" w:color="auto"/>
        <w:bottom w:val="none" w:sz="0" w:space="0" w:color="auto"/>
        <w:right w:val="none" w:sz="0" w:space="0" w:color="auto"/>
      </w:divBdr>
    </w:div>
    <w:div w:id="536703563">
      <w:bodyDiv w:val="1"/>
      <w:marLeft w:val="0"/>
      <w:marRight w:val="0"/>
      <w:marTop w:val="0"/>
      <w:marBottom w:val="0"/>
      <w:divBdr>
        <w:top w:val="none" w:sz="0" w:space="0" w:color="auto"/>
        <w:left w:val="none" w:sz="0" w:space="0" w:color="auto"/>
        <w:bottom w:val="none" w:sz="0" w:space="0" w:color="auto"/>
        <w:right w:val="none" w:sz="0" w:space="0" w:color="auto"/>
      </w:divBdr>
    </w:div>
    <w:div w:id="584801311">
      <w:bodyDiv w:val="1"/>
      <w:marLeft w:val="0"/>
      <w:marRight w:val="0"/>
      <w:marTop w:val="0"/>
      <w:marBottom w:val="0"/>
      <w:divBdr>
        <w:top w:val="none" w:sz="0" w:space="0" w:color="auto"/>
        <w:left w:val="none" w:sz="0" w:space="0" w:color="auto"/>
        <w:bottom w:val="none" w:sz="0" w:space="0" w:color="auto"/>
        <w:right w:val="none" w:sz="0" w:space="0" w:color="auto"/>
      </w:divBdr>
    </w:div>
    <w:div w:id="603264429">
      <w:bodyDiv w:val="1"/>
      <w:marLeft w:val="0"/>
      <w:marRight w:val="0"/>
      <w:marTop w:val="0"/>
      <w:marBottom w:val="0"/>
      <w:divBdr>
        <w:top w:val="none" w:sz="0" w:space="0" w:color="auto"/>
        <w:left w:val="none" w:sz="0" w:space="0" w:color="auto"/>
        <w:bottom w:val="none" w:sz="0" w:space="0" w:color="auto"/>
        <w:right w:val="none" w:sz="0" w:space="0" w:color="auto"/>
      </w:divBdr>
    </w:div>
    <w:div w:id="689065617">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191939">
      <w:bodyDiv w:val="1"/>
      <w:marLeft w:val="0"/>
      <w:marRight w:val="0"/>
      <w:marTop w:val="0"/>
      <w:marBottom w:val="0"/>
      <w:divBdr>
        <w:top w:val="none" w:sz="0" w:space="0" w:color="auto"/>
        <w:left w:val="none" w:sz="0" w:space="0" w:color="auto"/>
        <w:bottom w:val="none" w:sz="0" w:space="0" w:color="auto"/>
        <w:right w:val="none" w:sz="0" w:space="0" w:color="auto"/>
      </w:divBdr>
    </w:div>
    <w:div w:id="1068917102">
      <w:bodyDiv w:val="1"/>
      <w:marLeft w:val="0"/>
      <w:marRight w:val="0"/>
      <w:marTop w:val="0"/>
      <w:marBottom w:val="0"/>
      <w:divBdr>
        <w:top w:val="none" w:sz="0" w:space="0" w:color="auto"/>
        <w:left w:val="none" w:sz="0" w:space="0" w:color="auto"/>
        <w:bottom w:val="none" w:sz="0" w:space="0" w:color="auto"/>
        <w:right w:val="none" w:sz="0" w:space="0" w:color="auto"/>
      </w:divBdr>
    </w:div>
    <w:div w:id="109787064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73306913">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93181608">
      <w:bodyDiv w:val="1"/>
      <w:marLeft w:val="0"/>
      <w:marRight w:val="0"/>
      <w:marTop w:val="0"/>
      <w:marBottom w:val="0"/>
      <w:divBdr>
        <w:top w:val="none" w:sz="0" w:space="0" w:color="auto"/>
        <w:left w:val="none" w:sz="0" w:space="0" w:color="auto"/>
        <w:bottom w:val="none" w:sz="0" w:space="0" w:color="auto"/>
        <w:right w:val="none" w:sz="0" w:space="0" w:color="auto"/>
      </w:divBdr>
    </w:div>
    <w:div w:id="1520775372">
      <w:bodyDiv w:val="1"/>
      <w:marLeft w:val="0"/>
      <w:marRight w:val="0"/>
      <w:marTop w:val="0"/>
      <w:marBottom w:val="0"/>
      <w:divBdr>
        <w:top w:val="none" w:sz="0" w:space="0" w:color="auto"/>
        <w:left w:val="none" w:sz="0" w:space="0" w:color="auto"/>
        <w:bottom w:val="none" w:sz="0" w:space="0" w:color="auto"/>
        <w:right w:val="none" w:sz="0" w:space="0" w:color="auto"/>
      </w:divBdr>
    </w:div>
    <w:div w:id="1546679269">
      <w:bodyDiv w:val="1"/>
      <w:marLeft w:val="0"/>
      <w:marRight w:val="0"/>
      <w:marTop w:val="0"/>
      <w:marBottom w:val="0"/>
      <w:divBdr>
        <w:top w:val="none" w:sz="0" w:space="0" w:color="auto"/>
        <w:left w:val="none" w:sz="0" w:space="0" w:color="auto"/>
        <w:bottom w:val="none" w:sz="0" w:space="0" w:color="auto"/>
        <w:right w:val="none" w:sz="0" w:space="0" w:color="auto"/>
      </w:divBdr>
    </w:div>
    <w:div w:id="1617324534">
      <w:bodyDiv w:val="1"/>
      <w:marLeft w:val="0"/>
      <w:marRight w:val="0"/>
      <w:marTop w:val="0"/>
      <w:marBottom w:val="0"/>
      <w:divBdr>
        <w:top w:val="none" w:sz="0" w:space="0" w:color="auto"/>
        <w:left w:val="none" w:sz="0" w:space="0" w:color="auto"/>
        <w:bottom w:val="none" w:sz="0" w:space="0" w:color="auto"/>
        <w:right w:val="none" w:sz="0" w:space="0" w:color="auto"/>
      </w:divBdr>
    </w:div>
    <w:div w:id="1748191655">
      <w:bodyDiv w:val="1"/>
      <w:marLeft w:val="0"/>
      <w:marRight w:val="0"/>
      <w:marTop w:val="0"/>
      <w:marBottom w:val="0"/>
      <w:divBdr>
        <w:top w:val="none" w:sz="0" w:space="0" w:color="auto"/>
        <w:left w:val="none" w:sz="0" w:space="0" w:color="auto"/>
        <w:bottom w:val="none" w:sz="0" w:space="0" w:color="auto"/>
        <w:right w:val="none" w:sz="0" w:space="0" w:color="auto"/>
      </w:divBdr>
    </w:div>
    <w:div w:id="1830057577">
      <w:bodyDiv w:val="1"/>
      <w:marLeft w:val="0"/>
      <w:marRight w:val="0"/>
      <w:marTop w:val="0"/>
      <w:marBottom w:val="0"/>
      <w:divBdr>
        <w:top w:val="none" w:sz="0" w:space="0" w:color="auto"/>
        <w:left w:val="none" w:sz="0" w:space="0" w:color="auto"/>
        <w:bottom w:val="none" w:sz="0" w:space="0" w:color="auto"/>
        <w:right w:val="none" w:sz="0" w:space="0" w:color="auto"/>
      </w:divBdr>
    </w:div>
    <w:div w:id="1985236979">
      <w:bodyDiv w:val="1"/>
      <w:marLeft w:val="0"/>
      <w:marRight w:val="0"/>
      <w:marTop w:val="0"/>
      <w:marBottom w:val="0"/>
      <w:divBdr>
        <w:top w:val="none" w:sz="0" w:space="0" w:color="auto"/>
        <w:left w:val="none" w:sz="0" w:space="0" w:color="auto"/>
        <w:bottom w:val="none" w:sz="0" w:space="0" w:color="auto"/>
        <w:right w:val="none" w:sz="0" w:space="0" w:color="auto"/>
      </w:divBdr>
      <w:divsChild>
        <w:div w:id="1453279102">
          <w:marLeft w:val="446"/>
          <w:marRight w:val="0"/>
          <w:marTop w:val="240"/>
          <w:marBottom w:val="0"/>
          <w:divBdr>
            <w:top w:val="none" w:sz="0" w:space="0" w:color="auto"/>
            <w:left w:val="none" w:sz="0" w:space="0" w:color="auto"/>
            <w:bottom w:val="none" w:sz="0" w:space="0" w:color="auto"/>
            <w:right w:val="none" w:sz="0" w:space="0" w:color="auto"/>
          </w:divBdr>
        </w:div>
        <w:div w:id="2130664108">
          <w:marLeft w:val="446"/>
          <w:marRight w:val="0"/>
          <w:marTop w:val="240"/>
          <w:marBottom w:val="0"/>
          <w:divBdr>
            <w:top w:val="none" w:sz="0" w:space="0" w:color="auto"/>
            <w:left w:val="none" w:sz="0" w:space="0" w:color="auto"/>
            <w:bottom w:val="none" w:sz="0" w:space="0" w:color="auto"/>
            <w:right w:val="none" w:sz="0" w:space="0" w:color="auto"/>
          </w:divBdr>
        </w:div>
        <w:div w:id="610823294">
          <w:marLeft w:val="446"/>
          <w:marRight w:val="0"/>
          <w:marTop w:val="240"/>
          <w:marBottom w:val="0"/>
          <w:divBdr>
            <w:top w:val="none" w:sz="0" w:space="0" w:color="auto"/>
            <w:left w:val="none" w:sz="0" w:space="0" w:color="auto"/>
            <w:bottom w:val="none" w:sz="0" w:space="0" w:color="auto"/>
            <w:right w:val="none" w:sz="0" w:space="0" w:color="auto"/>
          </w:divBdr>
        </w:div>
        <w:div w:id="2114473120">
          <w:marLeft w:val="446"/>
          <w:marRight w:val="0"/>
          <w:marTop w:val="240"/>
          <w:marBottom w:val="0"/>
          <w:divBdr>
            <w:top w:val="none" w:sz="0" w:space="0" w:color="auto"/>
            <w:left w:val="none" w:sz="0" w:space="0" w:color="auto"/>
            <w:bottom w:val="none" w:sz="0" w:space="0" w:color="auto"/>
            <w:right w:val="none" w:sz="0" w:space="0" w:color="auto"/>
          </w:divBdr>
        </w:div>
        <w:div w:id="629477987">
          <w:marLeft w:val="446"/>
          <w:marRight w:val="0"/>
          <w:marTop w:val="24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naicc.org.au/policy-and-research/genuine-partnerships/" TargetMode="External"/><Relationship Id="rId4" Type="http://schemas.openxmlformats.org/officeDocument/2006/relationships/settings" Target="settings.xml"/><Relationship Id="rId9" Type="http://schemas.openxmlformats.org/officeDocument/2006/relationships/hyperlink" Target="https://www.finance.gov.au/government/commonwealth-gra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B57D-00C0-4BD0-8C65-21513802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3871</Characters>
  <Application>Microsoft Office Word</Application>
  <DocSecurity>0</DocSecurity>
  <Lines>32</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2021-04-28T23:36:00Z</dcterms:created>
  <dcterms:modified xsi:type="dcterms:W3CDTF">2021-04-28T23:36:00Z</dcterms:modified>
</cp:coreProperties>
</file>