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F3BF5" w14:textId="4B235081" w:rsidR="00807F0E" w:rsidRPr="00891286" w:rsidRDefault="00A12062" w:rsidP="003077D6">
      <w:pPr>
        <w:pStyle w:val="Title"/>
        <w:rPr>
          <w:b/>
          <w:bCs/>
          <w:color w:val="FFFFFF" w:themeColor="background1"/>
          <w:sz w:val="32"/>
          <w:szCs w:val="32"/>
        </w:rPr>
      </w:pPr>
      <w:r>
        <w:rPr>
          <w:b/>
          <w:bCs/>
          <w:noProof/>
          <w:color w:val="FFFFFF" w:themeColor="background1"/>
          <w:sz w:val="32"/>
          <w:szCs w:val="32"/>
          <w:lang w:eastAsia="en-AU"/>
        </w:rPr>
        <w:drawing>
          <wp:anchor distT="0" distB="0" distL="114300" distR="114300" simplePos="0" relativeHeight="251658240" behindDoc="1" locked="0" layoutInCell="1" allowOverlap="1" wp14:anchorId="24D44406" wp14:editId="5F827AA4">
            <wp:simplePos x="0" y="0"/>
            <wp:positionH relativeFrom="column">
              <wp:posOffset>-908585</wp:posOffset>
            </wp:positionH>
            <wp:positionV relativeFrom="page">
              <wp:posOffset>16510</wp:posOffset>
            </wp:positionV>
            <wp:extent cx="7550785" cy="10685145"/>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0785" cy="10685145"/>
                    </a:xfrm>
                    <a:prstGeom prst="rect">
                      <a:avLst/>
                    </a:prstGeom>
                  </pic:spPr>
                </pic:pic>
              </a:graphicData>
            </a:graphic>
            <wp14:sizeRelH relativeFrom="page">
              <wp14:pctWidth>0</wp14:pctWidth>
            </wp14:sizeRelH>
            <wp14:sizeRelV relativeFrom="page">
              <wp14:pctHeight>0</wp14:pctHeight>
            </wp14:sizeRelV>
          </wp:anchor>
        </w:drawing>
      </w:r>
      <w:r w:rsidR="00D423F5">
        <w:rPr>
          <w:b/>
          <w:bCs/>
          <w:color w:val="FFFFFF" w:themeColor="background1"/>
          <w:sz w:val="32"/>
          <w:szCs w:val="32"/>
        </w:rPr>
        <w:t xml:space="preserve">A new </w:t>
      </w:r>
      <w:r w:rsidR="00717BF3" w:rsidRPr="00891286">
        <w:rPr>
          <w:b/>
          <w:bCs/>
          <w:color w:val="FFFFFF" w:themeColor="background1"/>
          <w:sz w:val="32"/>
          <w:szCs w:val="32"/>
        </w:rPr>
        <w:t>N</w:t>
      </w:r>
      <w:r w:rsidR="00807F0E" w:rsidRPr="00891286">
        <w:rPr>
          <w:b/>
          <w:bCs/>
          <w:color w:val="FFFFFF" w:themeColor="background1"/>
          <w:sz w:val="32"/>
          <w:szCs w:val="32"/>
        </w:rPr>
        <w:t>ational Disability Strategy</w:t>
      </w:r>
    </w:p>
    <w:p w14:paraId="0F6E8879" w14:textId="0F65ECED" w:rsidR="003077D6" w:rsidRPr="003077D6" w:rsidRDefault="00ED69D6" w:rsidP="003077D6">
      <w:pPr>
        <w:pStyle w:val="Title"/>
        <w:rPr>
          <w:sz w:val="32"/>
          <w:szCs w:val="32"/>
        </w:rPr>
      </w:pPr>
      <w:r w:rsidRPr="00891286">
        <w:rPr>
          <w:color w:val="FFFFFF" w:themeColor="background1"/>
          <w:sz w:val="32"/>
          <w:szCs w:val="32"/>
        </w:rPr>
        <w:t>Stage 2 Consultations</w:t>
      </w:r>
      <w:r w:rsidR="00306890">
        <w:rPr>
          <w:color w:val="FFFFFF" w:themeColor="background1"/>
          <w:sz w:val="32"/>
          <w:szCs w:val="32"/>
        </w:rPr>
        <w:t>:</w:t>
      </w:r>
    </w:p>
    <w:p w14:paraId="6D1764DC" w14:textId="0D922A94" w:rsidR="003077D6" w:rsidRPr="009A5464" w:rsidRDefault="003077D6" w:rsidP="003077D6">
      <w:pPr>
        <w:pStyle w:val="Title"/>
        <w:spacing w:before="480"/>
        <w:rPr>
          <w:b/>
          <w:bCs/>
          <w:sz w:val="48"/>
          <w:szCs w:val="48"/>
        </w:rPr>
      </w:pPr>
    </w:p>
    <w:p w14:paraId="31FAEFAE" w14:textId="795445E0" w:rsidR="00891286" w:rsidRDefault="00F67FB9" w:rsidP="00891286">
      <w:pPr>
        <w:pStyle w:val="Title"/>
        <w:spacing w:before="480"/>
        <w:rPr>
          <w:b/>
          <w:bCs/>
          <w:color w:val="FFFFFF" w:themeColor="background1"/>
        </w:rPr>
      </w:pPr>
      <w:r w:rsidRPr="00306890">
        <w:rPr>
          <w:b/>
          <w:bCs/>
          <w:color w:val="FFFFFF" w:themeColor="background1"/>
        </w:rPr>
        <w:t>Summary r</w:t>
      </w:r>
      <w:r w:rsidR="00D12EA3" w:rsidRPr="00306890">
        <w:rPr>
          <w:b/>
          <w:bCs/>
          <w:color w:val="FFFFFF" w:themeColor="background1"/>
        </w:rPr>
        <w:t>eport</w:t>
      </w:r>
      <w:r w:rsidR="00306890" w:rsidRPr="00306890">
        <w:rPr>
          <w:b/>
          <w:bCs/>
          <w:color w:val="FFFFFF" w:themeColor="background1"/>
        </w:rPr>
        <w:t xml:space="preserve"> of </w:t>
      </w:r>
      <w:r w:rsidR="00306890">
        <w:rPr>
          <w:b/>
          <w:bCs/>
          <w:color w:val="FFFFFF" w:themeColor="background1"/>
        </w:rPr>
        <w:br/>
      </w:r>
      <w:r w:rsidR="00306890" w:rsidRPr="00306890">
        <w:rPr>
          <w:b/>
          <w:bCs/>
          <w:color w:val="FFFFFF" w:themeColor="background1"/>
        </w:rPr>
        <w:t>Targeted Workshops</w:t>
      </w:r>
    </w:p>
    <w:p w14:paraId="3109A068" w14:textId="77777777" w:rsidR="009A5464" w:rsidRPr="009A5464" w:rsidRDefault="009A5464" w:rsidP="009A5464"/>
    <w:p w14:paraId="19355186" w14:textId="59C066A0" w:rsidR="00ED69D6" w:rsidRPr="001E3B42" w:rsidRDefault="001E3B42" w:rsidP="001E3B42">
      <w:pPr>
        <w:pStyle w:val="Title"/>
        <w:spacing w:before="240" w:after="1200"/>
        <w:rPr>
          <w:b/>
          <w:bCs/>
          <w:color w:val="FFFFFF" w:themeColor="background1"/>
          <w:sz w:val="24"/>
          <w:szCs w:val="24"/>
        </w:rPr>
      </w:pPr>
      <w:r w:rsidRPr="001E3B42">
        <w:rPr>
          <w:b/>
          <w:bCs/>
          <w:color w:val="FFFFFF" w:themeColor="background1"/>
          <w:sz w:val="24"/>
          <w:szCs w:val="24"/>
        </w:rPr>
        <w:t xml:space="preserve">April </w:t>
      </w:r>
      <w:r w:rsidR="00ED69D6" w:rsidRPr="001E3B42">
        <w:rPr>
          <w:b/>
          <w:bCs/>
          <w:color w:val="FFFFFF" w:themeColor="background1"/>
          <w:sz w:val="24"/>
          <w:szCs w:val="24"/>
        </w:rPr>
        <w:t>202</w:t>
      </w:r>
      <w:r w:rsidRPr="001E3B42">
        <w:rPr>
          <w:b/>
          <w:bCs/>
          <w:color w:val="FFFFFF" w:themeColor="background1"/>
          <w:sz w:val="24"/>
          <w:szCs w:val="24"/>
        </w:rPr>
        <w:t>1</w:t>
      </w:r>
      <w:r w:rsidR="001228A6" w:rsidRPr="001E3B42">
        <w:rPr>
          <w:b/>
          <w:bCs/>
          <w:color w:val="FFFFFF" w:themeColor="background1"/>
          <w:sz w:val="24"/>
          <w:szCs w:val="24"/>
        </w:rPr>
        <w:t xml:space="preserve"> </w:t>
      </w:r>
    </w:p>
    <w:p w14:paraId="3CCCFC45" w14:textId="1F0DBE26" w:rsidR="006011E5" w:rsidRDefault="00F024D7" w:rsidP="00F024D7">
      <w:pPr>
        <w:ind w:right="3969"/>
      </w:pPr>
      <w:r>
        <w:t xml:space="preserve">This is a summary of </w:t>
      </w:r>
      <w:r w:rsidRPr="007E7BE7">
        <w:t xml:space="preserve">the </w:t>
      </w:r>
      <w:hyperlink r:id="rId12" w:history="1">
        <w:r w:rsidR="009C4ACD" w:rsidRPr="007E7BE7">
          <w:rPr>
            <w:rStyle w:val="Hyperlink"/>
            <w:b/>
            <w:bCs/>
          </w:rPr>
          <w:t>S</w:t>
        </w:r>
        <w:r w:rsidRPr="007E7BE7">
          <w:rPr>
            <w:rStyle w:val="Hyperlink"/>
            <w:b/>
            <w:bCs/>
          </w:rPr>
          <w:t>tage 2 consultation</w:t>
        </w:r>
        <w:r w:rsidR="009C4ACD" w:rsidRPr="007E7BE7">
          <w:rPr>
            <w:rStyle w:val="Hyperlink"/>
            <w:b/>
            <w:bCs/>
          </w:rPr>
          <w:t>s:</w:t>
        </w:r>
        <w:r w:rsidRPr="007E7BE7">
          <w:rPr>
            <w:rStyle w:val="Hyperlink"/>
            <w:b/>
            <w:bCs/>
          </w:rPr>
          <w:t xml:space="preserve"> </w:t>
        </w:r>
        <w:r w:rsidR="009C4ACD" w:rsidRPr="007E7BE7">
          <w:rPr>
            <w:rStyle w:val="Hyperlink"/>
            <w:b/>
            <w:bCs/>
          </w:rPr>
          <w:t>R</w:t>
        </w:r>
        <w:r w:rsidRPr="007E7BE7">
          <w:rPr>
            <w:rStyle w:val="Hyperlink"/>
            <w:b/>
            <w:bCs/>
          </w:rPr>
          <w:t>eport</w:t>
        </w:r>
        <w:r w:rsidR="009C4ACD" w:rsidRPr="007E7BE7">
          <w:rPr>
            <w:rStyle w:val="Hyperlink"/>
            <w:b/>
            <w:bCs/>
          </w:rPr>
          <w:t xml:space="preserve"> on Targeted Workshops</w:t>
        </w:r>
      </w:hyperlink>
      <w:r w:rsidRPr="007E7BE7">
        <w:t>.</w:t>
      </w:r>
    </w:p>
    <w:p w14:paraId="30B95FD4" w14:textId="2E73E7DF" w:rsidR="00C17083" w:rsidRDefault="00F024D7" w:rsidP="00F024D7">
      <w:pPr>
        <w:ind w:right="3969"/>
      </w:pPr>
      <w:r w:rsidRPr="007E7BE7">
        <w:t xml:space="preserve">An </w:t>
      </w:r>
      <w:hyperlink r:id="rId13" w:history="1">
        <w:r w:rsidRPr="00415261">
          <w:rPr>
            <w:rStyle w:val="Hyperlink"/>
            <w:b/>
            <w:bCs/>
          </w:rPr>
          <w:t>Easy Read</w:t>
        </w:r>
      </w:hyperlink>
      <w:r w:rsidRPr="007E7BE7">
        <w:t xml:space="preserve"> and </w:t>
      </w:r>
      <w:hyperlink r:id="rId14" w:history="1">
        <w:proofErr w:type="spellStart"/>
        <w:r w:rsidRPr="00942E12">
          <w:rPr>
            <w:rStyle w:val="Hyperlink"/>
            <w:b/>
            <w:bCs/>
          </w:rPr>
          <w:t>Auslan</w:t>
        </w:r>
        <w:proofErr w:type="spellEnd"/>
      </w:hyperlink>
      <w:r>
        <w:t xml:space="preserve"> version is also available.</w:t>
      </w:r>
    </w:p>
    <w:p w14:paraId="77BC03C1" w14:textId="2FC9D804" w:rsidR="00AB28BA" w:rsidRPr="00AB28BA" w:rsidRDefault="00AB28BA" w:rsidP="00AB28BA">
      <w:pPr>
        <w:ind w:right="4111"/>
        <w:rPr>
          <w:lang w:val="en-US"/>
        </w:rPr>
      </w:pPr>
    </w:p>
    <w:p w14:paraId="1718AD4A" w14:textId="7FAE22E3" w:rsidR="003077D6" w:rsidRDefault="003077D6" w:rsidP="003077D6"/>
    <w:p w14:paraId="68F904E6" w14:textId="144AFB48" w:rsidR="003077D6" w:rsidRDefault="003077D6" w:rsidP="003077D6"/>
    <w:p w14:paraId="46B84114" w14:textId="1C2E7C7F" w:rsidR="003077D6" w:rsidRDefault="003077D6" w:rsidP="003077D6"/>
    <w:p w14:paraId="593D69A2" w14:textId="240A4BFD" w:rsidR="003077D6" w:rsidRDefault="003077D6" w:rsidP="003077D6"/>
    <w:p w14:paraId="3A11DE1C" w14:textId="5A82B0A9" w:rsidR="003077D6" w:rsidRDefault="003077D6" w:rsidP="003077D6"/>
    <w:p w14:paraId="62C03116" w14:textId="77777777" w:rsidR="003077D6" w:rsidRPr="003077D6" w:rsidRDefault="003077D6" w:rsidP="003077D6"/>
    <w:p w14:paraId="1B116819" w14:textId="77777777" w:rsidR="003077D6" w:rsidRDefault="003077D6" w:rsidP="003077D6">
      <w:pPr>
        <w:sectPr w:rsidR="003077D6" w:rsidSect="009A5464">
          <w:footerReference w:type="even" r:id="rId15"/>
          <w:footerReference w:type="default" r:id="rId16"/>
          <w:pgSz w:w="11900" w:h="16840"/>
          <w:pgMar w:top="4439" w:right="1104" w:bottom="1075" w:left="1440" w:header="708" w:footer="554" w:gutter="0"/>
          <w:cols w:space="708"/>
          <w:docGrid w:linePitch="360"/>
        </w:sectPr>
      </w:pPr>
    </w:p>
    <w:p w14:paraId="13502285" w14:textId="12BC1D88" w:rsidR="003904CD" w:rsidRDefault="00830FC0" w:rsidP="00DA6710">
      <w:pPr>
        <w:pStyle w:val="Heading1"/>
        <w:spacing w:after="120"/>
      </w:pPr>
      <w:r>
        <w:lastRenderedPageBreak/>
        <w:t>Overview</w:t>
      </w:r>
    </w:p>
    <w:p w14:paraId="1C6E9599" w14:textId="77777777" w:rsidR="00925994" w:rsidRDefault="00925994" w:rsidP="00925994">
      <w:r w:rsidRPr="006306FB">
        <w:t>The</w:t>
      </w:r>
      <w:r>
        <w:t xml:space="preserve"> current</w:t>
      </w:r>
      <w:r w:rsidRPr="006306FB">
        <w:t xml:space="preserve"> </w:t>
      </w:r>
      <w:r w:rsidRPr="006306FB">
        <w:rPr>
          <w:i/>
          <w:iCs/>
        </w:rPr>
        <w:t>National Disability Strategy 2010-2020</w:t>
      </w:r>
      <w:r w:rsidRPr="006306FB">
        <w:t xml:space="preserve"> </w:t>
      </w:r>
      <w:r>
        <w:t xml:space="preserve">(the Strategy) </w:t>
      </w:r>
      <w:r w:rsidRPr="006306FB">
        <w:t>is Australia’s overarching framework for disability reform</w:t>
      </w:r>
      <w:r>
        <w:t>.</w:t>
      </w:r>
      <w:r w:rsidRPr="006306FB">
        <w:t xml:space="preserve"> </w:t>
      </w:r>
      <w:r>
        <w:t>It</w:t>
      </w:r>
      <w:r w:rsidRPr="006306FB">
        <w:t xml:space="preserve"> sets out a 10</w:t>
      </w:r>
      <w:r>
        <w:t>-</w:t>
      </w:r>
      <w:r w:rsidRPr="006306FB">
        <w:t xml:space="preserve">year national </w:t>
      </w:r>
      <w:r>
        <w:t>framework for improving</w:t>
      </w:r>
      <w:r w:rsidRPr="006306FB">
        <w:t xml:space="preserve"> the lives </w:t>
      </w:r>
      <w:r>
        <w:t>of</w:t>
      </w:r>
      <w:r w:rsidRPr="006306FB">
        <w:t xml:space="preserve"> Australians with disability, their families and carers.</w:t>
      </w:r>
    </w:p>
    <w:p w14:paraId="596DBF0F" w14:textId="77777777" w:rsidR="00925994" w:rsidRPr="006306FB" w:rsidRDefault="00925994" w:rsidP="00925994">
      <w:r w:rsidRPr="006306FB">
        <w:t xml:space="preserve">The </w:t>
      </w:r>
      <w:r>
        <w:t>S</w:t>
      </w:r>
      <w:r w:rsidRPr="006306FB">
        <w:t>trategy is about creating a more inclusive society</w:t>
      </w:r>
      <w:r>
        <w:t xml:space="preserve">, enabling </w:t>
      </w:r>
      <w:r w:rsidRPr="006306FB">
        <w:t xml:space="preserve">Australians with disability to fulfil their potential as equal citizens. It is also the main way Australia implements the </w:t>
      </w:r>
      <w:r w:rsidRPr="004344B1">
        <w:t>United Nations Convention on the Rights of Persons with Disabilities.</w:t>
      </w:r>
    </w:p>
    <w:p w14:paraId="6247904B" w14:textId="77777777" w:rsidR="00925994" w:rsidRDefault="00925994" w:rsidP="00925994">
      <w:pPr>
        <w:ind w:right="284"/>
      </w:pPr>
      <w:r w:rsidRPr="006306FB">
        <w:t xml:space="preserve">The Australian Government is </w:t>
      </w:r>
      <w:r>
        <w:t>developing</w:t>
      </w:r>
      <w:r w:rsidRPr="006306FB">
        <w:t xml:space="preserve"> the new </w:t>
      </w:r>
      <w:r w:rsidRPr="00960898">
        <w:t>National Disability Strategy</w:t>
      </w:r>
      <w:r w:rsidRPr="006306FB">
        <w:t xml:space="preserve"> for beyond 2020.</w:t>
      </w:r>
      <w:r>
        <w:t xml:space="preserve"> To develop the new Strategy, </w:t>
      </w:r>
      <w:r w:rsidRPr="006306FB">
        <w:t xml:space="preserve">governments across Australia are working together </w:t>
      </w:r>
      <w:r>
        <w:t>and consulting</w:t>
      </w:r>
      <w:r w:rsidRPr="006306FB">
        <w:t xml:space="preserve"> people with disability.</w:t>
      </w:r>
    </w:p>
    <w:p w14:paraId="6E777206" w14:textId="3ABDFF59" w:rsidR="00925994" w:rsidRDefault="00925994" w:rsidP="00925994">
      <w:r>
        <w:t xml:space="preserve">A </w:t>
      </w:r>
      <w:r w:rsidRPr="0093582E">
        <w:rPr>
          <w:b/>
        </w:rPr>
        <w:t>N</w:t>
      </w:r>
      <w:r w:rsidR="00EE3F12">
        <w:rPr>
          <w:b/>
        </w:rPr>
        <w:t xml:space="preserve">ational </w:t>
      </w:r>
      <w:r w:rsidRPr="0093582E">
        <w:rPr>
          <w:b/>
        </w:rPr>
        <w:t>D</w:t>
      </w:r>
      <w:r w:rsidR="00EE3F12">
        <w:rPr>
          <w:b/>
        </w:rPr>
        <w:t xml:space="preserve">isability </w:t>
      </w:r>
      <w:r w:rsidRPr="0093582E">
        <w:rPr>
          <w:b/>
        </w:rPr>
        <w:t>S</w:t>
      </w:r>
      <w:r w:rsidR="00EE3F12">
        <w:rPr>
          <w:b/>
        </w:rPr>
        <w:t>trategy</w:t>
      </w:r>
      <w:r w:rsidRPr="0093582E">
        <w:rPr>
          <w:b/>
        </w:rPr>
        <w:t xml:space="preserve"> </w:t>
      </w:r>
      <w:hyperlink r:id="rId17" w:history="1">
        <w:r w:rsidRPr="0093582E">
          <w:rPr>
            <w:rStyle w:val="Hyperlink"/>
            <w:b/>
          </w:rPr>
          <w:t>Position Paper</w:t>
        </w:r>
      </w:hyperlink>
      <w:r w:rsidRPr="00EC5840">
        <w:t xml:space="preserve"> </w:t>
      </w:r>
      <w:r w:rsidR="00374F84">
        <w:t xml:space="preserve">(the Position Paper) </w:t>
      </w:r>
      <w:r>
        <w:t xml:space="preserve">was released for public consultation on 29 July 2020 by </w:t>
      </w:r>
      <w:r w:rsidR="0054436C">
        <w:t xml:space="preserve">the </w:t>
      </w:r>
      <w:r>
        <w:t>Department of Social Services (DSS), on behalf of Commonwealth, state and territory disability ministers. The Position Paper</w:t>
      </w:r>
      <w:r w:rsidRPr="008E7AAA">
        <w:t xml:space="preserve"> </w:t>
      </w:r>
      <w:r>
        <w:t xml:space="preserve">outlined a range of key features governments proposed to include in the new Strategy and was the basis for most elements of the Stage 2 consultations. </w:t>
      </w:r>
    </w:p>
    <w:p w14:paraId="775E35C8" w14:textId="25F9C1CA" w:rsidR="00925994" w:rsidRPr="00EC5840" w:rsidRDefault="00925994" w:rsidP="00925994">
      <w:r>
        <w:t xml:space="preserve">This </w:t>
      </w:r>
      <w:r w:rsidR="0023601C">
        <w:t xml:space="preserve">summary </w:t>
      </w:r>
      <w:r w:rsidR="00A73E4F">
        <w:t xml:space="preserve">captures the feedback </w:t>
      </w:r>
      <w:r w:rsidR="002A404E">
        <w:t>received</w:t>
      </w:r>
      <w:r>
        <w:t xml:space="preserve"> during t</w:t>
      </w:r>
      <w:r w:rsidRPr="00EC5840">
        <w:t xml:space="preserve">argeted engagement </w:t>
      </w:r>
      <w:r>
        <w:t>activities</w:t>
      </w:r>
      <w:r w:rsidRPr="00EC5840">
        <w:t xml:space="preserve"> held between August and </w:t>
      </w:r>
      <w:r>
        <w:t>October</w:t>
      </w:r>
      <w:r w:rsidRPr="00EC5840">
        <w:t xml:space="preserve"> 2020</w:t>
      </w:r>
      <w:r w:rsidR="00326F17">
        <w:t xml:space="preserve">, which </w:t>
      </w:r>
      <w:r w:rsidR="00F9671A">
        <w:t>included</w:t>
      </w:r>
      <w:r w:rsidRPr="00EC5840">
        <w:t>:</w:t>
      </w:r>
    </w:p>
    <w:p w14:paraId="74421F2E" w14:textId="35586636" w:rsidR="00925994" w:rsidRPr="00EC5840" w:rsidRDefault="00925994" w:rsidP="004943E3">
      <w:pPr>
        <w:numPr>
          <w:ilvl w:val="0"/>
          <w:numId w:val="1"/>
        </w:numPr>
        <w:spacing w:after="0"/>
        <w:ind w:left="426"/>
      </w:pPr>
      <w:r w:rsidRPr="0093582E">
        <w:rPr>
          <w:b/>
        </w:rPr>
        <w:t>18 focus groups</w:t>
      </w:r>
      <w:r w:rsidRPr="00EC5840">
        <w:t xml:space="preserve"> </w:t>
      </w:r>
      <w:r w:rsidRPr="0093582E">
        <w:rPr>
          <w:b/>
        </w:rPr>
        <w:t>and</w:t>
      </w:r>
      <w:r>
        <w:t xml:space="preserve"> </w:t>
      </w:r>
      <w:r>
        <w:rPr>
          <w:b/>
        </w:rPr>
        <w:t>4</w:t>
      </w:r>
      <w:r w:rsidRPr="0093582E">
        <w:rPr>
          <w:b/>
        </w:rPr>
        <w:t xml:space="preserve"> interviews</w:t>
      </w:r>
      <w:r>
        <w:t xml:space="preserve"> </w:t>
      </w:r>
      <w:r w:rsidRPr="00EC5840">
        <w:t xml:space="preserve">with </w:t>
      </w:r>
      <w:r w:rsidR="006C21BA" w:rsidRPr="00EC5840">
        <w:t>targeted audience groups</w:t>
      </w:r>
      <w:r w:rsidR="006C21BA">
        <w:t xml:space="preserve"> of people with disability</w:t>
      </w:r>
      <w:r w:rsidR="00906512">
        <w:t xml:space="preserve"> </w:t>
      </w:r>
    </w:p>
    <w:p w14:paraId="27B32CB6" w14:textId="7B449CB0" w:rsidR="00925994" w:rsidRDefault="00925994" w:rsidP="004943E3">
      <w:pPr>
        <w:numPr>
          <w:ilvl w:val="0"/>
          <w:numId w:val="1"/>
        </w:numPr>
        <w:ind w:left="426"/>
      </w:pPr>
      <w:r>
        <w:rPr>
          <w:b/>
        </w:rPr>
        <w:t>5</w:t>
      </w:r>
      <w:r w:rsidRPr="0093582E">
        <w:rPr>
          <w:b/>
        </w:rPr>
        <w:t xml:space="preserve"> cross-sector collaborative workshops</w:t>
      </w:r>
      <w:r w:rsidRPr="00EC5840">
        <w:t xml:space="preserve"> </w:t>
      </w:r>
      <w:r w:rsidR="002D554E" w:rsidRPr="00EC5840">
        <w:t xml:space="preserve">covering </w:t>
      </w:r>
      <w:r w:rsidR="002D554E">
        <w:t>three</w:t>
      </w:r>
      <w:r w:rsidR="002D554E" w:rsidRPr="00EC5840">
        <w:t xml:space="preserve"> key areas: community attitudes, employment, </w:t>
      </w:r>
      <w:r w:rsidR="002D554E">
        <w:t xml:space="preserve">and </w:t>
      </w:r>
      <w:r w:rsidR="002D554E" w:rsidRPr="00EC5840">
        <w:t>early support for children and families.</w:t>
      </w:r>
    </w:p>
    <w:p w14:paraId="2639AEF9" w14:textId="77777777" w:rsidR="002F5F3F" w:rsidRDefault="002F5F3F" w:rsidP="002F5F3F">
      <w:pPr>
        <w:spacing w:after="0"/>
      </w:pPr>
      <w:r>
        <w:t xml:space="preserve">In addition to the consultation sessions that are the subject of this report, </w:t>
      </w:r>
      <w:r w:rsidRPr="00EC5840">
        <w:t>DSS</w:t>
      </w:r>
      <w:r>
        <w:t xml:space="preserve"> also:</w:t>
      </w:r>
    </w:p>
    <w:p w14:paraId="0DFA55A9" w14:textId="77777777" w:rsidR="002F5F3F" w:rsidRDefault="002F5F3F" w:rsidP="002F5F3F">
      <w:pPr>
        <w:pStyle w:val="ListParagraph"/>
        <w:numPr>
          <w:ilvl w:val="0"/>
          <w:numId w:val="3"/>
        </w:numPr>
        <w:ind w:left="426"/>
      </w:pPr>
      <w:r w:rsidRPr="00EC5840">
        <w:t xml:space="preserve">led an open, public submission process via its </w:t>
      </w:r>
      <w:r>
        <w:t>DSS Engage</w:t>
      </w:r>
      <w:r w:rsidRPr="00EC5840">
        <w:t xml:space="preserve"> website</w:t>
      </w:r>
      <w:r>
        <w:t xml:space="preserve"> (237 submissions on the Position Paper were received)</w:t>
      </w:r>
    </w:p>
    <w:p w14:paraId="57B4E7A5" w14:textId="77777777" w:rsidR="002F5F3F" w:rsidRDefault="002F5F3F" w:rsidP="002F5F3F">
      <w:pPr>
        <w:pStyle w:val="ListParagraph"/>
        <w:numPr>
          <w:ilvl w:val="0"/>
          <w:numId w:val="3"/>
        </w:numPr>
        <w:ind w:left="426"/>
      </w:pPr>
      <w:r w:rsidRPr="00EC5840">
        <w:t>held workshops with Disability Representative Organisations</w:t>
      </w:r>
      <w:r>
        <w:t>, academics and researchers</w:t>
      </w:r>
    </w:p>
    <w:p w14:paraId="52278812" w14:textId="77777777" w:rsidR="002F5F3F" w:rsidRDefault="002F5F3F" w:rsidP="002F5F3F">
      <w:pPr>
        <w:pStyle w:val="ListParagraph"/>
        <w:numPr>
          <w:ilvl w:val="0"/>
          <w:numId w:val="3"/>
        </w:numPr>
        <w:ind w:left="426"/>
      </w:pPr>
      <w:r>
        <w:t>held consultations with Aboriginal and Torres Strait Islander people with disability</w:t>
      </w:r>
    </w:p>
    <w:p w14:paraId="519C004A" w14:textId="77777777" w:rsidR="002F5F3F" w:rsidRDefault="002F5F3F" w:rsidP="002F5F3F">
      <w:pPr>
        <w:pStyle w:val="ListParagraph"/>
        <w:numPr>
          <w:ilvl w:val="0"/>
          <w:numId w:val="3"/>
        </w:numPr>
        <w:ind w:left="426"/>
      </w:pPr>
      <w:r>
        <w:t xml:space="preserve">held workshops with </w:t>
      </w:r>
      <w:r w:rsidRPr="00EC5840">
        <w:t>state and territory government officials</w:t>
      </w:r>
    </w:p>
    <w:p w14:paraId="68C40A58" w14:textId="77777777" w:rsidR="002F5F3F" w:rsidRDefault="002F5F3F" w:rsidP="002F5F3F">
      <w:pPr>
        <w:pStyle w:val="ListParagraph"/>
        <w:numPr>
          <w:ilvl w:val="0"/>
          <w:numId w:val="3"/>
        </w:numPr>
        <w:ind w:left="426"/>
      </w:pPr>
      <w:r>
        <w:t>supported a webinar co-hosted by the Australian Human Rights Commission and the Centre for Research Excellence in Disability and Health.</w:t>
      </w:r>
    </w:p>
    <w:p w14:paraId="19B07B3C" w14:textId="07DE348A" w:rsidR="00CD4EE7" w:rsidRDefault="00CD4EE7" w:rsidP="00925994">
      <w:r w:rsidRPr="00EC5840">
        <w:t xml:space="preserve">Stage 2 consultations will also </w:t>
      </w:r>
      <w:r>
        <w:t xml:space="preserve">help to </w:t>
      </w:r>
      <w:r w:rsidRPr="00EC5840">
        <w:t>inform the</w:t>
      </w:r>
      <w:r>
        <w:t xml:space="preserve"> development of an </w:t>
      </w:r>
      <w:hyperlink r:id="rId18" w:history="1">
        <w:r w:rsidRPr="00D63A65">
          <w:rPr>
            <w:rStyle w:val="Hyperlink"/>
          </w:rPr>
          <w:t>outcomes framework</w:t>
        </w:r>
      </w:hyperlink>
      <w:r w:rsidRPr="00EC5840">
        <w:t xml:space="preserve">, </w:t>
      </w:r>
      <w:r>
        <w:t xml:space="preserve">which was </w:t>
      </w:r>
      <w:r w:rsidRPr="00EC5840">
        <w:t xml:space="preserve">released as a draft </w:t>
      </w:r>
      <w:r>
        <w:t xml:space="preserve">for public consultation </w:t>
      </w:r>
      <w:r w:rsidRPr="00EC5840">
        <w:t>on</w:t>
      </w:r>
      <w:r>
        <w:t xml:space="preserve"> 29 October 2020.</w:t>
      </w:r>
      <w:r w:rsidRPr="00EC5840">
        <w:t xml:space="preserve"> </w:t>
      </w:r>
      <w:r>
        <w:t xml:space="preserve">Seventy-four submissions were received on the draft </w:t>
      </w:r>
      <w:proofErr w:type="gramStart"/>
      <w:r>
        <w:t>outcomes</w:t>
      </w:r>
      <w:proofErr w:type="gramEnd"/>
      <w:r>
        <w:t xml:space="preserve"> framework.</w:t>
      </w:r>
    </w:p>
    <w:p w14:paraId="28076E93" w14:textId="27A22FF3" w:rsidR="00925994" w:rsidRDefault="00925994" w:rsidP="00925994">
      <w:r>
        <w:t xml:space="preserve">Reports on other stage 2 consultations are available on the </w:t>
      </w:r>
      <w:hyperlink r:id="rId19" w:history="1">
        <w:r w:rsidRPr="00D63A65">
          <w:rPr>
            <w:rStyle w:val="Hyperlink"/>
          </w:rPr>
          <w:t>DSS Engage site</w:t>
        </w:r>
      </w:hyperlink>
      <w:r>
        <w:t xml:space="preserve">. </w:t>
      </w:r>
    </w:p>
    <w:p w14:paraId="42C804BD" w14:textId="5E1DAB3D" w:rsidR="00C946B3" w:rsidRDefault="00925994" w:rsidP="00DA6710">
      <w:pPr>
        <w:spacing w:after="0"/>
      </w:pPr>
      <w:r w:rsidRPr="0012543F">
        <w:t xml:space="preserve">This </w:t>
      </w:r>
      <w:r>
        <w:t>s</w:t>
      </w:r>
      <w:r w:rsidRPr="0012543F">
        <w:t>tage 2 consultation</w:t>
      </w:r>
      <w:r>
        <w:t xml:space="preserve"> </w:t>
      </w:r>
      <w:r w:rsidRPr="0012543F">
        <w:t xml:space="preserve">report builds on the findings of the </w:t>
      </w:r>
      <w:r w:rsidRPr="000F29FD">
        <w:t xml:space="preserve">stage 1 report, </w:t>
      </w:r>
      <w:hyperlink r:id="rId20" w:history="1">
        <w:r w:rsidRPr="000F29FD">
          <w:rPr>
            <w:rStyle w:val="Hyperlink"/>
            <w:i/>
            <w:iCs/>
          </w:rPr>
          <w:t>Right to Opportunity:</w:t>
        </w:r>
      </w:hyperlink>
      <w:r w:rsidRPr="000F29FD">
        <w:rPr>
          <w:i/>
          <w:iCs/>
        </w:rPr>
        <w:t xml:space="preserve"> Consultation report to help shape the next National Disability Strategy</w:t>
      </w:r>
      <w:r w:rsidRPr="000F29FD">
        <w:t>.</w:t>
      </w:r>
      <w:r w:rsidR="00D5667C">
        <w:t xml:space="preserve"> </w:t>
      </w:r>
      <w:r w:rsidR="001659DE" w:rsidRPr="004E6D86">
        <w:t>In 2019, more than 3</w:t>
      </w:r>
      <w:r w:rsidR="001659DE">
        <w:t>,</w:t>
      </w:r>
      <w:r w:rsidR="001659DE" w:rsidRPr="004E6D86">
        <w:t>000 people</w:t>
      </w:r>
      <w:r w:rsidR="001659DE">
        <w:t xml:space="preserve">, including more </w:t>
      </w:r>
      <w:r w:rsidR="001659DE" w:rsidRPr="004E6D86">
        <w:t xml:space="preserve">than 1,000 </w:t>
      </w:r>
      <w:r w:rsidR="001659DE">
        <w:t>Australians</w:t>
      </w:r>
      <w:r w:rsidR="001659DE" w:rsidRPr="004E6D86">
        <w:t xml:space="preserve"> with disability</w:t>
      </w:r>
      <w:r w:rsidR="001659DE">
        <w:t>,</w:t>
      </w:r>
      <w:r w:rsidR="001659DE" w:rsidRPr="004E6D86">
        <w:t xml:space="preserve"> </w:t>
      </w:r>
      <w:r w:rsidR="001659DE">
        <w:t xml:space="preserve">took part in consultations </w:t>
      </w:r>
      <w:r w:rsidR="001659DE" w:rsidRPr="004E6D86">
        <w:t xml:space="preserve">to help shape the </w:t>
      </w:r>
      <w:r w:rsidR="001659DE" w:rsidRPr="00E5727A">
        <w:t>National Disability Strategy</w:t>
      </w:r>
      <w:r w:rsidR="001659DE" w:rsidRPr="004E6D86">
        <w:t xml:space="preserve"> for beyond 2020</w:t>
      </w:r>
      <w:r w:rsidR="00557E4D">
        <w:t xml:space="preserve">. </w:t>
      </w:r>
    </w:p>
    <w:p w14:paraId="0E6A9B2F" w14:textId="7BBB6198" w:rsidR="00C946B3" w:rsidRPr="00995E1C" w:rsidRDefault="00C946B3" w:rsidP="003B7517">
      <w:pPr>
        <w:pBdr>
          <w:top w:val="single" w:sz="48" w:space="1" w:color="134159"/>
          <w:left w:val="single" w:sz="48" w:space="4" w:color="134159"/>
          <w:bottom w:val="single" w:sz="48" w:space="1" w:color="134159"/>
          <w:right w:val="single" w:sz="48" w:space="4" w:color="134159"/>
        </w:pBdr>
        <w:shd w:val="clear" w:color="auto" w:fill="134159"/>
        <w:tabs>
          <w:tab w:val="left" w:pos="1295"/>
        </w:tabs>
        <w:spacing w:before="120"/>
        <w:ind w:right="141"/>
      </w:pPr>
      <w:r>
        <w:t xml:space="preserve">During the </w:t>
      </w:r>
      <w:r w:rsidR="00DB1263">
        <w:t>s</w:t>
      </w:r>
      <w:r>
        <w:t>tage 2 focus groups and workshops, participants said the next Strategy needs to</w:t>
      </w:r>
      <w:r w:rsidRPr="00995E1C">
        <w:t>:</w:t>
      </w:r>
    </w:p>
    <w:p w14:paraId="2AD0095B" w14:textId="4A753EF2" w:rsidR="00C946B3" w:rsidRPr="00995E1C" w:rsidRDefault="00C946B3" w:rsidP="004943E3">
      <w:pPr>
        <w:numPr>
          <w:ilvl w:val="0"/>
          <w:numId w:val="2"/>
        </w:numPr>
        <w:pBdr>
          <w:top w:val="single" w:sz="48" w:space="1" w:color="134159"/>
          <w:left w:val="single" w:sz="48" w:space="4" w:color="134159"/>
          <w:bottom w:val="single" w:sz="48" w:space="1" w:color="134159"/>
          <w:right w:val="single" w:sz="48" w:space="4" w:color="134159"/>
        </w:pBdr>
        <w:shd w:val="clear" w:color="auto" w:fill="134159"/>
        <w:tabs>
          <w:tab w:val="left" w:pos="1295"/>
        </w:tabs>
        <w:spacing w:after="40"/>
        <w:ind w:left="426" w:right="141" w:hanging="426"/>
      </w:pPr>
      <w:r>
        <w:t xml:space="preserve">be </w:t>
      </w:r>
      <w:r w:rsidRPr="00995E1C">
        <w:t>strength-based and build on what is working</w:t>
      </w:r>
    </w:p>
    <w:p w14:paraId="0A03B324" w14:textId="792A152D" w:rsidR="00C946B3" w:rsidRPr="00995E1C" w:rsidRDefault="00DB1263" w:rsidP="004943E3">
      <w:pPr>
        <w:numPr>
          <w:ilvl w:val="0"/>
          <w:numId w:val="2"/>
        </w:numPr>
        <w:pBdr>
          <w:top w:val="single" w:sz="48" w:space="1" w:color="134159"/>
          <w:left w:val="single" w:sz="48" w:space="4" w:color="134159"/>
          <w:bottom w:val="single" w:sz="48" w:space="1" w:color="134159"/>
          <w:right w:val="single" w:sz="48" w:space="4" w:color="134159"/>
        </w:pBdr>
        <w:shd w:val="clear" w:color="auto" w:fill="134159"/>
        <w:tabs>
          <w:tab w:val="left" w:pos="1295"/>
        </w:tabs>
        <w:spacing w:after="40"/>
        <w:ind w:left="426" w:right="141" w:hanging="426"/>
      </w:pPr>
      <w:r>
        <w:t>respond</w:t>
      </w:r>
      <w:r w:rsidR="00C946B3" w:rsidRPr="00995E1C">
        <w:t xml:space="preserve"> to existing or emerging gaps and opportunities for people with disability</w:t>
      </w:r>
    </w:p>
    <w:p w14:paraId="4AFC1FB4" w14:textId="7F045D5D" w:rsidR="00C946B3" w:rsidRPr="00995E1C" w:rsidRDefault="00C946B3" w:rsidP="004943E3">
      <w:pPr>
        <w:numPr>
          <w:ilvl w:val="0"/>
          <w:numId w:val="2"/>
        </w:numPr>
        <w:pBdr>
          <w:top w:val="single" w:sz="48" w:space="1" w:color="134159"/>
          <w:left w:val="single" w:sz="48" w:space="4" w:color="134159"/>
          <w:bottom w:val="single" w:sz="48" w:space="1" w:color="134159"/>
          <w:right w:val="single" w:sz="48" w:space="4" w:color="134159"/>
        </w:pBdr>
        <w:shd w:val="clear" w:color="auto" w:fill="134159"/>
        <w:tabs>
          <w:tab w:val="left" w:pos="1295"/>
        </w:tabs>
        <w:spacing w:after="40"/>
        <w:ind w:left="426" w:right="141" w:hanging="426"/>
      </w:pPr>
      <w:r w:rsidRPr="00995E1C">
        <w:t>contain practical actions that can be implemented, measured and reported on</w:t>
      </w:r>
    </w:p>
    <w:p w14:paraId="00B67F7E" w14:textId="2F71FEB0" w:rsidR="00C03E02" w:rsidRPr="000E4A3E" w:rsidRDefault="00C946B3" w:rsidP="00D20FA3">
      <w:pPr>
        <w:pStyle w:val="ListParagraph"/>
        <w:numPr>
          <w:ilvl w:val="0"/>
          <w:numId w:val="2"/>
        </w:numPr>
        <w:pBdr>
          <w:top w:val="single" w:sz="48" w:space="1" w:color="134159"/>
          <w:left w:val="single" w:sz="48" w:space="4" w:color="134159"/>
          <w:bottom w:val="single" w:sz="48" w:space="1" w:color="134159"/>
          <w:right w:val="single" w:sz="48" w:space="4" w:color="134159"/>
        </w:pBdr>
        <w:shd w:val="clear" w:color="auto" w:fill="134159"/>
        <w:tabs>
          <w:tab w:val="left" w:pos="1295"/>
        </w:tabs>
        <w:spacing w:after="40"/>
        <w:ind w:left="426" w:right="141" w:hanging="426"/>
        <w:rPr>
          <w:lang w:val="en-GB"/>
        </w:rPr>
      </w:pPr>
      <w:r w:rsidRPr="00995E1C">
        <w:t xml:space="preserve">include, where appropriate, stronger rights protections and legislation to align with the </w:t>
      </w:r>
      <w:r>
        <w:t>United Nations Convention on the Rights of Persons with Disabilities (</w:t>
      </w:r>
      <w:r w:rsidRPr="00995E1C">
        <w:t>UNCRPD</w:t>
      </w:r>
      <w:r>
        <w:t>)</w:t>
      </w:r>
      <w:r w:rsidRPr="00995E1C">
        <w:t>.</w:t>
      </w:r>
      <w:r w:rsidR="00C03E02" w:rsidRPr="000E4A3E">
        <w:rPr>
          <w:sz w:val="12"/>
          <w:szCs w:val="12"/>
        </w:rPr>
        <w:br w:type="page"/>
      </w:r>
    </w:p>
    <w:p w14:paraId="44199272" w14:textId="3EAEE2A3" w:rsidR="00D71007" w:rsidRPr="004F45C1" w:rsidRDefault="00933A74" w:rsidP="00B37A81">
      <w:pPr>
        <w:pStyle w:val="Heading1"/>
        <w:spacing w:after="120"/>
        <w:ind w:left="-284" w:right="-284"/>
        <w:rPr>
          <w:color w:val="134159"/>
        </w:rPr>
      </w:pPr>
      <w:r w:rsidRPr="004F45C1">
        <w:rPr>
          <w:color w:val="134159"/>
        </w:rPr>
        <w:lastRenderedPageBreak/>
        <w:t>Participation in consultation focus groups</w:t>
      </w:r>
      <w:r w:rsidR="00975523">
        <w:rPr>
          <w:color w:val="134159"/>
        </w:rPr>
        <w:t xml:space="preserve"> and workshops</w:t>
      </w:r>
    </w:p>
    <w:p w14:paraId="7A31FD58" w14:textId="77777777" w:rsidR="00A078DA" w:rsidRDefault="007B335D" w:rsidP="00D20FA3">
      <w:r>
        <w:rPr>
          <w:noProof/>
          <w:lang w:eastAsia="en-AU"/>
        </w:rPr>
        <w:drawing>
          <wp:inline distT="0" distB="0" distL="0" distR="0" wp14:anchorId="6FB51511" wp14:editId="57EE0D6D">
            <wp:extent cx="5962804" cy="8229600"/>
            <wp:effectExtent l="0" t="0" r="6350" b="0"/>
            <wp:docPr id="5" name="Picture 5" descr="22 focus groups and in-depth discussions with 132 people with disability from the following audience groups: CALD people, young people, regioanl, rural and remote, psychosocial disability and intellectual disability, delivered across all states and territories. 5 cross-sector collaborative workshops with 102 participants, on the topics of early support for children and families, employment and the impact of community attifudes on education and health, justice, support and safety, and social and economic partici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22 focus groups and in-depth discussions with 132 people with disability from the following audience groups: CALD people, young people, regioanl, rural and remote, psychosocial disability and intellectual disability, delivered across all states and territories. 5 cross-sector collaborative workshops with 102 participants, on the topics of early support for children and families, employment and the impact of community attifudes on education and health, justice, support and safety, and social and economic participation."/>
                    <pic:cNvPicPr/>
                  </pic:nvPicPr>
                  <pic:blipFill rotWithShape="1">
                    <a:blip r:embed="rId21">
                      <a:extLst>
                        <a:ext uri="{28A0092B-C50C-407E-A947-70E740481C1C}">
                          <a14:useLocalDpi xmlns:a14="http://schemas.microsoft.com/office/drawing/2010/main" val="0"/>
                        </a:ext>
                      </a:extLst>
                    </a:blip>
                    <a:srcRect l="11763" t="8097" r="6666" b="12346"/>
                    <a:stretch/>
                  </pic:blipFill>
                  <pic:spPr bwMode="auto">
                    <a:xfrm>
                      <a:off x="0" y="0"/>
                      <a:ext cx="5973508" cy="8244374"/>
                    </a:xfrm>
                    <a:prstGeom prst="rect">
                      <a:avLst/>
                    </a:prstGeom>
                    <a:ln>
                      <a:noFill/>
                    </a:ln>
                    <a:extLst>
                      <a:ext uri="{53640926-AAD7-44D8-BBD7-CCE9431645EC}">
                        <a14:shadowObscured xmlns:a14="http://schemas.microsoft.com/office/drawing/2010/main"/>
                      </a:ext>
                    </a:extLst>
                  </pic:spPr>
                </pic:pic>
              </a:graphicData>
            </a:graphic>
          </wp:inline>
        </w:drawing>
      </w:r>
    </w:p>
    <w:p w14:paraId="067965BB" w14:textId="214E3B60" w:rsidR="007B335D" w:rsidRPr="00A078DA" w:rsidRDefault="00A078DA" w:rsidP="00A078DA">
      <w:pPr>
        <w:pStyle w:val="Caption"/>
        <w:rPr>
          <w:highlight w:val="yellow"/>
        </w:rPr>
      </w:pPr>
      <w:r>
        <w:t xml:space="preserve">Figure </w:t>
      </w:r>
      <w:r>
        <w:fldChar w:fldCharType="begin"/>
      </w:r>
      <w:r>
        <w:instrText xml:space="preserve"> SEQ Figure \* ARABIC </w:instrText>
      </w:r>
      <w:r>
        <w:fldChar w:fldCharType="separate"/>
      </w:r>
      <w:r w:rsidR="00DF068F">
        <w:rPr>
          <w:noProof/>
        </w:rPr>
        <w:t>1</w:t>
      </w:r>
      <w:r>
        <w:fldChar w:fldCharType="end"/>
      </w:r>
      <w:r>
        <w:t>: Activities in stage 2 consultations</w:t>
      </w:r>
      <w:r w:rsidR="007B335D">
        <w:br w:type="page"/>
      </w:r>
    </w:p>
    <w:p w14:paraId="45083783" w14:textId="3D86C887" w:rsidR="006730C3" w:rsidRDefault="006730C3" w:rsidP="00104212">
      <w:pPr>
        <w:pStyle w:val="Heading1"/>
        <w:spacing w:after="120"/>
      </w:pPr>
      <w:r>
        <w:lastRenderedPageBreak/>
        <w:t>Outcome areas</w:t>
      </w:r>
    </w:p>
    <w:p w14:paraId="67468437" w14:textId="7894B242" w:rsidR="006730C3" w:rsidRPr="00486D43" w:rsidRDefault="00850B49" w:rsidP="007408FC">
      <w:pPr>
        <w:spacing w:after="240"/>
      </w:pPr>
      <w:r>
        <w:t xml:space="preserve">Participants </w:t>
      </w:r>
      <w:r w:rsidR="002A6E30">
        <w:t>were asked about</w:t>
      </w:r>
      <w:r w:rsidR="00E63148">
        <w:t xml:space="preserve"> what could be improved under the </w:t>
      </w:r>
      <w:proofErr w:type="gramStart"/>
      <w:r w:rsidR="00E63148">
        <w:t>outcomes</w:t>
      </w:r>
      <w:proofErr w:type="gramEnd"/>
      <w:r w:rsidR="00E63148">
        <w:t xml:space="preserve"> areas</w:t>
      </w:r>
      <w:r w:rsidR="006730C3">
        <w:t>.</w:t>
      </w:r>
      <w:r w:rsidR="00E63148">
        <w:t xml:space="preserve"> They raised many specific issues and suggestions, but common themes included:</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142" w:type="dxa"/>
          <w:bottom w:w="113" w:type="dxa"/>
          <w:right w:w="142" w:type="dxa"/>
        </w:tblCellMar>
        <w:tblLook w:val="04A0" w:firstRow="1" w:lastRow="0" w:firstColumn="1" w:lastColumn="0" w:noHBand="0" w:noVBand="1"/>
      </w:tblPr>
      <w:tblGrid>
        <w:gridCol w:w="9928"/>
      </w:tblGrid>
      <w:tr w:rsidR="00B224EF" w:rsidRPr="00B224EF" w14:paraId="7E03D7AA" w14:textId="77777777" w:rsidTr="002A25C6">
        <w:trPr>
          <w:trHeight w:val="3833"/>
        </w:trPr>
        <w:tc>
          <w:tcPr>
            <w:tcW w:w="9928" w:type="dxa"/>
            <w:shd w:val="clear" w:color="auto" w:fill="F2F2F2" w:themeFill="background1" w:themeFillShade="F2"/>
          </w:tcPr>
          <w:p w14:paraId="737F55C8" w14:textId="2BB40B6F" w:rsidR="00B224EF" w:rsidRPr="00906D7D" w:rsidRDefault="00B224EF" w:rsidP="00E5167E">
            <w:pPr>
              <w:numPr>
                <w:ilvl w:val="0"/>
                <w:numId w:val="17"/>
              </w:numPr>
              <w:spacing w:before="40" w:after="40"/>
              <w:ind w:left="426" w:hanging="357"/>
              <w:rPr>
                <w:lang w:val="en-GB"/>
              </w:rPr>
            </w:pPr>
            <w:r w:rsidRPr="00B224EF">
              <w:rPr>
                <w:b/>
                <w:bCs/>
                <w:lang w:val="en-GB"/>
              </w:rPr>
              <w:t xml:space="preserve">Improving the employment and financial security of people with disability </w:t>
            </w:r>
            <w:r w:rsidRPr="00B224EF">
              <w:rPr>
                <w:lang w:val="en-GB"/>
              </w:rPr>
              <w:t xml:space="preserve">must be a priority </w:t>
            </w:r>
            <w:r w:rsidR="002A25C6">
              <w:rPr>
                <w:lang w:val="en-GB"/>
              </w:rPr>
              <w:t>to achieve</w:t>
            </w:r>
            <w:r w:rsidRPr="00B224EF">
              <w:rPr>
                <w:lang w:val="en-GB"/>
              </w:rPr>
              <w:t xml:space="preserve"> better outcomes across all parts of life. People said there should be more </w:t>
            </w:r>
            <w:r w:rsidRPr="00906D7D">
              <w:rPr>
                <w:lang w:val="en-GB"/>
              </w:rPr>
              <w:t xml:space="preserve">employment opportunities for people with disability, and the Strategy could focus on </w:t>
            </w:r>
            <w:r w:rsidRPr="00906D7D">
              <w:rPr>
                <w:color w:val="000000" w:themeColor="text1"/>
              </w:rPr>
              <w:t xml:space="preserve">improving access to employment through: </w:t>
            </w:r>
          </w:p>
          <w:p w14:paraId="770ADB6E" w14:textId="77777777" w:rsidR="00B224EF" w:rsidRPr="00906D7D" w:rsidRDefault="00B224EF" w:rsidP="00E5167E">
            <w:pPr>
              <w:pStyle w:val="ListParagraph"/>
              <w:numPr>
                <w:ilvl w:val="0"/>
                <w:numId w:val="11"/>
              </w:numPr>
              <w:spacing w:before="40" w:after="40"/>
              <w:ind w:left="851"/>
              <w:rPr>
                <w:lang w:val="en-GB"/>
              </w:rPr>
            </w:pPr>
            <w:r w:rsidRPr="00906D7D">
              <w:t xml:space="preserve">promoting the employment of people with disability to all employers </w:t>
            </w:r>
          </w:p>
          <w:p w14:paraId="7690FBE0" w14:textId="77777777" w:rsidR="00B224EF" w:rsidRPr="00906D7D" w:rsidRDefault="00B224EF" w:rsidP="00E5167E">
            <w:pPr>
              <w:pStyle w:val="ListParagraph"/>
              <w:numPr>
                <w:ilvl w:val="0"/>
                <w:numId w:val="8"/>
              </w:numPr>
              <w:spacing w:before="40" w:after="40"/>
              <w:ind w:left="851"/>
            </w:pPr>
            <w:r w:rsidRPr="00906D7D">
              <w:t>meaningful work opportunities</w:t>
            </w:r>
          </w:p>
          <w:p w14:paraId="331BB663" w14:textId="77777777" w:rsidR="00B224EF" w:rsidRPr="00906D7D" w:rsidRDefault="00B224EF" w:rsidP="00E5167E">
            <w:pPr>
              <w:pStyle w:val="ListParagraph"/>
              <w:numPr>
                <w:ilvl w:val="0"/>
                <w:numId w:val="8"/>
              </w:numPr>
              <w:spacing w:before="40" w:after="40"/>
              <w:ind w:left="851"/>
            </w:pPr>
            <w:r w:rsidRPr="00906D7D">
              <w:t>customised employment that is more flexible to the needs of people with disability</w:t>
            </w:r>
          </w:p>
          <w:p w14:paraId="4930D11A" w14:textId="77777777" w:rsidR="00B224EF" w:rsidRPr="00906D7D" w:rsidRDefault="00B224EF" w:rsidP="009F66B3">
            <w:pPr>
              <w:pStyle w:val="ListParagraph"/>
              <w:numPr>
                <w:ilvl w:val="0"/>
                <w:numId w:val="8"/>
              </w:numPr>
              <w:spacing w:before="40"/>
              <w:ind w:left="851"/>
            </w:pPr>
            <w:r w:rsidRPr="00906D7D">
              <w:t>supporting opportunities for microenterprise led by people with disability.</w:t>
            </w:r>
            <w:r w:rsidRPr="00906D7D">
              <w:rPr>
                <w:lang w:val="en-GB"/>
              </w:rPr>
              <w:t xml:space="preserve"> </w:t>
            </w:r>
          </w:p>
          <w:p w14:paraId="3C8CBB8D" w14:textId="70D2A3D1" w:rsidR="00B224EF" w:rsidRPr="00B224EF" w:rsidRDefault="00B224EF" w:rsidP="00E5167E">
            <w:pPr>
              <w:spacing w:before="40" w:after="40"/>
              <w:ind w:left="426"/>
              <w:rPr>
                <w:lang w:val="en-GB"/>
              </w:rPr>
            </w:pPr>
            <w:r w:rsidRPr="00B224EF">
              <w:rPr>
                <w:lang w:val="en-GB"/>
              </w:rPr>
              <w:t>Participants raised concerns that many people with disability do not have financial security, or enough money for their basic living needs. This can cause additional disadvantage and stops people being able to access supports, services or things in their community. In rural and remote areas, in particular, the high cost of living expenses and a lack of local employment, put people with disability at risk of being financially insecure.</w:t>
            </w:r>
          </w:p>
        </w:tc>
      </w:tr>
      <w:tr w:rsidR="00B224EF" w:rsidRPr="00B224EF" w14:paraId="4AA49C95" w14:textId="77777777" w:rsidTr="002A25C6">
        <w:tc>
          <w:tcPr>
            <w:tcW w:w="9928" w:type="dxa"/>
          </w:tcPr>
          <w:p w14:paraId="5EE9CE85" w14:textId="15B870AA" w:rsidR="00B224EF" w:rsidRPr="00B224EF" w:rsidRDefault="00B224EF" w:rsidP="00E5167E">
            <w:pPr>
              <w:numPr>
                <w:ilvl w:val="0"/>
                <w:numId w:val="17"/>
              </w:numPr>
              <w:spacing w:before="40" w:after="40"/>
              <w:ind w:left="426" w:hanging="357"/>
              <w:rPr>
                <w:lang w:val="en-GB"/>
              </w:rPr>
            </w:pPr>
            <w:r w:rsidRPr="00B224EF">
              <w:rPr>
                <w:lang w:val="en-GB"/>
              </w:rPr>
              <w:t>Some participants said there had been improvements in access</w:t>
            </w:r>
            <w:r w:rsidR="0027585D">
              <w:rPr>
                <w:lang w:val="en-GB"/>
              </w:rPr>
              <w:t>ing</w:t>
            </w:r>
            <w:r w:rsidR="00746B63">
              <w:rPr>
                <w:lang w:val="en-GB"/>
              </w:rPr>
              <w:t xml:space="preserve"> </w:t>
            </w:r>
            <w:r w:rsidR="002A25C6">
              <w:rPr>
                <w:lang w:val="en-GB"/>
              </w:rPr>
              <w:t xml:space="preserve">their </w:t>
            </w:r>
            <w:r w:rsidRPr="00B224EF">
              <w:rPr>
                <w:lang w:val="en-GB"/>
              </w:rPr>
              <w:t>communiti</w:t>
            </w:r>
            <w:r w:rsidR="002A25C6">
              <w:rPr>
                <w:lang w:val="en-GB"/>
              </w:rPr>
              <w:t>es</w:t>
            </w:r>
            <w:r w:rsidRPr="00B224EF">
              <w:rPr>
                <w:lang w:val="en-GB"/>
              </w:rPr>
              <w:t xml:space="preserve">, particularly as a result of the NDIS </w:t>
            </w:r>
            <w:r w:rsidR="002A25C6">
              <w:rPr>
                <w:lang w:val="en-GB"/>
              </w:rPr>
              <w:t>as well as</w:t>
            </w:r>
            <w:r w:rsidRPr="00B224EF">
              <w:rPr>
                <w:lang w:val="en-GB"/>
              </w:rPr>
              <w:t xml:space="preserve"> </w:t>
            </w:r>
            <w:r w:rsidR="002A25C6">
              <w:rPr>
                <w:lang w:val="en-GB"/>
              </w:rPr>
              <w:t>having</w:t>
            </w:r>
            <w:r w:rsidRPr="00B224EF">
              <w:rPr>
                <w:lang w:val="en-GB"/>
              </w:rPr>
              <w:t xml:space="preserve"> more online groups available to build connections.</w:t>
            </w:r>
            <w:r w:rsidRPr="00B224EF">
              <w:rPr>
                <w:b/>
                <w:bCs/>
                <w:lang w:val="en-GB"/>
              </w:rPr>
              <w:t xml:space="preserve"> Physical access to places, spaces and infrastructure</w:t>
            </w:r>
            <w:r w:rsidRPr="00B224EF">
              <w:rPr>
                <w:lang w:val="en-GB"/>
              </w:rPr>
              <w:t xml:space="preserve">, including housing, was raised as a barrier to living in some communities, and </w:t>
            </w:r>
            <w:r w:rsidR="002A25C6">
              <w:rPr>
                <w:lang w:val="en-GB"/>
              </w:rPr>
              <w:t xml:space="preserve">participants </w:t>
            </w:r>
            <w:r w:rsidRPr="00B224EF">
              <w:rPr>
                <w:lang w:val="en-GB"/>
              </w:rPr>
              <w:t xml:space="preserve">suggested the Strategy should help to ensure transport and buildings are </w:t>
            </w:r>
            <w:r w:rsidR="002A25C6">
              <w:rPr>
                <w:lang w:val="en-GB"/>
              </w:rPr>
              <w:t xml:space="preserve">fully </w:t>
            </w:r>
            <w:r w:rsidRPr="00B224EF">
              <w:rPr>
                <w:lang w:val="en-GB"/>
              </w:rPr>
              <w:t xml:space="preserve">accessible. Participants also said that </w:t>
            </w:r>
            <w:r w:rsidRPr="00B224EF">
              <w:rPr>
                <w:b/>
                <w:bCs/>
                <w:sz w:val="21"/>
                <w:szCs w:val="21"/>
              </w:rPr>
              <w:t>improving access to information, technologies and interpreters</w:t>
            </w:r>
            <w:r w:rsidRPr="00B224EF">
              <w:rPr>
                <w:sz w:val="21"/>
                <w:szCs w:val="21"/>
              </w:rPr>
              <w:t xml:space="preserve"> should be a priority.</w:t>
            </w:r>
          </w:p>
        </w:tc>
      </w:tr>
      <w:tr w:rsidR="00B224EF" w:rsidRPr="00B224EF" w14:paraId="35E99294" w14:textId="77777777" w:rsidTr="002A25C6">
        <w:trPr>
          <w:trHeight w:val="1888"/>
        </w:trPr>
        <w:tc>
          <w:tcPr>
            <w:tcW w:w="9928" w:type="dxa"/>
            <w:shd w:val="clear" w:color="auto" w:fill="F2F2F2" w:themeFill="background1" w:themeFillShade="F2"/>
          </w:tcPr>
          <w:p w14:paraId="2531751C" w14:textId="5DC74FAF" w:rsidR="00B224EF" w:rsidRPr="00906D7D" w:rsidRDefault="00B224EF" w:rsidP="002A25C6">
            <w:pPr>
              <w:numPr>
                <w:ilvl w:val="0"/>
                <w:numId w:val="17"/>
              </w:numPr>
              <w:spacing w:before="40" w:after="40" w:line="240" w:lineRule="auto"/>
              <w:ind w:left="426" w:hanging="357"/>
              <w:rPr>
                <w:lang w:val="en-GB"/>
              </w:rPr>
            </w:pPr>
            <w:r w:rsidRPr="00906D7D">
              <w:t xml:space="preserve">Some people said there had been </w:t>
            </w:r>
            <w:r w:rsidRPr="00906D7D">
              <w:rPr>
                <w:b/>
                <w:bCs/>
              </w:rPr>
              <w:t>some improvements in the awareness of the rights of people with disability, but more needed to be done</w:t>
            </w:r>
            <w:r w:rsidRPr="00906D7D">
              <w:t>. Participants suggested the Strategy should</w:t>
            </w:r>
            <w:r w:rsidR="005C206E">
              <w:t xml:space="preserve"> </w:t>
            </w:r>
            <w:r w:rsidR="0030537E">
              <w:t>prioritise</w:t>
            </w:r>
            <w:r w:rsidRPr="00906D7D">
              <w:t>:</w:t>
            </w:r>
          </w:p>
          <w:p w14:paraId="7566769B" w14:textId="65CC9BB7" w:rsidR="00B224EF" w:rsidRPr="00906D7D" w:rsidRDefault="00B224EF" w:rsidP="002A25C6">
            <w:pPr>
              <w:pStyle w:val="ListParagraph"/>
              <w:numPr>
                <w:ilvl w:val="0"/>
                <w:numId w:val="18"/>
              </w:numPr>
              <w:spacing w:before="40" w:after="40" w:line="240" w:lineRule="auto"/>
              <w:ind w:left="851" w:hanging="357"/>
              <w:contextualSpacing w:val="0"/>
              <w:rPr>
                <w:sz w:val="24"/>
                <w:szCs w:val="24"/>
                <w:lang w:val="en-GB"/>
              </w:rPr>
            </w:pPr>
            <w:r w:rsidRPr="00906D7D">
              <w:t xml:space="preserve">support </w:t>
            </w:r>
            <w:r w:rsidR="0030537E">
              <w:t xml:space="preserve">for </w:t>
            </w:r>
            <w:r w:rsidRPr="00906D7D">
              <w:t>people to better understand their rights and identify discrimination</w:t>
            </w:r>
          </w:p>
          <w:p w14:paraId="76E1046D" w14:textId="1C051BE4" w:rsidR="00B224EF" w:rsidRPr="00906D7D" w:rsidRDefault="00B224EF" w:rsidP="002A25C6">
            <w:pPr>
              <w:pStyle w:val="ListParagraph"/>
              <w:numPr>
                <w:ilvl w:val="0"/>
                <w:numId w:val="18"/>
              </w:numPr>
              <w:spacing w:before="40" w:after="40" w:line="240" w:lineRule="auto"/>
              <w:ind w:left="851" w:hanging="357"/>
              <w:contextualSpacing w:val="0"/>
            </w:pPr>
            <w:r w:rsidRPr="00906D7D">
              <w:t xml:space="preserve">better complaints processes for enforcing people’s rights </w:t>
            </w:r>
          </w:p>
          <w:p w14:paraId="2817D8EC" w14:textId="222F6A8C" w:rsidR="00B224EF" w:rsidRPr="00B224EF" w:rsidRDefault="00B224EF" w:rsidP="002A25C6">
            <w:pPr>
              <w:pStyle w:val="ListParagraph"/>
              <w:numPr>
                <w:ilvl w:val="0"/>
                <w:numId w:val="18"/>
              </w:numPr>
              <w:spacing w:before="40" w:after="40" w:line="240" w:lineRule="auto"/>
              <w:ind w:left="851" w:hanging="357"/>
              <w:rPr>
                <w:lang w:val="en-GB"/>
              </w:rPr>
            </w:pPr>
            <w:r w:rsidRPr="00906D7D">
              <w:t>implement</w:t>
            </w:r>
            <w:r w:rsidR="0030537E">
              <w:t>ing</w:t>
            </w:r>
            <w:r w:rsidRPr="00906D7D">
              <w:t xml:space="preserve"> actions out of the Royal Commission and other reviews</w:t>
            </w:r>
          </w:p>
        </w:tc>
      </w:tr>
      <w:tr w:rsidR="00B224EF" w:rsidRPr="00B224EF" w14:paraId="04D1D41E" w14:textId="77777777" w:rsidTr="002A25C6">
        <w:tc>
          <w:tcPr>
            <w:tcW w:w="9928" w:type="dxa"/>
          </w:tcPr>
          <w:p w14:paraId="3F178839" w14:textId="4B7DE827" w:rsidR="00B224EF" w:rsidRPr="00B224EF" w:rsidRDefault="00B224EF">
            <w:pPr>
              <w:numPr>
                <w:ilvl w:val="0"/>
                <w:numId w:val="17"/>
              </w:numPr>
              <w:spacing w:before="40" w:after="40"/>
              <w:ind w:left="426" w:hanging="357"/>
              <w:rPr>
                <w:lang w:val="en-GB"/>
              </w:rPr>
            </w:pPr>
            <w:r w:rsidRPr="00B224EF">
              <w:rPr>
                <w:b/>
                <w:bCs/>
                <w:lang w:val="en-GB"/>
              </w:rPr>
              <w:t>Participants said there needs to be continue</w:t>
            </w:r>
            <w:r w:rsidR="002A25C6">
              <w:rPr>
                <w:b/>
                <w:bCs/>
                <w:lang w:val="en-GB"/>
              </w:rPr>
              <w:t>d</w:t>
            </w:r>
            <w:r w:rsidRPr="00B224EF">
              <w:rPr>
                <w:b/>
                <w:bCs/>
                <w:lang w:val="en-GB"/>
              </w:rPr>
              <w:t xml:space="preserve"> improvements to the NDIS, </w:t>
            </w:r>
            <w:r w:rsidRPr="00B224EF">
              <w:rPr>
                <w:lang w:val="en-GB"/>
              </w:rPr>
              <w:t xml:space="preserve">to make sure it is person-centred and works for all participants who access NDIS supports. They also said that for the millions of people with disability who can’t access the NDIS, there need to be </w:t>
            </w:r>
            <w:r w:rsidRPr="00B224EF">
              <w:rPr>
                <w:b/>
                <w:bCs/>
                <w:lang w:val="en-GB"/>
              </w:rPr>
              <w:t>better mainstream services and supports in the community</w:t>
            </w:r>
            <w:r w:rsidRPr="00B224EF">
              <w:rPr>
                <w:lang w:val="en-GB"/>
              </w:rPr>
              <w:t xml:space="preserve">, that </w:t>
            </w:r>
            <w:r w:rsidR="005C206E">
              <w:rPr>
                <w:lang w:val="en-GB"/>
              </w:rPr>
              <w:t>ar</w:t>
            </w:r>
            <w:r w:rsidR="00881808">
              <w:rPr>
                <w:lang w:val="en-GB"/>
              </w:rPr>
              <w:t>e</w:t>
            </w:r>
            <w:r w:rsidR="005C206E" w:rsidRPr="00B224EF">
              <w:rPr>
                <w:lang w:val="en-GB"/>
              </w:rPr>
              <w:t xml:space="preserve"> </w:t>
            </w:r>
            <w:r w:rsidRPr="00B224EF">
              <w:rPr>
                <w:lang w:val="en-GB"/>
              </w:rPr>
              <w:t xml:space="preserve">accessible and appropriate for people with disability. </w:t>
            </w:r>
          </w:p>
        </w:tc>
      </w:tr>
      <w:tr w:rsidR="00B224EF" w:rsidRPr="00B224EF" w14:paraId="5CCD49C0" w14:textId="77777777" w:rsidTr="002A25C6">
        <w:tc>
          <w:tcPr>
            <w:tcW w:w="9928" w:type="dxa"/>
            <w:shd w:val="clear" w:color="auto" w:fill="F2F2F2" w:themeFill="background1" w:themeFillShade="F2"/>
          </w:tcPr>
          <w:p w14:paraId="00C33B79" w14:textId="77777777" w:rsidR="00B224EF" w:rsidRPr="00B224EF" w:rsidRDefault="00B224EF" w:rsidP="00E5167E">
            <w:pPr>
              <w:numPr>
                <w:ilvl w:val="0"/>
                <w:numId w:val="17"/>
              </w:numPr>
              <w:spacing w:before="40" w:after="40"/>
              <w:ind w:left="426" w:hanging="357"/>
              <w:rPr>
                <w:lang w:val="en-GB"/>
              </w:rPr>
            </w:pPr>
            <w:r w:rsidRPr="00B224EF">
              <w:rPr>
                <w:lang w:val="en-GB"/>
              </w:rPr>
              <w:t>Participants focused strongly on ensuring that</w:t>
            </w:r>
            <w:r w:rsidRPr="00B224EF">
              <w:rPr>
                <w:b/>
                <w:bCs/>
                <w:lang w:val="en-GB"/>
              </w:rPr>
              <w:t xml:space="preserve"> education settings are more inclusive</w:t>
            </w:r>
            <w:r w:rsidRPr="00B224EF">
              <w:rPr>
                <w:lang w:val="en-GB"/>
              </w:rPr>
              <w:t xml:space="preserve">, so children with disability can attend schools with their peers. </w:t>
            </w:r>
          </w:p>
        </w:tc>
      </w:tr>
      <w:tr w:rsidR="00B224EF" w:rsidRPr="00B224EF" w14:paraId="0DDDA4BB" w14:textId="77777777" w:rsidTr="002A25C6">
        <w:tc>
          <w:tcPr>
            <w:tcW w:w="9928" w:type="dxa"/>
          </w:tcPr>
          <w:p w14:paraId="4A933ED1" w14:textId="77777777" w:rsidR="00B224EF" w:rsidRPr="00B224EF" w:rsidRDefault="00B224EF" w:rsidP="004D04A4">
            <w:pPr>
              <w:numPr>
                <w:ilvl w:val="0"/>
                <w:numId w:val="17"/>
              </w:numPr>
              <w:spacing w:before="40" w:after="0"/>
              <w:ind w:left="426" w:hanging="357"/>
              <w:rPr>
                <w:lang w:val="en-GB"/>
              </w:rPr>
            </w:pPr>
            <w:r w:rsidRPr="00B224EF">
              <w:rPr>
                <w:lang w:val="en-GB"/>
              </w:rPr>
              <w:t xml:space="preserve">Participants raised concerns about the </w:t>
            </w:r>
            <w:r w:rsidRPr="00B224EF">
              <w:rPr>
                <w:b/>
                <w:bCs/>
                <w:lang w:val="en-GB"/>
              </w:rPr>
              <w:t>lack of understanding of disability in health services</w:t>
            </w:r>
            <w:r w:rsidRPr="00B224EF">
              <w:rPr>
                <w:lang w:val="en-GB"/>
              </w:rPr>
              <w:t xml:space="preserve">, which impacted their access to services as well as their overall wellbeing. They said there needs to be more training for health professionals. </w:t>
            </w:r>
          </w:p>
        </w:tc>
      </w:tr>
    </w:tbl>
    <w:p w14:paraId="16E85078" w14:textId="77777777" w:rsidR="00E70157" w:rsidRDefault="00E70157" w:rsidP="005E164B">
      <w:pPr>
        <w:pStyle w:val="Heading1"/>
      </w:pPr>
      <w:r>
        <w:br w:type="page"/>
      </w:r>
    </w:p>
    <w:p w14:paraId="1D1E15CC" w14:textId="671E77D7" w:rsidR="0030199F" w:rsidRDefault="005E164B" w:rsidP="0046719A">
      <w:pPr>
        <w:pStyle w:val="Heading1"/>
        <w:spacing w:after="120"/>
      </w:pPr>
      <w:r>
        <w:lastRenderedPageBreak/>
        <w:t>Guiding principles</w:t>
      </w:r>
    </w:p>
    <w:p w14:paraId="61320EF1" w14:textId="2A7E13D0" w:rsidR="00486D43" w:rsidRPr="00486D43" w:rsidRDefault="002A25C6" w:rsidP="00071DC8">
      <w:pPr>
        <w:spacing w:after="240"/>
      </w:pPr>
      <w:r>
        <w:t>Participants</w:t>
      </w:r>
      <w:r w:rsidR="00486D43">
        <w:t xml:space="preserve"> supported having guiding principles in the Strategy.</w:t>
      </w:r>
      <w:r w:rsidR="001C7FC6">
        <w:t xml:space="preserve"> They focused on the following areas as </w:t>
      </w:r>
      <w:r w:rsidR="002057F1">
        <w:t>important for the Strateg</w:t>
      </w:r>
      <w:r w:rsidR="00C83F34">
        <w:t>y</w:t>
      </w:r>
      <w:r w:rsidR="002057F1">
        <w:t xml:space="preserve"> to</w:t>
      </w:r>
      <w:r w:rsidR="009E08B9">
        <w:t xml:space="preserve"> ensure</w:t>
      </w:r>
      <w:r w:rsidR="002057F1">
        <w:t>.</w:t>
      </w:r>
    </w:p>
    <w:tbl>
      <w:tblPr>
        <w:tblStyle w:val="TableGrid"/>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227" w:type="dxa"/>
          <w:bottom w:w="113" w:type="dxa"/>
          <w:right w:w="227" w:type="dxa"/>
        </w:tblCellMar>
        <w:tblLook w:val="04A0" w:firstRow="1" w:lastRow="0" w:firstColumn="1" w:lastColumn="0" w:noHBand="0" w:noVBand="1"/>
      </w:tblPr>
      <w:tblGrid>
        <w:gridCol w:w="1702"/>
        <w:gridCol w:w="8226"/>
      </w:tblGrid>
      <w:tr w:rsidR="007472D1" w14:paraId="664D2271" w14:textId="77777777" w:rsidTr="00575957">
        <w:tc>
          <w:tcPr>
            <w:tcW w:w="1702" w:type="dxa"/>
            <w:shd w:val="clear" w:color="auto" w:fill="F2F2F2" w:themeFill="background1" w:themeFillShade="F2"/>
          </w:tcPr>
          <w:p w14:paraId="4C98C2F0" w14:textId="5312D0A7" w:rsidR="003262BB" w:rsidRDefault="00ED4AE0" w:rsidP="002A25C6">
            <w:pPr>
              <w:spacing w:before="120" w:after="60"/>
              <w:ind w:left="-87"/>
            </w:pPr>
            <w:r>
              <w:rPr>
                <w:noProof/>
                <w:lang w:eastAsia="en-AU"/>
              </w:rPr>
              <w:drawing>
                <wp:inline distT="0" distB="0" distL="0" distR="0" wp14:anchorId="13DB7528" wp14:editId="33AA8EEA">
                  <wp:extent cx="959643" cy="966354"/>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rotWithShape="1">
                          <a:blip r:embed="rId22" cstate="hqprint">
                            <a:extLst>
                              <a:ext uri="{28A0092B-C50C-407E-A947-70E740481C1C}">
                                <a14:useLocalDpi xmlns:a14="http://schemas.microsoft.com/office/drawing/2010/main" val="0"/>
                              </a:ext>
                            </a:extLst>
                          </a:blip>
                          <a:srcRect l="20784" t="20120" r="22078" b="18449"/>
                          <a:stretch/>
                        </pic:blipFill>
                        <pic:spPr bwMode="auto">
                          <a:xfrm>
                            <a:off x="0" y="0"/>
                            <a:ext cx="978650" cy="985494"/>
                          </a:xfrm>
                          <a:prstGeom prst="rect">
                            <a:avLst/>
                          </a:prstGeom>
                          <a:ln>
                            <a:noFill/>
                          </a:ln>
                          <a:extLst>
                            <a:ext uri="{53640926-AAD7-44D8-BBD7-CCE9431645EC}">
                              <a14:shadowObscured xmlns:a14="http://schemas.microsoft.com/office/drawing/2010/main"/>
                            </a:ext>
                          </a:extLst>
                        </pic:spPr>
                      </pic:pic>
                    </a:graphicData>
                  </a:graphic>
                </wp:inline>
              </w:drawing>
            </w:r>
          </w:p>
        </w:tc>
        <w:tc>
          <w:tcPr>
            <w:tcW w:w="8226" w:type="dxa"/>
            <w:shd w:val="clear" w:color="auto" w:fill="F2F2F2" w:themeFill="background1" w:themeFillShade="F2"/>
          </w:tcPr>
          <w:p w14:paraId="4220B0BC" w14:textId="574FACF4" w:rsidR="003262BB" w:rsidRPr="00D20FA3" w:rsidRDefault="00CC69B6" w:rsidP="004C1F0E">
            <w:pPr>
              <w:pStyle w:val="Heading2"/>
              <w:spacing w:before="120"/>
            </w:pPr>
            <w:r>
              <w:t>A</w:t>
            </w:r>
            <w:r w:rsidR="003262BB" w:rsidRPr="00D20FA3">
              <w:t xml:space="preserve"> human rights approach within all aspects of the Strategy </w:t>
            </w:r>
          </w:p>
          <w:p w14:paraId="7B290485" w14:textId="70E2290F" w:rsidR="003262BB" w:rsidRDefault="008650CB" w:rsidP="003262BB">
            <w:r>
              <w:t>P</w:t>
            </w:r>
            <w:r w:rsidRPr="0012543F">
              <w:t xml:space="preserve">articipants emphasised the need for a human rights approach within all aspects of the </w:t>
            </w:r>
            <w:r>
              <w:t>S</w:t>
            </w:r>
            <w:r w:rsidRPr="0012543F">
              <w:t>trategy</w:t>
            </w:r>
            <w:r w:rsidR="003262BB">
              <w:t xml:space="preserve">. </w:t>
            </w:r>
            <w:r w:rsidR="009A09AD">
              <w:t>They said it should promote more inclusive practices and support people who face the biggest barriers to realising their rights.</w:t>
            </w:r>
          </w:p>
          <w:p w14:paraId="1B7B5A8A" w14:textId="09065050" w:rsidR="003262BB" w:rsidRDefault="009A09AD" w:rsidP="002F22A0">
            <w:pPr>
              <w:spacing w:before="120"/>
            </w:pPr>
            <w:r>
              <w:rPr>
                <w:color w:val="000000" w:themeColor="text1"/>
              </w:rPr>
              <w:t>Participants</w:t>
            </w:r>
            <w:r w:rsidR="003262BB" w:rsidRPr="002D519A">
              <w:rPr>
                <w:color w:val="000000" w:themeColor="text1"/>
              </w:rPr>
              <w:t xml:space="preserve"> reiterated the need for the Strategy to be more ‘powerful’ so that it has clear principles and actions within it to fully uphold the </w:t>
            </w:r>
            <w:r w:rsidR="003262BB" w:rsidRPr="002D519A">
              <w:rPr>
                <w:i/>
                <w:iCs/>
                <w:color w:val="000000" w:themeColor="text1"/>
                <w:lang w:val="en-GB"/>
              </w:rPr>
              <w:t>U</w:t>
            </w:r>
            <w:r w:rsidR="003A5232">
              <w:rPr>
                <w:i/>
                <w:iCs/>
                <w:color w:val="000000" w:themeColor="text1"/>
                <w:lang w:val="en-GB"/>
              </w:rPr>
              <w:t xml:space="preserve">nited </w:t>
            </w:r>
            <w:r w:rsidR="003262BB" w:rsidRPr="002D519A">
              <w:rPr>
                <w:i/>
                <w:iCs/>
                <w:color w:val="000000" w:themeColor="text1"/>
                <w:lang w:val="en-GB"/>
              </w:rPr>
              <w:t>N</w:t>
            </w:r>
            <w:r w:rsidR="003A5232">
              <w:rPr>
                <w:i/>
                <w:iCs/>
                <w:color w:val="000000" w:themeColor="text1"/>
                <w:lang w:val="en-GB"/>
              </w:rPr>
              <w:t>ations</w:t>
            </w:r>
            <w:r w:rsidR="003262BB" w:rsidRPr="002D519A">
              <w:rPr>
                <w:i/>
                <w:iCs/>
                <w:color w:val="000000" w:themeColor="text1"/>
                <w:lang w:val="en-GB"/>
              </w:rPr>
              <w:t xml:space="preserve"> Convention of the Rights of Persons with Disabilities</w:t>
            </w:r>
            <w:r w:rsidR="003262BB" w:rsidRPr="002D519A">
              <w:rPr>
                <w:color w:val="000000" w:themeColor="text1"/>
              </w:rPr>
              <w:t>.</w:t>
            </w:r>
          </w:p>
        </w:tc>
      </w:tr>
      <w:tr w:rsidR="00A42C04" w14:paraId="3344F437" w14:textId="77777777" w:rsidTr="00575957">
        <w:tc>
          <w:tcPr>
            <w:tcW w:w="1702" w:type="dxa"/>
            <w:shd w:val="clear" w:color="auto" w:fill="FFFFFF" w:themeFill="background1"/>
          </w:tcPr>
          <w:p w14:paraId="4A84FE45" w14:textId="77777777" w:rsidR="00A42C04" w:rsidRDefault="00A42C04" w:rsidP="002A25C6">
            <w:pPr>
              <w:spacing w:before="120" w:after="60"/>
              <w:ind w:left="-229"/>
            </w:pPr>
            <w:r>
              <w:rPr>
                <w:noProof/>
                <w:lang w:eastAsia="en-AU"/>
              </w:rPr>
              <w:drawing>
                <wp:inline distT="0" distB="0" distL="0" distR="0" wp14:anchorId="7759B586" wp14:editId="72FB8376">
                  <wp:extent cx="1027429" cy="10287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rotWithShape="1">
                          <a:blip r:embed="rId23">
                            <a:extLst>
                              <a:ext uri="{28A0092B-C50C-407E-A947-70E740481C1C}">
                                <a14:useLocalDpi xmlns:a14="http://schemas.microsoft.com/office/drawing/2010/main" val="0"/>
                              </a:ext>
                            </a:extLst>
                          </a:blip>
                          <a:srcRect l="21436" t="18729" r="19481" b="18111"/>
                          <a:stretch/>
                        </pic:blipFill>
                        <pic:spPr bwMode="auto">
                          <a:xfrm>
                            <a:off x="0" y="0"/>
                            <a:ext cx="1041633" cy="1042921"/>
                          </a:xfrm>
                          <a:prstGeom prst="rect">
                            <a:avLst/>
                          </a:prstGeom>
                          <a:ln>
                            <a:noFill/>
                          </a:ln>
                          <a:extLst>
                            <a:ext uri="{53640926-AAD7-44D8-BBD7-CCE9431645EC}">
                              <a14:shadowObscured xmlns:a14="http://schemas.microsoft.com/office/drawing/2010/main"/>
                            </a:ext>
                          </a:extLst>
                        </pic:spPr>
                      </pic:pic>
                    </a:graphicData>
                  </a:graphic>
                </wp:inline>
              </w:drawing>
            </w:r>
          </w:p>
        </w:tc>
        <w:tc>
          <w:tcPr>
            <w:tcW w:w="8226" w:type="dxa"/>
            <w:shd w:val="clear" w:color="auto" w:fill="FFFFFF" w:themeFill="background1"/>
          </w:tcPr>
          <w:p w14:paraId="6B1B812B" w14:textId="77777777" w:rsidR="00A42C04" w:rsidRDefault="00A42C04" w:rsidP="004C1F0E">
            <w:pPr>
              <w:pStyle w:val="Heading2"/>
              <w:spacing w:before="120"/>
              <w:rPr>
                <w:lang w:val="en-GB"/>
              </w:rPr>
            </w:pPr>
            <w:r w:rsidRPr="000078DA">
              <w:t xml:space="preserve">The </w:t>
            </w:r>
            <w:r>
              <w:t>S</w:t>
            </w:r>
            <w:r w:rsidRPr="000078DA">
              <w:t>trategy must move Australian policy towards inclusion and universal design</w:t>
            </w:r>
          </w:p>
          <w:p w14:paraId="1937423D" w14:textId="11C0B5E9" w:rsidR="00A42C04" w:rsidRDefault="003859D0" w:rsidP="009F4F08">
            <w:pPr>
              <w:rPr>
                <w:lang w:val="en-GB"/>
              </w:rPr>
            </w:pPr>
            <w:r>
              <w:rPr>
                <w:lang w:val="en-GB"/>
              </w:rPr>
              <w:t>L</w:t>
            </w:r>
            <w:r w:rsidR="00A42C04">
              <w:rPr>
                <w:lang w:val="en-GB"/>
              </w:rPr>
              <w:t>arge numbers of participants</w:t>
            </w:r>
            <w:r>
              <w:rPr>
                <w:lang w:val="en-GB"/>
              </w:rPr>
              <w:t xml:space="preserve"> noted that Australian communities need </w:t>
            </w:r>
            <w:r w:rsidR="00664B13">
              <w:rPr>
                <w:lang w:val="en-GB"/>
              </w:rPr>
              <w:t>to be</w:t>
            </w:r>
            <w:r>
              <w:rPr>
                <w:lang w:val="en-GB"/>
              </w:rPr>
              <w:t xml:space="preserve"> more inclusive. They also</w:t>
            </w:r>
            <w:r w:rsidR="00A42C04">
              <w:rPr>
                <w:lang w:val="en-GB"/>
              </w:rPr>
              <w:t xml:space="preserve"> </w:t>
            </w:r>
            <w:r>
              <w:rPr>
                <w:lang w:val="en-GB"/>
              </w:rPr>
              <w:t>said there</w:t>
            </w:r>
            <w:r w:rsidR="00996E4A">
              <w:rPr>
                <w:lang w:val="en-GB"/>
              </w:rPr>
              <w:t>’s</w:t>
            </w:r>
            <w:r w:rsidR="00A42C04">
              <w:rPr>
                <w:lang w:val="en-GB"/>
              </w:rPr>
              <w:t xml:space="preserve"> </w:t>
            </w:r>
            <w:r w:rsidR="00996E4A">
              <w:rPr>
                <w:lang w:val="en-GB"/>
              </w:rPr>
              <w:t>a</w:t>
            </w:r>
            <w:r w:rsidR="00A42C04">
              <w:rPr>
                <w:lang w:val="en-GB"/>
              </w:rPr>
              <w:t xml:space="preserve"> need to</w:t>
            </w:r>
            <w:r w:rsidR="00A42C04" w:rsidRPr="0012543F">
              <w:rPr>
                <w:lang w:val="en-GB"/>
              </w:rPr>
              <w:t xml:space="preserve"> avoid programs or interventions that cause </w:t>
            </w:r>
            <w:r w:rsidR="00A42C04">
              <w:rPr>
                <w:lang w:val="en-GB"/>
              </w:rPr>
              <w:t>‘</w:t>
            </w:r>
            <w:r w:rsidR="00A42C04" w:rsidRPr="0012543F">
              <w:rPr>
                <w:lang w:val="en-GB"/>
              </w:rPr>
              <w:t>othering</w:t>
            </w:r>
            <w:r w:rsidR="00A42C04">
              <w:rPr>
                <w:lang w:val="en-GB"/>
              </w:rPr>
              <w:t>’</w:t>
            </w:r>
            <w:r w:rsidR="00A42C04" w:rsidRPr="0012543F">
              <w:rPr>
                <w:lang w:val="en-GB"/>
              </w:rPr>
              <w:t xml:space="preserve"> and </w:t>
            </w:r>
            <w:r w:rsidR="00E018E3">
              <w:rPr>
                <w:lang w:val="en-GB"/>
              </w:rPr>
              <w:t>separate</w:t>
            </w:r>
            <w:r w:rsidR="00A42C04" w:rsidRPr="0012543F">
              <w:rPr>
                <w:lang w:val="en-GB"/>
              </w:rPr>
              <w:t xml:space="preserve"> people with disability</w:t>
            </w:r>
            <w:r w:rsidR="00E018E3">
              <w:rPr>
                <w:lang w:val="en-GB"/>
              </w:rPr>
              <w:t xml:space="preserve"> from the rest of the community rather than including them in it</w:t>
            </w:r>
            <w:r w:rsidR="00A42C04" w:rsidRPr="0012543F">
              <w:rPr>
                <w:lang w:val="en-GB"/>
              </w:rPr>
              <w:t>.</w:t>
            </w:r>
          </w:p>
          <w:p w14:paraId="77F4DC1F" w14:textId="5E1B4120" w:rsidR="00A42C04" w:rsidRPr="0073085E" w:rsidRDefault="00A42C04" w:rsidP="002A25C6">
            <w:pPr>
              <w:spacing w:after="0"/>
              <w:rPr>
                <w:lang w:val="en-GB"/>
              </w:rPr>
            </w:pPr>
            <w:r w:rsidRPr="0073085E">
              <w:rPr>
                <w:lang w:val="en-GB"/>
              </w:rPr>
              <w:t>Young people and advocates suggested the</w:t>
            </w:r>
            <w:r w:rsidR="003D582B">
              <w:rPr>
                <w:lang w:val="en-GB"/>
              </w:rPr>
              <w:t xml:space="preserve"> S</w:t>
            </w:r>
            <w:r w:rsidR="000641C4">
              <w:rPr>
                <w:lang w:val="en-GB"/>
              </w:rPr>
              <w:t>tra</w:t>
            </w:r>
            <w:r w:rsidR="003D582B">
              <w:rPr>
                <w:lang w:val="en-GB"/>
              </w:rPr>
              <w:t>tegy should help to improve the</w:t>
            </w:r>
            <w:r w:rsidRPr="0073085E">
              <w:rPr>
                <w:lang w:val="en-GB"/>
              </w:rPr>
              <w:t xml:space="preserve"> way people with disability are treated and included</w:t>
            </w:r>
            <w:r w:rsidR="00996E4A">
              <w:rPr>
                <w:lang w:val="en-GB"/>
              </w:rPr>
              <w:t xml:space="preserve"> in society, </w:t>
            </w:r>
            <w:r w:rsidR="00E018E3">
              <w:rPr>
                <w:lang w:val="en-GB"/>
              </w:rPr>
              <w:t xml:space="preserve">especially in key areas like </w:t>
            </w:r>
            <w:r w:rsidR="00996E4A">
              <w:rPr>
                <w:lang w:val="en-GB"/>
              </w:rPr>
              <w:t>the workplace and education</w:t>
            </w:r>
            <w:r w:rsidR="00A555BB">
              <w:rPr>
                <w:lang w:val="en-GB"/>
              </w:rPr>
              <w:t xml:space="preserve"> settings.</w:t>
            </w:r>
            <w:r w:rsidRPr="0073085E">
              <w:rPr>
                <w:lang w:val="en-GB"/>
              </w:rPr>
              <w:t xml:space="preserve"> </w:t>
            </w:r>
            <w:r w:rsidR="00A555BB">
              <w:rPr>
                <w:lang w:val="en-GB"/>
              </w:rPr>
              <w:t>S</w:t>
            </w:r>
            <w:r>
              <w:rPr>
                <w:lang w:val="en-GB"/>
              </w:rPr>
              <w:t>uggestions includ</w:t>
            </w:r>
            <w:r w:rsidR="00A555BB">
              <w:rPr>
                <w:lang w:val="en-GB"/>
              </w:rPr>
              <w:t>ed</w:t>
            </w:r>
            <w:r>
              <w:rPr>
                <w:lang w:val="en-GB"/>
              </w:rPr>
              <w:t>:</w:t>
            </w:r>
            <w:r w:rsidRPr="0073085E">
              <w:rPr>
                <w:lang w:val="en-GB"/>
              </w:rPr>
              <w:t xml:space="preserve"> </w:t>
            </w:r>
          </w:p>
          <w:p w14:paraId="07AD99C9" w14:textId="2189C1AD" w:rsidR="00A42C04" w:rsidRPr="000078DA" w:rsidRDefault="00A42C04" w:rsidP="00010D68">
            <w:pPr>
              <w:pStyle w:val="ListParagraph"/>
              <w:numPr>
                <w:ilvl w:val="1"/>
                <w:numId w:val="5"/>
              </w:numPr>
              <w:ind w:left="340" w:hanging="343"/>
              <w:rPr>
                <w:lang w:val="en-GB"/>
              </w:rPr>
            </w:pPr>
            <w:r w:rsidRPr="000078DA">
              <w:rPr>
                <w:lang w:val="en-GB"/>
              </w:rPr>
              <w:t>applying the social model of disability</w:t>
            </w:r>
            <w:r w:rsidR="001F63D8">
              <w:rPr>
                <w:lang w:val="en-GB"/>
              </w:rPr>
              <w:t>—</w:t>
            </w:r>
            <w:r w:rsidR="002A25C6">
              <w:rPr>
                <w:lang w:val="en-GB"/>
              </w:rPr>
              <w:t xml:space="preserve">an </w:t>
            </w:r>
            <w:r w:rsidR="001F63D8">
              <w:rPr>
                <w:lang w:val="en-GB"/>
              </w:rPr>
              <w:t xml:space="preserve">understanding that </w:t>
            </w:r>
            <w:r w:rsidR="001F63D8" w:rsidRPr="00417D48">
              <w:rPr>
                <w:lang w:val="en-GB"/>
              </w:rPr>
              <w:t xml:space="preserve">people are disabled by </w:t>
            </w:r>
            <w:r w:rsidR="001F63D8" w:rsidRPr="00C037F0">
              <w:rPr>
                <w:u w:val="single"/>
                <w:lang w:val="en-GB"/>
              </w:rPr>
              <w:t>barriers in society</w:t>
            </w:r>
            <w:r w:rsidR="001F63D8" w:rsidRPr="00417D48">
              <w:rPr>
                <w:lang w:val="en-GB"/>
              </w:rPr>
              <w:t xml:space="preserve"> rather than by their impairments or differences</w:t>
            </w:r>
            <w:r w:rsidRPr="000078DA">
              <w:rPr>
                <w:lang w:val="en-GB"/>
              </w:rPr>
              <w:t xml:space="preserve"> </w:t>
            </w:r>
          </w:p>
          <w:p w14:paraId="29F165B3" w14:textId="1C3428DB" w:rsidR="00A42C04" w:rsidRPr="000078DA" w:rsidRDefault="00984B21" w:rsidP="00010D68">
            <w:pPr>
              <w:pStyle w:val="ListParagraph"/>
              <w:numPr>
                <w:ilvl w:val="1"/>
                <w:numId w:val="5"/>
              </w:numPr>
              <w:ind w:left="340" w:hanging="343"/>
              <w:rPr>
                <w:lang w:val="en-GB"/>
              </w:rPr>
            </w:pPr>
            <w:r>
              <w:rPr>
                <w:lang w:val="en-GB"/>
              </w:rPr>
              <w:t xml:space="preserve">embedding </w:t>
            </w:r>
            <w:r w:rsidR="00A42C04" w:rsidRPr="000078DA">
              <w:rPr>
                <w:lang w:val="en-GB"/>
              </w:rPr>
              <w:t>universal design across all areas</w:t>
            </w:r>
            <w:r>
              <w:rPr>
                <w:lang w:val="en-GB"/>
              </w:rPr>
              <w:t xml:space="preserve"> of community</w:t>
            </w:r>
          </w:p>
          <w:p w14:paraId="1E823899" w14:textId="77777777" w:rsidR="00A42C04" w:rsidRDefault="00984B21" w:rsidP="00010D68">
            <w:pPr>
              <w:pStyle w:val="ListParagraph"/>
              <w:numPr>
                <w:ilvl w:val="1"/>
                <w:numId w:val="5"/>
              </w:numPr>
              <w:ind w:left="340" w:hanging="343"/>
              <w:rPr>
                <w:lang w:val="en-GB"/>
              </w:rPr>
            </w:pPr>
            <w:r>
              <w:rPr>
                <w:lang w:val="en-GB"/>
              </w:rPr>
              <w:t xml:space="preserve">providing </w:t>
            </w:r>
            <w:r w:rsidR="00A42C04" w:rsidRPr="000078DA">
              <w:rPr>
                <w:lang w:val="en-GB"/>
              </w:rPr>
              <w:t xml:space="preserve">more guidance </w:t>
            </w:r>
            <w:r>
              <w:rPr>
                <w:lang w:val="en-GB"/>
              </w:rPr>
              <w:t xml:space="preserve">on </w:t>
            </w:r>
            <w:r w:rsidR="00A42C04" w:rsidRPr="000078DA">
              <w:rPr>
                <w:lang w:val="en-GB"/>
              </w:rPr>
              <w:t>inclusion in education, business, health and other</w:t>
            </w:r>
            <w:r w:rsidR="00EA26CC">
              <w:rPr>
                <w:lang w:val="en-GB"/>
              </w:rPr>
              <w:t xml:space="preserve"> community</w:t>
            </w:r>
            <w:r w:rsidR="00A42C04" w:rsidRPr="000078DA">
              <w:rPr>
                <w:lang w:val="en-GB"/>
              </w:rPr>
              <w:t xml:space="preserve"> settings.  </w:t>
            </w:r>
          </w:p>
          <w:p w14:paraId="59EEA536" w14:textId="0B41B332" w:rsidR="00015241" w:rsidRPr="00015241" w:rsidRDefault="00441D8C" w:rsidP="002A25C6">
            <w:pPr>
              <w:spacing w:after="0"/>
              <w:rPr>
                <w:lang w:val="en-GB"/>
              </w:rPr>
            </w:pPr>
            <w:r>
              <w:rPr>
                <w:lang w:val="en-GB"/>
              </w:rPr>
              <w:t>P</w:t>
            </w:r>
            <w:r w:rsidR="00015241">
              <w:rPr>
                <w:lang w:val="en-GB"/>
              </w:rPr>
              <w:t xml:space="preserve">articipants </w:t>
            </w:r>
            <w:r w:rsidR="00015241" w:rsidRPr="0073085E">
              <w:rPr>
                <w:lang w:val="en-GB"/>
              </w:rPr>
              <w:t xml:space="preserve">suggested a focus of the </w:t>
            </w:r>
            <w:r w:rsidR="00015241">
              <w:rPr>
                <w:lang w:val="en-GB"/>
              </w:rPr>
              <w:t>S</w:t>
            </w:r>
            <w:r w:rsidR="00015241" w:rsidRPr="0073085E">
              <w:rPr>
                <w:lang w:val="en-GB"/>
              </w:rPr>
              <w:t xml:space="preserve">trategy </w:t>
            </w:r>
            <w:r w:rsidR="00015241">
              <w:rPr>
                <w:lang w:val="en-GB"/>
              </w:rPr>
              <w:t xml:space="preserve">should </w:t>
            </w:r>
            <w:r w:rsidR="00015241" w:rsidRPr="0073085E">
              <w:rPr>
                <w:lang w:val="en-GB"/>
              </w:rPr>
              <w:t xml:space="preserve">be on </w:t>
            </w:r>
            <w:r>
              <w:rPr>
                <w:lang w:val="en-GB"/>
              </w:rPr>
              <w:br/>
            </w:r>
            <w:r w:rsidR="00015241" w:rsidRPr="0073085E">
              <w:rPr>
                <w:lang w:val="en-GB"/>
              </w:rPr>
              <w:t xml:space="preserve">co-designing </w:t>
            </w:r>
            <w:r w:rsidR="00015241">
              <w:rPr>
                <w:lang w:val="en-GB"/>
              </w:rPr>
              <w:t xml:space="preserve">future projects and plans </w:t>
            </w:r>
            <w:r w:rsidR="00015241" w:rsidRPr="0073085E">
              <w:rPr>
                <w:lang w:val="en-GB"/>
              </w:rPr>
              <w:t>with people with disability</w:t>
            </w:r>
            <w:r w:rsidR="00015241">
              <w:rPr>
                <w:lang w:val="en-GB"/>
              </w:rPr>
              <w:t>.</w:t>
            </w:r>
            <w:r>
              <w:rPr>
                <w:lang w:val="en-GB"/>
              </w:rPr>
              <w:t xml:space="preserve"> They particularly noted this would help to overcome barriers in access to public transport and public infrastructure.</w:t>
            </w:r>
          </w:p>
        </w:tc>
      </w:tr>
      <w:tr w:rsidR="00441D8C" w14:paraId="0235380C" w14:textId="77777777" w:rsidTr="00104212">
        <w:tc>
          <w:tcPr>
            <w:tcW w:w="1702" w:type="dxa"/>
            <w:shd w:val="clear" w:color="auto" w:fill="F2F2F2" w:themeFill="background1" w:themeFillShade="F2"/>
          </w:tcPr>
          <w:p w14:paraId="10319E25" w14:textId="77777777" w:rsidR="00441D8C" w:rsidRDefault="00441D8C" w:rsidP="004C1F0E">
            <w:pPr>
              <w:spacing w:before="120" w:after="60"/>
              <w:ind w:left="-229"/>
            </w:pPr>
            <w:r>
              <w:rPr>
                <w:noProof/>
                <w:lang w:eastAsia="en-AU"/>
              </w:rPr>
              <w:drawing>
                <wp:inline distT="0" distB="0" distL="0" distR="0" wp14:anchorId="4EB3D656" wp14:editId="79F47D22">
                  <wp:extent cx="1104958" cy="1092461"/>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rotWithShape="1">
                          <a:blip r:embed="rId24">
                            <a:extLst>
                              <a:ext uri="{28A0092B-C50C-407E-A947-70E740481C1C}">
                                <a14:useLocalDpi xmlns:a14="http://schemas.microsoft.com/office/drawing/2010/main" val="0"/>
                              </a:ext>
                            </a:extLst>
                          </a:blip>
                          <a:srcRect l="8444" t="10164" r="6493"/>
                          <a:stretch/>
                        </pic:blipFill>
                        <pic:spPr bwMode="auto">
                          <a:xfrm>
                            <a:off x="0" y="0"/>
                            <a:ext cx="1116948" cy="1104316"/>
                          </a:xfrm>
                          <a:prstGeom prst="rect">
                            <a:avLst/>
                          </a:prstGeom>
                          <a:ln>
                            <a:noFill/>
                          </a:ln>
                          <a:extLst>
                            <a:ext uri="{53640926-AAD7-44D8-BBD7-CCE9431645EC}">
                              <a14:shadowObscured xmlns:a14="http://schemas.microsoft.com/office/drawing/2010/main"/>
                            </a:ext>
                          </a:extLst>
                        </pic:spPr>
                      </pic:pic>
                    </a:graphicData>
                  </a:graphic>
                </wp:inline>
              </w:drawing>
            </w:r>
          </w:p>
        </w:tc>
        <w:tc>
          <w:tcPr>
            <w:tcW w:w="8226" w:type="dxa"/>
            <w:shd w:val="clear" w:color="auto" w:fill="F2F2F2" w:themeFill="background1" w:themeFillShade="F2"/>
          </w:tcPr>
          <w:p w14:paraId="5A8CAD88" w14:textId="77777777" w:rsidR="00441D8C" w:rsidRDefault="00441D8C" w:rsidP="004C1F0E">
            <w:pPr>
              <w:pStyle w:val="Heading2"/>
              <w:spacing w:before="120"/>
            </w:pPr>
            <w:r>
              <w:t>G</w:t>
            </w:r>
            <w:r w:rsidRPr="000078DA">
              <w:t>reater recognition of diversity</w:t>
            </w:r>
          </w:p>
          <w:p w14:paraId="61EA2E2B" w14:textId="77777777" w:rsidR="00441D8C" w:rsidRDefault="00441D8C" w:rsidP="002A25C6">
            <w:pPr>
              <w:spacing w:after="0"/>
              <w:rPr>
                <w:lang w:val="en-GB"/>
              </w:rPr>
            </w:pPr>
            <w:r w:rsidRPr="00916DB8">
              <w:rPr>
                <w:lang w:val="en-GB"/>
              </w:rPr>
              <w:t xml:space="preserve">Participants agreed </w:t>
            </w:r>
            <w:r w:rsidRPr="00B8682D">
              <w:rPr>
                <w:lang w:val="en-GB"/>
              </w:rPr>
              <w:t>the Strategy needs to carefully consider and prioritise different intersections for people with disability in the community, including</w:t>
            </w:r>
            <w:r>
              <w:rPr>
                <w:lang w:val="en-GB"/>
              </w:rPr>
              <w:t>:</w:t>
            </w:r>
          </w:p>
          <w:p w14:paraId="6FFA19CF" w14:textId="5FC6ED44" w:rsidR="00441D8C" w:rsidRDefault="00441D8C" w:rsidP="00010D68">
            <w:pPr>
              <w:pStyle w:val="ListParagraph"/>
              <w:numPr>
                <w:ilvl w:val="0"/>
                <w:numId w:val="14"/>
              </w:numPr>
              <w:ind w:left="340"/>
              <w:rPr>
                <w:lang w:val="en-GB"/>
              </w:rPr>
            </w:pPr>
            <w:r w:rsidRPr="00425DF6">
              <w:rPr>
                <w:lang w:val="en-GB"/>
              </w:rPr>
              <w:t xml:space="preserve">Aboriginal and Torres Strait Islander </w:t>
            </w:r>
            <w:r>
              <w:rPr>
                <w:lang w:val="en-GB"/>
              </w:rPr>
              <w:t>people</w:t>
            </w:r>
          </w:p>
          <w:p w14:paraId="68BD1382" w14:textId="77777777" w:rsidR="00441D8C" w:rsidRDefault="00441D8C" w:rsidP="00010D68">
            <w:pPr>
              <w:pStyle w:val="ListParagraph"/>
              <w:numPr>
                <w:ilvl w:val="0"/>
                <w:numId w:val="14"/>
              </w:numPr>
              <w:ind w:left="340"/>
              <w:rPr>
                <w:lang w:val="en-GB"/>
              </w:rPr>
            </w:pPr>
            <w:r w:rsidRPr="00425DF6">
              <w:rPr>
                <w:lang w:val="en-GB"/>
              </w:rPr>
              <w:t>CALD communities</w:t>
            </w:r>
          </w:p>
          <w:p w14:paraId="4E1C2C40" w14:textId="77777777" w:rsidR="002A25C6" w:rsidRDefault="00441D8C" w:rsidP="002A25C6">
            <w:pPr>
              <w:pStyle w:val="ListParagraph"/>
              <w:numPr>
                <w:ilvl w:val="0"/>
                <w:numId w:val="14"/>
              </w:numPr>
              <w:ind w:left="340"/>
              <w:rPr>
                <w:lang w:val="en-GB"/>
              </w:rPr>
            </w:pPr>
            <w:r>
              <w:rPr>
                <w:lang w:val="en-GB"/>
              </w:rPr>
              <w:t>People who identify as LGBTIQ+</w:t>
            </w:r>
          </w:p>
          <w:p w14:paraId="435A24AD" w14:textId="166C26E0" w:rsidR="00441D8C" w:rsidRPr="002A25C6" w:rsidRDefault="00441D8C" w:rsidP="002A25C6">
            <w:pPr>
              <w:pStyle w:val="ListParagraph"/>
              <w:numPr>
                <w:ilvl w:val="0"/>
                <w:numId w:val="14"/>
              </w:numPr>
              <w:ind w:left="340"/>
              <w:rPr>
                <w:lang w:val="en-GB"/>
              </w:rPr>
            </w:pPr>
            <w:r w:rsidRPr="002A25C6">
              <w:rPr>
                <w:lang w:val="en-GB"/>
              </w:rPr>
              <w:t>People who experience additional disadvantage (e.g., lack of access to income) and intersectional discrimination (discrimination experienced by a person because of two or more aspects of their identity.</w:t>
            </w:r>
          </w:p>
          <w:p w14:paraId="743DCED8" w14:textId="77777777" w:rsidR="00441D8C" w:rsidRDefault="00441D8C" w:rsidP="00370E4B">
            <w:pPr>
              <w:spacing w:before="120" w:after="0"/>
            </w:pPr>
            <w:r w:rsidRPr="0073085E">
              <w:t>Participants noted the</w:t>
            </w:r>
            <w:r>
              <w:t>se groups</w:t>
            </w:r>
            <w:r w:rsidRPr="0073085E">
              <w:t xml:space="preserve"> should be included in the </w:t>
            </w:r>
            <w:r>
              <w:t>S</w:t>
            </w:r>
            <w:r w:rsidRPr="0073085E">
              <w:t>trategy ‘uniquely’ to help make sure all people with disability have access to supports and services on an equitable basis.</w:t>
            </w:r>
          </w:p>
        </w:tc>
      </w:tr>
      <w:tr w:rsidR="00015241" w14:paraId="249493AA" w14:textId="77777777" w:rsidTr="00104212">
        <w:tc>
          <w:tcPr>
            <w:tcW w:w="1702" w:type="dxa"/>
            <w:shd w:val="clear" w:color="auto" w:fill="auto"/>
          </w:tcPr>
          <w:p w14:paraId="05AD3D01" w14:textId="77777777" w:rsidR="00015241" w:rsidRDefault="00015241" w:rsidP="00E73402">
            <w:pPr>
              <w:spacing w:before="240" w:after="60"/>
              <w:rPr>
                <w:noProof/>
              </w:rPr>
            </w:pPr>
            <w:r>
              <w:rPr>
                <w:noProof/>
                <w:lang w:eastAsia="en-AU"/>
              </w:rPr>
              <w:lastRenderedPageBreak/>
              <w:drawing>
                <wp:inline distT="0" distB="0" distL="0" distR="0" wp14:anchorId="72F19FEB" wp14:editId="4F8F731B">
                  <wp:extent cx="935377" cy="925158"/>
                  <wp:effectExtent l="0" t="0" r="444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25" cstate="hqprint">
                            <a:extLst>
                              <a:ext uri="{28A0092B-C50C-407E-A947-70E740481C1C}">
                                <a14:useLocalDpi xmlns:a14="http://schemas.microsoft.com/office/drawing/2010/main" val="0"/>
                              </a:ext>
                            </a:extLst>
                          </a:blip>
                          <a:srcRect l="5944" t="6348" r="5371"/>
                          <a:stretch/>
                        </pic:blipFill>
                        <pic:spPr bwMode="auto">
                          <a:xfrm>
                            <a:off x="0" y="0"/>
                            <a:ext cx="960690" cy="950194"/>
                          </a:xfrm>
                          <a:prstGeom prst="rect">
                            <a:avLst/>
                          </a:prstGeom>
                          <a:ln>
                            <a:noFill/>
                          </a:ln>
                          <a:extLst>
                            <a:ext uri="{53640926-AAD7-44D8-BBD7-CCE9431645EC}">
                              <a14:shadowObscured xmlns:a14="http://schemas.microsoft.com/office/drawing/2010/main"/>
                            </a:ext>
                          </a:extLst>
                        </pic:spPr>
                      </pic:pic>
                    </a:graphicData>
                  </a:graphic>
                </wp:inline>
              </w:drawing>
            </w:r>
          </w:p>
        </w:tc>
        <w:tc>
          <w:tcPr>
            <w:tcW w:w="8226" w:type="dxa"/>
            <w:shd w:val="clear" w:color="auto" w:fill="auto"/>
          </w:tcPr>
          <w:p w14:paraId="620A0F5A" w14:textId="77777777" w:rsidR="00015241" w:rsidRPr="004A12CB" w:rsidRDefault="00015241" w:rsidP="001E27B9">
            <w:pPr>
              <w:pStyle w:val="Heading2"/>
              <w:spacing w:before="120" w:after="120"/>
            </w:pPr>
            <w:r w:rsidRPr="004A12CB">
              <w:t>More accessible information</w:t>
            </w:r>
          </w:p>
          <w:p w14:paraId="36FBCE2E" w14:textId="0E9B2C4E" w:rsidR="00015241" w:rsidRDefault="00015241" w:rsidP="009F4F08">
            <w:r>
              <w:t xml:space="preserve">Participants focused heavily </w:t>
            </w:r>
            <w:r w:rsidRPr="0012543F">
              <w:t xml:space="preserve">on </w:t>
            </w:r>
            <w:r>
              <w:t xml:space="preserve">making sure </w:t>
            </w:r>
            <w:r w:rsidRPr="0012543F">
              <w:t xml:space="preserve">information </w:t>
            </w:r>
            <w:r>
              <w:t xml:space="preserve">is </w:t>
            </w:r>
            <w:r w:rsidRPr="0012543F">
              <w:t>more accessible to</w:t>
            </w:r>
            <w:r>
              <w:t xml:space="preserve"> </w:t>
            </w:r>
            <w:r w:rsidRPr="0012543F">
              <w:t>people</w:t>
            </w:r>
            <w:r>
              <w:t xml:space="preserve">. This included ensuring people who have </w:t>
            </w:r>
            <w:r w:rsidRPr="0012543F">
              <w:t>lower literac</w:t>
            </w:r>
            <w:r>
              <w:t xml:space="preserve">y or </w:t>
            </w:r>
            <w:r w:rsidRPr="0012543F">
              <w:t>language barriers</w:t>
            </w:r>
            <w:r>
              <w:t xml:space="preserve"> are able to access and understand information. Participants highlighted the importance of publishing information about the NDIS and </w:t>
            </w:r>
            <w:r w:rsidR="0030537E">
              <w:t xml:space="preserve">other </w:t>
            </w:r>
            <w:r>
              <w:t xml:space="preserve">disability supports in multiple languages and Easy Read format and improving access to interpreters. </w:t>
            </w:r>
          </w:p>
          <w:p w14:paraId="7521966C" w14:textId="20E74DE5" w:rsidR="00015241" w:rsidRPr="00D95418" w:rsidRDefault="00015241" w:rsidP="009F4F08">
            <w:pPr>
              <w:spacing w:after="60"/>
            </w:pPr>
            <w:r>
              <w:t>Suggestions also included ensuring information about the Strategy is delivered in different ways and through multiple, trusted sources (such as through disability and advocacy organisations).</w:t>
            </w:r>
          </w:p>
        </w:tc>
      </w:tr>
    </w:tbl>
    <w:p w14:paraId="74CFA2D6" w14:textId="4E226846" w:rsidR="00575957" w:rsidRDefault="00575957" w:rsidP="00104212">
      <w:pPr>
        <w:pStyle w:val="Heading1"/>
        <w:spacing w:before="120" w:after="120"/>
      </w:pPr>
      <w:r>
        <w:t>Improving community attitudes towards people with disability</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227" w:type="dxa"/>
          <w:bottom w:w="113" w:type="dxa"/>
          <w:right w:w="227" w:type="dxa"/>
        </w:tblCellMar>
        <w:tblLook w:val="04A0" w:firstRow="1" w:lastRow="0" w:firstColumn="1" w:lastColumn="0" w:noHBand="0" w:noVBand="1"/>
      </w:tblPr>
      <w:tblGrid>
        <w:gridCol w:w="1701"/>
        <w:gridCol w:w="8222"/>
      </w:tblGrid>
      <w:tr w:rsidR="00575957" w:rsidRPr="00D968A0" w14:paraId="6087247E" w14:textId="77777777" w:rsidTr="00104212">
        <w:tc>
          <w:tcPr>
            <w:tcW w:w="1701" w:type="dxa"/>
          </w:tcPr>
          <w:p w14:paraId="2E62DCFB" w14:textId="77777777" w:rsidR="00575957" w:rsidRDefault="00575957" w:rsidP="0053710D">
            <w:pPr>
              <w:spacing w:after="60"/>
            </w:pPr>
            <w:r>
              <w:rPr>
                <w:noProof/>
                <w:lang w:eastAsia="en-AU"/>
              </w:rPr>
              <w:drawing>
                <wp:inline distT="0" distB="0" distL="0" distR="0" wp14:anchorId="3B8FDE13" wp14:editId="779196EE">
                  <wp:extent cx="1043078" cy="652206"/>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rotWithShape="1">
                          <a:blip r:embed="rId26" cstate="hqprint">
                            <a:extLst>
                              <a:ext uri="{28A0092B-C50C-407E-A947-70E740481C1C}">
                                <a14:useLocalDpi xmlns:a14="http://schemas.microsoft.com/office/drawing/2010/main" val="0"/>
                              </a:ext>
                            </a:extLst>
                          </a:blip>
                          <a:srcRect l="8306" t="6161" b="32566"/>
                          <a:stretch/>
                        </pic:blipFill>
                        <pic:spPr bwMode="auto">
                          <a:xfrm>
                            <a:off x="0" y="0"/>
                            <a:ext cx="1060292" cy="662969"/>
                          </a:xfrm>
                          <a:prstGeom prst="rect">
                            <a:avLst/>
                          </a:prstGeom>
                          <a:ln>
                            <a:noFill/>
                          </a:ln>
                          <a:extLst>
                            <a:ext uri="{53640926-AAD7-44D8-BBD7-CCE9431645EC}">
                              <a14:shadowObscured xmlns:a14="http://schemas.microsoft.com/office/drawing/2010/main"/>
                            </a:ext>
                          </a:extLst>
                        </pic:spPr>
                      </pic:pic>
                    </a:graphicData>
                  </a:graphic>
                </wp:inline>
              </w:drawing>
            </w:r>
          </w:p>
        </w:tc>
        <w:tc>
          <w:tcPr>
            <w:tcW w:w="8222" w:type="dxa"/>
          </w:tcPr>
          <w:p w14:paraId="21C4425B" w14:textId="77777777" w:rsidR="00575957" w:rsidRDefault="00575957" w:rsidP="0053710D">
            <w:pPr>
              <w:rPr>
                <w:lang w:val="en-GB"/>
              </w:rPr>
            </w:pPr>
            <w:r w:rsidRPr="0073085E">
              <w:rPr>
                <w:lang w:val="en-GB"/>
              </w:rPr>
              <w:t xml:space="preserve">Participants agreed that improving attitudes </w:t>
            </w:r>
            <w:r>
              <w:rPr>
                <w:lang w:val="en-GB"/>
              </w:rPr>
              <w:t xml:space="preserve">in the community </w:t>
            </w:r>
            <w:r w:rsidRPr="0073085E">
              <w:rPr>
                <w:lang w:val="en-GB"/>
              </w:rPr>
              <w:t xml:space="preserve">needs to be a </w:t>
            </w:r>
            <w:r>
              <w:rPr>
                <w:lang w:val="en-GB"/>
              </w:rPr>
              <w:t xml:space="preserve">key </w:t>
            </w:r>
            <w:r w:rsidRPr="0073085E">
              <w:rPr>
                <w:lang w:val="en-GB"/>
              </w:rPr>
              <w:t xml:space="preserve">goal of the </w:t>
            </w:r>
            <w:r>
              <w:rPr>
                <w:lang w:val="en-GB"/>
              </w:rPr>
              <w:t xml:space="preserve">Strategy. They said that </w:t>
            </w:r>
            <w:r w:rsidRPr="0012543F">
              <w:t xml:space="preserve">attitudes </w:t>
            </w:r>
            <w:r>
              <w:t>need</w:t>
            </w:r>
            <w:r w:rsidRPr="0012543F">
              <w:t xml:space="preserve"> to </w:t>
            </w:r>
            <w:r>
              <w:t xml:space="preserve">improve across the whole community because poor attitudes and a lack of understanding of disability, </w:t>
            </w:r>
            <w:r w:rsidRPr="009220C6">
              <w:rPr>
                <w:lang w:val="en-GB"/>
              </w:rPr>
              <w:t xml:space="preserve">impacts </w:t>
            </w:r>
            <w:r>
              <w:rPr>
                <w:lang w:val="en-GB"/>
              </w:rPr>
              <w:t>people’s</w:t>
            </w:r>
            <w:r w:rsidRPr="009220C6">
              <w:rPr>
                <w:lang w:val="en-GB"/>
              </w:rPr>
              <w:t xml:space="preserve"> access and inclusion </w:t>
            </w:r>
            <w:r w:rsidRPr="0012543F">
              <w:rPr>
                <w:lang w:val="en-GB"/>
              </w:rPr>
              <w:t>across all outcome areas.</w:t>
            </w:r>
          </w:p>
          <w:p w14:paraId="0132673E" w14:textId="77777777" w:rsidR="00575957" w:rsidRDefault="00575957" w:rsidP="0053710D">
            <w:pPr>
              <w:spacing w:before="120" w:after="0"/>
              <w:rPr>
                <w:lang w:val="en-GB"/>
              </w:rPr>
            </w:pPr>
            <w:r w:rsidRPr="0073085E">
              <w:rPr>
                <w:lang w:val="en-GB"/>
              </w:rPr>
              <w:t xml:space="preserve">One of the strongest </w:t>
            </w:r>
            <w:r>
              <w:rPr>
                <w:lang w:val="en-GB"/>
              </w:rPr>
              <w:t>points</w:t>
            </w:r>
            <w:r w:rsidRPr="0073085E">
              <w:rPr>
                <w:lang w:val="en-GB"/>
              </w:rPr>
              <w:t xml:space="preserve"> </w:t>
            </w:r>
            <w:r>
              <w:rPr>
                <w:lang w:val="en-GB"/>
              </w:rPr>
              <w:t>made</w:t>
            </w:r>
            <w:r w:rsidRPr="0073085E">
              <w:rPr>
                <w:lang w:val="en-GB"/>
              </w:rPr>
              <w:t xml:space="preserve"> about community attitudes was that education and awareness starts early.</w:t>
            </w:r>
            <w:r>
              <w:rPr>
                <w:lang w:val="en-GB"/>
              </w:rPr>
              <w:t xml:space="preserve"> </w:t>
            </w:r>
          </w:p>
          <w:p w14:paraId="05AF6242" w14:textId="77777777" w:rsidR="00575957" w:rsidRDefault="00575957" w:rsidP="0053710D">
            <w:pPr>
              <w:spacing w:before="120" w:after="0"/>
              <w:rPr>
                <w:lang w:val="en-GB"/>
              </w:rPr>
            </w:pPr>
            <w:r>
              <w:rPr>
                <w:lang w:val="en-GB"/>
              </w:rPr>
              <w:t>A</w:t>
            </w:r>
            <w:r w:rsidRPr="0073085E">
              <w:rPr>
                <w:lang w:val="en-GB"/>
              </w:rPr>
              <w:t xml:space="preserve"> large majority of participants suggested improvements in community attitudes </w:t>
            </w:r>
            <w:r>
              <w:rPr>
                <w:lang w:val="en-GB"/>
              </w:rPr>
              <w:t>would be achieved through:</w:t>
            </w:r>
          </w:p>
          <w:p w14:paraId="34594250" w14:textId="77777777" w:rsidR="00575957" w:rsidRDefault="00575957" w:rsidP="0053710D">
            <w:pPr>
              <w:pStyle w:val="ListParagraph"/>
              <w:numPr>
                <w:ilvl w:val="0"/>
                <w:numId w:val="6"/>
              </w:numPr>
              <w:ind w:left="346" w:hanging="357"/>
              <w:rPr>
                <w:lang w:val="en-GB"/>
              </w:rPr>
            </w:pPr>
            <w:r w:rsidRPr="00D04806">
              <w:rPr>
                <w:lang w:val="en-GB"/>
              </w:rPr>
              <w:t>visibility of people with disability in the community,</w:t>
            </w:r>
            <w:r>
              <w:rPr>
                <w:lang w:val="en-GB"/>
              </w:rPr>
              <w:t xml:space="preserve"> workplaces, education settings,</w:t>
            </w:r>
            <w:r w:rsidRPr="00D04806">
              <w:rPr>
                <w:lang w:val="en-GB"/>
              </w:rPr>
              <w:t xml:space="preserve"> and in the media</w:t>
            </w:r>
          </w:p>
          <w:p w14:paraId="5F51CF36" w14:textId="77777777" w:rsidR="00575957" w:rsidRPr="00D968A0" w:rsidRDefault="00575957" w:rsidP="0053710D">
            <w:pPr>
              <w:pStyle w:val="ListParagraph"/>
              <w:numPr>
                <w:ilvl w:val="0"/>
                <w:numId w:val="6"/>
              </w:numPr>
              <w:ind w:left="346" w:hanging="357"/>
              <w:rPr>
                <w:lang w:val="en-GB"/>
              </w:rPr>
            </w:pPr>
            <w:r w:rsidRPr="0012543F">
              <w:t>programs, events, campaigns and advertising</w:t>
            </w:r>
            <w:r>
              <w:t xml:space="preserve"> to improve awareness and education about different types of disability</w:t>
            </w:r>
            <w:r w:rsidRPr="00D968A0">
              <w:rPr>
                <w:lang w:val="en-GB"/>
              </w:rPr>
              <w:t>.</w:t>
            </w:r>
          </w:p>
        </w:tc>
      </w:tr>
    </w:tbl>
    <w:p w14:paraId="5D41187E" w14:textId="5CA6E37A" w:rsidR="00D3277B" w:rsidRDefault="00D3277B" w:rsidP="00104212">
      <w:pPr>
        <w:pStyle w:val="Heading1"/>
        <w:spacing w:before="120" w:after="120"/>
      </w:pPr>
      <w:r>
        <w:t>Better accountability</w:t>
      </w:r>
    </w:p>
    <w:p w14:paraId="6BD13108" w14:textId="25557E41" w:rsidR="00F65D8A" w:rsidRDefault="00D3277B" w:rsidP="00D3277B">
      <w:r w:rsidRPr="00845905">
        <w:t>Participants agreed the Strategy should include more actions</w:t>
      </w:r>
      <w:r>
        <w:t xml:space="preserve"> and governments should be more accountable to delivery of the Strategy</w:t>
      </w:r>
      <w:r w:rsidRPr="00845905">
        <w:t>. This was seen as important in making a real difference to people’s lives, and to achieving the outcomes set out for the Strategy.</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227" w:type="dxa"/>
          <w:bottom w:w="113" w:type="dxa"/>
          <w:right w:w="227" w:type="dxa"/>
        </w:tblCellMar>
        <w:tblLook w:val="04A0" w:firstRow="1" w:lastRow="0" w:firstColumn="1" w:lastColumn="0" w:noHBand="0" w:noVBand="1"/>
      </w:tblPr>
      <w:tblGrid>
        <w:gridCol w:w="1701"/>
        <w:gridCol w:w="8222"/>
      </w:tblGrid>
      <w:tr w:rsidR="00D3277B" w14:paraId="1937E424" w14:textId="77777777" w:rsidTr="00104212">
        <w:tc>
          <w:tcPr>
            <w:tcW w:w="1701" w:type="dxa"/>
            <w:shd w:val="clear" w:color="auto" w:fill="auto"/>
          </w:tcPr>
          <w:p w14:paraId="34BD28FE" w14:textId="77777777" w:rsidR="00D3277B" w:rsidRDefault="00D3277B" w:rsidP="0053710D">
            <w:pPr>
              <w:spacing w:after="60"/>
            </w:pPr>
            <w:r>
              <w:rPr>
                <w:noProof/>
                <w:lang w:eastAsia="en-AU"/>
              </w:rPr>
              <w:drawing>
                <wp:inline distT="0" distB="0" distL="0" distR="0" wp14:anchorId="1037F65F" wp14:editId="4DF36451">
                  <wp:extent cx="990431" cy="1246875"/>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rotWithShape="1">
                          <a:blip r:embed="rId27">
                            <a:extLst>
                              <a:ext uri="{28A0092B-C50C-407E-A947-70E740481C1C}">
                                <a14:useLocalDpi xmlns:a14="http://schemas.microsoft.com/office/drawing/2010/main" val="0"/>
                              </a:ext>
                            </a:extLst>
                          </a:blip>
                          <a:srcRect l="9369" r="16234"/>
                          <a:stretch/>
                        </pic:blipFill>
                        <pic:spPr bwMode="auto">
                          <a:xfrm>
                            <a:off x="0" y="0"/>
                            <a:ext cx="992400" cy="1249354"/>
                          </a:xfrm>
                          <a:prstGeom prst="rect">
                            <a:avLst/>
                          </a:prstGeom>
                          <a:ln>
                            <a:noFill/>
                          </a:ln>
                          <a:extLst>
                            <a:ext uri="{53640926-AAD7-44D8-BBD7-CCE9431645EC}">
                              <a14:shadowObscured xmlns:a14="http://schemas.microsoft.com/office/drawing/2010/main"/>
                            </a:ext>
                          </a:extLst>
                        </pic:spPr>
                      </pic:pic>
                    </a:graphicData>
                  </a:graphic>
                </wp:inline>
              </w:drawing>
            </w:r>
          </w:p>
        </w:tc>
        <w:tc>
          <w:tcPr>
            <w:tcW w:w="8222" w:type="dxa"/>
            <w:shd w:val="clear" w:color="auto" w:fill="auto"/>
          </w:tcPr>
          <w:p w14:paraId="57DA563D" w14:textId="77777777" w:rsidR="00D3277B" w:rsidRDefault="00D3277B" w:rsidP="0053710D">
            <w:pPr>
              <w:pStyle w:val="Heading2"/>
              <w:spacing w:before="0"/>
              <w:rPr>
                <w:lang w:val="en-GB"/>
              </w:rPr>
            </w:pPr>
            <w:r>
              <w:t xml:space="preserve">Improving accountability and accessible reporting </w:t>
            </w:r>
          </w:p>
          <w:p w14:paraId="6E2B4450" w14:textId="77777777" w:rsidR="00D3277B" w:rsidRDefault="00D3277B" w:rsidP="0053710D">
            <w:pPr>
              <w:spacing w:before="120" w:after="60"/>
              <w:rPr>
                <w:lang w:val="en-GB"/>
              </w:rPr>
            </w:pPr>
            <w:r w:rsidRPr="000078DA">
              <w:rPr>
                <w:lang w:val="en-GB"/>
              </w:rPr>
              <w:t xml:space="preserve">Many participants noted that information about the </w:t>
            </w:r>
            <w:r>
              <w:rPr>
                <w:lang w:val="en-GB"/>
              </w:rPr>
              <w:t>S</w:t>
            </w:r>
            <w:r w:rsidRPr="000078DA">
              <w:rPr>
                <w:lang w:val="en-GB"/>
              </w:rPr>
              <w:t xml:space="preserve">trategy, </w:t>
            </w:r>
            <w:r>
              <w:rPr>
                <w:lang w:val="en-GB"/>
              </w:rPr>
              <w:t xml:space="preserve">and disability </w:t>
            </w:r>
            <w:r w:rsidRPr="000078DA">
              <w:rPr>
                <w:lang w:val="en-GB"/>
              </w:rPr>
              <w:t xml:space="preserve">policies and programs must be delivered in more accessible ways. </w:t>
            </w:r>
            <w:r>
              <w:rPr>
                <w:lang w:val="en-GB"/>
              </w:rPr>
              <w:t>This included making sure reporting under the Strategy is delivered in different</w:t>
            </w:r>
            <w:r w:rsidRPr="000078DA">
              <w:rPr>
                <w:lang w:val="en-GB"/>
              </w:rPr>
              <w:t xml:space="preserve"> formats and</w:t>
            </w:r>
            <w:r>
              <w:rPr>
                <w:lang w:val="en-GB"/>
              </w:rPr>
              <w:t xml:space="preserve"> </w:t>
            </w:r>
            <w:r w:rsidRPr="000078DA">
              <w:rPr>
                <w:lang w:val="en-GB"/>
              </w:rPr>
              <w:t>channels</w:t>
            </w:r>
            <w:r>
              <w:rPr>
                <w:lang w:val="en-GB"/>
              </w:rPr>
              <w:t xml:space="preserve"> so more people can access this information</w:t>
            </w:r>
            <w:r w:rsidRPr="000078DA">
              <w:rPr>
                <w:lang w:val="en-GB"/>
              </w:rPr>
              <w:t>.</w:t>
            </w:r>
          </w:p>
          <w:p w14:paraId="0CE8AF52" w14:textId="77777777" w:rsidR="00D3277B" w:rsidRPr="000078DA" w:rsidRDefault="00D3277B" w:rsidP="0053710D">
            <w:pPr>
              <w:spacing w:before="120" w:after="60"/>
              <w:rPr>
                <w:lang w:val="en-GB"/>
              </w:rPr>
            </w:pPr>
            <w:r w:rsidRPr="0073085E">
              <w:rPr>
                <w:lang w:val="en-GB"/>
              </w:rPr>
              <w:t>Participants suggested the need for independent and mandatory reporting o</w:t>
            </w:r>
            <w:r>
              <w:rPr>
                <w:lang w:val="en-GB"/>
              </w:rPr>
              <w:t>f</w:t>
            </w:r>
            <w:r w:rsidRPr="0073085E">
              <w:rPr>
                <w:lang w:val="en-GB"/>
              </w:rPr>
              <w:t xml:space="preserve"> </w:t>
            </w:r>
            <w:r>
              <w:rPr>
                <w:lang w:val="en-GB"/>
              </w:rPr>
              <w:t xml:space="preserve">progress towards achieving </w:t>
            </w:r>
            <w:r w:rsidRPr="0073085E">
              <w:rPr>
                <w:lang w:val="en-GB"/>
              </w:rPr>
              <w:t>outcomes</w:t>
            </w:r>
            <w:r>
              <w:rPr>
                <w:lang w:val="en-GB"/>
              </w:rPr>
              <w:t>, and for</w:t>
            </w:r>
            <w:r w:rsidRPr="0073085E">
              <w:rPr>
                <w:lang w:val="en-GB"/>
              </w:rPr>
              <w:t xml:space="preserve"> government</w:t>
            </w:r>
            <w:r>
              <w:rPr>
                <w:lang w:val="en-GB"/>
              </w:rPr>
              <w:t>s</w:t>
            </w:r>
            <w:r w:rsidRPr="0073085E">
              <w:rPr>
                <w:lang w:val="en-GB"/>
              </w:rPr>
              <w:t xml:space="preserve"> to be </w:t>
            </w:r>
            <w:r>
              <w:rPr>
                <w:lang w:val="en-GB"/>
              </w:rPr>
              <w:t xml:space="preserve">more </w:t>
            </w:r>
            <w:r w:rsidRPr="0073085E">
              <w:rPr>
                <w:lang w:val="en-GB"/>
              </w:rPr>
              <w:t xml:space="preserve">transparent in their reporting. </w:t>
            </w:r>
          </w:p>
          <w:p w14:paraId="559A92D0" w14:textId="77777777" w:rsidR="00D3277B" w:rsidRPr="0073085E" w:rsidRDefault="00D3277B" w:rsidP="0053710D">
            <w:pPr>
              <w:spacing w:after="60"/>
              <w:rPr>
                <w:lang w:val="en-GB"/>
              </w:rPr>
            </w:pPr>
            <w:r w:rsidRPr="0073085E">
              <w:rPr>
                <w:lang w:val="en-GB"/>
              </w:rPr>
              <w:t>Common suggestions for governments to be more accountable to the</w:t>
            </w:r>
            <w:r>
              <w:rPr>
                <w:lang w:val="en-GB"/>
              </w:rPr>
              <w:t xml:space="preserve"> Strategy</w:t>
            </w:r>
            <w:r w:rsidRPr="0073085E">
              <w:rPr>
                <w:lang w:val="en-GB"/>
              </w:rPr>
              <w:t xml:space="preserve"> and to improve reporting of progress </w:t>
            </w:r>
            <w:r>
              <w:rPr>
                <w:lang w:val="en-GB"/>
              </w:rPr>
              <w:t>included</w:t>
            </w:r>
            <w:r w:rsidRPr="0073085E">
              <w:rPr>
                <w:lang w:val="en-GB"/>
              </w:rPr>
              <w:t>:</w:t>
            </w:r>
          </w:p>
          <w:p w14:paraId="25FF0DFB" w14:textId="77777777" w:rsidR="00D3277B" w:rsidRPr="000078DA" w:rsidRDefault="00D3277B" w:rsidP="0053710D">
            <w:pPr>
              <w:pStyle w:val="ListParagraph"/>
              <w:numPr>
                <w:ilvl w:val="1"/>
                <w:numId w:val="4"/>
              </w:numPr>
              <w:spacing w:after="60"/>
              <w:ind w:left="348" w:hanging="348"/>
              <w:rPr>
                <w:lang w:val="en-GB"/>
              </w:rPr>
            </w:pPr>
            <w:r w:rsidRPr="000078DA">
              <w:rPr>
                <w:lang w:val="en-GB"/>
              </w:rPr>
              <w:lastRenderedPageBreak/>
              <w:t xml:space="preserve">having information all together in one location, such as </w:t>
            </w:r>
            <w:r>
              <w:rPr>
                <w:lang w:val="en-GB"/>
              </w:rPr>
              <w:t xml:space="preserve">on </w:t>
            </w:r>
            <w:r w:rsidRPr="000078DA">
              <w:rPr>
                <w:lang w:val="en-GB"/>
              </w:rPr>
              <w:t>a dedicated website</w:t>
            </w:r>
          </w:p>
          <w:p w14:paraId="44C8168C" w14:textId="77777777" w:rsidR="00D3277B" w:rsidRPr="000078DA" w:rsidRDefault="00D3277B" w:rsidP="0053710D">
            <w:pPr>
              <w:pStyle w:val="ListParagraph"/>
              <w:numPr>
                <w:ilvl w:val="1"/>
                <w:numId w:val="4"/>
              </w:numPr>
              <w:spacing w:after="60"/>
              <w:ind w:left="348" w:hanging="348"/>
              <w:rPr>
                <w:lang w:val="en-GB"/>
              </w:rPr>
            </w:pPr>
            <w:r w:rsidRPr="000078DA">
              <w:rPr>
                <w:lang w:val="en-GB"/>
              </w:rPr>
              <w:t xml:space="preserve">continued and regular consultations throughout the implementation of the </w:t>
            </w:r>
            <w:r>
              <w:rPr>
                <w:lang w:val="en-GB"/>
              </w:rPr>
              <w:t>S</w:t>
            </w:r>
            <w:r w:rsidRPr="000078DA">
              <w:rPr>
                <w:lang w:val="en-GB"/>
              </w:rPr>
              <w:t xml:space="preserve">trategy </w:t>
            </w:r>
          </w:p>
          <w:p w14:paraId="4B15D3D2" w14:textId="77777777" w:rsidR="00D3277B" w:rsidRPr="000078DA" w:rsidRDefault="00D3277B" w:rsidP="0053710D">
            <w:pPr>
              <w:pStyle w:val="ListParagraph"/>
              <w:numPr>
                <w:ilvl w:val="1"/>
                <w:numId w:val="4"/>
              </w:numPr>
              <w:spacing w:after="60"/>
              <w:ind w:left="348" w:hanging="348"/>
              <w:rPr>
                <w:lang w:val="en-GB"/>
              </w:rPr>
            </w:pPr>
            <w:r w:rsidRPr="000078DA">
              <w:rPr>
                <w:lang w:val="en-GB"/>
              </w:rPr>
              <w:t xml:space="preserve">creating flexible opportunities for feedback outside of formal engagement processes and set milestones </w:t>
            </w:r>
          </w:p>
          <w:p w14:paraId="1F6C0CC3" w14:textId="77777777" w:rsidR="00D3277B" w:rsidRPr="000078DA" w:rsidRDefault="00D3277B" w:rsidP="0053710D">
            <w:pPr>
              <w:pStyle w:val="ListParagraph"/>
              <w:numPr>
                <w:ilvl w:val="1"/>
                <w:numId w:val="4"/>
              </w:numPr>
              <w:spacing w:after="60"/>
              <w:ind w:left="348" w:hanging="348"/>
              <w:rPr>
                <w:lang w:val="en-GB"/>
              </w:rPr>
            </w:pPr>
            <w:r w:rsidRPr="000078DA">
              <w:rPr>
                <w:lang w:val="en-GB"/>
              </w:rPr>
              <w:t>set</w:t>
            </w:r>
            <w:r>
              <w:rPr>
                <w:lang w:val="en-GB"/>
              </w:rPr>
              <w:t>ting</w:t>
            </w:r>
            <w:r w:rsidRPr="000078DA">
              <w:rPr>
                <w:lang w:val="en-GB"/>
              </w:rPr>
              <w:t xml:space="preserve"> targets with timeframes for key areas such as employment, inclusion in education and health and wellbeing indicators</w:t>
            </w:r>
          </w:p>
          <w:p w14:paraId="0F3256C8" w14:textId="77777777" w:rsidR="00D3277B" w:rsidRPr="00DE0A6F" w:rsidRDefault="00D3277B" w:rsidP="0053710D">
            <w:pPr>
              <w:pStyle w:val="ListParagraph"/>
              <w:numPr>
                <w:ilvl w:val="1"/>
                <w:numId w:val="4"/>
              </w:numPr>
              <w:ind w:left="348" w:hanging="348"/>
              <w:rPr>
                <w:lang w:val="en-GB"/>
              </w:rPr>
            </w:pPr>
            <w:r w:rsidRPr="000078DA">
              <w:rPr>
                <w:lang w:val="en-GB"/>
              </w:rPr>
              <w:t>annual reporting</w:t>
            </w:r>
            <w:r>
              <w:rPr>
                <w:lang w:val="en-GB"/>
              </w:rPr>
              <w:t xml:space="preserve"> of outcomes,</w:t>
            </w:r>
            <w:r w:rsidRPr="000078DA">
              <w:rPr>
                <w:lang w:val="en-GB"/>
              </w:rPr>
              <w:t xml:space="preserve"> with promotion </w:t>
            </w:r>
            <w:r>
              <w:rPr>
                <w:lang w:val="en-GB"/>
              </w:rPr>
              <w:t xml:space="preserve">of this reporting </w:t>
            </w:r>
            <w:r w:rsidRPr="000078DA">
              <w:rPr>
                <w:lang w:val="en-GB"/>
              </w:rPr>
              <w:t>to everyone in the community.</w:t>
            </w:r>
          </w:p>
        </w:tc>
      </w:tr>
    </w:tbl>
    <w:p w14:paraId="522BF261" w14:textId="0785029F" w:rsidR="00F65D8A" w:rsidRDefault="00F65D8A" w:rsidP="00104212">
      <w:pPr>
        <w:pStyle w:val="Heading1"/>
        <w:spacing w:after="120"/>
      </w:pPr>
      <w:r>
        <w:lastRenderedPageBreak/>
        <w:t>Involving people with disability</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227" w:type="dxa"/>
          <w:bottom w:w="113" w:type="dxa"/>
          <w:right w:w="227" w:type="dxa"/>
        </w:tblCellMar>
        <w:tblLook w:val="04A0" w:firstRow="1" w:lastRow="0" w:firstColumn="1" w:lastColumn="0" w:noHBand="0" w:noVBand="1"/>
      </w:tblPr>
      <w:tblGrid>
        <w:gridCol w:w="1985"/>
        <w:gridCol w:w="7938"/>
      </w:tblGrid>
      <w:tr w:rsidR="00601B7F" w14:paraId="0FFEA4FA" w14:textId="77777777" w:rsidTr="00601B7F">
        <w:tc>
          <w:tcPr>
            <w:tcW w:w="1985" w:type="dxa"/>
            <w:shd w:val="clear" w:color="auto" w:fill="auto"/>
          </w:tcPr>
          <w:p w14:paraId="6E5F2A84" w14:textId="12D7C02A" w:rsidR="00601B7F" w:rsidRDefault="00601B7F" w:rsidP="00AD270F">
            <w:pPr>
              <w:spacing w:after="0"/>
              <w:rPr>
                <w:noProof/>
                <w:lang w:eastAsia="en-AU"/>
              </w:rPr>
            </w:pPr>
            <w:r>
              <w:rPr>
                <w:noProof/>
                <w:lang w:eastAsia="en-AU"/>
              </w:rPr>
              <w:drawing>
                <wp:inline distT="0" distB="0" distL="0" distR="0" wp14:anchorId="79F3CA32" wp14:editId="18A0D02F">
                  <wp:extent cx="1053176" cy="1032104"/>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rotWithShape="1">
                          <a:blip r:embed="rId28" cstate="hqprint">
                            <a:extLst>
                              <a:ext uri="{28A0092B-C50C-407E-A947-70E740481C1C}">
                                <a14:useLocalDpi xmlns:a14="http://schemas.microsoft.com/office/drawing/2010/main" val="0"/>
                              </a:ext>
                            </a:extLst>
                          </a:blip>
                          <a:srcRect l="5844" t="8957" r="7142"/>
                          <a:stretch/>
                        </pic:blipFill>
                        <pic:spPr bwMode="auto">
                          <a:xfrm>
                            <a:off x="0" y="0"/>
                            <a:ext cx="1066310" cy="1044976"/>
                          </a:xfrm>
                          <a:prstGeom prst="rect">
                            <a:avLst/>
                          </a:prstGeom>
                          <a:ln>
                            <a:noFill/>
                          </a:ln>
                          <a:extLst>
                            <a:ext uri="{53640926-AAD7-44D8-BBD7-CCE9431645EC}">
                              <a14:shadowObscured xmlns:a14="http://schemas.microsoft.com/office/drawing/2010/main"/>
                            </a:ext>
                          </a:extLst>
                        </pic:spPr>
                      </pic:pic>
                    </a:graphicData>
                  </a:graphic>
                </wp:inline>
              </w:drawing>
            </w:r>
          </w:p>
        </w:tc>
        <w:tc>
          <w:tcPr>
            <w:tcW w:w="7938" w:type="dxa"/>
            <w:shd w:val="clear" w:color="auto" w:fill="auto"/>
          </w:tcPr>
          <w:p w14:paraId="5ABEB53B" w14:textId="77777777" w:rsidR="00601B7F" w:rsidRDefault="00601B7F" w:rsidP="00601B7F">
            <w:pPr>
              <w:pStyle w:val="Heading2"/>
              <w:spacing w:before="0"/>
            </w:pPr>
            <w:r>
              <w:t>P</w:t>
            </w:r>
            <w:r w:rsidRPr="00291159">
              <w:t xml:space="preserve">eople with disability </w:t>
            </w:r>
            <w:r>
              <w:t xml:space="preserve">should be involved </w:t>
            </w:r>
            <w:r w:rsidRPr="00291159">
              <w:t>in all areas of the Strategy</w:t>
            </w:r>
          </w:p>
          <w:p w14:paraId="613B6C47" w14:textId="77777777" w:rsidR="00601B7F" w:rsidRPr="0073085E" w:rsidRDefault="00601B7F" w:rsidP="00601B7F">
            <w:pPr>
              <w:spacing w:before="120" w:after="0"/>
              <w:rPr>
                <w:lang w:val="en-GB"/>
              </w:rPr>
            </w:pPr>
            <w:r w:rsidRPr="0073085E">
              <w:rPr>
                <w:lang w:val="en-GB"/>
              </w:rPr>
              <w:t xml:space="preserve">Participants </w:t>
            </w:r>
            <w:r w:rsidRPr="00062AA6">
              <w:rPr>
                <w:b/>
                <w:bCs/>
                <w:lang w:val="en-GB"/>
              </w:rPr>
              <w:t>strongly supported the development of an Engagement Plan</w:t>
            </w:r>
            <w:r w:rsidRPr="0073085E">
              <w:rPr>
                <w:lang w:val="en-GB"/>
              </w:rPr>
              <w:t xml:space="preserve"> that improves </w:t>
            </w:r>
            <w:r>
              <w:rPr>
                <w:lang w:val="en-GB"/>
              </w:rPr>
              <w:t>the</w:t>
            </w:r>
            <w:r w:rsidRPr="0073085E">
              <w:rPr>
                <w:lang w:val="en-GB"/>
              </w:rPr>
              <w:t xml:space="preserve"> involvement of people with disability in all aspects of the </w:t>
            </w:r>
            <w:r>
              <w:rPr>
                <w:lang w:val="en-GB"/>
              </w:rPr>
              <w:t>S</w:t>
            </w:r>
            <w:r w:rsidRPr="0073085E">
              <w:rPr>
                <w:lang w:val="en-GB"/>
              </w:rPr>
              <w:t xml:space="preserve">trategy. </w:t>
            </w:r>
            <w:r>
              <w:rPr>
                <w:lang w:val="en-GB"/>
              </w:rPr>
              <w:t xml:space="preserve">This included involvement in </w:t>
            </w:r>
            <w:r w:rsidRPr="00291159">
              <w:rPr>
                <w:lang w:val="en-GB"/>
              </w:rPr>
              <w:t xml:space="preserve">design </w:t>
            </w:r>
            <w:r>
              <w:rPr>
                <w:lang w:val="en-GB"/>
              </w:rPr>
              <w:t>and</w:t>
            </w:r>
            <w:r w:rsidRPr="00291159">
              <w:rPr>
                <w:lang w:val="en-GB"/>
              </w:rPr>
              <w:t xml:space="preserve"> implementation </w:t>
            </w:r>
            <w:r>
              <w:rPr>
                <w:lang w:val="en-GB"/>
              </w:rPr>
              <w:t xml:space="preserve">and </w:t>
            </w:r>
            <w:r w:rsidRPr="00291159">
              <w:rPr>
                <w:lang w:val="en-GB"/>
              </w:rPr>
              <w:t xml:space="preserve">monitoring and reporting against the </w:t>
            </w:r>
            <w:r>
              <w:rPr>
                <w:lang w:val="en-GB"/>
              </w:rPr>
              <w:t xml:space="preserve">Strategy’s </w:t>
            </w:r>
            <w:r w:rsidRPr="00291159">
              <w:rPr>
                <w:lang w:val="en-GB"/>
              </w:rPr>
              <w:t>outcomes.</w:t>
            </w:r>
          </w:p>
          <w:p w14:paraId="3FB5C373" w14:textId="77777777" w:rsidR="00601B7F" w:rsidRDefault="00601B7F" w:rsidP="00601B7F">
            <w:pPr>
              <w:spacing w:before="120" w:after="0"/>
              <w:rPr>
                <w:lang w:val="en-GB"/>
              </w:rPr>
            </w:pPr>
            <w:r w:rsidRPr="0073085E">
              <w:rPr>
                <w:lang w:val="en-GB"/>
              </w:rPr>
              <w:t>There w</w:t>
            </w:r>
            <w:r>
              <w:rPr>
                <w:lang w:val="en-GB"/>
              </w:rPr>
              <w:t>ere</w:t>
            </w:r>
            <w:r w:rsidRPr="0073085E">
              <w:rPr>
                <w:lang w:val="en-GB"/>
              </w:rPr>
              <w:t xml:space="preserve"> concern</w:t>
            </w:r>
            <w:r>
              <w:rPr>
                <w:lang w:val="en-GB"/>
              </w:rPr>
              <w:t>s</w:t>
            </w:r>
            <w:r w:rsidRPr="0073085E">
              <w:rPr>
                <w:lang w:val="en-GB"/>
              </w:rPr>
              <w:t xml:space="preserve"> among all groups </w:t>
            </w:r>
            <w:r>
              <w:rPr>
                <w:lang w:val="en-GB"/>
              </w:rPr>
              <w:t xml:space="preserve">of participants </w:t>
            </w:r>
            <w:r w:rsidRPr="0073085E">
              <w:rPr>
                <w:lang w:val="en-GB"/>
              </w:rPr>
              <w:t xml:space="preserve">about how often people </w:t>
            </w:r>
            <w:r w:rsidRPr="0060537B">
              <w:rPr>
                <w:u w:val="single"/>
                <w:lang w:val="en-GB"/>
              </w:rPr>
              <w:t>without</w:t>
            </w:r>
            <w:r w:rsidRPr="0073085E">
              <w:rPr>
                <w:lang w:val="en-GB"/>
              </w:rPr>
              <w:t xml:space="preserve"> disability make decisions for people with disability</w:t>
            </w:r>
            <w:r>
              <w:rPr>
                <w:lang w:val="en-GB"/>
              </w:rPr>
              <w:t xml:space="preserve">. </w:t>
            </w:r>
            <w:r w:rsidRPr="006E55A1">
              <w:t>Given one in five people in the community live with some form of disability</w:t>
            </w:r>
            <w:r>
              <w:rPr>
                <w:rStyle w:val="FootnoteReference"/>
              </w:rPr>
              <w:footnoteReference w:id="2"/>
            </w:r>
            <w:r w:rsidRPr="006E55A1">
              <w:t xml:space="preserve">, </w:t>
            </w:r>
            <w:r>
              <w:t xml:space="preserve">participants said </w:t>
            </w:r>
            <w:r w:rsidRPr="006E55A1">
              <w:t>it should be easier for people with disability to be in decision</w:t>
            </w:r>
            <w:r>
              <w:t>-</w:t>
            </w:r>
            <w:r w:rsidRPr="006E55A1">
              <w:t>making roles</w:t>
            </w:r>
            <w:r>
              <w:t>.</w:t>
            </w:r>
            <w:r>
              <w:rPr>
                <w:lang w:val="en-GB"/>
              </w:rPr>
              <w:t xml:space="preserve"> </w:t>
            </w:r>
          </w:p>
          <w:p w14:paraId="3B17DC95" w14:textId="77777777" w:rsidR="00601B7F" w:rsidRDefault="00601B7F" w:rsidP="00F41612">
            <w:pPr>
              <w:spacing w:before="120"/>
              <w:rPr>
                <w:lang w:val="en-GB"/>
              </w:rPr>
            </w:pPr>
            <w:r>
              <w:rPr>
                <w:lang w:val="en-GB"/>
              </w:rPr>
              <w:t xml:space="preserve">It was suggested that </w:t>
            </w:r>
            <w:r w:rsidRPr="0073085E">
              <w:rPr>
                <w:lang w:val="en-GB"/>
              </w:rPr>
              <w:t>the involvement of people with disability</w:t>
            </w:r>
            <w:r>
              <w:rPr>
                <w:lang w:val="en-GB"/>
              </w:rPr>
              <w:t xml:space="preserve"> should be at the </w:t>
            </w:r>
            <w:r w:rsidRPr="0073085E">
              <w:rPr>
                <w:lang w:val="en-GB"/>
              </w:rPr>
              <w:t xml:space="preserve">core of everything </w:t>
            </w:r>
            <w:r>
              <w:rPr>
                <w:lang w:val="en-GB"/>
              </w:rPr>
              <w:t>within the Strategy.</w:t>
            </w:r>
            <w:r w:rsidRPr="0073085E">
              <w:rPr>
                <w:lang w:val="en-GB"/>
              </w:rPr>
              <w:t xml:space="preserve"> In particular, </w:t>
            </w:r>
            <w:r>
              <w:rPr>
                <w:lang w:val="en-GB"/>
              </w:rPr>
              <w:t xml:space="preserve">participants noted the importance of including young people with disability and people with complex needs in the Strategy and </w:t>
            </w:r>
            <w:r w:rsidRPr="0073085E">
              <w:rPr>
                <w:lang w:val="en-GB"/>
              </w:rPr>
              <w:t xml:space="preserve">listening to people with disability about </w:t>
            </w:r>
            <w:r>
              <w:rPr>
                <w:lang w:val="en-GB"/>
              </w:rPr>
              <w:t xml:space="preserve">what </w:t>
            </w:r>
            <w:r w:rsidRPr="0073085E">
              <w:rPr>
                <w:lang w:val="en-GB"/>
              </w:rPr>
              <w:t>their needs and wants</w:t>
            </w:r>
            <w:r>
              <w:rPr>
                <w:lang w:val="en-GB"/>
              </w:rPr>
              <w:t xml:space="preserve"> are.</w:t>
            </w:r>
          </w:p>
          <w:p w14:paraId="53EEECC8" w14:textId="1D7616C0" w:rsidR="00601B7F" w:rsidRDefault="00601B7F" w:rsidP="00F41612">
            <w:r>
              <w:rPr>
                <w:lang w:val="en-GB"/>
              </w:rPr>
              <w:t xml:space="preserve">Participants </w:t>
            </w:r>
            <w:r w:rsidRPr="0073085E">
              <w:rPr>
                <w:lang w:val="en-GB"/>
              </w:rPr>
              <w:t>also suggested providing more opportunit</w:t>
            </w:r>
            <w:r>
              <w:rPr>
                <w:lang w:val="en-GB"/>
              </w:rPr>
              <w:t>ies</w:t>
            </w:r>
            <w:r w:rsidRPr="0073085E">
              <w:rPr>
                <w:lang w:val="en-GB"/>
              </w:rPr>
              <w:t xml:space="preserve"> for people with disability to become leaders in their community through delivery of the </w:t>
            </w:r>
            <w:r>
              <w:rPr>
                <w:lang w:val="en-GB"/>
              </w:rPr>
              <w:t>S</w:t>
            </w:r>
            <w:r w:rsidRPr="0073085E">
              <w:rPr>
                <w:lang w:val="en-GB"/>
              </w:rPr>
              <w:t>trategy over the next 10 years</w:t>
            </w:r>
            <w:r>
              <w:rPr>
                <w:lang w:val="en-GB"/>
              </w:rPr>
              <w:t>.</w:t>
            </w:r>
            <w:r>
              <w:t xml:space="preserve"> </w:t>
            </w:r>
            <w:r>
              <w:rPr>
                <w:lang w:val="en-GB"/>
              </w:rPr>
              <w:t xml:space="preserve">They reiterated that people should be </w:t>
            </w:r>
            <w:r w:rsidRPr="00916DB8">
              <w:rPr>
                <w:lang w:val="en-GB"/>
              </w:rPr>
              <w:t xml:space="preserve">paid for their contributions of knowledge and experiences, rather than </w:t>
            </w:r>
            <w:r>
              <w:rPr>
                <w:lang w:val="en-GB"/>
              </w:rPr>
              <w:t xml:space="preserve">being </w:t>
            </w:r>
            <w:r w:rsidRPr="00916DB8">
              <w:rPr>
                <w:lang w:val="en-GB"/>
              </w:rPr>
              <w:t>expected to continu</w:t>
            </w:r>
            <w:r>
              <w:rPr>
                <w:lang w:val="en-GB"/>
              </w:rPr>
              <w:t>ally</w:t>
            </w:r>
            <w:r w:rsidRPr="00916DB8">
              <w:rPr>
                <w:lang w:val="en-GB"/>
              </w:rPr>
              <w:t xml:space="preserve"> </w:t>
            </w:r>
            <w:r>
              <w:rPr>
                <w:lang w:val="en-GB"/>
              </w:rPr>
              <w:t>‘</w:t>
            </w:r>
            <w:r w:rsidRPr="00916DB8">
              <w:rPr>
                <w:lang w:val="en-GB"/>
              </w:rPr>
              <w:t>volunteer their time</w:t>
            </w:r>
            <w:r>
              <w:rPr>
                <w:lang w:val="en-GB"/>
              </w:rPr>
              <w:t>’.</w:t>
            </w:r>
          </w:p>
        </w:tc>
      </w:tr>
    </w:tbl>
    <w:p w14:paraId="01C92140" w14:textId="77777777" w:rsidR="00352B9C" w:rsidRPr="00352B9C" w:rsidRDefault="00352B9C" w:rsidP="00352B9C">
      <w:pPr>
        <w:rPr>
          <w:lang w:val="en-GB"/>
        </w:rPr>
      </w:pPr>
    </w:p>
    <w:sectPr w:rsidR="00352B9C" w:rsidRPr="00352B9C" w:rsidSect="00370E4B">
      <w:headerReference w:type="default" r:id="rId29"/>
      <w:footerReference w:type="default" r:id="rId30"/>
      <w:pgSz w:w="11900" w:h="16840"/>
      <w:pgMar w:top="978" w:right="963" w:bottom="712" w:left="1298"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6A20D" w14:textId="77777777" w:rsidR="00123015" w:rsidRDefault="00123015" w:rsidP="008515E4">
      <w:r>
        <w:separator/>
      </w:r>
    </w:p>
  </w:endnote>
  <w:endnote w:type="continuationSeparator" w:id="0">
    <w:p w14:paraId="107B54A2" w14:textId="77777777" w:rsidR="00123015" w:rsidRDefault="00123015" w:rsidP="008515E4">
      <w:r>
        <w:continuationSeparator/>
      </w:r>
    </w:p>
  </w:endnote>
  <w:endnote w:type="continuationNotice" w:id="1">
    <w:p w14:paraId="21826B67" w14:textId="77777777" w:rsidR="00123015" w:rsidRDefault="001230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02173735"/>
      <w:docPartObj>
        <w:docPartGallery w:val="Page Numbers (Bottom of Page)"/>
        <w:docPartUnique/>
      </w:docPartObj>
    </w:sdtPr>
    <w:sdtEndPr>
      <w:rPr>
        <w:rStyle w:val="PageNumber"/>
      </w:rPr>
    </w:sdtEndPr>
    <w:sdtContent>
      <w:p w14:paraId="01D769F6" w14:textId="26EA8B87" w:rsidR="0068208C" w:rsidRDefault="0068208C" w:rsidP="002C46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A0A2AB" w14:textId="67347182" w:rsidR="00903E31" w:rsidRDefault="00903E31" w:rsidP="0068208C">
    <w:pPr>
      <w:pStyle w:val="Footer"/>
      <w:ind w:right="360"/>
      <w:rPr>
        <w:rStyle w:val="PageNumber"/>
      </w:rPr>
    </w:pPr>
  </w:p>
  <w:p w14:paraId="388620A8" w14:textId="77777777" w:rsidR="00903E31" w:rsidRDefault="00903E31" w:rsidP="00851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0"/>
        <w:szCs w:val="20"/>
      </w:rPr>
      <w:id w:val="-1128157070"/>
      <w:docPartObj>
        <w:docPartGallery w:val="Page Numbers (Bottom of Page)"/>
        <w:docPartUnique/>
      </w:docPartObj>
    </w:sdtPr>
    <w:sdtEndPr>
      <w:rPr>
        <w:rStyle w:val="PageNumber"/>
      </w:rPr>
    </w:sdtEndPr>
    <w:sdtContent>
      <w:p w14:paraId="1CE6B202" w14:textId="584FB10A" w:rsidR="0068208C" w:rsidRPr="00645F35" w:rsidRDefault="0068208C" w:rsidP="00645F35">
        <w:pPr>
          <w:pStyle w:val="Footer"/>
          <w:framePr w:wrap="none" w:vAnchor="text" w:hAnchor="page" w:x="10688" w:y="350"/>
          <w:rPr>
            <w:rStyle w:val="PageNumber"/>
            <w:sz w:val="20"/>
            <w:szCs w:val="20"/>
          </w:rPr>
        </w:pPr>
        <w:r w:rsidRPr="00645F35">
          <w:rPr>
            <w:rStyle w:val="PageNumber"/>
            <w:sz w:val="20"/>
            <w:szCs w:val="20"/>
          </w:rPr>
          <w:fldChar w:fldCharType="begin"/>
        </w:r>
        <w:r w:rsidRPr="00645F35">
          <w:rPr>
            <w:rStyle w:val="PageNumber"/>
            <w:sz w:val="20"/>
            <w:szCs w:val="20"/>
          </w:rPr>
          <w:instrText xml:space="preserve"> PAGE </w:instrText>
        </w:r>
        <w:r w:rsidRPr="00645F35">
          <w:rPr>
            <w:rStyle w:val="PageNumber"/>
            <w:sz w:val="20"/>
            <w:szCs w:val="20"/>
          </w:rPr>
          <w:fldChar w:fldCharType="separate"/>
        </w:r>
        <w:r w:rsidR="00C84DEF">
          <w:rPr>
            <w:rStyle w:val="PageNumber"/>
            <w:noProof/>
            <w:sz w:val="20"/>
            <w:szCs w:val="20"/>
          </w:rPr>
          <w:t>1</w:t>
        </w:r>
        <w:r w:rsidRPr="00645F35">
          <w:rPr>
            <w:rStyle w:val="PageNumber"/>
            <w:sz w:val="20"/>
            <w:szCs w:val="20"/>
          </w:rPr>
          <w:fldChar w:fldCharType="end"/>
        </w:r>
      </w:p>
    </w:sdtContent>
  </w:sdt>
  <w:p w14:paraId="1A5B6D10" w14:textId="026BCD9D" w:rsidR="00903E31" w:rsidRPr="00903E31" w:rsidRDefault="00903E31" w:rsidP="0068208C">
    <w:pPr>
      <w:pStyle w:val="Footer"/>
      <w:ind w:right="360"/>
      <w:rPr>
        <w:rStyle w:val="PageNumber"/>
        <w:sz w:val="20"/>
        <w:szCs w:val="20"/>
      </w:rPr>
    </w:pPr>
  </w:p>
  <w:p w14:paraId="604253AE" w14:textId="5E6B0B64" w:rsidR="00903E31" w:rsidRPr="00645F35" w:rsidRDefault="00903E31" w:rsidP="00645F35">
    <w:pPr>
      <w:pStyle w:val="Footer"/>
      <w:ind w:firstLine="2268"/>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0"/>
        <w:szCs w:val="20"/>
      </w:rPr>
      <w:id w:val="-618449417"/>
      <w:docPartObj>
        <w:docPartGallery w:val="Page Numbers (Bottom of Page)"/>
        <w:docPartUnique/>
      </w:docPartObj>
    </w:sdtPr>
    <w:sdtEndPr>
      <w:rPr>
        <w:rStyle w:val="PageNumber"/>
        <w:sz w:val="12"/>
        <w:szCs w:val="12"/>
      </w:rPr>
    </w:sdtEndPr>
    <w:sdtContent>
      <w:p w14:paraId="33C108E8" w14:textId="77777777" w:rsidR="00827B03" w:rsidRPr="00903E31" w:rsidRDefault="00827B03" w:rsidP="00A81ED4">
        <w:pPr>
          <w:pStyle w:val="Footer"/>
          <w:spacing w:after="0"/>
          <w:ind w:right="357"/>
          <w:rPr>
            <w:rStyle w:val="PageNumber"/>
            <w:sz w:val="20"/>
            <w:szCs w:val="20"/>
          </w:rPr>
        </w:pPr>
        <w:r>
          <w:rPr>
            <w:noProof/>
            <w:sz w:val="20"/>
            <w:szCs w:val="20"/>
            <w:lang w:eastAsia="en-AU"/>
          </w:rPr>
          <mc:AlternateContent>
            <mc:Choice Requires="wps">
              <w:drawing>
                <wp:anchor distT="0" distB="0" distL="114300" distR="114300" simplePos="0" relativeHeight="251658241" behindDoc="0" locked="0" layoutInCell="1" allowOverlap="1" wp14:anchorId="2AB66005" wp14:editId="73D443BE">
                  <wp:simplePos x="0" y="0"/>
                  <wp:positionH relativeFrom="column">
                    <wp:posOffset>-1046748</wp:posOffset>
                  </wp:positionH>
                  <wp:positionV relativeFrom="paragraph">
                    <wp:posOffset>253113</wp:posOffset>
                  </wp:positionV>
                  <wp:extent cx="2237873" cy="786048"/>
                  <wp:effectExtent l="0" t="0" r="0" b="190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7873" cy="786048"/>
                          </a:xfrm>
                          <a:prstGeom prst="rect">
                            <a:avLst/>
                          </a:prstGeom>
                          <a:solidFill>
                            <a:srgbClr val="F049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F3339" id="Rectangle 4" o:spid="_x0000_s1026" alt="&quot;&quot;" style="position:absolute;margin-left:-82.4pt;margin-top:19.95pt;width:176.2pt;height:61.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" fillcolor="#f04937" stroked="f" strokeweight="1pt"/>
              </w:pict>
            </mc:Fallback>
          </mc:AlternateContent>
        </w:r>
      </w:p>
    </w:sdtContent>
  </w:sdt>
  <w:sdt>
    <w:sdtPr>
      <w:rPr>
        <w:rStyle w:val="PageNumber"/>
        <w:sz w:val="20"/>
        <w:szCs w:val="20"/>
      </w:rPr>
      <w:id w:val="600312980"/>
      <w:docPartObj>
        <w:docPartGallery w:val="Page Numbers (Bottom of Page)"/>
        <w:docPartUnique/>
      </w:docPartObj>
    </w:sdtPr>
    <w:sdtEndPr>
      <w:rPr>
        <w:rStyle w:val="PageNumber"/>
      </w:rPr>
    </w:sdtEndPr>
    <w:sdtContent>
      <w:p w14:paraId="45929EBE" w14:textId="01B9E1D9" w:rsidR="007B038B" w:rsidRPr="00645F35" w:rsidRDefault="007B038B" w:rsidP="007B038B">
        <w:pPr>
          <w:pStyle w:val="Footer"/>
          <w:framePr w:wrap="none" w:vAnchor="text" w:hAnchor="page" w:x="10688"/>
          <w:rPr>
            <w:rStyle w:val="PageNumber"/>
            <w:sz w:val="20"/>
            <w:szCs w:val="20"/>
          </w:rPr>
        </w:pPr>
        <w:r w:rsidRPr="00645F35">
          <w:rPr>
            <w:rStyle w:val="PageNumber"/>
            <w:sz w:val="20"/>
            <w:szCs w:val="20"/>
          </w:rPr>
          <w:fldChar w:fldCharType="begin"/>
        </w:r>
        <w:r w:rsidRPr="00645F35">
          <w:rPr>
            <w:rStyle w:val="PageNumber"/>
            <w:sz w:val="20"/>
            <w:szCs w:val="20"/>
          </w:rPr>
          <w:instrText xml:space="preserve"> PAGE </w:instrText>
        </w:r>
        <w:r w:rsidRPr="00645F35">
          <w:rPr>
            <w:rStyle w:val="PageNumber"/>
            <w:sz w:val="20"/>
            <w:szCs w:val="20"/>
          </w:rPr>
          <w:fldChar w:fldCharType="separate"/>
        </w:r>
        <w:r w:rsidR="00C84DEF">
          <w:rPr>
            <w:rStyle w:val="PageNumber"/>
            <w:noProof/>
            <w:sz w:val="20"/>
            <w:szCs w:val="20"/>
          </w:rPr>
          <w:t>7</w:t>
        </w:r>
        <w:r w:rsidRPr="00645F35">
          <w:rPr>
            <w:rStyle w:val="PageNumber"/>
            <w:sz w:val="20"/>
            <w:szCs w:val="20"/>
          </w:rPr>
          <w:fldChar w:fldCharType="end"/>
        </w:r>
      </w:p>
    </w:sdtContent>
  </w:sdt>
  <w:p w14:paraId="0F7F88F9" w14:textId="26745295" w:rsidR="00827B03" w:rsidRPr="00645F35" w:rsidRDefault="00827B03" w:rsidP="007B038B">
    <w:pPr>
      <w:pStyle w:val="Footer"/>
      <w:ind w:right="567" w:firstLine="2268"/>
      <w:jc w:val="right"/>
      <w:rPr>
        <w:sz w:val="20"/>
        <w:szCs w:val="20"/>
      </w:rPr>
    </w:pPr>
    <w:r w:rsidRPr="00645F35">
      <w:rPr>
        <w:sz w:val="20"/>
        <w:szCs w:val="20"/>
      </w:rPr>
      <w:t xml:space="preserve">NDS Consultation Stage 2 – </w:t>
    </w:r>
    <w:r w:rsidR="00830FC0">
      <w:rPr>
        <w:sz w:val="20"/>
        <w:szCs w:val="20"/>
      </w:rPr>
      <w:t>Summary</w:t>
    </w:r>
    <w:r w:rsidRPr="00645F35">
      <w:rPr>
        <w:sz w:val="20"/>
        <w:szCs w:val="20"/>
      </w:rPr>
      <w:t xml:space="preserve">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3A949" w14:textId="77777777" w:rsidR="00123015" w:rsidRDefault="00123015" w:rsidP="008515E4">
      <w:r>
        <w:separator/>
      </w:r>
    </w:p>
  </w:footnote>
  <w:footnote w:type="continuationSeparator" w:id="0">
    <w:p w14:paraId="6D2A7522" w14:textId="77777777" w:rsidR="00123015" w:rsidRDefault="00123015" w:rsidP="008515E4">
      <w:r>
        <w:continuationSeparator/>
      </w:r>
    </w:p>
  </w:footnote>
  <w:footnote w:type="continuationNotice" w:id="1">
    <w:p w14:paraId="75B47FAE" w14:textId="77777777" w:rsidR="00123015" w:rsidRDefault="00123015">
      <w:pPr>
        <w:spacing w:after="0" w:line="240" w:lineRule="auto"/>
      </w:pPr>
    </w:p>
  </w:footnote>
  <w:footnote w:id="2">
    <w:p w14:paraId="56537653" w14:textId="77777777" w:rsidR="00601B7F" w:rsidRPr="00C76C3B" w:rsidRDefault="00601B7F" w:rsidP="00601B7F">
      <w:pPr>
        <w:pStyle w:val="FootnoteText"/>
      </w:pPr>
      <w:r>
        <w:rPr>
          <w:rStyle w:val="FootnoteReference"/>
        </w:rPr>
        <w:footnoteRef/>
      </w:r>
      <w:r>
        <w:t xml:space="preserve"> </w:t>
      </w:r>
      <w:r w:rsidRPr="007225B9">
        <w:rPr>
          <w:i/>
          <w:iCs/>
        </w:rPr>
        <w:t>Survey of Disability, Ageing and Carers (SDAC),</w:t>
      </w:r>
      <w:r>
        <w:t xml:space="preserve"> 2018. Australian Bureau of Statistics. </w:t>
      </w:r>
    </w:p>
    <w:p w14:paraId="5AEF3F4B" w14:textId="77777777" w:rsidR="00601B7F" w:rsidRDefault="00601B7F" w:rsidP="00601B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AC121" w14:textId="77777777" w:rsidR="00827B03" w:rsidRDefault="00827B03">
    <w:pPr>
      <w:pStyle w:val="Header"/>
    </w:pPr>
    <w:r>
      <w:rPr>
        <w:noProof/>
        <w:lang w:eastAsia="en-AU"/>
      </w:rPr>
      <mc:AlternateContent>
        <mc:Choice Requires="wps">
          <w:drawing>
            <wp:anchor distT="0" distB="0" distL="114300" distR="114300" simplePos="0" relativeHeight="251658240" behindDoc="0" locked="0" layoutInCell="1" allowOverlap="1" wp14:anchorId="04DFCA56" wp14:editId="4749C340">
              <wp:simplePos x="0" y="0"/>
              <wp:positionH relativeFrom="column">
                <wp:posOffset>5046345</wp:posOffset>
              </wp:positionH>
              <wp:positionV relativeFrom="paragraph">
                <wp:posOffset>-1976755</wp:posOffset>
              </wp:positionV>
              <wp:extent cx="2201512" cy="2201512"/>
              <wp:effectExtent l="0" t="0" r="0" b="0"/>
              <wp:wrapNone/>
              <wp:docPr id="3" name="Ova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01512" cy="2201512"/>
                      </a:xfrm>
                      <a:prstGeom prst="ellipse">
                        <a:avLst/>
                      </a:prstGeom>
                      <a:solidFill>
                        <a:srgbClr val="1341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D353A4" id="Oval 3" o:spid="_x0000_s1026" alt="&quot;&quot;" style="position:absolute;margin-left:397.35pt;margin-top:-155.65pt;width:173.35pt;height:17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" fillcolor="#13415a" stroked="f"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16CBB"/>
    <w:multiLevelType w:val="hybridMultilevel"/>
    <w:tmpl w:val="3C96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A6E2F"/>
    <w:multiLevelType w:val="hybridMultilevel"/>
    <w:tmpl w:val="935E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93AC9"/>
    <w:multiLevelType w:val="hybridMultilevel"/>
    <w:tmpl w:val="CFA232A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1086C"/>
    <w:multiLevelType w:val="hybridMultilevel"/>
    <w:tmpl w:val="AD72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60CB1"/>
    <w:multiLevelType w:val="hybridMultilevel"/>
    <w:tmpl w:val="204A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04FFA"/>
    <w:multiLevelType w:val="hybridMultilevel"/>
    <w:tmpl w:val="E260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D7A1F"/>
    <w:multiLevelType w:val="hybridMultilevel"/>
    <w:tmpl w:val="9EDA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E4A84"/>
    <w:multiLevelType w:val="hybridMultilevel"/>
    <w:tmpl w:val="FC1C49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A13A8"/>
    <w:multiLevelType w:val="hybridMultilevel"/>
    <w:tmpl w:val="41AA9372"/>
    <w:lvl w:ilvl="0" w:tplc="08090001">
      <w:start w:val="1"/>
      <w:numFmt w:val="bullet"/>
      <w:lvlText w:val=""/>
      <w:lvlJc w:val="left"/>
      <w:pPr>
        <w:ind w:left="720" w:hanging="360"/>
      </w:pPr>
      <w:rPr>
        <w:rFonts w:ascii="Symbol" w:hAnsi="Symbol" w:hint="default"/>
      </w:rPr>
    </w:lvl>
    <w:lvl w:ilvl="1" w:tplc="E8E2D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041A2"/>
    <w:multiLevelType w:val="hybridMultilevel"/>
    <w:tmpl w:val="5990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35FFE"/>
    <w:multiLevelType w:val="hybridMultilevel"/>
    <w:tmpl w:val="CA9A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B00D3"/>
    <w:multiLevelType w:val="hybridMultilevel"/>
    <w:tmpl w:val="C09C98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B5FF5"/>
    <w:multiLevelType w:val="hybridMultilevel"/>
    <w:tmpl w:val="1A5A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970AB"/>
    <w:multiLevelType w:val="hybridMultilevel"/>
    <w:tmpl w:val="14905FE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38734E1"/>
    <w:multiLevelType w:val="hybridMultilevel"/>
    <w:tmpl w:val="C36CAE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B7A6F"/>
    <w:multiLevelType w:val="hybridMultilevel"/>
    <w:tmpl w:val="6EF8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9736A4"/>
    <w:multiLevelType w:val="hybridMultilevel"/>
    <w:tmpl w:val="1CCC409A"/>
    <w:lvl w:ilvl="0" w:tplc="87F660E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57C86"/>
    <w:multiLevelType w:val="hybridMultilevel"/>
    <w:tmpl w:val="F132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7"/>
  </w:num>
  <w:num w:numId="5">
    <w:abstractNumId w:val="11"/>
  </w:num>
  <w:num w:numId="6">
    <w:abstractNumId w:val="5"/>
  </w:num>
  <w:num w:numId="7">
    <w:abstractNumId w:val="16"/>
  </w:num>
  <w:num w:numId="8">
    <w:abstractNumId w:val="10"/>
  </w:num>
  <w:num w:numId="9">
    <w:abstractNumId w:val="17"/>
  </w:num>
  <w:num w:numId="10">
    <w:abstractNumId w:val="6"/>
  </w:num>
  <w:num w:numId="11">
    <w:abstractNumId w:val="4"/>
  </w:num>
  <w:num w:numId="12">
    <w:abstractNumId w:val="12"/>
  </w:num>
  <w:num w:numId="13">
    <w:abstractNumId w:val="0"/>
  </w:num>
  <w:num w:numId="14">
    <w:abstractNumId w:val="3"/>
  </w:num>
  <w:num w:numId="15">
    <w:abstractNumId w:val="2"/>
  </w:num>
  <w:num w:numId="16">
    <w:abstractNumId w:val="15"/>
  </w:num>
  <w:num w:numId="17">
    <w:abstractNumId w:val="14"/>
  </w:num>
  <w:num w:numId="1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F3"/>
    <w:rsid w:val="000010FF"/>
    <w:rsid w:val="00001210"/>
    <w:rsid w:val="00001424"/>
    <w:rsid w:val="00003917"/>
    <w:rsid w:val="00004A0C"/>
    <w:rsid w:val="00005EAA"/>
    <w:rsid w:val="00006241"/>
    <w:rsid w:val="000065B7"/>
    <w:rsid w:val="00006B4B"/>
    <w:rsid w:val="00006F99"/>
    <w:rsid w:val="000078DA"/>
    <w:rsid w:val="00010726"/>
    <w:rsid w:val="00010D68"/>
    <w:rsid w:val="000129B3"/>
    <w:rsid w:val="00012C95"/>
    <w:rsid w:val="00013260"/>
    <w:rsid w:val="00015241"/>
    <w:rsid w:val="00015D22"/>
    <w:rsid w:val="00015E96"/>
    <w:rsid w:val="00016551"/>
    <w:rsid w:val="00025F3F"/>
    <w:rsid w:val="00036FB5"/>
    <w:rsid w:val="000370D4"/>
    <w:rsid w:val="00040415"/>
    <w:rsid w:val="0004434F"/>
    <w:rsid w:val="000447BD"/>
    <w:rsid w:val="0004580F"/>
    <w:rsid w:val="00045E3F"/>
    <w:rsid w:val="0004734A"/>
    <w:rsid w:val="00051DA9"/>
    <w:rsid w:val="000526C3"/>
    <w:rsid w:val="000567D9"/>
    <w:rsid w:val="00056DF0"/>
    <w:rsid w:val="00056F06"/>
    <w:rsid w:val="00060501"/>
    <w:rsid w:val="000614AA"/>
    <w:rsid w:val="000615B6"/>
    <w:rsid w:val="000620FF"/>
    <w:rsid w:val="0006279F"/>
    <w:rsid w:val="00062AA6"/>
    <w:rsid w:val="000641AE"/>
    <w:rsid w:val="000641C4"/>
    <w:rsid w:val="00065A57"/>
    <w:rsid w:val="00070DDD"/>
    <w:rsid w:val="00071DC8"/>
    <w:rsid w:val="000743F0"/>
    <w:rsid w:val="00074C6B"/>
    <w:rsid w:val="000755A1"/>
    <w:rsid w:val="000755EA"/>
    <w:rsid w:val="00080AB3"/>
    <w:rsid w:val="00082007"/>
    <w:rsid w:val="00082624"/>
    <w:rsid w:val="000835BA"/>
    <w:rsid w:val="00084238"/>
    <w:rsid w:val="0008451C"/>
    <w:rsid w:val="00084C83"/>
    <w:rsid w:val="0009103D"/>
    <w:rsid w:val="00091523"/>
    <w:rsid w:val="00091D3A"/>
    <w:rsid w:val="000927DF"/>
    <w:rsid w:val="0009716E"/>
    <w:rsid w:val="00097EEA"/>
    <w:rsid w:val="000A7522"/>
    <w:rsid w:val="000B1CCB"/>
    <w:rsid w:val="000B341A"/>
    <w:rsid w:val="000B3A32"/>
    <w:rsid w:val="000C1341"/>
    <w:rsid w:val="000C21F7"/>
    <w:rsid w:val="000C4562"/>
    <w:rsid w:val="000C5328"/>
    <w:rsid w:val="000C68BE"/>
    <w:rsid w:val="000D16E1"/>
    <w:rsid w:val="000D3BA9"/>
    <w:rsid w:val="000D68FD"/>
    <w:rsid w:val="000E0796"/>
    <w:rsid w:val="000E15FE"/>
    <w:rsid w:val="000E35BE"/>
    <w:rsid w:val="000E4A3E"/>
    <w:rsid w:val="000E5B64"/>
    <w:rsid w:val="000E5E28"/>
    <w:rsid w:val="000E674A"/>
    <w:rsid w:val="000E688A"/>
    <w:rsid w:val="000E6EDD"/>
    <w:rsid w:val="000E7145"/>
    <w:rsid w:val="000F0469"/>
    <w:rsid w:val="000F29FD"/>
    <w:rsid w:val="001006AB"/>
    <w:rsid w:val="00102991"/>
    <w:rsid w:val="00103D2C"/>
    <w:rsid w:val="00104212"/>
    <w:rsid w:val="001051B1"/>
    <w:rsid w:val="0010668B"/>
    <w:rsid w:val="0011267F"/>
    <w:rsid w:val="0011456D"/>
    <w:rsid w:val="00117CCF"/>
    <w:rsid w:val="001228A6"/>
    <w:rsid w:val="00123015"/>
    <w:rsid w:val="0012301D"/>
    <w:rsid w:val="0012543F"/>
    <w:rsid w:val="001269BA"/>
    <w:rsid w:val="001360A9"/>
    <w:rsid w:val="00136166"/>
    <w:rsid w:val="00137374"/>
    <w:rsid w:val="001403D7"/>
    <w:rsid w:val="00142B73"/>
    <w:rsid w:val="00143D71"/>
    <w:rsid w:val="00144781"/>
    <w:rsid w:val="00145FDC"/>
    <w:rsid w:val="00150963"/>
    <w:rsid w:val="00150A53"/>
    <w:rsid w:val="001536B4"/>
    <w:rsid w:val="001549DF"/>
    <w:rsid w:val="00163AE1"/>
    <w:rsid w:val="001659DE"/>
    <w:rsid w:val="00165C25"/>
    <w:rsid w:val="00166377"/>
    <w:rsid w:val="00171119"/>
    <w:rsid w:val="00171EC3"/>
    <w:rsid w:val="00172518"/>
    <w:rsid w:val="00173109"/>
    <w:rsid w:val="001751D0"/>
    <w:rsid w:val="0017641A"/>
    <w:rsid w:val="001803AA"/>
    <w:rsid w:val="00184092"/>
    <w:rsid w:val="00184742"/>
    <w:rsid w:val="001855D4"/>
    <w:rsid w:val="00194AD3"/>
    <w:rsid w:val="00197E55"/>
    <w:rsid w:val="001A01FC"/>
    <w:rsid w:val="001A6354"/>
    <w:rsid w:val="001A75D3"/>
    <w:rsid w:val="001A7926"/>
    <w:rsid w:val="001A7D37"/>
    <w:rsid w:val="001B0680"/>
    <w:rsid w:val="001B1047"/>
    <w:rsid w:val="001B37A6"/>
    <w:rsid w:val="001B425B"/>
    <w:rsid w:val="001B55F4"/>
    <w:rsid w:val="001B5BC0"/>
    <w:rsid w:val="001C4D6E"/>
    <w:rsid w:val="001C54B1"/>
    <w:rsid w:val="001C601C"/>
    <w:rsid w:val="001C6AE8"/>
    <w:rsid w:val="001C7FC6"/>
    <w:rsid w:val="001D2E05"/>
    <w:rsid w:val="001D61A7"/>
    <w:rsid w:val="001D68BB"/>
    <w:rsid w:val="001E1950"/>
    <w:rsid w:val="001E27B9"/>
    <w:rsid w:val="001E39F1"/>
    <w:rsid w:val="001E3B42"/>
    <w:rsid w:val="001E4371"/>
    <w:rsid w:val="001F54A6"/>
    <w:rsid w:val="001F5BEF"/>
    <w:rsid w:val="001F63C1"/>
    <w:rsid w:val="001F63D8"/>
    <w:rsid w:val="001F6799"/>
    <w:rsid w:val="002011E5"/>
    <w:rsid w:val="00201387"/>
    <w:rsid w:val="002013D6"/>
    <w:rsid w:val="00202CE8"/>
    <w:rsid w:val="00204525"/>
    <w:rsid w:val="002057F1"/>
    <w:rsid w:val="00211036"/>
    <w:rsid w:val="002118EC"/>
    <w:rsid w:val="00211E25"/>
    <w:rsid w:val="00217CB2"/>
    <w:rsid w:val="002200DA"/>
    <w:rsid w:val="00221402"/>
    <w:rsid w:val="00223E24"/>
    <w:rsid w:val="002311CA"/>
    <w:rsid w:val="00234B29"/>
    <w:rsid w:val="0023601C"/>
    <w:rsid w:val="00244571"/>
    <w:rsid w:val="00244DB2"/>
    <w:rsid w:val="00245B3F"/>
    <w:rsid w:val="002543BE"/>
    <w:rsid w:val="002547C9"/>
    <w:rsid w:val="00256B67"/>
    <w:rsid w:val="00260550"/>
    <w:rsid w:val="00262014"/>
    <w:rsid w:val="0026437E"/>
    <w:rsid w:val="00266518"/>
    <w:rsid w:val="00271D54"/>
    <w:rsid w:val="00273DCA"/>
    <w:rsid w:val="00274720"/>
    <w:rsid w:val="0027585D"/>
    <w:rsid w:val="00276870"/>
    <w:rsid w:val="00277301"/>
    <w:rsid w:val="0028277C"/>
    <w:rsid w:val="002847A8"/>
    <w:rsid w:val="00291159"/>
    <w:rsid w:val="00292C07"/>
    <w:rsid w:val="0029387D"/>
    <w:rsid w:val="002961D0"/>
    <w:rsid w:val="00297E47"/>
    <w:rsid w:val="002A207D"/>
    <w:rsid w:val="002A25C6"/>
    <w:rsid w:val="002A3083"/>
    <w:rsid w:val="002A404E"/>
    <w:rsid w:val="002A427B"/>
    <w:rsid w:val="002A6414"/>
    <w:rsid w:val="002A6E30"/>
    <w:rsid w:val="002A6F23"/>
    <w:rsid w:val="002B084F"/>
    <w:rsid w:val="002B169B"/>
    <w:rsid w:val="002B2846"/>
    <w:rsid w:val="002B3FC9"/>
    <w:rsid w:val="002B50CE"/>
    <w:rsid w:val="002B6A00"/>
    <w:rsid w:val="002C30A8"/>
    <w:rsid w:val="002C35EF"/>
    <w:rsid w:val="002C3F99"/>
    <w:rsid w:val="002C432E"/>
    <w:rsid w:val="002C462C"/>
    <w:rsid w:val="002D0671"/>
    <w:rsid w:val="002D1A16"/>
    <w:rsid w:val="002D519A"/>
    <w:rsid w:val="002D554E"/>
    <w:rsid w:val="002E1E1E"/>
    <w:rsid w:val="002E562B"/>
    <w:rsid w:val="002F2118"/>
    <w:rsid w:val="002F22A0"/>
    <w:rsid w:val="002F5F3F"/>
    <w:rsid w:val="002F6349"/>
    <w:rsid w:val="00300343"/>
    <w:rsid w:val="00300783"/>
    <w:rsid w:val="00300A0E"/>
    <w:rsid w:val="0030199F"/>
    <w:rsid w:val="0030200C"/>
    <w:rsid w:val="0030537E"/>
    <w:rsid w:val="00306890"/>
    <w:rsid w:val="00306C83"/>
    <w:rsid w:val="003076BC"/>
    <w:rsid w:val="003077D6"/>
    <w:rsid w:val="00307F5D"/>
    <w:rsid w:val="0031194A"/>
    <w:rsid w:val="00313590"/>
    <w:rsid w:val="0031489D"/>
    <w:rsid w:val="003173D6"/>
    <w:rsid w:val="003179F8"/>
    <w:rsid w:val="00321ED0"/>
    <w:rsid w:val="0032311C"/>
    <w:rsid w:val="003262BB"/>
    <w:rsid w:val="00326485"/>
    <w:rsid w:val="00326F17"/>
    <w:rsid w:val="00330055"/>
    <w:rsid w:val="003300F5"/>
    <w:rsid w:val="00333558"/>
    <w:rsid w:val="00336F57"/>
    <w:rsid w:val="00341119"/>
    <w:rsid w:val="00343149"/>
    <w:rsid w:val="0034499C"/>
    <w:rsid w:val="00344A53"/>
    <w:rsid w:val="00345B47"/>
    <w:rsid w:val="00346207"/>
    <w:rsid w:val="00347269"/>
    <w:rsid w:val="0035046B"/>
    <w:rsid w:val="00351BDB"/>
    <w:rsid w:val="00352B9C"/>
    <w:rsid w:val="003550E0"/>
    <w:rsid w:val="00360373"/>
    <w:rsid w:val="003631DB"/>
    <w:rsid w:val="003643AD"/>
    <w:rsid w:val="00365B30"/>
    <w:rsid w:val="00367E1D"/>
    <w:rsid w:val="00370E4B"/>
    <w:rsid w:val="00371A43"/>
    <w:rsid w:val="00374F84"/>
    <w:rsid w:val="003859D0"/>
    <w:rsid w:val="00385A1A"/>
    <w:rsid w:val="00387032"/>
    <w:rsid w:val="00387179"/>
    <w:rsid w:val="003904CD"/>
    <w:rsid w:val="00390F5E"/>
    <w:rsid w:val="0039201D"/>
    <w:rsid w:val="0039237B"/>
    <w:rsid w:val="00394378"/>
    <w:rsid w:val="00395294"/>
    <w:rsid w:val="00396AEF"/>
    <w:rsid w:val="003A2444"/>
    <w:rsid w:val="003A3302"/>
    <w:rsid w:val="003A5232"/>
    <w:rsid w:val="003A7FAF"/>
    <w:rsid w:val="003B5FE8"/>
    <w:rsid w:val="003B6C55"/>
    <w:rsid w:val="003B7517"/>
    <w:rsid w:val="003B77D6"/>
    <w:rsid w:val="003B7E5A"/>
    <w:rsid w:val="003C2A2D"/>
    <w:rsid w:val="003C4409"/>
    <w:rsid w:val="003C4B0B"/>
    <w:rsid w:val="003C771C"/>
    <w:rsid w:val="003D0345"/>
    <w:rsid w:val="003D2688"/>
    <w:rsid w:val="003D2E33"/>
    <w:rsid w:val="003D3789"/>
    <w:rsid w:val="003D3E00"/>
    <w:rsid w:val="003D3F31"/>
    <w:rsid w:val="003D520E"/>
    <w:rsid w:val="003D582B"/>
    <w:rsid w:val="003D5E91"/>
    <w:rsid w:val="003D7F32"/>
    <w:rsid w:val="003E0C9E"/>
    <w:rsid w:val="003E19C3"/>
    <w:rsid w:val="003E1E40"/>
    <w:rsid w:val="003E2523"/>
    <w:rsid w:val="003E58DA"/>
    <w:rsid w:val="003E6211"/>
    <w:rsid w:val="003F2BDC"/>
    <w:rsid w:val="003F6E20"/>
    <w:rsid w:val="004000A2"/>
    <w:rsid w:val="00400B83"/>
    <w:rsid w:val="0040135D"/>
    <w:rsid w:val="004014B7"/>
    <w:rsid w:val="004055A9"/>
    <w:rsid w:val="004116E5"/>
    <w:rsid w:val="00411E76"/>
    <w:rsid w:val="00412451"/>
    <w:rsid w:val="00412DD9"/>
    <w:rsid w:val="00415261"/>
    <w:rsid w:val="00420265"/>
    <w:rsid w:val="004215D9"/>
    <w:rsid w:val="00423FAE"/>
    <w:rsid w:val="004306CE"/>
    <w:rsid w:val="00431CD6"/>
    <w:rsid w:val="004320F8"/>
    <w:rsid w:val="004321CB"/>
    <w:rsid w:val="004331D1"/>
    <w:rsid w:val="0043539A"/>
    <w:rsid w:val="00436270"/>
    <w:rsid w:val="00437A59"/>
    <w:rsid w:val="00437A61"/>
    <w:rsid w:val="00440CF0"/>
    <w:rsid w:val="00441390"/>
    <w:rsid w:val="00441D2A"/>
    <w:rsid w:val="00441D8C"/>
    <w:rsid w:val="00442800"/>
    <w:rsid w:val="0044309F"/>
    <w:rsid w:val="004470A0"/>
    <w:rsid w:val="004475EA"/>
    <w:rsid w:val="00450C4A"/>
    <w:rsid w:val="004510A3"/>
    <w:rsid w:val="00453000"/>
    <w:rsid w:val="00462E2C"/>
    <w:rsid w:val="004634F4"/>
    <w:rsid w:val="0046427A"/>
    <w:rsid w:val="00464594"/>
    <w:rsid w:val="0046719A"/>
    <w:rsid w:val="004702BA"/>
    <w:rsid w:val="00470E30"/>
    <w:rsid w:val="00472BC9"/>
    <w:rsid w:val="00472F88"/>
    <w:rsid w:val="004739E1"/>
    <w:rsid w:val="0047489A"/>
    <w:rsid w:val="0047577E"/>
    <w:rsid w:val="0047592D"/>
    <w:rsid w:val="00477AC5"/>
    <w:rsid w:val="00480E33"/>
    <w:rsid w:val="00481ED5"/>
    <w:rsid w:val="0048523A"/>
    <w:rsid w:val="004855C9"/>
    <w:rsid w:val="00486D43"/>
    <w:rsid w:val="00490CC9"/>
    <w:rsid w:val="004943E3"/>
    <w:rsid w:val="00494869"/>
    <w:rsid w:val="00497D19"/>
    <w:rsid w:val="004A12CB"/>
    <w:rsid w:val="004A2383"/>
    <w:rsid w:val="004A25A6"/>
    <w:rsid w:val="004A2DAA"/>
    <w:rsid w:val="004A2ED8"/>
    <w:rsid w:val="004A4132"/>
    <w:rsid w:val="004A60B6"/>
    <w:rsid w:val="004A68BA"/>
    <w:rsid w:val="004B18DF"/>
    <w:rsid w:val="004B4A27"/>
    <w:rsid w:val="004B52B5"/>
    <w:rsid w:val="004B560E"/>
    <w:rsid w:val="004B5647"/>
    <w:rsid w:val="004C1869"/>
    <w:rsid w:val="004C1F0E"/>
    <w:rsid w:val="004C1FC8"/>
    <w:rsid w:val="004C3284"/>
    <w:rsid w:val="004C6270"/>
    <w:rsid w:val="004D04A4"/>
    <w:rsid w:val="004E136D"/>
    <w:rsid w:val="004E313F"/>
    <w:rsid w:val="004E47A3"/>
    <w:rsid w:val="004E5446"/>
    <w:rsid w:val="004E6D86"/>
    <w:rsid w:val="004F03CC"/>
    <w:rsid w:val="004F0549"/>
    <w:rsid w:val="004F0975"/>
    <w:rsid w:val="004F45C1"/>
    <w:rsid w:val="004F518B"/>
    <w:rsid w:val="004F59CB"/>
    <w:rsid w:val="004F7BC4"/>
    <w:rsid w:val="00504A8B"/>
    <w:rsid w:val="0050697C"/>
    <w:rsid w:val="00513F42"/>
    <w:rsid w:val="005154C3"/>
    <w:rsid w:val="00516048"/>
    <w:rsid w:val="005204F8"/>
    <w:rsid w:val="00520AEE"/>
    <w:rsid w:val="00522E19"/>
    <w:rsid w:val="00525DE2"/>
    <w:rsid w:val="005260FB"/>
    <w:rsid w:val="005264BC"/>
    <w:rsid w:val="00532B3E"/>
    <w:rsid w:val="00534915"/>
    <w:rsid w:val="00536AA1"/>
    <w:rsid w:val="00536EDC"/>
    <w:rsid w:val="0054436C"/>
    <w:rsid w:val="00545E06"/>
    <w:rsid w:val="005514CD"/>
    <w:rsid w:val="00553B09"/>
    <w:rsid w:val="00554DE4"/>
    <w:rsid w:val="00557E4D"/>
    <w:rsid w:val="005653AE"/>
    <w:rsid w:val="005678F6"/>
    <w:rsid w:val="00570BDF"/>
    <w:rsid w:val="00571295"/>
    <w:rsid w:val="00572B68"/>
    <w:rsid w:val="00572CA9"/>
    <w:rsid w:val="005737B8"/>
    <w:rsid w:val="0057402B"/>
    <w:rsid w:val="00575957"/>
    <w:rsid w:val="0058322F"/>
    <w:rsid w:val="00584159"/>
    <w:rsid w:val="00584D0F"/>
    <w:rsid w:val="005853D7"/>
    <w:rsid w:val="005858F7"/>
    <w:rsid w:val="00590211"/>
    <w:rsid w:val="00591004"/>
    <w:rsid w:val="005932B5"/>
    <w:rsid w:val="005935DB"/>
    <w:rsid w:val="00594DB9"/>
    <w:rsid w:val="005A157B"/>
    <w:rsid w:val="005A5A87"/>
    <w:rsid w:val="005A6ECE"/>
    <w:rsid w:val="005A748F"/>
    <w:rsid w:val="005B0284"/>
    <w:rsid w:val="005B1D3B"/>
    <w:rsid w:val="005B2DDE"/>
    <w:rsid w:val="005B4CD8"/>
    <w:rsid w:val="005B5592"/>
    <w:rsid w:val="005C164B"/>
    <w:rsid w:val="005C206E"/>
    <w:rsid w:val="005C228B"/>
    <w:rsid w:val="005C34A4"/>
    <w:rsid w:val="005C4D23"/>
    <w:rsid w:val="005C5C27"/>
    <w:rsid w:val="005D17CE"/>
    <w:rsid w:val="005D1878"/>
    <w:rsid w:val="005D3465"/>
    <w:rsid w:val="005D34DC"/>
    <w:rsid w:val="005D73BE"/>
    <w:rsid w:val="005E164B"/>
    <w:rsid w:val="005E428A"/>
    <w:rsid w:val="005E5CBE"/>
    <w:rsid w:val="005F1660"/>
    <w:rsid w:val="005F38CA"/>
    <w:rsid w:val="005F5DFA"/>
    <w:rsid w:val="006011E5"/>
    <w:rsid w:val="006014C5"/>
    <w:rsid w:val="00601B7F"/>
    <w:rsid w:val="006047C2"/>
    <w:rsid w:val="0060537B"/>
    <w:rsid w:val="00605888"/>
    <w:rsid w:val="00605A44"/>
    <w:rsid w:val="00613A0C"/>
    <w:rsid w:val="00623462"/>
    <w:rsid w:val="0062525F"/>
    <w:rsid w:val="006306FB"/>
    <w:rsid w:val="006317E8"/>
    <w:rsid w:val="006358A8"/>
    <w:rsid w:val="00636681"/>
    <w:rsid w:val="00636EC2"/>
    <w:rsid w:val="00637061"/>
    <w:rsid w:val="00640560"/>
    <w:rsid w:val="00640CEB"/>
    <w:rsid w:val="0064296E"/>
    <w:rsid w:val="00642DC6"/>
    <w:rsid w:val="00645F35"/>
    <w:rsid w:val="006509BB"/>
    <w:rsid w:val="0065478F"/>
    <w:rsid w:val="00655C52"/>
    <w:rsid w:val="00656E95"/>
    <w:rsid w:val="00657DB7"/>
    <w:rsid w:val="00657ED8"/>
    <w:rsid w:val="00663458"/>
    <w:rsid w:val="00664B13"/>
    <w:rsid w:val="00665E4C"/>
    <w:rsid w:val="00670399"/>
    <w:rsid w:val="006730C3"/>
    <w:rsid w:val="00674B8C"/>
    <w:rsid w:val="0067596F"/>
    <w:rsid w:val="00676C7E"/>
    <w:rsid w:val="00676D98"/>
    <w:rsid w:val="0068080B"/>
    <w:rsid w:val="006814F8"/>
    <w:rsid w:val="0068208C"/>
    <w:rsid w:val="00685BA1"/>
    <w:rsid w:val="00686F77"/>
    <w:rsid w:val="00691838"/>
    <w:rsid w:val="00691A09"/>
    <w:rsid w:val="00693E66"/>
    <w:rsid w:val="00695C35"/>
    <w:rsid w:val="006A0E92"/>
    <w:rsid w:val="006A27FA"/>
    <w:rsid w:val="006A38A0"/>
    <w:rsid w:val="006A5B1C"/>
    <w:rsid w:val="006A5DA6"/>
    <w:rsid w:val="006A7C98"/>
    <w:rsid w:val="006B2DF0"/>
    <w:rsid w:val="006B3419"/>
    <w:rsid w:val="006B3CD7"/>
    <w:rsid w:val="006B4DE5"/>
    <w:rsid w:val="006B74C4"/>
    <w:rsid w:val="006B7A6A"/>
    <w:rsid w:val="006C21BA"/>
    <w:rsid w:val="006C3164"/>
    <w:rsid w:val="006C3892"/>
    <w:rsid w:val="006C573B"/>
    <w:rsid w:val="006C59BE"/>
    <w:rsid w:val="006C6FDE"/>
    <w:rsid w:val="006D1348"/>
    <w:rsid w:val="006D1B31"/>
    <w:rsid w:val="006D1CE1"/>
    <w:rsid w:val="006D456D"/>
    <w:rsid w:val="006D4A7B"/>
    <w:rsid w:val="006D50AD"/>
    <w:rsid w:val="006E1F63"/>
    <w:rsid w:val="006E372E"/>
    <w:rsid w:val="006E55A1"/>
    <w:rsid w:val="006E6DA2"/>
    <w:rsid w:val="006F0166"/>
    <w:rsid w:val="006F3EA5"/>
    <w:rsid w:val="006F47FB"/>
    <w:rsid w:val="006F4A8D"/>
    <w:rsid w:val="006F6100"/>
    <w:rsid w:val="006F6383"/>
    <w:rsid w:val="00701B29"/>
    <w:rsid w:val="00703B92"/>
    <w:rsid w:val="00704D91"/>
    <w:rsid w:val="007106D5"/>
    <w:rsid w:val="007128FC"/>
    <w:rsid w:val="00715149"/>
    <w:rsid w:val="0071524C"/>
    <w:rsid w:val="00717692"/>
    <w:rsid w:val="00717A40"/>
    <w:rsid w:val="00717BF3"/>
    <w:rsid w:val="007203B0"/>
    <w:rsid w:val="007204C1"/>
    <w:rsid w:val="00721D0A"/>
    <w:rsid w:val="007225B9"/>
    <w:rsid w:val="00724637"/>
    <w:rsid w:val="00724995"/>
    <w:rsid w:val="00724F1D"/>
    <w:rsid w:val="00726EB8"/>
    <w:rsid w:val="00727D0D"/>
    <w:rsid w:val="00727D6C"/>
    <w:rsid w:val="0073085E"/>
    <w:rsid w:val="0073096D"/>
    <w:rsid w:val="007339EF"/>
    <w:rsid w:val="007365F2"/>
    <w:rsid w:val="007408FC"/>
    <w:rsid w:val="00745AC5"/>
    <w:rsid w:val="00746B63"/>
    <w:rsid w:val="007472D1"/>
    <w:rsid w:val="007527D3"/>
    <w:rsid w:val="00752A72"/>
    <w:rsid w:val="0075464A"/>
    <w:rsid w:val="00756196"/>
    <w:rsid w:val="00756A7D"/>
    <w:rsid w:val="0076278C"/>
    <w:rsid w:val="00762C7D"/>
    <w:rsid w:val="00763578"/>
    <w:rsid w:val="00763668"/>
    <w:rsid w:val="0076430B"/>
    <w:rsid w:val="00764602"/>
    <w:rsid w:val="0076523A"/>
    <w:rsid w:val="007658E7"/>
    <w:rsid w:val="00767192"/>
    <w:rsid w:val="00767542"/>
    <w:rsid w:val="0077349B"/>
    <w:rsid w:val="00777545"/>
    <w:rsid w:val="007839AC"/>
    <w:rsid w:val="00785291"/>
    <w:rsid w:val="00787907"/>
    <w:rsid w:val="007908C4"/>
    <w:rsid w:val="00790BC6"/>
    <w:rsid w:val="0079221B"/>
    <w:rsid w:val="00793FAE"/>
    <w:rsid w:val="0079506C"/>
    <w:rsid w:val="00795533"/>
    <w:rsid w:val="007965C8"/>
    <w:rsid w:val="007A1A00"/>
    <w:rsid w:val="007A2B56"/>
    <w:rsid w:val="007A4213"/>
    <w:rsid w:val="007A45CB"/>
    <w:rsid w:val="007A7166"/>
    <w:rsid w:val="007B038B"/>
    <w:rsid w:val="007B335D"/>
    <w:rsid w:val="007B4E1B"/>
    <w:rsid w:val="007B57E0"/>
    <w:rsid w:val="007C14C2"/>
    <w:rsid w:val="007C1FAE"/>
    <w:rsid w:val="007C31FC"/>
    <w:rsid w:val="007C5EB1"/>
    <w:rsid w:val="007C769A"/>
    <w:rsid w:val="007D1FE3"/>
    <w:rsid w:val="007D4901"/>
    <w:rsid w:val="007D5236"/>
    <w:rsid w:val="007D55F2"/>
    <w:rsid w:val="007D5EA7"/>
    <w:rsid w:val="007E163F"/>
    <w:rsid w:val="007E1A68"/>
    <w:rsid w:val="007E519A"/>
    <w:rsid w:val="007E5552"/>
    <w:rsid w:val="007E7BE7"/>
    <w:rsid w:val="007F14D9"/>
    <w:rsid w:val="007F74BB"/>
    <w:rsid w:val="00802966"/>
    <w:rsid w:val="008044C6"/>
    <w:rsid w:val="0080471E"/>
    <w:rsid w:val="00805910"/>
    <w:rsid w:val="0080637D"/>
    <w:rsid w:val="0080669E"/>
    <w:rsid w:val="00807D3B"/>
    <w:rsid w:val="00807F0E"/>
    <w:rsid w:val="0081033E"/>
    <w:rsid w:val="00816425"/>
    <w:rsid w:val="008218B7"/>
    <w:rsid w:val="00822534"/>
    <w:rsid w:val="00824A4F"/>
    <w:rsid w:val="00826232"/>
    <w:rsid w:val="00827B03"/>
    <w:rsid w:val="00827CEB"/>
    <w:rsid w:val="008300D3"/>
    <w:rsid w:val="0083022C"/>
    <w:rsid w:val="00830373"/>
    <w:rsid w:val="00830FC0"/>
    <w:rsid w:val="0083581B"/>
    <w:rsid w:val="008421C2"/>
    <w:rsid w:val="00842D8B"/>
    <w:rsid w:val="0084457D"/>
    <w:rsid w:val="00845905"/>
    <w:rsid w:val="0084641A"/>
    <w:rsid w:val="008508F7"/>
    <w:rsid w:val="00850B49"/>
    <w:rsid w:val="008510B5"/>
    <w:rsid w:val="008515E4"/>
    <w:rsid w:val="00851C8F"/>
    <w:rsid w:val="0085332B"/>
    <w:rsid w:val="00853966"/>
    <w:rsid w:val="008541BA"/>
    <w:rsid w:val="00854A5C"/>
    <w:rsid w:val="0085701B"/>
    <w:rsid w:val="00860C96"/>
    <w:rsid w:val="00861A08"/>
    <w:rsid w:val="00861A89"/>
    <w:rsid w:val="00864B63"/>
    <w:rsid w:val="00864C8E"/>
    <w:rsid w:val="008650CB"/>
    <w:rsid w:val="00866A2E"/>
    <w:rsid w:val="00873081"/>
    <w:rsid w:val="008767B3"/>
    <w:rsid w:val="0088025F"/>
    <w:rsid w:val="0088149D"/>
    <w:rsid w:val="00881808"/>
    <w:rsid w:val="00882166"/>
    <w:rsid w:val="0088339E"/>
    <w:rsid w:val="00883460"/>
    <w:rsid w:val="0088404C"/>
    <w:rsid w:val="00887BCF"/>
    <w:rsid w:val="00891286"/>
    <w:rsid w:val="00893F78"/>
    <w:rsid w:val="00895B83"/>
    <w:rsid w:val="00896279"/>
    <w:rsid w:val="008A1E0E"/>
    <w:rsid w:val="008A20A3"/>
    <w:rsid w:val="008A29E4"/>
    <w:rsid w:val="008A357A"/>
    <w:rsid w:val="008A7269"/>
    <w:rsid w:val="008B09D4"/>
    <w:rsid w:val="008B15C0"/>
    <w:rsid w:val="008B3B23"/>
    <w:rsid w:val="008B4E98"/>
    <w:rsid w:val="008B603B"/>
    <w:rsid w:val="008B6B93"/>
    <w:rsid w:val="008B7664"/>
    <w:rsid w:val="008C2E63"/>
    <w:rsid w:val="008C4122"/>
    <w:rsid w:val="008C5D53"/>
    <w:rsid w:val="008C67E4"/>
    <w:rsid w:val="008D08DC"/>
    <w:rsid w:val="008D177A"/>
    <w:rsid w:val="008D57B1"/>
    <w:rsid w:val="008D6625"/>
    <w:rsid w:val="008D6B08"/>
    <w:rsid w:val="008D7353"/>
    <w:rsid w:val="008D73CF"/>
    <w:rsid w:val="008E16AD"/>
    <w:rsid w:val="008E48BE"/>
    <w:rsid w:val="008E73BF"/>
    <w:rsid w:val="008F2385"/>
    <w:rsid w:val="008F28E4"/>
    <w:rsid w:val="008F521D"/>
    <w:rsid w:val="00902081"/>
    <w:rsid w:val="00903E31"/>
    <w:rsid w:val="00905009"/>
    <w:rsid w:val="00905014"/>
    <w:rsid w:val="00906512"/>
    <w:rsid w:val="00906D7D"/>
    <w:rsid w:val="009106A3"/>
    <w:rsid w:val="00915AFE"/>
    <w:rsid w:val="0091649E"/>
    <w:rsid w:val="00916DB8"/>
    <w:rsid w:val="0091755D"/>
    <w:rsid w:val="00921417"/>
    <w:rsid w:val="00921DF6"/>
    <w:rsid w:val="009220C6"/>
    <w:rsid w:val="00922237"/>
    <w:rsid w:val="00925994"/>
    <w:rsid w:val="00931C08"/>
    <w:rsid w:val="009322B9"/>
    <w:rsid w:val="009323C0"/>
    <w:rsid w:val="00932773"/>
    <w:rsid w:val="00932A70"/>
    <w:rsid w:val="00933A74"/>
    <w:rsid w:val="00934C42"/>
    <w:rsid w:val="00935D56"/>
    <w:rsid w:val="00942E12"/>
    <w:rsid w:val="0094511D"/>
    <w:rsid w:val="00947D2F"/>
    <w:rsid w:val="00953AFE"/>
    <w:rsid w:val="00953D1F"/>
    <w:rsid w:val="00957505"/>
    <w:rsid w:val="009613EB"/>
    <w:rsid w:val="00964284"/>
    <w:rsid w:val="00966798"/>
    <w:rsid w:val="009678C4"/>
    <w:rsid w:val="00970817"/>
    <w:rsid w:val="00970A03"/>
    <w:rsid w:val="00971B09"/>
    <w:rsid w:val="00971DAD"/>
    <w:rsid w:val="00975523"/>
    <w:rsid w:val="00976CB9"/>
    <w:rsid w:val="00977813"/>
    <w:rsid w:val="009803AF"/>
    <w:rsid w:val="00981574"/>
    <w:rsid w:val="00984B21"/>
    <w:rsid w:val="00993DB2"/>
    <w:rsid w:val="00995E1C"/>
    <w:rsid w:val="00996E4A"/>
    <w:rsid w:val="009A09AD"/>
    <w:rsid w:val="009A17F3"/>
    <w:rsid w:val="009A24B6"/>
    <w:rsid w:val="009A5464"/>
    <w:rsid w:val="009A54E5"/>
    <w:rsid w:val="009B0801"/>
    <w:rsid w:val="009B5C91"/>
    <w:rsid w:val="009C09E7"/>
    <w:rsid w:val="009C2452"/>
    <w:rsid w:val="009C4ACD"/>
    <w:rsid w:val="009C52F8"/>
    <w:rsid w:val="009C7B94"/>
    <w:rsid w:val="009D0806"/>
    <w:rsid w:val="009D0A34"/>
    <w:rsid w:val="009D2091"/>
    <w:rsid w:val="009D26CC"/>
    <w:rsid w:val="009D58F1"/>
    <w:rsid w:val="009D61A8"/>
    <w:rsid w:val="009E08B9"/>
    <w:rsid w:val="009E0B72"/>
    <w:rsid w:val="009E17B0"/>
    <w:rsid w:val="009E287B"/>
    <w:rsid w:val="009E4DE3"/>
    <w:rsid w:val="009E7E28"/>
    <w:rsid w:val="009F011E"/>
    <w:rsid w:val="009F15BC"/>
    <w:rsid w:val="009F4F08"/>
    <w:rsid w:val="009F52CE"/>
    <w:rsid w:val="009F66B3"/>
    <w:rsid w:val="00A00199"/>
    <w:rsid w:val="00A00E93"/>
    <w:rsid w:val="00A02822"/>
    <w:rsid w:val="00A064C2"/>
    <w:rsid w:val="00A078DA"/>
    <w:rsid w:val="00A12062"/>
    <w:rsid w:val="00A12B67"/>
    <w:rsid w:val="00A20532"/>
    <w:rsid w:val="00A20892"/>
    <w:rsid w:val="00A23770"/>
    <w:rsid w:val="00A301D7"/>
    <w:rsid w:val="00A31D1F"/>
    <w:rsid w:val="00A3365B"/>
    <w:rsid w:val="00A34FC7"/>
    <w:rsid w:val="00A35015"/>
    <w:rsid w:val="00A359B3"/>
    <w:rsid w:val="00A40F4A"/>
    <w:rsid w:val="00A42B5A"/>
    <w:rsid w:val="00A42C04"/>
    <w:rsid w:val="00A42D72"/>
    <w:rsid w:val="00A43D00"/>
    <w:rsid w:val="00A46616"/>
    <w:rsid w:val="00A46BBF"/>
    <w:rsid w:val="00A5050C"/>
    <w:rsid w:val="00A555BB"/>
    <w:rsid w:val="00A60BA7"/>
    <w:rsid w:val="00A60BED"/>
    <w:rsid w:val="00A62402"/>
    <w:rsid w:val="00A6331C"/>
    <w:rsid w:val="00A65987"/>
    <w:rsid w:val="00A70E91"/>
    <w:rsid w:val="00A71E6B"/>
    <w:rsid w:val="00A7377D"/>
    <w:rsid w:val="00A73E4F"/>
    <w:rsid w:val="00A74A2E"/>
    <w:rsid w:val="00A74CC1"/>
    <w:rsid w:val="00A7628A"/>
    <w:rsid w:val="00A81ED4"/>
    <w:rsid w:val="00A84355"/>
    <w:rsid w:val="00A844F3"/>
    <w:rsid w:val="00A8619C"/>
    <w:rsid w:val="00A87ED1"/>
    <w:rsid w:val="00A90185"/>
    <w:rsid w:val="00A9638B"/>
    <w:rsid w:val="00A97A6F"/>
    <w:rsid w:val="00AA07FE"/>
    <w:rsid w:val="00AA25C9"/>
    <w:rsid w:val="00AA2962"/>
    <w:rsid w:val="00AA3CEE"/>
    <w:rsid w:val="00AB050C"/>
    <w:rsid w:val="00AB28BA"/>
    <w:rsid w:val="00AB3CC8"/>
    <w:rsid w:val="00AB664E"/>
    <w:rsid w:val="00AB688F"/>
    <w:rsid w:val="00AC18B9"/>
    <w:rsid w:val="00AC22D8"/>
    <w:rsid w:val="00AC341B"/>
    <w:rsid w:val="00AC44E8"/>
    <w:rsid w:val="00AC5E4F"/>
    <w:rsid w:val="00AD1C5E"/>
    <w:rsid w:val="00AD270F"/>
    <w:rsid w:val="00AD4B32"/>
    <w:rsid w:val="00AE02EC"/>
    <w:rsid w:val="00AE1EDD"/>
    <w:rsid w:val="00AE5989"/>
    <w:rsid w:val="00AE6632"/>
    <w:rsid w:val="00AE7F96"/>
    <w:rsid w:val="00AF1273"/>
    <w:rsid w:val="00AF1E43"/>
    <w:rsid w:val="00AF59B1"/>
    <w:rsid w:val="00AF5B6D"/>
    <w:rsid w:val="00B0427B"/>
    <w:rsid w:val="00B068C2"/>
    <w:rsid w:val="00B0721D"/>
    <w:rsid w:val="00B11341"/>
    <w:rsid w:val="00B1183D"/>
    <w:rsid w:val="00B138D1"/>
    <w:rsid w:val="00B13C23"/>
    <w:rsid w:val="00B13D22"/>
    <w:rsid w:val="00B140C6"/>
    <w:rsid w:val="00B1418A"/>
    <w:rsid w:val="00B224EF"/>
    <w:rsid w:val="00B2526E"/>
    <w:rsid w:val="00B25B39"/>
    <w:rsid w:val="00B25F4E"/>
    <w:rsid w:val="00B27C20"/>
    <w:rsid w:val="00B3056F"/>
    <w:rsid w:val="00B346C6"/>
    <w:rsid w:val="00B37A81"/>
    <w:rsid w:val="00B416CB"/>
    <w:rsid w:val="00B45962"/>
    <w:rsid w:val="00B46206"/>
    <w:rsid w:val="00B47EB1"/>
    <w:rsid w:val="00B506AC"/>
    <w:rsid w:val="00B52FFF"/>
    <w:rsid w:val="00B54A84"/>
    <w:rsid w:val="00B63F61"/>
    <w:rsid w:val="00B64E6D"/>
    <w:rsid w:val="00B6598A"/>
    <w:rsid w:val="00B66BA5"/>
    <w:rsid w:val="00B67345"/>
    <w:rsid w:val="00B7140D"/>
    <w:rsid w:val="00B72994"/>
    <w:rsid w:val="00B743D1"/>
    <w:rsid w:val="00B75C8A"/>
    <w:rsid w:val="00B806CA"/>
    <w:rsid w:val="00B824A4"/>
    <w:rsid w:val="00B84699"/>
    <w:rsid w:val="00B848EC"/>
    <w:rsid w:val="00B84F8D"/>
    <w:rsid w:val="00B8682D"/>
    <w:rsid w:val="00B8764A"/>
    <w:rsid w:val="00B96C40"/>
    <w:rsid w:val="00BA59E4"/>
    <w:rsid w:val="00BB4D35"/>
    <w:rsid w:val="00BB7BB0"/>
    <w:rsid w:val="00BC25FF"/>
    <w:rsid w:val="00BC30EC"/>
    <w:rsid w:val="00BC4F98"/>
    <w:rsid w:val="00BC658E"/>
    <w:rsid w:val="00BD20B9"/>
    <w:rsid w:val="00BD3A79"/>
    <w:rsid w:val="00BD69FB"/>
    <w:rsid w:val="00BD7800"/>
    <w:rsid w:val="00BD7924"/>
    <w:rsid w:val="00BD7A96"/>
    <w:rsid w:val="00BE155F"/>
    <w:rsid w:val="00BE283B"/>
    <w:rsid w:val="00BE2BA5"/>
    <w:rsid w:val="00BE3030"/>
    <w:rsid w:val="00BE457B"/>
    <w:rsid w:val="00BE4FDA"/>
    <w:rsid w:val="00BE501B"/>
    <w:rsid w:val="00BE72BB"/>
    <w:rsid w:val="00BF130E"/>
    <w:rsid w:val="00BF23B7"/>
    <w:rsid w:val="00BF4127"/>
    <w:rsid w:val="00BF52F9"/>
    <w:rsid w:val="00BF703D"/>
    <w:rsid w:val="00C03484"/>
    <w:rsid w:val="00C03E02"/>
    <w:rsid w:val="00C05F7A"/>
    <w:rsid w:val="00C064D2"/>
    <w:rsid w:val="00C104E0"/>
    <w:rsid w:val="00C138DB"/>
    <w:rsid w:val="00C149E8"/>
    <w:rsid w:val="00C14E92"/>
    <w:rsid w:val="00C15ACF"/>
    <w:rsid w:val="00C17083"/>
    <w:rsid w:val="00C174A4"/>
    <w:rsid w:val="00C17E19"/>
    <w:rsid w:val="00C23169"/>
    <w:rsid w:val="00C23A71"/>
    <w:rsid w:val="00C242A5"/>
    <w:rsid w:val="00C25469"/>
    <w:rsid w:val="00C277E5"/>
    <w:rsid w:val="00C305AF"/>
    <w:rsid w:val="00C31630"/>
    <w:rsid w:val="00C31A14"/>
    <w:rsid w:val="00C338C0"/>
    <w:rsid w:val="00C35CF9"/>
    <w:rsid w:val="00C36AC8"/>
    <w:rsid w:val="00C37EF2"/>
    <w:rsid w:val="00C40740"/>
    <w:rsid w:val="00C41AEE"/>
    <w:rsid w:val="00C50B9C"/>
    <w:rsid w:val="00C52D6C"/>
    <w:rsid w:val="00C550B9"/>
    <w:rsid w:val="00C554EE"/>
    <w:rsid w:val="00C6152B"/>
    <w:rsid w:val="00C61FD0"/>
    <w:rsid w:val="00C654A7"/>
    <w:rsid w:val="00C667CA"/>
    <w:rsid w:val="00C72616"/>
    <w:rsid w:val="00C72B75"/>
    <w:rsid w:val="00C73ABD"/>
    <w:rsid w:val="00C73B2E"/>
    <w:rsid w:val="00C76C3B"/>
    <w:rsid w:val="00C83F34"/>
    <w:rsid w:val="00C84DEF"/>
    <w:rsid w:val="00C946B3"/>
    <w:rsid w:val="00C97D33"/>
    <w:rsid w:val="00C97E5C"/>
    <w:rsid w:val="00CA2CF5"/>
    <w:rsid w:val="00CA388F"/>
    <w:rsid w:val="00CA6E5C"/>
    <w:rsid w:val="00CB18EA"/>
    <w:rsid w:val="00CC004D"/>
    <w:rsid w:val="00CC1386"/>
    <w:rsid w:val="00CC2EE8"/>
    <w:rsid w:val="00CC69B6"/>
    <w:rsid w:val="00CC6FEA"/>
    <w:rsid w:val="00CC7727"/>
    <w:rsid w:val="00CD0692"/>
    <w:rsid w:val="00CD12A9"/>
    <w:rsid w:val="00CD3BEA"/>
    <w:rsid w:val="00CD4EE7"/>
    <w:rsid w:val="00CD5456"/>
    <w:rsid w:val="00CE1C96"/>
    <w:rsid w:val="00CE271D"/>
    <w:rsid w:val="00CE6523"/>
    <w:rsid w:val="00CE6A29"/>
    <w:rsid w:val="00CF1D27"/>
    <w:rsid w:val="00CF21BC"/>
    <w:rsid w:val="00CF536E"/>
    <w:rsid w:val="00CF5DE5"/>
    <w:rsid w:val="00CF7634"/>
    <w:rsid w:val="00CF7D32"/>
    <w:rsid w:val="00D00593"/>
    <w:rsid w:val="00D012C0"/>
    <w:rsid w:val="00D04806"/>
    <w:rsid w:val="00D04A69"/>
    <w:rsid w:val="00D0789C"/>
    <w:rsid w:val="00D10045"/>
    <w:rsid w:val="00D11272"/>
    <w:rsid w:val="00D12EA3"/>
    <w:rsid w:val="00D14923"/>
    <w:rsid w:val="00D17B88"/>
    <w:rsid w:val="00D206DC"/>
    <w:rsid w:val="00D20FA3"/>
    <w:rsid w:val="00D227A4"/>
    <w:rsid w:val="00D27C9D"/>
    <w:rsid w:val="00D30A73"/>
    <w:rsid w:val="00D31A4B"/>
    <w:rsid w:val="00D321C2"/>
    <w:rsid w:val="00D325BB"/>
    <w:rsid w:val="00D3277B"/>
    <w:rsid w:val="00D34ABF"/>
    <w:rsid w:val="00D423F5"/>
    <w:rsid w:val="00D42BED"/>
    <w:rsid w:val="00D42D2B"/>
    <w:rsid w:val="00D44EB8"/>
    <w:rsid w:val="00D45F43"/>
    <w:rsid w:val="00D46323"/>
    <w:rsid w:val="00D47AD9"/>
    <w:rsid w:val="00D518D6"/>
    <w:rsid w:val="00D535B6"/>
    <w:rsid w:val="00D5667C"/>
    <w:rsid w:val="00D56FCD"/>
    <w:rsid w:val="00D57435"/>
    <w:rsid w:val="00D578F0"/>
    <w:rsid w:val="00D607D0"/>
    <w:rsid w:val="00D60C68"/>
    <w:rsid w:val="00D611A8"/>
    <w:rsid w:val="00D633A7"/>
    <w:rsid w:val="00D656EF"/>
    <w:rsid w:val="00D65FDB"/>
    <w:rsid w:val="00D66B8E"/>
    <w:rsid w:val="00D66F7E"/>
    <w:rsid w:val="00D71007"/>
    <w:rsid w:val="00D71699"/>
    <w:rsid w:val="00D73016"/>
    <w:rsid w:val="00D76474"/>
    <w:rsid w:val="00D83EA6"/>
    <w:rsid w:val="00D87DA1"/>
    <w:rsid w:val="00D92920"/>
    <w:rsid w:val="00D9343A"/>
    <w:rsid w:val="00D95418"/>
    <w:rsid w:val="00D968A0"/>
    <w:rsid w:val="00D96FDA"/>
    <w:rsid w:val="00D978C4"/>
    <w:rsid w:val="00DA3D06"/>
    <w:rsid w:val="00DA6291"/>
    <w:rsid w:val="00DA629E"/>
    <w:rsid w:val="00DA6710"/>
    <w:rsid w:val="00DA6E76"/>
    <w:rsid w:val="00DB04E7"/>
    <w:rsid w:val="00DB058F"/>
    <w:rsid w:val="00DB1263"/>
    <w:rsid w:val="00DB2D59"/>
    <w:rsid w:val="00DC239A"/>
    <w:rsid w:val="00DC2575"/>
    <w:rsid w:val="00DC58A8"/>
    <w:rsid w:val="00DC6FD3"/>
    <w:rsid w:val="00DC74D0"/>
    <w:rsid w:val="00DD1816"/>
    <w:rsid w:val="00DD28D1"/>
    <w:rsid w:val="00DD3BD7"/>
    <w:rsid w:val="00DE0A6F"/>
    <w:rsid w:val="00DE13AF"/>
    <w:rsid w:val="00DE2E7A"/>
    <w:rsid w:val="00DF0373"/>
    <w:rsid w:val="00DF068F"/>
    <w:rsid w:val="00DF07AD"/>
    <w:rsid w:val="00DF1748"/>
    <w:rsid w:val="00DF1A1B"/>
    <w:rsid w:val="00DF44EB"/>
    <w:rsid w:val="00DF6A91"/>
    <w:rsid w:val="00E001B1"/>
    <w:rsid w:val="00E00B53"/>
    <w:rsid w:val="00E013A1"/>
    <w:rsid w:val="00E018E3"/>
    <w:rsid w:val="00E04C65"/>
    <w:rsid w:val="00E07A2A"/>
    <w:rsid w:val="00E07C4A"/>
    <w:rsid w:val="00E1054F"/>
    <w:rsid w:val="00E12C10"/>
    <w:rsid w:val="00E16000"/>
    <w:rsid w:val="00E1722D"/>
    <w:rsid w:val="00E1769A"/>
    <w:rsid w:val="00E22332"/>
    <w:rsid w:val="00E232FF"/>
    <w:rsid w:val="00E23A8A"/>
    <w:rsid w:val="00E23E31"/>
    <w:rsid w:val="00E27AB1"/>
    <w:rsid w:val="00E31306"/>
    <w:rsid w:val="00E318DA"/>
    <w:rsid w:val="00E33D8A"/>
    <w:rsid w:val="00E345E9"/>
    <w:rsid w:val="00E3462D"/>
    <w:rsid w:val="00E3530E"/>
    <w:rsid w:val="00E411D6"/>
    <w:rsid w:val="00E41FD3"/>
    <w:rsid w:val="00E4254E"/>
    <w:rsid w:val="00E43952"/>
    <w:rsid w:val="00E44DED"/>
    <w:rsid w:val="00E46D07"/>
    <w:rsid w:val="00E47921"/>
    <w:rsid w:val="00E505D3"/>
    <w:rsid w:val="00E5167E"/>
    <w:rsid w:val="00E52BC4"/>
    <w:rsid w:val="00E53E28"/>
    <w:rsid w:val="00E53E65"/>
    <w:rsid w:val="00E5643D"/>
    <w:rsid w:val="00E572E3"/>
    <w:rsid w:val="00E574F0"/>
    <w:rsid w:val="00E601A8"/>
    <w:rsid w:val="00E608C6"/>
    <w:rsid w:val="00E63148"/>
    <w:rsid w:val="00E6560E"/>
    <w:rsid w:val="00E70157"/>
    <w:rsid w:val="00E71C3D"/>
    <w:rsid w:val="00E73402"/>
    <w:rsid w:val="00E8184B"/>
    <w:rsid w:val="00E858E2"/>
    <w:rsid w:val="00E91E42"/>
    <w:rsid w:val="00E92905"/>
    <w:rsid w:val="00E92E29"/>
    <w:rsid w:val="00E93ADE"/>
    <w:rsid w:val="00EA111D"/>
    <w:rsid w:val="00EA26CC"/>
    <w:rsid w:val="00EB208F"/>
    <w:rsid w:val="00EB2AA9"/>
    <w:rsid w:val="00EB4CCA"/>
    <w:rsid w:val="00EB7346"/>
    <w:rsid w:val="00EC0282"/>
    <w:rsid w:val="00EC5840"/>
    <w:rsid w:val="00EC677A"/>
    <w:rsid w:val="00ED0528"/>
    <w:rsid w:val="00ED4AE0"/>
    <w:rsid w:val="00ED526C"/>
    <w:rsid w:val="00ED53D1"/>
    <w:rsid w:val="00ED69D6"/>
    <w:rsid w:val="00EE03A7"/>
    <w:rsid w:val="00EE0C9A"/>
    <w:rsid w:val="00EE3F12"/>
    <w:rsid w:val="00EE5D3C"/>
    <w:rsid w:val="00EE6AF2"/>
    <w:rsid w:val="00EF03D4"/>
    <w:rsid w:val="00EF2632"/>
    <w:rsid w:val="00EF3ABA"/>
    <w:rsid w:val="00EF4E32"/>
    <w:rsid w:val="00EF736A"/>
    <w:rsid w:val="00EF7880"/>
    <w:rsid w:val="00F00EA6"/>
    <w:rsid w:val="00F0110D"/>
    <w:rsid w:val="00F024D7"/>
    <w:rsid w:val="00F05564"/>
    <w:rsid w:val="00F06497"/>
    <w:rsid w:val="00F076A2"/>
    <w:rsid w:val="00F07FC7"/>
    <w:rsid w:val="00F11A64"/>
    <w:rsid w:val="00F140ED"/>
    <w:rsid w:val="00F177ED"/>
    <w:rsid w:val="00F2087B"/>
    <w:rsid w:val="00F23021"/>
    <w:rsid w:val="00F305E3"/>
    <w:rsid w:val="00F30A12"/>
    <w:rsid w:val="00F31EC5"/>
    <w:rsid w:val="00F31F96"/>
    <w:rsid w:val="00F34E27"/>
    <w:rsid w:val="00F36CAF"/>
    <w:rsid w:val="00F41612"/>
    <w:rsid w:val="00F418EB"/>
    <w:rsid w:val="00F43019"/>
    <w:rsid w:val="00F44458"/>
    <w:rsid w:val="00F46F07"/>
    <w:rsid w:val="00F4796D"/>
    <w:rsid w:val="00F479F7"/>
    <w:rsid w:val="00F50562"/>
    <w:rsid w:val="00F52D9E"/>
    <w:rsid w:val="00F578BD"/>
    <w:rsid w:val="00F63DD2"/>
    <w:rsid w:val="00F65D8A"/>
    <w:rsid w:val="00F67FB9"/>
    <w:rsid w:val="00F71F98"/>
    <w:rsid w:val="00F7323C"/>
    <w:rsid w:val="00F764BE"/>
    <w:rsid w:val="00F8019B"/>
    <w:rsid w:val="00F81463"/>
    <w:rsid w:val="00F81B25"/>
    <w:rsid w:val="00F84067"/>
    <w:rsid w:val="00F84A2E"/>
    <w:rsid w:val="00F86597"/>
    <w:rsid w:val="00F90A3B"/>
    <w:rsid w:val="00F92F70"/>
    <w:rsid w:val="00F9379B"/>
    <w:rsid w:val="00F947A0"/>
    <w:rsid w:val="00F9671A"/>
    <w:rsid w:val="00F96DB5"/>
    <w:rsid w:val="00FA0567"/>
    <w:rsid w:val="00FA17F2"/>
    <w:rsid w:val="00FA25FC"/>
    <w:rsid w:val="00FB0AAD"/>
    <w:rsid w:val="00FB2952"/>
    <w:rsid w:val="00FB49D0"/>
    <w:rsid w:val="00FB4ACA"/>
    <w:rsid w:val="00FB677D"/>
    <w:rsid w:val="00FC1D65"/>
    <w:rsid w:val="00FC2282"/>
    <w:rsid w:val="00FC3118"/>
    <w:rsid w:val="00FC6521"/>
    <w:rsid w:val="00FD0BF8"/>
    <w:rsid w:val="00FD0CB0"/>
    <w:rsid w:val="00FD6610"/>
    <w:rsid w:val="00FE2A7B"/>
    <w:rsid w:val="00FE468A"/>
    <w:rsid w:val="00FE6AA4"/>
    <w:rsid w:val="00FE7C9D"/>
    <w:rsid w:val="00FF1D6E"/>
    <w:rsid w:val="00FF4929"/>
    <w:rsid w:val="00FF6EED"/>
    <w:rsid w:val="00FF6F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B9CC8"/>
  <w14:defaultImageDpi w14:val="32767"/>
  <w15:chartTrackingRefBased/>
  <w15:docId w15:val="{61143B82-B9A7-DB4E-A140-F853E556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E4"/>
    <w:pPr>
      <w:spacing w:after="120" w:line="276" w:lineRule="auto"/>
    </w:pPr>
    <w:rPr>
      <w:rFonts w:ascii="Arial" w:hAnsi="Arial" w:cs="Arial"/>
      <w:sz w:val="22"/>
      <w:szCs w:val="22"/>
      <w:lang w:val="en-AU"/>
    </w:rPr>
  </w:style>
  <w:style w:type="paragraph" w:styleId="Heading1">
    <w:name w:val="heading 1"/>
    <w:basedOn w:val="Normal"/>
    <w:next w:val="Normal"/>
    <w:link w:val="Heading1Char"/>
    <w:uiPriority w:val="9"/>
    <w:qFormat/>
    <w:rsid w:val="009C2452"/>
    <w:pPr>
      <w:spacing w:before="240" w:after="240"/>
      <w:outlineLvl w:val="0"/>
    </w:pPr>
    <w:rPr>
      <w:b/>
      <w:bCs/>
      <w:color w:val="13415A"/>
      <w:sz w:val="36"/>
      <w:szCs w:val="36"/>
    </w:rPr>
  </w:style>
  <w:style w:type="paragraph" w:styleId="Heading2">
    <w:name w:val="heading 2"/>
    <w:basedOn w:val="Normal"/>
    <w:next w:val="Normal"/>
    <w:link w:val="Heading2Char"/>
    <w:uiPriority w:val="9"/>
    <w:unhideWhenUsed/>
    <w:qFormat/>
    <w:rsid w:val="00AA25C9"/>
    <w:pPr>
      <w:spacing w:before="240" w:after="60"/>
      <w:outlineLvl w:val="1"/>
    </w:pPr>
    <w:rPr>
      <w:b/>
      <w:bCs/>
      <w:color w:val="262626" w:themeColor="text1" w:themeTint="D9"/>
      <w:sz w:val="24"/>
      <w:szCs w:val="24"/>
    </w:rPr>
  </w:style>
  <w:style w:type="paragraph" w:styleId="Heading3">
    <w:name w:val="heading 3"/>
    <w:basedOn w:val="Heading2"/>
    <w:next w:val="Normal"/>
    <w:link w:val="Heading3Char"/>
    <w:uiPriority w:val="9"/>
    <w:unhideWhenUsed/>
    <w:qFormat/>
    <w:rsid w:val="00A87ED1"/>
    <w:pPr>
      <w:outlineLvl w:val="2"/>
    </w:pPr>
    <w:rPr>
      <w:color w:val="14726D"/>
    </w:rPr>
  </w:style>
  <w:style w:type="paragraph" w:styleId="Heading4">
    <w:name w:val="heading 4"/>
    <w:basedOn w:val="Heading3"/>
    <w:next w:val="Normal"/>
    <w:link w:val="Heading4Char"/>
    <w:uiPriority w:val="9"/>
    <w:unhideWhenUsed/>
    <w:qFormat/>
    <w:rsid w:val="004A2DAA"/>
    <w:pPr>
      <w:outlineLvl w:val="3"/>
    </w:pPr>
    <w:rPr>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1,Recommendation,List Paragraph1,Bullet point,CV text,Dot pt,F5 List Paragraph,FooterText,L,List Paragraph111,List Paragraph2,Medium Grid 1 - Accent 21,NFP GP Bulleted List,Numbered Paragraph,numbered,列出段,列出段落"/>
    <w:basedOn w:val="Normal"/>
    <w:link w:val="ListParagraphChar"/>
    <w:uiPriority w:val="34"/>
    <w:qFormat/>
    <w:rsid w:val="006B2DF0"/>
    <w:pPr>
      <w:ind w:left="720"/>
      <w:contextualSpacing/>
    </w:pPr>
  </w:style>
  <w:style w:type="table" w:styleId="TableGrid">
    <w:name w:val="Table Grid"/>
    <w:basedOn w:val="TableNormal"/>
    <w:uiPriority w:val="39"/>
    <w:rsid w:val="006B2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3E31"/>
    <w:pPr>
      <w:tabs>
        <w:tab w:val="center" w:pos="4513"/>
        <w:tab w:val="right" w:pos="9026"/>
      </w:tabs>
    </w:pPr>
  </w:style>
  <w:style w:type="character" w:customStyle="1" w:styleId="HeaderChar">
    <w:name w:val="Header Char"/>
    <w:basedOn w:val="DefaultParagraphFont"/>
    <w:link w:val="Header"/>
    <w:uiPriority w:val="99"/>
    <w:rsid w:val="00903E31"/>
    <w:rPr>
      <w:rFonts w:ascii="Arial" w:hAnsi="Arial"/>
      <w:sz w:val="22"/>
    </w:rPr>
  </w:style>
  <w:style w:type="paragraph" w:styleId="Footer">
    <w:name w:val="footer"/>
    <w:basedOn w:val="Normal"/>
    <w:link w:val="FooterChar"/>
    <w:uiPriority w:val="99"/>
    <w:unhideWhenUsed/>
    <w:rsid w:val="00903E31"/>
    <w:pPr>
      <w:tabs>
        <w:tab w:val="center" w:pos="4513"/>
        <w:tab w:val="right" w:pos="9026"/>
      </w:tabs>
    </w:pPr>
  </w:style>
  <w:style w:type="character" w:customStyle="1" w:styleId="FooterChar">
    <w:name w:val="Footer Char"/>
    <w:basedOn w:val="DefaultParagraphFont"/>
    <w:link w:val="Footer"/>
    <w:uiPriority w:val="99"/>
    <w:rsid w:val="00903E31"/>
    <w:rPr>
      <w:rFonts w:ascii="Arial" w:hAnsi="Arial"/>
      <w:sz w:val="22"/>
    </w:rPr>
  </w:style>
  <w:style w:type="character" w:styleId="PageNumber">
    <w:name w:val="page number"/>
    <w:basedOn w:val="DefaultParagraphFont"/>
    <w:uiPriority w:val="99"/>
    <w:semiHidden/>
    <w:unhideWhenUsed/>
    <w:rsid w:val="00903E31"/>
    <w:rPr>
      <w:rFonts w:ascii="Arial" w:hAnsi="Arial"/>
      <w:sz w:val="22"/>
    </w:rPr>
  </w:style>
  <w:style w:type="paragraph" w:styleId="BalloonText">
    <w:name w:val="Balloon Text"/>
    <w:basedOn w:val="Normal"/>
    <w:link w:val="BalloonTextChar"/>
    <w:uiPriority w:val="99"/>
    <w:semiHidden/>
    <w:unhideWhenUsed/>
    <w:rsid w:val="00E00B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0B5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34915"/>
    <w:rPr>
      <w:rFonts w:ascii="Arial" w:hAnsi="Arial"/>
      <w:sz w:val="16"/>
      <w:szCs w:val="16"/>
    </w:rPr>
  </w:style>
  <w:style w:type="paragraph" w:styleId="CommentText">
    <w:name w:val="annotation text"/>
    <w:basedOn w:val="Normal"/>
    <w:link w:val="CommentTextChar"/>
    <w:uiPriority w:val="99"/>
    <w:unhideWhenUsed/>
    <w:rsid w:val="00534915"/>
    <w:rPr>
      <w:sz w:val="20"/>
      <w:szCs w:val="20"/>
    </w:rPr>
  </w:style>
  <w:style w:type="character" w:customStyle="1" w:styleId="CommentTextChar">
    <w:name w:val="Comment Text Char"/>
    <w:basedOn w:val="DefaultParagraphFont"/>
    <w:link w:val="CommentText"/>
    <w:uiPriority w:val="99"/>
    <w:rsid w:val="0053491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34915"/>
    <w:rPr>
      <w:b/>
      <w:bCs/>
    </w:rPr>
  </w:style>
  <w:style w:type="character" w:customStyle="1" w:styleId="CommentSubjectChar">
    <w:name w:val="Comment Subject Char"/>
    <w:basedOn w:val="CommentTextChar"/>
    <w:link w:val="CommentSubject"/>
    <w:uiPriority w:val="99"/>
    <w:semiHidden/>
    <w:rsid w:val="00534915"/>
    <w:rPr>
      <w:rFonts w:ascii="Arial" w:hAnsi="Arial"/>
      <w:b/>
      <w:bCs/>
      <w:sz w:val="20"/>
      <w:szCs w:val="20"/>
    </w:rPr>
  </w:style>
  <w:style w:type="character" w:customStyle="1" w:styleId="ListParagraphChar">
    <w:name w:val="List Paragraph Char"/>
    <w:aliases w:val="Bullets Char,List Paragraph11 Char,Recommendation Char,List Paragraph1 Char,Bullet point Char,CV text Char,Dot pt Char,F5 List Paragraph Char,FooterText Char,L Char,List Paragraph111 Char,List Paragraph2 Char,Numbered Paragraph Char"/>
    <w:link w:val="ListParagraph"/>
    <w:uiPriority w:val="34"/>
    <w:qFormat/>
    <w:locked/>
    <w:rsid w:val="00F50562"/>
  </w:style>
  <w:style w:type="character" w:customStyle="1" w:styleId="Heading1Char">
    <w:name w:val="Heading 1 Char"/>
    <w:basedOn w:val="DefaultParagraphFont"/>
    <w:link w:val="Heading1"/>
    <w:uiPriority w:val="9"/>
    <w:rsid w:val="009C2452"/>
    <w:rPr>
      <w:rFonts w:ascii="Arial" w:hAnsi="Arial" w:cs="Arial"/>
      <w:b/>
      <w:bCs/>
      <w:color w:val="13415A"/>
      <w:sz w:val="36"/>
      <w:szCs w:val="36"/>
      <w:lang w:val="en-AU"/>
    </w:rPr>
  </w:style>
  <w:style w:type="character" w:customStyle="1" w:styleId="Heading2Char">
    <w:name w:val="Heading 2 Char"/>
    <w:basedOn w:val="DefaultParagraphFont"/>
    <w:link w:val="Heading2"/>
    <w:uiPriority w:val="9"/>
    <w:rsid w:val="00AA25C9"/>
    <w:rPr>
      <w:rFonts w:ascii="Arial" w:hAnsi="Arial" w:cs="Arial"/>
      <w:b/>
      <w:bCs/>
      <w:color w:val="262626" w:themeColor="text1" w:themeTint="D9"/>
      <w:lang w:val="en-AU"/>
    </w:rPr>
  </w:style>
  <w:style w:type="character" w:customStyle="1" w:styleId="Heading3Char">
    <w:name w:val="Heading 3 Char"/>
    <w:basedOn w:val="DefaultParagraphFont"/>
    <w:link w:val="Heading3"/>
    <w:uiPriority w:val="9"/>
    <w:rsid w:val="00A87ED1"/>
    <w:rPr>
      <w:rFonts w:ascii="Arial" w:hAnsi="Arial" w:cs="Arial"/>
      <w:b/>
      <w:bCs/>
      <w:color w:val="14726D"/>
      <w:sz w:val="22"/>
      <w:lang w:val="en-AU"/>
    </w:rPr>
  </w:style>
  <w:style w:type="character" w:customStyle="1" w:styleId="Heading4Char">
    <w:name w:val="Heading 4 Char"/>
    <w:basedOn w:val="DefaultParagraphFont"/>
    <w:link w:val="Heading4"/>
    <w:uiPriority w:val="9"/>
    <w:rsid w:val="004A2DAA"/>
    <w:rPr>
      <w:rFonts w:ascii="Arial" w:hAnsi="Arial" w:cs="Arial"/>
      <w:b/>
      <w:bCs/>
      <w:color w:val="000000" w:themeColor="text1"/>
      <w:sz w:val="22"/>
      <w:szCs w:val="22"/>
      <w:u w:val="single"/>
      <w:lang w:val="en-AU"/>
    </w:rPr>
  </w:style>
  <w:style w:type="character" w:styleId="Hyperlink">
    <w:name w:val="Hyperlink"/>
    <w:basedOn w:val="DefaultParagraphFont"/>
    <w:uiPriority w:val="99"/>
    <w:unhideWhenUsed/>
    <w:rsid w:val="003B77D6"/>
    <w:rPr>
      <w:rFonts w:ascii="Arial" w:hAnsi="Arial"/>
      <w:color w:val="0563C1" w:themeColor="hyperlink"/>
      <w:sz w:val="22"/>
      <w:u w:val="single"/>
    </w:rPr>
  </w:style>
  <w:style w:type="character" w:customStyle="1" w:styleId="UnresolvedMention1">
    <w:name w:val="Unresolved Mention1"/>
    <w:basedOn w:val="DefaultParagraphFont"/>
    <w:uiPriority w:val="99"/>
    <w:rsid w:val="003B77D6"/>
    <w:rPr>
      <w:rFonts w:ascii="Arial" w:hAnsi="Arial"/>
      <w:color w:val="605E5C"/>
      <w:sz w:val="22"/>
      <w:shd w:val="clear" w:color="auto" w:fill="E1DFDD"/>
    </w:rPr>
  </w:style>
  <w:style w:type="character" w:styleId="SubtleEmphasis">
    <w:name w:val="Subtle Emphasis"/>
    <w:aliases w:val="quotes"/>
    <w:basedOn w:val="DefaultParagraphFont"/>
    <w:uiPriority w:val="19"/>
    <w:qFormat/>
    <w:rsid w:val="00FA25FC"/>
    <w:rPr>
      <w:rFonts w:ascii="Arial" w:hAnsi="Arial"/>
      <w:i/>
      <w:iCs/>
      <w:color w:val="13415A"/>
      <w:sz w:val="22"/>
    </w:rPr>
  </w:style>
  <w:style w:type="paragraph" w:styleId="Title">
    <w:name w:val="Title"/>
    <w:basedOn w:val="Normal"/>
    <w:next w:val="Normal"/>
    <w:link w:val="TitleChar"/>
    <w:uiPriority w:val="10"/>
    <w:qFormat/>
    <w:rsid w:val="003077D6"/>
    <w:pPr>
      <w:spacing w:after="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3077D6"/>
    <w:rPr>
      <w:rFonts w:ascii="Arial" w:eastAsiaTheme="majorEastAsia" w:hAnsi="Arial" w:cs="Arial"/>
      <w:spacing w:val="-10"/>
      <w:kern w:val="28"/>
      <w:sz w:val="56"/>
      <w:szCs w:val="56"/>
      <w:lang w:val="en-AU"/>
    </w:rPr>
  </w:style>
  <w:style w:type="paragraph" w:styleId="TOC2">
    <w:name w:val="toc 2"/>
    <w:basedOn w:val="Normal"/>
    <w:next w:val="Normal"/>
    <w:autoRedefine/>
    <w:uiPriority w:val="39"/>
    <w:unhideWhenUsed/>
    <w:rsid w:val="00A71E6B"/>
    <w:pPr>
      <w:spacing w:after="100"/>
      <w:ind w:left="220"/>
    </w:pPr>
  </w:style>
  <w:style w:type="paragraph" w:styleId="TOC1">
    <w:name w:val="toc 1"/>
    <w:basedOn w:val="Normal"/>
    <w:next w:val="Normal"/>
    <w:autoRedefine/>
    <w:uiPriority w:val="39"/>
    <w:unhideWhenUsed/>
    <w:rsid w:val="00A71E6B"/>
    <w:pPr>
      <w:tabs>
        <w:tab w:val="right" w:leader="dot" w:pos="9629"/>
      </w:tabs>
      <w:spacing w:after="100"/>
    </w:pPr>
    <w:rPr>
      <w:b/>
      <w:bCs/>
      <w:noProof/>
    </w:rPr>
  </w:style>
  <w:style w:type="paragraph" w:styleId="Caption">
    <w:name w:val="caption"/>
    <w:basedOn w:val="Normal"/>
    <w:next w:val="Normal"/>
    <w:uiPriority w:val="35"/>
    <w:unhideWhenUsed/>
    <w:qFormat/>
    <w:rsid w:val="002B6A00"/>
    <w:pPr>
      <w:spacing w:after="200" w:line="240" w:lineRule="auto"/>
    </w:pPr>
    <w:rPr>
      <w:i/>
      <w:iCs/>
      <w:color w:val="44546A" w:themeColor="text2"/>
      <w:sz w:val="18"/>
      <w:szCs w:val="18"/>
    </w:rPr>
  </w:style>
  <w:style w:type="character" w:customStyle="1" w:styleId="Mention1">
    <w:name w:val="Mention1"/>
    <w:basedOn w:val="DefaultParagraphFont"/>
    <w:uiPriority w:val="99"/>
    <w:unhideWhenUsed/>
    <w:rsid w:val="00AC22D8"/>
    <w:rPr>
      <w:color w:val="2B579A"/>
      <w:shd w:val="clear" w:color="auto" w:fill="E1DFDD"/>
    </w:rPr>
  </w:style>
  <w:style w:type="character" w:styleId="FollowedHyperlink">
    <w:name w:val="FollowedHyperlink"/>
    <w:basedOn w:val="DefaultParagraphFont"/>
    <w:uiPriority w:val="99"/>
    <w:semiHidden/>
    <w:unhideWhenUsed/>
    <w:rsid w:val="003B7E5A"/>
    <w:rPr>
      <w:color w:val="954F72" w:themeColor="followedHyperlink"/>
      <w:u w:val="single"/>
    </w:rPr>
  </w:style>
  <w:style w:type="paragraph" w:styleId="FootnoteText">
    <w:name w:val="footnote text"/>
    <w:basedOn w:val="Normal"/>
    <w:link w:val="FootnoteTextChar"/>
    <w:uiPriority w:val="99"/>
    <w:semiHidden/>
    <w:unhideWhenUsed/>
    <w:rsid w:val="000605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501"/>
    <w:rPr>
      <w:rFonts w:ascii="Arial" w:hAnsi="Arial" w:cs="Arial"/>
      <w:sz w:val="20"/>
      <w:szCs w:val="20"/>
      <w:lang w:val="en-AU"/>
    </w:rPr>
  </w:style>
  <w:style w:type="character" w:styleId="FootnoteReference">
    <w:name w:val="footnote reference"/>
    <w:basedOn w:val="DefaultParagraphFont"/>
    <w:uiPriority w:val="99"/>
    <w:semiHidden/>
    <w:unhideWhenUsed/>
    <w:rsid w:val="00060501"/>
    <w:rPr>
      <w:vertAlign w:val="superscript"/>
    </w:rPr>
  </w:style>
  <w:style w:type="paragraph" w:styleId="Revision">
    <w:name w:val="Revision"/>
    <w:hidden/>
    <w:uiPriority w:val="99"/>
    <w:semiHidden/>
    <w:rsid w:val="00CF1D27"/>
    <w:rPr>
      <w:rFonts w:ascii="Arial" w:hAnsi="Arial" w:cs="Arial"/>
      <w:sz w:val="22"/>
      <w:szCs w:val="22"/>
      <w:lang w:val="en-AU"/>
    </w:rPr>
  </w:style>
  <w:style w:type="character" w:styleId="UnresolvedMention">
    <w:name w:val="Unresolved Mention"/>
    <w:basedOn w:val="DefaultParagraphFont"/>
    <w:uiPriority w:val="99"/>
    <w:semiHidden/>
    <w:unhideWhenUsed/>
    <w:rsid w:val="007E7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9438">
      <w:bodyDiv w:val="1"/>
      <w:marLeft w:val="0"/>
      <w:marRight w:val="0"/>
      <w:marTop w:val="0"/>
      <w:marBottom w:val="0"/>
      <w:divBdr>
        <w:top w:val="none" w:sz="0" w:space="0" w:color="auto"/>
        <w:left w:val="none" w:sz="0" w:space="0" w:color="auto"/>
        <w:bottom w:val="none" w:sz="0" w:space="0" w:color="auto"/>
        <w:right w:val="none" w:sz="0" w:space="0" w:color="auto"/>
      </w:divBdr>
    </w:div>
    <w:div w:id="7873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s.gov.au/node/63081" TargetMode="External"/><Relationship Id="rId18" Type="http://schemas.openxmlformats.org/officeDocument/2006/relationships/hyperlink" Target="https://engage.dss.gov.au/stage-2-consultations-ndis-nds-outcomes-framework/"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www.dss.gov.au/node/63091" TargetMode="External"/><Relationship Id="rId17" Type="http://schemas.openxmlformats.org/officeDocument/2006/relationships/hyperlink" Target="https://engage.dss.gov.au/nds-stage2-consultation/national-disability-strategy-position-paper/"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ss.gov.au/disability-and-carers-a-new-national-disability-strategy-reports/right-to-opportunity-consultation-report-to-help-shape-the-next-national-disability-strategy-full-repor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s://www.dss.gov.au/disability-and-carers-a-new-national-disability-strategy/repor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s.gov.au/node/63076"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6AEED0-0A05-9648-8D96-6AEFA993C61C}">
  <we:reference id="wa104381063" version="1.0.0.1" store="en-001" storeType="OMEX"/>
  <we:alternateReferences>
    <we:reference id="WA104381063" version="1.0.0.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A61F1-92F6-4E76-B1C9-C740A1424C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5B9BB1-286B-4276-9897-EA39D400589C}">
  <ds:schemaRefs>
    <ds:schemaRef ds:uri="http://schemas.microsoft.com/sharepoint/v3/contenttype/forms"/>
  </ds:schemaRefs>
</ds:datastoreItem>
</file>

<file path=customXml/itemProps3.xml><?xml version="1.0" encoding="utf-8"?>
<ds:datastoreItem xmlns:ds="http://schemas.openxmlformats.org/officeDocument/2006/customXml" ds:itemID="{785B79B4-3BC9-4B35-B7AD-F0EEBF42B657}">
  <ds:schemaRefs>
    <ds:schemaRef ds:uri="http://schemas.openxmlformats.org/officeDocument/2006/bibliography"/>
  </ds:schemaRefs>
</ds:datastoreItem>
</file>

<file path=customXml/itemProps4.xml><?xml version="1.0" encoding="utf-8"?>
<ds:datastoreItem xmlns:ds="http://schemas.openxmlformats.org/officeDocument/2006/customXml" ds:itemID="{D80368BE-6E10-4450-95DF-FF99E4372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7</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Social Deck</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Bowmaker</dc:creator>
  <cp:keywords/>
  <dc:description/>
  <cp:lastModifiedBy>Sam</cp:lastModifiedBy>
  <cp:revision>5</cp:revision>
  <cp:lastPrinted>2020-12-08T10:28:00Z</cp:lastPrinted>
  <dcterms:created xsi:type="dcterms:W3CDTF">2021-04-12T00:40:00Z</dcterms:created>
  <dcterms:modified xsi:type="dcterms:W3CDTF">2021-04-15T04:49:00Z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