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61" w:rsidRDefault="00C95EEA" w:rsidP="004549EB">
      <w:pPr>
        <w:pStyle w:val="Heading1"/>
        <w:rPr>
          <w:rStyle w:val="BookTitle"/>
          <w:sz w:val="96"/>
          <w:szCs w:val="32"/>
        </w:rPr>
      </w:pPr>
      <w:bookmarkStart w:id="0" w:name="_Toc438649428"/>
      <w:bookmarkStart w:id="1" w:name="_Toc532982795"/>
      <w:bookmarkStart w:id="2" w:name="_GoBack"/>
      <w:bookmarkEnd w:id="2"/>
      <w:r w:rsidRPr="004549EB">
        <w:rPr>
          <w:rStyle w:val="BookTitle"/>
          <w:noProof/>
          <w:sz w:val="96"/>
          <w:szCs w:val="32"/>
          <w:lang w:eastAsia="en-AU"/>
        </w:rPr>
        <w:drawing>
          <wp:anchor distT="0" distB="0" distL="114300" distR="114300" simplePos="0" relativeHeight="251659264" behindDoc="1" locked="0" layoutInCell="1" allowOverlap="1" wp14:anchorId="5A38B968" wp14:editId="748B81B2">
            <wp:simplePos x="0" y="0"/>
            <wp:positionH relativeFrom="page">
              <wp:posOffset>279206</wp:posOffset>
            </wp:positionH>
            <wp:positionV relativeFrom="page">
              <wp:posOffset>355988</wp:posOffset>
            </wp:positionV>
            <wp:extent cx="6839585" cy="8999855"/>
            <wp:effectExtent l="0" t="0" r="0" b="0"/>
            <wp:wrapNone/>
            <wp:docPr id="15" name="Picture 15" descr="How to order communication and promotional produ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090DBA" w:rsidRPr="004549EB">
        <w:rPr>
          <w:rStyle w:val="BookTitle"/>
          <w:sz w:val="96"/>
          <w:szCs w:val="32"/>
        </w:rPr>
        <w:t xml:space="preserve">Strengthening </w:t>
      </w:r>
      <w:r w:rsidR="00347FCB" w:rsidRPr="004549EB">
        <w:rPr>
          <w:rStyle w:val="BookTitle"/>
          <w:sz w:val="96"/>
          <w:szCs w:val="32"/>
        </w:rPr>
        <w:t xml:space="preserve">Information, </w:t>
      </w:r>
      <w:r w:rsidRPr="004549EB">
        <w:rPr>
          <w:rStyle w:val="BookTitle"/>
          <w:sz w:val="96"/>
          <w:szCs w:val="32"/>
        </w:rPr>
        <w:t>Linkages and Capacity Building (ILC)</w:t>
      </w:r>
      <w:bookmarkEnd w:id="0"/>
      <w:bookmarkEnd w:id="1"/>
      <w:r w:rsidR="00FA0B36">
        <w:rPr>
          <w:rStyle w:val="BookTitle"/>
          <w:sz w:val="96"/>
          <w:szCs w:val="32"/>
        </w:rPr>
        <w:t xml:space="preserve"> </w:t>
      </w:r>
    </w:p>
    <w:p w:rsidR="00DD6F61" w:rsidRDefault="00DD6F61" w:rsidP="00DD6F61"/>
    <w:p w:rsidR="00C95EEA" w:rsidRPr="00DD6F61" w:rsidRDefault="00C95EEA" w:rsidP="00DD6F61">
      <w:pPr>
        <w:rPr>
          <w:color w:val="FFFFFF" w:themeColor="background1"/>
          <w:sz w:val="40"/>
        </w:rPr>
      </w:pPr>
      <w:r w:rsidRPr="00DD6F61">
        <w:rPr>
          <w:color w:val="FFFFFF" w:themeColor="background1"/>
          <w:sz w:val="40"/>
        </w:rPr>
        <w:t>A national strategy towards 2022</w:t>
      </w:r>
    </w:p>
    <w:p w:rsidR="00C95EEA" w:rsidRPr="006507EE" w:rsidRDefault="00C95EEA" w:rsidP="00C533B7"/>
    <w:p w:rsidR="00C95EEA" w:rsidRPr="00E82713" w:rsidRDefault="00136ACB" w:rsidP="00C533B7">
      <w:pPr>
        <w:rPr>
          <w:color w:val="FFFFFF" w:themeColor="background1"/>
        </w:rPr>
      </w:pPr>
      <w:r w:rsidRPr="00E82713">
        <w:rPr>
          <w:color w:val="FFFFFF" w:themeColor="background1"/>
        </w:rPr>
        <w:t>December 2018</w:t>
      </w:r>
    </w:p>
    <w:p w:rsidR="00067E72" w:rsidRDefault="00C95EEA" w:rsidP="00C533B7">
      <w:r w:rsidRPr="006507EE">
        <w:br w:type="page"/>
      </w:r>
      <w:bookmarkStart w:id="3" w:name="_Toc524955137"/>
    </w:p>
    <w:sdt>
      <w:sdtPr>
        <w:rPr>
          <w:rFonts w:ascii="Arial" w:eastAsiaTheme="minorHAnsi" w:hAnsi="Arial" w:cs="Arial"/>
          <w:color w:val="auto"/>
          <w:sz w:val="22"/>
          <w:szCs w:val="22"/>
          <w:lang w:val="en-AU"/>
        </w:rPr>
        <w:id w:val="-888334407"/>
        <w:docPartObj>
          <w:docPartGallery w:val="Table of Contents"/>
          <w:docPartUnique/>
        </w:docPartObj>
      </w:sdtPr>
      <w:sdtEndPr>
        <w:rPr>
          <w:b/>
          <w:bCs/>
          <w:noProof/>
        </w:rPr>
      </w:sdtEndPr>
      <w:sdtContent>
        <w:p w:rsidR="004549EB" w:rsidRPr="00FA0B36" w:rsidRDefault="004549EB">
          <w:pPr>
            <w:pStyle w:val="TOCHeading"/>
            <w:rPr>
              <w:rStyle w:val="Heading2Char"/>
            </w:rPr>
          </w:pPr>
          <w:r w:rsidRPr="00FA0B36">
            <w:rPr>
              <w:rStyle w:val="Heading2Char"/>
            </w:rPr>
            <w:t>Contents</w:t>
          </w:r>
        </w:p>
        <w:p w:rsidR="00DD6F61" w:rsidRDefault="004549EB">
          <w:pPr>
            <w:pStyle w:val="TOC1"/>
            <w:tabs>
              <w:tab w:val="right" w:leader="dot" w:pos="901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532982795" w:history="1">
            <w:r w:rsidR="00DD6F61" w:rsidRPr="00627197">
              <w:rPr>
                <w:rStyle w:val="Hyperlink"/>
                <w:noProof/>
              </w:rPr>
              <w:t>Strengthening Information, Linkages and Capacity Building (ILC)</w:t>
            </w:r>
            <w:r w:rsidR="00DD6F61">
              <w:rPr>
                <w:noProof/>
                <w:webHidden/>
              </w:rPr>
              <w:tab/>
            </w:r>
            <w:r w:rsidR="00DD6F61">
              <w:rPr>
                <w:noProof/>
                <w:webHidden/>
              </w:rPr>
              <w:fldChar w:fldCharType="begin"/>
            </w:r>
            <w:r w:rsidR="00DD6F61">
              <w:rPr>
                <w:noProof/>
                <w:webHidden/>
              </w:rPr>
              <w:instrText xml:space="preserve"> PAGEREF _Toc532982795 \h </w:instrText>
            </w:r>
            <w:r w:rsidR="00DD6F61">
              <w:rPr>
                <w:noProof/>
                <w:webHidden/>
              </w:rPr>
            </w:r>
            <w:r w:rsidR="00DD6F61">
              <w:rPr>
                <w:noProof/>
                <w:webHidden/>
              </w:rPr>
              <w:fldChar w:fldCharType="separate"/>
            </w:r>
            <w:r w:rsidR="00146AAA">
              <w:rPr>
                <w:noProof/>
                <w:webHidden/>
              </w:rPr>
              <w:t>1</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796" w:history="1">
            <w:r w:rsidR="00DD6F61" w:rsidRPr="00627197">
              <w:rPr>
                <w:rStyle w:val="Hyperlink"/>
                <w:noProof/>
              </w:rPr>
              <w:t>Purpose</w:t>
            </w:r>
            <w:r w:rsidR="00DD6F61">
              <w:rPr>
                <w:noProof/>
                <w:webHidden/>
              </w:rPr>
              <w:tab/>
            </w:r>
            <w:r w:rsidR="00DD6F61">
              <w:rPr>
                <w:noProof/>
                <w:webHidden/>
              </w:rPr>
              <w:fldChar w:fldCharType="begin"/>
            </w:r>
            <w:r w:rsidR="00DD6F61">
              <w:rPr>
                <w:noProof/>
                <w:webHidden/>
              </w:rPr>
              <w:instrText xml:space="preserve"> PAGEREF _Toc532982796 \h </w:instrText>
            </w:r>
            <w:r w:rsidR="00DD6F61">
              <w:rPr>
                <w:noProof/>
                <w:webHidden/>
              </w:rPr>
            </w:r>
            <w:r w:rsidR="00DD6F61">
              <w:rPr>
                <w:noProof/>
                <w:webHidden/>
              </w:rPr>
              <w:fldChar w:fldCharType="separate"/>
            </w:r>
            <w:r w:rsidR="00146AAA">
              <w:rPr>
                <w:noProof/>
                <w:webHidden/>
              </w:rPr>
              <w:t>3</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797" w:history="1">
            <w:r w:rsidR="00DD6F61" w:rsidRPr="00627197">
              <w:rPr>
                <w:rStyle w:val="Hyperlink"/>
                <w:noProof/>
              </w:rPr>
              <w:t>1. Strengthening Australian communities</w:t>
            </w:r>
            <w:r w:rsidR="00DD6F61">
              <w:rPr>
                <w:noProof/>
                <w:webHidden/>
              </w:rPr>
              <w:tab/>
            </w:r>
            <w:r w:rsidR="00DD6F61">
              <w:rPr>
                <w:noProof/>
                <w:webHidden/>
              </w:rPr>
              <w:fldChar w:fldCharType="begin"/>
            </w:r>
            <w:r w:rsidR="00DD6F61">
              <w:rPr>
                <w:noProof/>
                <w:webHidden/>
              </w:rPr>
              <w:instrText xml:space="preserve"> PAGEREF _Toc532982797 \h </w:instrText>
            </w:r>
            <w:r w:rsidR="00DD6F61">
              <w:rPr>
                <w:noProof/>
                <w:webHidden/>
              </w:rPr>
            </w:r>
            <w:r w:rsidR="00DD6F61">
              <w:rPr>
                <w:noProof/>
                <w:webHidden/>
              </w:rPr>
              <w:fldChar w:fldCharType="separate"/>
            </w:r>
            <w:r w:rsidR="00146AAA">
              <w:rPr>
                <w:noProof/>
                <w:webHidden/>
              </w:rPr>
              <w:t>3</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798" w:history="1">
            <w:r w:rsidR="00DD6F61" w:rsidRPr="00627197">
              <w:rPr>
                <w:rStyle w:val="Hyperlink"/>
                <w:noProof/>
              </w:rPr>
              <w:t>2. The ILC story so far</w:t>
            </w:r>
            <w:r w:rsidR="00DD6F61">
              <w:rPr>
                <w:noProof/>
                <w:webHidden/>
              </w:rPr>
              <w:tab/>
            </w:r>
            <w:r w:rsidR="00DD6F61">
              <w:rPr>
                <w:noProof/>
                <w:webHidden/>
              </w:rPr>
              <w:fldChar w:fldCharType="begin"/>
            </w:r>
            <w:r w:rsidR="00DD6F61">
              <w:rPr>
                <w:noProof/>
                <w:webHidden/>
              </w:rPr>
              <w:instrText xml:space="preserve"> PAGEREF _Toc532982798 \h </w:instrText>
            </w:r>
            <w:r w:rsidR="00DD6F61">
              <w:rPr>
                <w:noProof/>
                <w:webHidden/>
              </w:rPr>
            </w:r>
            <w:r w:rsidR="00DD6F61">
              <w:rPr>
                <w:noProof/>
                <w:webHidden/>
              </w:rPr>
              <w:fldChar w:fldCharType="separate"/>
            </w:r>
            <w:r w:rsidR="00146AAA">
              <w:rPr>
                <w:noProof/>
                <w:webHidden/>
              </w:rPr>
              <w:t>4</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799" w:history="1">
            <w:r w:rsidR="00DD6F61" w:rsidRPr="00627197">
              <w:rPr>
                <w:rStyle w:val="Hyperlink"/>
                <w:noProof/>
              </w:rPr>
              <w:t>3. Why is ILC changing?</w:t>
            </w:r>
            <w:r w:rsidR="00DD6F61">
              <w:rPr>
                <w:noProof/>
                <w:webHidden/>
              </w:rPr>
              <w:tab/>
            </w:r>
            <w:r w:rsidR="00DD6F61">
              <w:rPr>
                <w:noProof/>
                <w:webHidden/>
              </w:rPr>
              <w:fldChar w:fldCharType="begin"/>
            </w:r>
            <w:r w:rsidR="00DD6F61">
              <w:rPr>
                <w:noProof/>
                <w:webHidden/>
              </w:rPr>
              <w:instrText xml:space="preserve"> PAGEREF _Toc532982799 \h </w:instrText>
            </w:r>
            <w:r w:rsidR="00DD6F61">
              <w:rPr>
                <w:noProof/>
                <w:webHidden/>
              </w:rPr>
            </w:r>
            <w:r w:rsidR="00DD6F61">
              <w:rPr>
                <w:noProof/>
                <w:webHidden/>
              </w:rPr>
              <w:fldChar w:fldCharType="separate"/>
            </w:r>
            <w:r w:rsidR="00146AAA">
              <w:rPr>
                <w:noProof/>
                <w:webHidden/>
              </w:rPr>
              <w:t>4</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800" w:history="1">
            <w:r w:rsidR="00DD6F61" w:rsidRPr="00627197">
              <w:rPr>
                <w:rStyle w:val="Hyperlink"/>
                <w:noProof/>
              </w:rPr>
              <w:t>4. What’s new about ILC?</w:t>
            </w:r>
            <w:r w:rsidR="00DD6F61">
              <w:rPr>
                <w:noProof/>
                <w:webHidden/>
              </w:rPr>
              <w:tab/>
            </w:r>
            <w:r w:rsidR="00DD6F61">
              <w:rPr>
                <w:noProof/>
                <w:webHidden/>
              </w:rPr>
              <w:fldChar w:fldCharType="begin"/>
            </w:r>
            <w:r w:rsidR="00DD6F61">
              <w:rPr>
                <w:noProof/>
                <w:webHidden/>
              </w:rPr>
              <w:instrText xml:space="preserve"> PAGEREF _Toc532982800 \h </w:instrText>
            </w:r>
            <w:r w:rsidR="00DD6F61">
              <w:rPr>
                <w:noProof/>
                <w:webHidden/>
              </w:rPr>
            </w:r>
            <w:r w:rsidR="00DD6F61">
              <w:rPr>
                <w:noProof/>
                <w:webHidden/>
              </w:rPr>
              <w:fldChar w:fldCharType="separate"/>
            </w:r>
            <w:r w:rsidR="00146AAA">
              <w:rPr>
                <w:noProof/>
                <w:webHidden/>
              </w:rPr>
              <w:t>5</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801" w:history="1">
            <w:r w:rsidR="00DD6F61" w:rsidRPr="00627197">
              <w:rPr>
                <w:rStyle w:val="Hyperlink"/>
                <w:noProof/>
              </w:rPr>
              <w:t>5. A progressive rollout</w:t>
            </w:r>
            <w:r w:rsidR="00DD6F61">
              <w:rPr>
                <w:noProof/>
                <w:webHidden/>
              </w:rPr>
              <w:tab/>
            </w:r>
            <w:r w:rsidR="00DD6F61">
              <w:rPr>
                <w:noProof/>
                <w:webHidden/>
              </w:rPr>
              <w:fldChar w:fldCharType="begin"/>
            </w:r>
            <w:r w:rsidR="00DD6F61">
              <w:rPr>
                <w:noProof/>
                <w:webHidden/>
              </w:rPr>
              <w:instrText xml:space="preserve"> PAGEREF _Toc532982801 \h </w:instrText>
            </w:r>
            <w:r w:rsidR="00DD6F61">
              <w:rPr>
                <w:noProof/>
                <w:webHidden/>
              </w:rPr>
            </w:r>
            <w:r w:rsidR="00DD6F61">
              <w:rPr>
                <w:noProof/>
                <w:webHidden/>
              </w:rPr>
              <w:fldChar w:fldCharType="separate"/>
            </w:r>
            <w:r w:rsidR="00146AAA">
              <w:rPr>
                <w:noProof/>
                <w:webHidden/>
              </w:rPr>
              <w:t>8</w:t>
            </w:r>
            <w:r w:rsidR="00DD6F61">
              <w:rPr>
                <w:noProof/>
                <w:webHidden/>
              </w:rPr>
              <w:fldChar w:fldCharType="end"/>
            </w:r>
          </w:hyperlink>
        </w:p>
        <w:p w:rsidR="00DD6F61" w:rsidRDefault="00D93333">
          <w:pPr>
            <w:pStyle w:val="TOC2"/>
            <w:tabs>
              <w:tab w:val="right" w:leader="dot" w:pos="9016"/>
            </w:tabs>
            <w:rPr>
              <w:rFonts w:asciiTheme="minorHAnsi" w:hAnsiTheme="minorHAnsi" w:cstheme="minorBidi"/>
              <w:noProof/>
              <w:szCs w:val="22"/>
              <w:lang w:val="en-AU" w:eastAsia="en-AU"/>
            </w:rPr>
          </w:pPr>
          <w:hyperlink w:anchor="_Toc532982802" w:history="1">
            <w:r w:rsidR="00DD6F61" w:rsidRPr="00627197">
              <w:rPr>
                <w:rStyle w:val="Hyperlink"/>
                <w:noProof/>
              </w:rPr>
              <w:t>Glossary</w:t>
            </w:r>
            <w:r w:rsidR="00DD6F61">
              <w:rPr>
                <w:noProof/>
                <w:webHidden/>
              </w:rPr>
              <w:tab/>
            </w:r>
            <w:r w:rsidR="00DD6F61">
              <w:rPr>
                <w:noProof/>
                <w:webHidden/>
              </w:rPr>
              <w:fldChar w:fldCharType="begin"/>
            </w:r>
            <w:r w:rsidR="00DD6F61">
              <w:rPr>
                <w:noProof/>
                <w:webHidden/>
              </w:rPr>
              <w:instrText xml:space="preserve"> PAGEREF _Toc532982802 \h </w:instrText>
            </w:r>
            <w:r w:rsidR="00DD6F61">
              <w:rPr>
                <w:noProof/>
                <w:webHidden/>
              </w:rPr>
            </w:r>
            <w:r w:rsidR="00DD6F61">
              <w:rPr>
                <w:noProof/>
                <w:webHidden/>
              </w:rPr>
              <w:fldChar w:fldCharType="separate"/>
            </w:r>
            <w:r w:rsidR="00146AAA">
              <w:rPr>
                <w:noProof/>
                <w:webHidden/>
              </w:rPr>
              <w:t>10</w:t>
            </w:r>
            <w:r w:rsidR="00DD6F61">
              <w:rPr>
                <w:noProof/>
                <w:webHidden/>
              </w:rPr>
              <w:fldChar w:fldCharType="end"/>
            </w:r>
          </w:hyperlink>
        </w:p>
        <w:p w:rsidR="004549EB" w:rsidRDefault="004549EB">
          <w:r>
            <w:rPr>
              <w:b/>
              <w:bCs/>
              <w:noProof/>
            </w:rPr>
            <w:fldChar w:fldCharType="end"/>
          </w:r>
        </w:p>
      </w:sdtContent>
    </w:sdt>
    <w:p w:rsidR="004549EB" w:rsidRDefault="004549EB">
      <w:pPr>
        <w:spacing w:before="0"/>
        <w:rPr>
          <w:rFonts w:eastAsiaTheme="majorEastAsia"/>
          <w:b/>
          <w:color w:val="6B2976"/>
          <w:sz w:val="26"/>
          <w:szCs w:val="26"/>
        </w:rPr>
      </w:pPr>
      <w:r>
        <w:br w:type="page"/>
      </w:r>
    </w:p>
    <w:p w:rsidR="00067E72" w:rsidRPr="00136ACB" w:rsidRDefault="00067E72" w:rsidP="00E85D91">
      <w:pPr>
        <w:pStyle w:val="Heading2"/>
      </w:pPr>
      <w:bookmarkStart w:id="4" w:name="_Toc532982796"/>
      <w:r w:rsidRPr="00136ACB">
        <w:lastRenderedPageBreak/>
        <w:t>Purpose</w:t>
      </w:r>
      <w:bookmarkEnd w:id="4"/>
    </w:p>
    <w:p w:rsidR="00AE45EF" w:rsidRPr="0013139B" w:rsidRDefault="00320BD2" w:rsidP="00C533B7">
      <w:pPr>
        <w:rPr>
          <w:rStyle w:val="hardreadability"/>
        </w:rPr>
      </w:pPr>
      <w:r w:rsidRPr="00136ACB">
        <w:rPr>
          <w:rStyle w:val="hardreadability"/>
        </w:rPr>
        <w:t xml:space="preserve">This document </w:t>
      </w:r>
      <w:r w:rsidR="00067E72" w:rsidRPr="00136ACB">
        <w:rPr>
          <w:rStyle w:val="hardreadability"/>
        </w:rPr>
        <w:t>provide</w:t>
      </w:r>
      <w:r w:rsidRPr="00136ACB">
        <w:rPr>
          <w:rStyle w:val="hardreadability"/>
        </w:rPr>
        <w:t>s</w:t>
      </w:r>
      <w:r w:rsidR="00067E72" w:rsidRPr="00136ACB">
        <w:rPr>
          <w:rStyle w:val="hardreadability"/>
        </w:rPr>
        <w:t xml:space="preserve"> information about the future direction </w:t>
      </w:r>
      <w:r w:rsidR="00307E81" w:rsidRPr="00136ACB">
        <w:rPr>
          <w:rStyle w:val="hardreadability"/>
        </w:rPr>
        <w:t>of</w:t>
      </w:r>
      <w:r w:rsidR="00067E72" w:rsidRPr="00136ACB">
        <w:rPr>
          <w:rStyle w:val="hardreadability"/>
        </w:rPr>
        <w:t xml:space="preserve"> Information, Linkages and Capacity Building (ILC) </w:t>
      </w:r>
      <w:r w:rsidR="00307E81" w:rsidRPr="00136ACB">
        <w:rPr>
          <w:rStyle w:val="hardreadability"/>
        </w:rPr>
        <w:t>under the National Disability Insurance Scheme (NDIS)</w:t>
      </w:r>
      <w:r w:rsidR="00067E72" w:rsidRPr="00136ACB">
        <w:rPr>
          <w:rStyle w:val="hardreadability"/>
        </w:rPr>
        <w:t>.</w:t>
      </w:r>
      <w:r w:rsidR="0013139B" w:rsidRPr="00136ACB">
        <w:t xml:space="preserve"> </w:t>
      </w:r>
      <w:r w:rsidR="00011531" w:rsidRPr="00136ACB">
        <w:t xml:space="preserve">It </w:t>
      </w:r>
      <w:r w:rsidR="0013139B" w:rsidRPr="00136ACB">
        <w:t xml:space="preserve">explains why </w:t>
      </w:r>
      <w:r w:rsidR="00307E81" w:rsidRPr="00136ACB">
        <w:t>the NDIA is</w:t>
      </w:r>
      <w:r w:rsidR="0013139B" w:rsidRPr="00136ACB">
        <w:t xml:space="preserve"> changing </w:t>
      </w:r>
      <w:r w:rsidR="00307E81" w:rsidRPr="00136ACB">
        <w:t>the approach to ILC investment</w:t>
      </w:r>
      <w:r w:rsidR="0013139B" w:rsidRPr="00136ACB">
        <w:t xml:space="preserve">, and how </w:t>
      </w:r>
      <w:r w:rsidR="00307E81" w:rsidRPr="00136ACB">
        <w:t>and when new programs will be implemented</w:t>
      </w:r>
      <w:r w:rsidR="0013139B" w:rsidRPr="00136ACB">
        <w:t>.</w:t>
      </w:r>
    </w:p>
    <w:p w:rsidR="00ED2EDE" w:rsidRPr="00136ACB" w:rsidRDefault="00F53FD1" w:rsidP="00E85D91">
      <w:pPr>
        <w:pStyle w:val="Heading2"/>
        <w:rPr>
          <w:rStyle w:val="hardreadability"/>
          <w:b w:val="0"/>
          <w:bCs/>
          <w:sz w:val="36"/>
          <w:szCs w:val="36"/>
        </w:rPr>
      </w:pPr>
      <w:bookmarkStart w:id="5" w:name="_Toc532982797"/>
      <w:r w:rsidRPr="00136ACB">
        <w:t xml:space="preserve">1. </w:t>
      </w:r>
      <w:r w:rsidR="00C95EEA" w:rsidRPr="00136ACB">
        <w:t>Strengthening Australian</w:t>
      </w:r>
      <w:r w:rsidR="00136ACB">
        <w:t xml:space="preserve"> communities</w:t>
      </w:r>
      <w:bookmarkEnd w:id="5"/>
    </w:p>
    <w:p w:rsidR="00415FC3" w:rsidRDefault="00320BD2" w:rsidP="00C533B7">
      <w:r>
        <w:rPr>
          <w:rStyle w:val="hardreadability"/>
        </w:rPr>
        <w:t>T</w:t>
      </w:r>
      <w:r w:rsidR="005D2D85">
        <w:rPr>
          <w:rStyle w:val="hardreadability"/>
        </w:rPr>
        <w:t xml:space="preserve">he NDIS is designed to help </w:t>
      </w:r>
      <w:r w:rsidR="003472C3">
        <w:rPr>
          <w:rStyle w:val="hardreadability"/>
        </w:rPr>
        <w:t xml:space="preserve">people with </w:t>
      </w:r>
      <w:r>
        <w:rPr>
          <w:rStyle w:val="hardreadability"/>
        </w:rPr>
        <w:t xml:space="preserve">a significant and permanent </w:t>
      </w:r>
      <w:r w:rsidR="003472C3">
        <w:rPr>
          <w:rStyle w:val="hardreadability"/>
        </w:rPr>
        <w:t>disability</w:t>
      </w:r>
      <w:r>
        <w:rPr>
          <w:rStyle w:val="hardreadability"/>
        </w:rPr>
        <w:t xml:space="preserve"> be more independent and </w:t>
      </w:r>
      <w:r w:rsidR="006D66E6">
        <w:rPr>
          <w:rStyle w:val="hardreadability"/>
        </w:rPr>
        <w:t>engage more socially and ec</w:t>
      </w:r>
      <w:r w:rsidR="00011531">
        <w:rPr>
          <w:rStyle w:val="hardreadability"/>
        </w:rPr>
        <w:t>onomically</w:t>
      </w:r>
      <w:r w:rsidR="00C95EEA" w:rsidRPr="00D42D7A">
        <w:t xml:space="preserve">. </w:t>
      </w:r>
      <w:r w:rsidR="006D66E6">
        <w:t>Founded on insurance principle</w:t>
      </w:r>
      <w:r w:rsidR="003472C3">
        <w:t>s</w:t>
      </w:r>
      <w:r>
        <w:t xml:space="preserve">, every Australian eligible for the Scheme who is under </w:t>
      </w:r>
      <w:r w:rsidR="00B21397">
        <w:t xml:space="preserve">the age of 65 </w:t>
      </w:r>
      <w:r w:rsidR="005D2D85">
        <w:t xml:space="preserve">at the time </w:t>
      </w:r>
      <w:r>
        <w:t>they join</w:t>
      </w:r>
      <w:r w:rsidR="005D2D85">
        <w:t xml:space="preserve"> the Scheme</w:t>
      </w:r>
      <w:r>
        <w:t xml:space="preserve"> </w:t>
      </w:r>
      <w:r w:rsidR="00B21397">
        <w:t>is covered</w:t>
      </w:r>
      <w:r>
        <w:t xml:space="preserve"> by the NDIS</w:t>
      </w:r>
      <w:r w:rsidR="00B21397">
        <w:t xml:space="preserve">. </w:t>
      </w:r>
    </w:p>
    <w:p w:rsidR="005F0543" w:rsidRDefault="005F0543" w:rsidP="00C533B7">
      <w:pPr>
        <w:rPr>
          <w:rStyle w:val="veryhardreadability"/>
        </w:rPr>
      </w:pPr>
      <w:r w:rsidRPr="00A72B93">
        <w:t>The NDIS exists within the broader framework of the National Disability Strategy</w:t>
      </w:r>
      <w:r w:rsidR="005D2D85">
        <w:t xml:space="preserve"> to help participants live an ordinary life</w:t>
      </w:r>
      <w:r>
        <w:t>. While an</w:t>
      </w:r>
      <w:r w:rsidR="005D2D85">
        <w:t xml:space="preserve"> individual’s NDIS plan lies at the core of the Scheme, the way a participant interacts with </w:t>
      </w:r>
      <w:r>
        <w:t>family, friends and the community, mainstream services, and NDIS Partners in the Communities (including both Local Area Co-ordinators and the Early Childho</w:t>
      </w:r>
      <w:r w:rsidR="005D2D85">
        <w:t>od Early Intervention Partners)</w:t>
      </w:r>
      <w:r w:rsidR="001B6868">
        <w:t>, helps them engage socially</w:t>
      </w:r>
      <w:r w:rsidR="008F37D8">
        <w:t xml:space="preserve"> and economically.  ILC therefore</w:t>
      </w:r>
      <w:r w:rsidR="001B6868">
        <w:t xml:space="preserve"> play</w:t>
      </w:r>
      <w:r w:rsidR="008F37D8">
        <w:t>s</w:t>
      </w:r>
      <w:r w:rsidR="001B6868">
        <w:t xml:space="preserve"> a very important role</w:t>
      </w:r>
      <w:r w:rsidR="008F37D8">
        <w:t>,</w:t>
      </w:r>
      <w:r w:rsidR="001B6868">
        <w:t xml:space="preserve"> as </w:t>
      </w:r>
      <w:r w:rsidR="005D2D85">
        <w:rPr>
          <w:rStyle w:val="veryhardreadability"/>
        </w:rPr>
        <w:t>outlined in the diagram below.</w:t>
      </w:r>
      <w:r>
        <w:rPr>
          <w:rStyle w:val="veryhardreadability"/>
        </w:rPr>
        <w:t xml:space="preserve">  </w:t>
      </w:r>
    </w:p>
    <w:p w:rsidR="00136ACB" w:rsidRDefault="005D2D85" w:rsidP="00C533B7">
      <w:r>
        <w:rPr>
          <w:noProof/>
          <w:lang w:eastAsia="en-AU"/>
        </w:rPr>
        <w:drawing>
          <wp:inline distT="0" distB="0" distL="0" distR="0">
            <wp:extent cx="3620278" cy="3656162"/>
            <wp:effectExtent l="0" t="0" r="0" b="1905"/>
            <wp:docPr id="1" name="Picture 1" descr="A diagram showing systems of support that a person with disability may rely on. In the centre is an icon of a person. Around the person are five circles overlapping each other, meeting in the middle behind the figure. In those five circles are systems of support which include; mainstream services, NDIS plans, Information Linkages &amp; Capacity building, Partners in the Community (LAC/ECEI) as well as family, friends and the comm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showing systems of support that a person with disability may rely on. In the centre is an icon of a person. Around the person are five circles overlapping each other, meeting in the middle behind the figure. In those five circles are systems of support which include; mainstream services, NDIS plans, Information Linkages &amp; Capacity building, Partners in the Community (LAC/ECEI) as well as family, friends and the community.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20278" cy="3656162"/>
                    </a:xfrm>
                    <a:prstGeom prst="rect">
                      <a:avLst/>
                    </a:prstGeom>
                    <a:noFill/>
                    <a:ln>
                      <a:noFill/>
                    </a:ln>
                  </pic:spPr>
                </pic:pic>
              </a:graphicData>
            </a:graphic>
          </wp:inline>
        </w:drawing>
      </w:r>
      <w:r w:rsidR="00136ACB">
        <w:br w:type="page"/>
      </w:r>
    </w:p>
    <w:p w:rsidR="00ED2EDE" w:rsidRDefault="00011531" w:rsidP="00C533B7">
      <w:r>
        <w:lastRenderedPageBreak/>
        <w:t xml:space="preserve">But ILC does so much more.  It also </w:t>
      </w:r>
      <w:r w:rsidR="00A72B93" w:rsidRPr="00A72B93">
        <w:t>provides information</w:t>
      </w:r>
      <w:r w:rsidR="00150B69" w:rsidRPr="00A72B93">
        <w:t xml:space="preserve"> and capacity building </w:t>
      </w:r>
      <w:r w:rsidR="00A72B93" w:rsidRPr="00A72B93">
        <w:t xml:space="preserve">supports </w:t>
      </w:r>
      <w:r w:rsidR="00150B69" w:rsidRPr="00A72B93">
        <w:t>for all people with disability</w:t>
      </w:r>
      <w:r w:rsidR="00320BD2">
        <w:t>, regardless of whether they are eligible for the Scheme</w:t>
      </w:r>
      <w:r w:rsidR="00CA12A5" w:rsidRPr="00A72B93">
        <w:t>.</w:t>
      </w:r>
      <w:r w:rsidR="00320BD2">
        <w:t xml:space="preserve">  </w:t>
      </w:r>
      <w:r w:rsidR="001B6868">
        <w:rPr>
          <w:rStyle w:val="veryhardreadability"/>
        </w:rPr>
        <w:t xml:space="preserve">In that regard, </w:t>
      </w:r>
      <w:r w:rsidR="00C95EEA" w:rsidRPr="00D42D7A">
        <w:rPr>
          <w:rStyle w:val="veryhardreadability"/>
        </w:rPr>
        <w:t xml:space="preserve">ILC </w:t>
      </w:r>
      <w:r w:rsidR="001B6868">
        <w:rPr>
          <w:rStyle w:val="veryhardreadability"/>
        </w:rPr>
        <w:t xml:space="preserve">also </w:t>
      </w:r>
      <w:r w:rsidR="00A21392">
        <w:rPr>
          <w:rStyle w:val="veryhardreadability"/>
        </w:rPr>
        <w:t xml:space="preserve">helps </w:t>
      </w:r>
      <w:r w:rsidR="00C95EEA" w:rsidRPr="00D42D7A">
        <w:rPr>
          <w:rStyle w:val="veryhardreadability"/>
        </w:rPr>
        <w:t>people who are not eligible for</w:t>
      </w:r>
      <w:r w:rsidR="00A21392">
        <w:rPr>
          <w:rStyle w:val="veryhardreadability"/>
        </w:rPr>
        <w:t xml:space="preserve"> an individual NDIS plan </w:t>
      </w:r>
      <w:r w:rsidR="00C95EEA" w:rsidRPr="00D42D7A">
        <w:rPr>
          <w:rStyle w:val="complexword"/>
        </w:rPr>
        <w:t>benefit from</w:t>
      </w:r>
      <w:r w:rsidR="00C95EEA" w:rsidRPr="00D42D7A">
        <w:rPr>
          <w:rStyle w:val="veryhardreadability"/>
        </w:rPr>
        <w:t xml:space="preserve"> a more inclusive, accessible and connected Australia</w:t>
      </w:r>
      <w:r w:rsidR="00C95EEA" w:rsidRPr="00D42D7A">
        <w:t xml:space="preserve">. </w:t>
      </w:r>
    </w:p>
    <w:p w:rsidR="00C95EEA" w:rsidRPr="00D42D7A" w:rsidRDefault="00C95EEA" w:rsidP="00C533B7">
      <w:r w:rsidRPr="00D42D7A">
        <w:t xml:space="preserve">It does this by </w:t>
      </w:r>
      <w:r w:rsidR="00E45912">
        <w:t xml:space="preserve">playing a significant part in </w:t>
      </w:r>
      <w:r w:rsidRPr="00D42D7A">
        <w:t>building the capacity of:</w:t>
      </w:r>
    </w:p>
    <w:p w:rsidR="00C95EEA" w:rsidRPr="00C533B7" w:rsidRDefault="00C95EEA" w:rsidP="00C533B7">
      <w:pPr>
        <w:pStyle w:val="Bullets"/>
      </w:pPr>
      <w:r w:rsidRPr="00C533B7">
        <w:t xml:space="preserve">individuals – making sure people with disability and their families have the skills, resources and confidence they need to participate in </w:t>
      </w:r>
      <w:r w:rsidR="00B3720D" w:rsidRPr="00C533B7">
        <w:t xml:space="preserve">and contribute to </w:t>
      </w:r>
      <w:r w:rsidRPr="00C533B7">
        <w:t>community</w:t>
      </w:r>
      <w:r w:rsidR="00090DBA" w:rsidRPr="00C533B7">
        <w:t>.</w:t>
      </w:r>
      <w:r w:rsidRPr="00C533B7">
        <w:t xml:space="preserve"> </w:t>
      </w:r>
    </w:p>
    <w:p w:rsidR="00C95EEA" w:rsidRPr="00C533B7" w:rsidRDefault="00AE45EF" w:rsidP="00C533B7">
      <w:pPr>
        <w:pStyle w:val="Bullets"/>
      </w:pPr>
      <w:r w:rsidRPr="00C533B7">
        <w:t>c</w:t>
      </w:r>
      <w:r w:rsidR="00696F88" w:rsidRPr="00C533B7">
        <w:t>ommunities</w:t>
      </w:r>
      <w:r w:rsidR="00C95EEA" w:rsidRPr="00C533B7">
        <w:t xml:space="preserve"> – making sure mainstream services and community organisations become more inclusive of people with disability.</w:t>
      </w:r>
    </w:p>
    <w:p w:rsidR="00306F03" w:rsidRPr="00C533B7" w:rsidRDefault="001B6868" w:rsidP="00C533B7">
      <w:r w:rsidRPr="00C533B7">
        <w:t xml:space="preserve">ILC also helps </w:t>
      </w:r>
      <w:r w:rsidR="00C95EEA" w:rsidRPr="00C533B7">
        <w:t>prevent, reduc</w:t>
      </w:r>
      <w:r w:rsidRPr="00C533B7">
        <w:t>e</w:t>
      </w:r>
      <w:r w:rsidR="00C95EEA" w:rsidRPr="00C533B7">
        <w:t xml:space="preserve"> or delay</w:t>
      </w:r>
      <w:r w:rsidR="00A21392" w:rsidRPr="00C533B7">
        <w:t xml:space="preserve"> the need for</w:t>
      </w:r>
      <w:r w:rsidR="00C95EEA" w:rsidRPr="00C533B7">
        <w:t xml:space="preserve"> </w:t>
      </w:r>
      <w:r w:rsidR="00307E81" w:rsidRPr="00C533B7">
        <w:t xml:space="preserve">people with disabilities </w:t>
      </w:r>
      <w:r w:rsidR="00A21392" w:rsidRPr="00C533B7">
        <w:t xml:space="preserve">to access </w:t>
      </w:r>
      <w:r w:rsidRPr="00C533B7">
        <w:t xml:space="preserve">specialist disability services by </w:t>
      </w:r>
      <w:r w:rsidR="00307E81" w:rsidRPr="00C533B7">
        <w:t>im</w:t>
      </w:r>
      <w:r w:rsidRPr="00C533B7">
        <w:t>proving their access to</w:t>
      </w:r>
      <w:r w:rsidR="00307E81" w:rsidRPr="00C533B7">
        <w:t xml:space="preserve"> community and mainstrea</w:t>
      </w:r>
      <w:r w:rsidRPr="00C533B7">
        <w:t>m services</w:t>
      </w:r>
      <w:r w:rsidR="00A21392" w:rsidRPr="00C533B7">
        <w:t xml:space="preserve">.  It does this by </w:t>
      </w:r>
      <w:r w:rsidR="00307E81" w:rsidRPr="00C533B7">
        <w:t>building</w:t>
      </w:r>
      <w:r w:rsidR="00C95EEA" w:rsidRPr="00C533B7">
        <w:t xml:space="preserve"> </w:t>
      </w:r>
      <w:r w:rsidR="00A21392" w:rsidRPr="00C533B7">
        <w:t>the</w:t>
      </w:r>
      <w:r w:rsidR="00307E81" w:rsidRPr="00C533B7">
        <w:t xml:space="preserve"> skills and capabilities </w:t>
      </w:r>
      <w:r w:rsidRPr="00C533B7">
        <w:t xml:space="preserve">of </w:t>
      </w:r>
      <w:r w:rsidR="00A21392" w:rsidRPr="00C533B7">
        <w:t xml:space="preserve">individuals </w:t>
      </w:r>
      <w:r w:rsidR="00C95EEA" w:rsidRPr="00C533B7">
        <w:t xml:space="preserve">to participate </w:t>
      </w:r>
      <w:r w:rsidR="00B3720D" w:rsidRPr="00C533B7">
        <w:t xml:space="preserve">and contribute to </w:t>
      </w:r>
      <w:r w:rsidR="00C95EEA" w:rsidRPr="00C533B7">
        <w:t>the community</w:t>
      </w:r>
      <w:r w:rsidR="00307E81" w:rsidRPr="00C533B7">
        <w:t xml:space="preserve"> and economy</w:t>
      </w:r>
      <w:r w:rsidR="00C95EEA" w:rsidRPr="00C533B7">
        <w:t>.</w:t>
      </w:r>
      <w:r w:rsidRPr="00C533B7">
        <w:t xml:space="preserve">  By so doing, the additional benefit is that it improves the sustainability of the Scheme.</w:t>
      </w:r>
    </w:p>
    <w:p w:rsidR="00C95EEA" w:rsidRPr="00F53FD1" w:rsidRDefault="00F53FD1" w:rsidP="00E428F4">
      <w:pPr>
        <w:pStyle w:val="Heading2"/>
      </w:pPr>
      <w:bookmarkStart w:id="6" w:name="_Toc524955136"/>
      <w:bookmarkStart w:id="7" w:name="_Toc532982798"/>
      <w:r>
        <w:t xml:space="preserve">2. </w:t>
      </w:r>
      <w:r w:rsidR="00C95EEA" w:rsidRPr="00F53FD1">
        <w:t>The ILC story so far</w:t>
      </w:r>
      <w:bookmarkEnd w:id="6"/>
      <w:bookmarkEnd w:id="7"/>
    </w:p>
    <w:p w:rsidR="00C95EEA" w:rsidRPr="00D42D7A" w:rsidRDefault="00C95EEA" w:rsidP="00C533B7">
      <w:r w:rsidRPr="00D42D7A">
        <w:t>The NDIA began i</w:t>
      </w:r>
      <w:r w:rsidR="00AE45EF">
        <w:t>mplementing the ILC Policy agree</w:t>
      </w:r>
      <w:r w:rsidRPr="00D42D7A">
        <w:t xml:space="preserve">d by the </w:t>
      </w:r>
      <w:r w:rsidR="00E45912">
        <w:t xml:space="preserve">Council of Australian Governments (COAG) Minister’s </w:t>
      </w:r>
      <w:r w:rsidRPr="00D42D7A">
        <w:t xml:space="preserve">Disability Reform Council (DRC) in 2015. </w:t>
      </w:r>
    </w:p>
    <w:p w:rsidR="00C95EEA" w:rsidRPr="00D42D7A" w:rsidRDefault="00C95EEA" w:rsidP="00C533B7">
      <w:r w:rsidRPr="00D42D7A">
        <w:t>As states and territories transition</w:t>
      </w:r>
      <w:r w:rsidR="001B6868">
        <w:t xml:space="preserve">ed to the NDIS, ILC </w:t>
      </w:r>
      <w:r w:rsidRPr="00D42D7A">
        <w:t>initially focused on a series of state based and national grant opportunities. These grant opportunities were designed to support the staged move to a national approach</w:t>
      </w:r>
      <w:r>
        <w:t xml:space="preserve"> in 2019-20</w:t>
      </w:r>
      <w:r w:rsidRPr="00D42D7A">
        <w:t>. So far, these processes have allocated 222 grants totalling $85.9</w:t>
      </w:r>
      <w:r w:rsidR="00763550">
        <w:t> </w:t>
      </w:r>
      <w:r w:rsidRPr="00D42D7A">
        <w:t xml:space="preserve">million (GST ex.) to organisations across Australia to deliver a wide range of ILC activities.  </w:t>
      </w:r>
    </w:p>
    <w:p w:rsidR="00C95EEA" w:rsidRPr="00D42D7A" w:rsidRDefault="00C95EEA" w:rsidP="00C533B7">
      <w:r w:rsidRPr="00D42D7A">
        <w:t xml:space="preserve">ILC grants are designed to complement the role of </w:t>
      </w:r>
      <w:hyperlink r:id="rId14" w:history="1">
        <w:r w:rsidRPr="00D42D7A">
          <w:rPr>
            <w:rStyle w:val="Hyperlink"/>
          </w:rPr>
          <w:t>Local Area Coordinators</w:t>
        </w:r>
      </w:hyperlink>
      <w:r w:rsidRPr="00D42D7A">
        <w:t xml:space="preserve"> (LAC</w:t>
      </w:r>
      <w:r>
        <w:t>s</w:t>
      </w:r>
      <w:r w:rsidRPr="00D42D7A">
        <w:t>)</w:t>
      </w:r>
      <w:r w:rsidR="00067E72">
        <w:t xml:space="preserve"> and Early Childhood Early Intervention (ECEI) Partners</w:t>
      </w:r>
      <w:r w:rsidRPr="00D42D7A">
        <w:t>, who work closely with people in the community, including those with or without an individual plan.  LACs are the local face of ILC, conne</w:t>
      </w:r>
      <w:r w:rsidR="001B6868">
        <w:t xml:space="preserve">cting people with disability to their local community, </w:t>
      </w:r>
      <w:r w:rsidRPr="00D42D7A">
        <w:t>services and programs</w:t>
      </w:r>
      <w:r w:rsidR="001B6868">
        <w:t>.  A</w:t>
      </w:r>
      <w:r w:rsidR="00067E72">
        <w:t xml:space="preserve"> similar role is played </w:t>
      </w:r>
      <w:r w:rsidR="001B6868">
        <w:t xml:space="preserve">for children and young people by the NDIA’s </w:t>
      </w:r>
      <w:r w:rsidR="00067E72">
        <w:t>ECEI Partne</w:t>
      </w:r>
      <w:r w:rsidR="001B6868">
        <w:t>rs</w:t>
      </w:r>
      <w:r w:rsidRPr="00D42D7A">
        <w:t xml:space="preserve">. </w:t>
      </w:r>
    </w:p>
    <w:p w:rsidR="00C95EEA" w:rsidRPr="00F53FD1" w:rsidRDefault="00F53FD1" w:rsidP="00E428F4">
      <w:pPr>
        <w:pStyle w:val="Heading2"/>
      </w:pPr>
      <w:bookmarkStart w:id="8" w:name="_Toc532982799"/>
      <w:r>
        <w:t>3</w:t>
      </w:r>
      <w:r w:rsidR="00C95EEA" w:rsidRPr="00F53FD1">
        <w:t>. Why is ILC changing?</w:t>
      </w:r>
      <w:bookmarkEnd w:id="3"/>
      <w:bookmarkEnd w:id="8"/>
    </w:p>
    <w:p w:rsidR="00CF6EFF" w:rsidRDefault="00CF6EFF" w:rsidP="00C533B7">
      <w:bookmarkStart w:id="9" w:name="_Toc524955138"/>
      <w:r>
        <w:t xml:space="preserve">Both the NDIS and ILC is a world first.  Much is being learned as the Scheme is rolled out.  </w:t>
      </w:r>
    </w:p>
    <w:p w:rsidR="00CF6EFF" w:rsidRDefault="00CF6EFF" w:rsidP="00C533B7">
      <w:r>
        <w:t xml:space="preserve">Learnings are being incorporated based on advice from partners as well as from international evidence of what is effective and what does not offer the same advantages. </w:t>
      </w:r>
    </w:p>
    <w:p w:rsidR="00021CC2" w:rsidRDefault="00021CC2" w:rsidP="00C533B7">
      <w:r>
        <w:t>The core feedback that has been received is as follows:</w:t>
      </w:r>
    </w:p>
    <w:p w:rsidR="00021CC2" w:rsidRDefault="00021CC2" w:rsidP="00C533B7">
      <w:pPr>
        <w:pStyle w:val="Bullets"/>
        <w:numPr>
          <w:ilvl w:val="0"/>
          <w:numId w:val="23"/>
        </w:numPr>
      </w:pPr>
      <w:r>
        <w:t>Annual grants are administratively burdensome</w:t>
      </w:r>
    </w:p>
    <w:p w:rsidR="00021CC2" w:rsidRDefault="00021CC2" w:rsidP="00C533B7">
      <w:pPr>
        <w:pStyle w:val="Bullets"/>
        <w:numPr>
          <w:ilvl w:val="0"/>
          <w:numId w:val="23"/>
        </w:numPr>
      </w:pPr>
      <w:r>
        <w:t>One year grants provide too short a time to make a difference</w:t>
      </w:r>
    </w:p>
    <w:p w:rsidR="00021CC2" w:rsidRDefault="00021CC2" w:rsidP="00C533B7">
      <w:pPr>
        <w:pStyle w:val="Bullets"/>
        <w:numPr>
          <w:ilvl w:val="0"/>
          <w:numId w:val="23"/>
        </w:numPr>
      </w:pPr>
      <w:r>
        <w:t>A more strategic approach should be taken</w:t>
      </w:r>
    </w:p>
    <w:p w:rsidR="00021CC2" w:rsidRDefault="00021CC2" w:rsidP="00C533B7">
      <w:pPr>
        <w:pStyle w:val="Bullets"/>
        <w:numPr>
          <w:ilvl w:val="0"/>
          <w:numId w:val="23"/>
        </w:numPr>
      </w:pPr>
      <w:r>
        <w:t>Programs should be nationally scalable</w:t>
      </w:r>
    </w:p>
    <w:p w:rsidR="00021CC2" w:rsidRDefault="00021CC2" w:rsidP="00C533B7">
      <w:pPr>
        <w:pStyle w:val="Bullets"/>
        <w:numPr>
          <w:ilvl w:val="0"/>
          <w:numId w:val="23"/>
        </w:numPr>
      </w:pPr>
      <w:r>
        <w:t>Outcomes from programs should be measurable</w:t>
      </w:r>
    </w:p>
    <w:p w:rsidR="00CF6EFF" w:rsidRPr="00021CC2" w:rsidRDefault="00021CC2" w:rsidP="00C533B7">
      <w:pPr>
        <w:pStyle w:val="Bullets"/>
        <w:numPr>
          <w:ilvl w:val="0"/>
          <w:numId w:val="23"/>
        </w:numPr>
      </w:pPr>
      <w:r>
        <w:t>The capability of the organisations involved in the ILC program should be enhanced.</w:t>
      </w:r>
    </w:p>
    <w:p w:rsidR="00CF6EFF" w:rsidRDefault="00CF6EFF" w:rsidP="00C533B7">
      <w:r>
        <w:lastRenderedPageBreak/>
        <w:t>This has led to the ILC program being refocussed as outlined in the chart below.</w:t>
      </w:r>
    </w:p>
    <w:p w:rsidR="00C95EEA" w:rsidRPr="00D42D7A" w:rsidRDefault="00C95EEA" w:rsidP="00C533B7"/>
    <w:p w:rsidR="00B224C3" w:rsidRDefault="009D5CC5" w:rsidP="00C533B7">
      <w:r>
        <w:rPr>
          <w:noProof/>
          <w:lang w:eastAsia="en-AU"/>
        </w:rPr>
        <w:drawing>
          <wp:inline distT="0" distB="0" distL="0" distR="0" wp14:anchorId="68BA8B71" wp14:editId="16E4804B">
            <wp:extent cx="5731510" cy="3536950"/>
            <wp:effectExtent l="0" t="0" r="2540" b="6350"/>
            <wp:docPr id="9" name="Picture 9" descr="Chart which shows the changes to the ILC program. From sole reliance on open and competitive grants to a mix of funding models including targeted grants and procurement. From short term funding horizons (usually 12 months) to funding durations adjusted to the needs of each program. From funding framework sets broad parameters to the activities to and investment strategy which specifies activities b ased on scalability and evidence.  From stand alone individual grant monitoring of ILC activities to ILC activity integrated into Agency data management and reporting. From insufficent capability to measure outcomes to concerted focus on monitoring performance, feedback and evaluating impact against NDIS outcomes. From limited focus on peer suppoer organisations and their capacity and capacity building to PLanned investment in systematic support to build the maturity of these organisations." title="ILC chan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536950"/>
                    </a:xfrm>
                    <a:prstGeom prst="rect">
                      <a:avLst/>
                    </a:prstGeom>
                  </pic:spPr>
                </pic:pic>
              </a:graphicData>
            </a:graphic>
          </wp:inline>
        </w:drawing>
      </w:r>
    </w:p>
    <w:p w:rsidR="00CD0854" w:rsidRDefault="00CD0854" w:rsidP="00C533B7"/>
    <w:p w:rsidR="003C5857" w:rsidRPr="00D42D7A" w:rsidRDefault="00CF6EFF" w:rsidP="00C533B7">
      <w:r>
        <w:t>Bu</w:t>
      </w:r>
      <w:r w:rsidR="00021CC2">
        <w:t>t while the NDIA is responding to this feedback, other things will remain the same</w:t>
      </w:r>
      <w:r>
        <w:t xml:space="preserve">.  </w:t>
      </w:r>
      <w:r w:rsidR="00021CC2">
        <w:t xml:space="preserve">That will include </w:t>
      </w:r>
      <w:r w:rsidR="00192BA4">
        <w:t>a</w:t>
      </w:r>
      <w:r w:rsidR="002903F2">
        <w:t xml:space="preserve"> sharpened</w:t>
      </w:r>
      <w:r w:rsidR="00021CC2">
        <w:t xml:space="preserve"> focus </w:t>
      </w:r>
      <w:r w:rsidR="008F37D8">
        <w:t xml:space="preserve">on </w:t>
      </w:r>
      <w:r w:rsidR="00021CC2">
        <w:t xml:space="preserve">organisations </w:t>
      </w:r>
      <w:r w:rsidR="008F37D8">
        <w:t xml:space="preserve">run by and for people with disability </w:t>
      </w:r>
      <w:r w:rsidR="00021CC2">
        <w:t xml:space="preserve">and </w:t>
      </w:r>
      <w:r w:rsidR="00192BA4">
        <w:t xml:space="preserve">ongoing focus </w:t>
      </w:r>
      <w:r w:rsidR="008778C7">
        <w:t xml:space="preserve">on priority groups within the community. These groups include </w:t>
      </w:r>
      <w:r w:rsidR="00967042">
        <w:t xml:space="preserve">people from: </w:t>
      </w:r>
      <w:r w:rsidR="008778C7">
        <w:t>Aboriginal a</w:t>
      </w:r>
      <w:r w:rsidR="00967042">
        <w:t xml:space="preserve">nd Torres Strait Islander communities; </w:t>
      </w:r>
      <w:r w:rsidR="00B21397">
        <w:t>culturally and linguistically d</w:t>
      </w:r>
      <w:r w:rsidR="00967042">
        <w:t>iverse communities; rural and remote areas; and LGBTIQ+ communities. We are committed to building an ILC that works for these groups through using tailored approaches to engagement and commissioning where required. The NDIA will also be continuing to work collaboratively with the Commonwealth, State and Territory Governments to ensure their valuable ex</w:t>
      </w:r>
      <w:r w:rsidR="000F2046">
        <w:t>perience informs future investment.</w:t>
      </w:r>
      <w:r w:rsidR="00967042">
        <w:t xml:space="preserve"> </w:t>
      </w:r>
    </w:p>
    <w:p w:rsidR="00C95EEA" w:rsidRPr="00F53FD1" w:rsidRDefault="00F53FD1" w:rsidP="00E428F4">
      <w:pPr>
        <w:pStyle w:val="Heading2"/>
      </w:pPr>
      <w:bookmarkStart w:id="10" w:name="_Toc532982800"/>
      <w:r>
        <w:t>4</w:t>
      </w:r>
      <w:r w:rsidR="00C95EEA" w:rsidRPr="00F53FD1">
        <w:t>. What’s new about ILC</w:t>
      </w:r>
      <w:bookmarkEnd w:id="9"/>
      <w:r w:rsidR="009B396C">
        <w:t>?</w:t>
      </w:r>
      <w:bookmarkEnd w:id="10"/>
      <w:r w:rsidR="00C95EEA" w:rsidRPr="00F53FD1">
        <w:t xml:space="preserve">  </w:t>
      </w:r>
    </w:p>
    <w:p w:rsidR="00021CC2" w:rsidRDefault="00021CC2" w:rsidP="00C533B7">
      <w:bookmarkStart w:id="11" w:name="_Toc524955139"/>
      <w:r>
        <w:t xml:space="preserve">In response to this feedback from the sector, the </w:t>
      </w:r>
      <w:r w:rsidR="009B396C">
        <w:t>NDIA</w:t>
      </w:r>
      <w:r w:rsidR="00C95EEA" w:rsidRPr="00D42D7A">
        <w:t xml:space="preserve"> is adopting a more strategic </w:t>
      </w:r>
      <w:r w:rsidR="00C95EEA">
        <w:t xml:space="preserve">approach by </w:t>
      </w:r>
      <w:r w:rsidR="00C95EEA" w:rsidRPr="00D42D7A">
        <w:t>specifying,</w:t>
      </w:r>
      <w:r w:rsidR="00C95EEA">
        <w:t xml:space="preserve"> funding</w:t>
      </w:r>
      <w:r w:rsidR="00C95EEA" w:rsidRPr="00D42D7A">
        <w:t xml:space="preserve"> and </w:t>
      </w:r>
      <w:r w:rsidR="00C95EEA">
        <w:t>delivering four</w:t>
      </w:r>
      <w:r w:rsidR="00C95EEA" w:rsidRPr="00D42D7A">
        <w:t xml:space="preserve"> programs </w:t>
      </w:r>
      <w:r w:rsidR="00C95EEA">
        <w:t xml:space="preserve">that </w:t>
      </w:r>
      <w:r w:rsidR="00C95EEA" w:rsidRPr="00D42D7A">
        <w:t xml:space="preserve">are consistent with the ILC </w:t>
      </w:r>
      <w:r w:rsidR="00B21397">
        <w:t>Policy and outcomes framework</w:t>
      </w:r>
      <w:r w:rsidR="00151BB6">
        <w:t>.</w:t>
      </w:r>
      <w:r w:rsidR="00C95EEA">
        <w:t xml:space="preserve"> </w:t>
      </w:r>
    </w:p>
    <w:p w:rsidR="00C14173" w:rsidRPr="006507EE" w:rsidRDefault="00C14173" w:rsidP="00C533B7">
      <w:r>
        <w:t xml:space="preserve">This will involve a </w:t>
      </w:r>
      <w:r w:rsidR="00C95EEA">
        <w:t xml:space="preserve">shift from </w:t>
      </w:r>
      <w:r w:rsidR="00C95EEA" w:rsidRPr="00D42D7A">
        <w:t xml:space="preserve">short term grants to </w:t>
      </w:r>
      <w:r w:rsidR="009B396C">
        <w:t xml:space="preserve">mostly </w:t>
      </w:r>
      <w:r w:rsidR="00B224C3">
        <w:t>three</w:t>
      </w:r>
      <w:r w:rsidR="00151BB6">
        <w:t xml:space="preserve"> </w:t>
      </w:r>
      <w:r w:rsidR="00C95EEA">
        <w:t xml:space="preserve">year </w:t>
      </w:r>
      <w:r w:rsidR="00C95EEA" w:rsidRPr="00D42D7A">
        <w:t>investment</w:t>
      </w:r>
      <w:r w:rsidR="00C95EEA">
        <w:t xml:space="preserve">s in </w:t>
      </w:r>
      <w:r w:rsidR="009B396C">
        <w:t>delivering each program.</w:t>
      </w:r>
      <w:r w:rsidR="00C95EEA" w:rsidRPr="00D42D7A">
        <w:t xml:space="preserve"> </w:t>
      </w:r>
    </w:p>
    <w:p w:rsidR="00CD0854" w:rsidRDefault="009B396C" w:rsidP="00C533B7">
      <w:r>
        <w:t>A clear purpose, including investment principles and objectives, have been set to guide the next phase of implementing ILC.</w:t>
      </w:r>
    </w:p>
    <w:p w:rsidR="00113ACC" w:rsidRDefault="00200EE8" w:rsidP="00C533B7">
      <w:r>
        <w:rPr>
          <w:noProof/>
          <w:lang w:eastAsia="en-AU"/>
        </w:rPr>
        <w:lastRenderedPageBreak/>
        <w:drawing>
          <wp:inline distT="0" distB="0" distL="0" distR="0" wp14:anchorId="0345FC41">
            <wp:extent cx="6387370" cy="3158454"/>
            <wp:effectExtent l="0" t="0" r="0" b="4445"/>
            <wp:docPr id="470" name="Picture 470" descr="This diagram shows the ILC Purpose which is to invest in creating more inclusive services, communities and workplaces. It does this with investment principles activities which are evidence based, led by and for people with disability and their families, activities that are replicable and scalable to national impact which support priority cohort groups and a sustainable NDIS. These principles link to investment objectives to build the capacity of people with disability, carers and families and enable inclusion and disability awareness in the community. The four programs are exmaplined in the next section." title="ILC Investment principles and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5876" cy="3167605"/>
                    </a:xfrm>
                    <a:prstGeom prst="rect">
                      <a:avLst/>
                    </a:prstGeom>
                    <a:noFill/>
                  </pic:spPr>
                </pic:pic>
              </a:graphicData>
            </a:graphic>
          </wp:inline>
        </w:drawing>
      </w:r>
    </w:p>
    <w:p w:rsidR="00AB15F8" w:rsidRDefault="00AB15F8" w:rsidP="00C533B7"/>
    <w:p w:rsidR="006679CF" w:rsidRDefault="006679CF" w:rsidP="00C533B7">
      <w:r w:rsidRPr="006679CF">
        <w:t xml:space="preserve">The four discrete, but complementary programs that will be </w:t>
      </w:r>
      <w:r w:rsidR="00FC3767">
        <w:t>progressively implemented from the 2019-20 FY are</w:t>
      </w:r>
      <w:r w:rsidRPr="006679CF">
        <w:t>:</w:t>
      </w:r>
    </w:p>
    <w:p w:rsidR="00C95EEA" w:rsidRPr="00B3026F" w:rsidRDefault="00C95EEA" w:rsidP="00C533B7">
      <w:pPr>
        <w:pStyle w:val="Bullets"/>
      </w:pPr>
      <w:r w:rsidRPr="007535AE">
        <w:rPr>
          <w:b/>
        </w:rPr>
        <w:t>Individual Capacity Building Program:</w:t>
      </w:r>
      <w:r w:rsidRPr="007535AE">
        <w:t xml:space="preserve"> enabling </w:t>
      </w:r>
      <w:r w:rsidR="00E86FBA">
        <w:t xml:space="preserve">systematic, </w:t>
      </w:r>
      <w:r w:rsidRPr="007535AE">
        <w:t xml:space="preserve">nationwide access to peer support, mentoring and other skills building for people with disability, carers and families. A national network of </w:t>
      </w:r>
      <w:r w:rsidR="006B5CC6">
        <w:t xml:space="preserve">organisations run by and for people with disability, </w:t>
      </w:r>
      <w:r w:rsidRPr="007535AE">
        <w:t>Disabled Pe</w:t>
      </w:r>
      <w:r w:rsidR="00B21397">
        <w:t>ople</w:t>
      </w:r>
      <w:r w:rsidR="00B224C3">
        <w:t xml:space="preserve"> Organisation</w:t>
      </w:r>
      <w:r w:rsidRPr="007535AE">
        <w:t xml:space="preserve"> and Families Organisations (DP</w:t>
      </w:r>
      <w:r w:rsidR="00B224C3">
        <w:t>O</w:t>
      </w:r>
      <w:r w:rsidR="00B21397">
        <w:t>s</w:t>
      </w:r>
      <w:r w:rsidR="00B224C3">
        <w:t>/FOs</w:t>
      </w:r>
      <w:r w:rsidRPr="007535AE">
        <w:t xml:space="preserve">), will be </w:t>
      </w:r>
      <w:r w:rsidR="006B5CC6">
        <w:t>established and supported</w:t>
      </w:r>
      <w:r w:rsidR="006B5CC6" w:rsidRPr="007535AE">
        <w:t xml:space="preserve"> </w:t>
      </w:r>
      <w:r w:rsidRPr="007535AE">
        <w:t xml:space="preserve">to deliver this program. </w:t>
      </w:r>
      <w:r w:rsidR="006B5CC6">
        <w:t>The recent 2018-19 grant round targeting DP</w:t>
      </w:r>
      <w:r w:rsidR="00B224C3">
        <w:t>O</w:t>
      </w:r>
      <w:r w:rsidR="00B21397">
        <w:t>s</w:t>
      </w:r>
      <w:r w:rsidR="00B224C3">
        <w:t>/</w:t>
      </w:r>
      <w:r w:rsidR="006B5CC6">
        <w:t xml:space="preserve">FOs is designed to lay </w:t>
      </w:r>
      <w:r w:rsidR="00021CC2">
        <w:t xml:space="preserve">the </w:t>
      </w:r>
      <w:r w:rsidR="006B5CC6">
        <w:t xml:space="preserve">foundations for this program. </w:t>
      </w:r>
      <w:r w:rsidRPr="007535AE">
        <w:t>Ultimately, this program will help people with disability</w:t>
      </w:r>
      <w:r w:rsidR="00B3720D">
        <w:t xml:space="preserve"> and their families/carers </w:t>
      </w:r>
      <w:r w:rsidRPr="007535AE">
        <w:t xml:space="preserve">to </w:t>
      </w:r>
      <w:r w:rsidR="00E86FBA">
        <w:t>improve their</w:t>
      </w:r>
      <w:r w:rsidRPr="007535AE">
        <w:t xml:space="preserve"> knowledge, skills and confidence to set and achieve their goals.</w:t>
      </w:r>
    </w:p>
    <w:p w:rsidR="00B3026F" w:rsidRPr="00FA0B36" w:rsidRDefault="00B3026F" w:rsidP="00FA0B36">
      <w:pPr>
        <w:pStyle w:val="Heading4"/>
        <w:rPr>
          <w:i w:val="0"/>
          <w:color w:val="auto"/>
        </w:rPr>
      </w:pPr>
      <w:r w:rsidRPr="00FA0B36">
        <w:rPr>
          <w:i w:val="0"/>
          <w:color w:val="auto"/>
        </w:rPr>
        <w:t>Example: Individual Capacity Building Program</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2"/>
      </w:tblGrid>
      <w:tr w:rsidR="002F70CA" w:rsidTr="002F70CA">
        <w:trPr>
          <w:trHeight w:val="1624"/>
        </w:trPr>
        <w:tc>
          <w:tcPr>
            <w:tcW w:w="8802" w:type="dxa"/>
          </w:tcPr>
          <w:p w:rsidR="002F70CA" w:rsidRDefault="002F70CA" w:rsidP="002F70CA">
            <w:pPr>
              <w:ind w:left="22"/>
            </w:pPr>
            <w:r>
              <w:t>C</w:t>
            </w:r>
            <w:r w:rsidRPr="00B3026F">
              <w:t xml:space="preserve">an provide support for people in particular circumstances. For example, people with a </w:t>
            </w:r>
            <w:r>
              <w:t>cognitive</w:t>
            </w:r>
            <w:r w:rsidRPr="00B3026F">
              <w:t xml:space="preserve"> impairment and/or intellectual disability at risk of a custodial sentence can be assisted through provision of a specialised and intensive support model of mentoring, and capacity building targeting self-awareness, knowledge of rights, communication and leadership.</w:t>
            </w:r>
          </w:p>
        </w:tc>
      </w:tr>
    </w:tbl>
    <w:p w:rsidR="00E82713" w:rsidRDefault="00E82713">
      <w:pPr>
        <w:spacing w:before="0"/>
        <w:rPr>
          <w:b/>
        </w:rPr>
      </w:pPr>
      <w:r>
        <w:rPr>
          <w:b/>
        </w:rPr>
        <w:br w:type="page"/>
      </w:r>
    </w:p>
    <w:p w:rsidR="00C95EEA" w:rsidRPr="00B3026F" w:rsidRDefault="00C95EEA" w:rsidP="00C533B7">
      <w:pPr>
        <w:pStyle w:val="Bullets"/>
        <w:rPr>
          <w:rFonts w:ascii="Calibri" w:hAnsi="Calibri"/>
        </w:rPr>
      </w:pPr>
      <w:r w:rsidRPr="00942161">
        <w:rPr>
          <w:b/>
        </w:rPr>
        <w:lastRenderedPageBreak/>
        <w:t>National Information Program:</w:t>
      </w:r>
      <w:r w:rsidRPr="00942161">
        <w:t xml:space="preserve"> </w:t>
      </w:r>
      <w:r w:rsidR="00E86FBA" w:rsidRPr="00942161">
        <w:t>ensuring</w:t>
      </w:r>
      <w:r w:rsidRPr="00942161">
        <w:t xml:space="preserve"> people with disability, their families and carers </w:t>
      </w:r>
      <w:r w:rsidR="00001AE7" w:rsidRPr="00942161">
        <w:t xml:space="preserve">have </w:t>
      </w:r>
      <w:r w:rsidRPr="00942161">
        <w:t xml:space="preserve">access to up-to-date, relevant information linking them to </w:t>
      </w:r>
      <w:r w:rsidR="00B3720D" w:rsidRPr="00942161">
        <w:t xml:space="preserve">supports and </w:t>
      </w:r>
      <w:r w:rsidR="00067E72" w:rsidRPr="00942161">
        <w:t>services</w:t>
      </w:r>
      <w:r w:rsidRPr="00942161">
        <w:t xml:space="preserve"> in the community. A national </w:t>
      </w:r>
      <w:r w:rsidR="007C05CD" w:rsidRPr="00942161">
        <w:t>program of</w:t>
      </w:r>
      <w:r w:rsidRPr="00942161">
        <w:t xml:space="preserve"> high quality information products covering various disability types and support options will be </w:t>
      </w:r>
      <w:r w:rsidR="007C05CD" w:rsidRPr="00942161">
        <w:t>funded</w:t>
      </w:r>
      <w:r w:rsidR="006B5CC6" w:rsidRPr="00942161">
        <w:t xml:space="preserve">, including from national diagnostically specific organisations and </w:t>
      </w:r>
      <w:r w:rsidR="00BF2C3B" w:rsidRPr="00942161">
        <w:t>p</w:t>
      </w:r>
      <w:r w:rsidR="006B5CC6" w:rsidRPr="00942161">
        <w:t xml:space="preserve">eak </w:t>
      </w:r>
      <w:r w:rsidR="00B21397">
        <w:t>b</w:t>
      </w:r>
      <w:r w:rsidR="006B5CC6" w:rsidRPr="00942161">
        <w:t xml:space="preserve">odies, </w:t>
      </w:r>
      <w:r w:rsidR="007C05CD" w:rsidRPr="00942161">
        <w:t>accessible</w:t>
      </w:r>
      <w:r w:rsidR="00E86FBA" w:rsidRPr="00942161">
        <w:t xml:space="preserve"> through our Local Area Coordinators and the DP</w:t>
      </w:r>
      <w:r w:rsidR="00B224C3" w:rsidRPr="00942161">
        <w:t>O</w:t>
      </w:r>
      <w:r w:rsidR="00B21397">
        <w:t>s</w:t>
      </w:r>
      <w:r w:rsidR="00B224C3" w:rsidRPr="00942161">
        <w:t>/</w:t>
      </w:r>
      <w:r w:rsidR="00E86FBA" w:rsidRPr="00942161">
        <w:t>FO</w:t>
      </w:r>
      <w:r w:rsidR="00B21397">
        <w:t>s</w:t>
      </w:r>
      <w:r w:rsidR="00E86FBA" w:rsidRPr="00942161">
        <w:t xml:space="preserve"> network</w:t>
      </w:r>
      <w:r w:rsidRPr="00942161">
        <w:t>. Th</w:t>
      </w:r>
      <w:r w:rsidR="00001AE7" w:rsidRPr="00942161">
        <w:t xml:space="preserve">e </w:t>
      </w:r>
      <w:r w:rsidRPr="00942161">
        <w:t xml:space="preserve">program will enable people with disability, their families and carers to make </w:t>
      </w:r>
      <w:r w:rsidR="00001AE7" w:rsidRPr="00942161">
        <w:t xml:space="preserve">better </w:t>
      </w:r>
      <w:r w:rsidRPr="00942161">
        <w:t>informed choices and decisions.</w:t>
      </w:r>
    </w:p>
    <w:p w:rsidR="00B3026F" w:rsidRPr="00E428F4" w:rsidRDefault="00B3026F" w:rsidP="00C533B7">
      <w:pPr>
        <w:pStyle w:val="Heading4"/>
        <w:rPr>
          <w:i w:val="0"/>
          <w:color w:val="auto"/>
        </w:rPr>
      </w:pPr>
      <w:r w:rsidRPr="00E428F4">
        <w:rPr>
          <w:i w:val="0"/>
          <w:color w:val="auto"/>
        </w:rPr>
        <w:t>Example: National Information Program</w:t>
      </w:r>
    </w:p>
    <w:tbl>
      <w:tblPr>
        <w:tblW w:w="91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0"/>
      </w:tblGrid>
      <w:tr w:rsidR="002F70CA" w:rsidTr="002F70CA">
        <w:trPr>
          <w:trHeight w:val="3659"/>
        </w:trPr>
        <w:tc>
          <w:tcPr>
            <w:tcW w:w="9110" w:type="dxa"/>
          </w:tcPr>
          <w:p w:rsidR="002F70CA" w:rsidRDefault="002F70CA" w:rsidP="002F70CA">
            <w:pPr>
              <w:ind w:left="7"/>
            </w:pPr>
            <w:r w:rsidRPr="00B3026F">
              <w:t xml:space="preserve">The ILC National Information Program will be an avenue for providing quality information, </w:t>
            </w:r>
            <w:r w:rsidRPr="002F70CA">
              <w:t xml:space="preserve">targeting priority cohorts, such as information about autism and the services and supports available within their community for people with autism (particularly age 7+), their families and carers. This may include: </w:t>
            </w:r>
          </w:p>
          <w:p w:rsidR="002F70CA" w:rsidRDefault="002F70CA" w:rsidP="002F70CA">
            <w:pPr>
              <w:pStyle w:val="Bullets"/>
              <w:ind w:left="721"/>
            </w:pPr>
            <w:r w:rsidRPr="002F70CA">
              <w:t>independent, accessible, evidence-based information about diagnosis advice</w:t>
            </w:r>
          </w:p>
          <w:p w:rsidR="002F70CA" w:rsidRDefault="002F70CA" w:rsidP="002F70CA">
            <w:pPr>
              <w:pStyle w:val="Bullets"/>
              <w:ind w:left="721"/>
            </w:pPr>
            <w:r>
              <w:t>service information</w:t>
            </w:r>
          </w:p>
          <w:p w:rsidR="002F70CA" w:rsidRPr="002F70CA" w:rsidRDefault="002F70CA" w:rsidP="002F70CA">
            <w:pPr>
              <w:pStyle w:val="Bullets"/>
              <w:ind w:left="721"/>
            </w:pPr>
            <w:r>
              <w:t>r</w:t>
            </w:r>
            <w:r w:rsidRPr="002F70CA">
              <w:t>eferrals to community and peer support</w:t>
            </w:r>
          </w:p>
          <w:p w:rsidR="002F70CA" w:rsidRDefault="002F70CA" w:rsidP="002F70CA">
            <w:pPr>
              <w:ind w:left="7"/>
            </w:pPr>
            <w:r w:rsidRPr="002F70CA">
              <w:t>The information may be provided by phone, SMS, email and a web service, enabling people to get the information they need at a time and in a format that suits them, reducing the need for people to seek individual supports through the NDIS. </w:t>
            </w:r>
          </w:p>
        </w:tc>
      </w:tr>
    </w:tbl>
    <w:p w:rsidR="00C95EEA" w:rsidRPr="0068387E" w:rsidRDefault="00E86FBA" w:rsidP="00C533B7">
      <w:pPr>
        <w:pStyle w:val="Bullets"/>
      </w:pPr>
      <w:r>
        <w:rPr>
          <w:b/>
        </w:rPr>
        <w:t xml:space="preserve">Economic and </w:t>
      </w:r>
      <w:r w:rsidR="00825CE1">
        <w:rPr>
          <w:b/>
        </w:rPr>
        <w:t>Community Participation</w:t>
      </w:r>
      <w:r w:rsidR="00EB5EA8">
        <w:rPr>
          <w:b/>
        </w:rPr>
        <w:t xml:space="preserve"> </w:t>
      </w:r>
      <w:r w:rsidR="00C95EEA" w:rsidRPr="007535AE">
        <w:rPr>
          <w:b/>
        </w:rPr>
        <w:t>Program:</w:t>
      </w:r>
      <w:r w:rsidR="00C95EEA" w:rsidRPr="007535AE">
        <w:t xml:space="preserve"> connecting people with disability to activities, employment and community supports</w:t>
      </w:r>
      <w:r w:rsidR="00B3720D">
        <w:t xml:space="preserve"> and opportunities</w:t>
      </w:r>
      <w:r w:rsidR="00C95EEA" w:rsidRPr="007535AE">
        <w:t>, helping communities</w:t>
      </w:r>
      <w:r w:rsidR="007C05CD">
        <w:t xml:space="preserve"> and employers</w:t>
      </w:r>
      <w:r w:rsidR="00FA4393">
        <w:t xml:space="preserve"> </w:t>
      </w:r>
      <w:r w:rsidR="00C95EEA" w:rsidRPr="007535AE">
        <w:t xml:space="preserve">to be inclusive and responsive to people’s needs locally, and nationally. </w:t>
      </w:r>
    </w:p>
    <w:p w:rsidR="00C57AB1" w:rsidRPr="00C533B7" w:rsidRDefault="00C95EEA" w:rsidP="00C533B7">
      <w:pPr>
        <w:pStyle w:val="Bullets"/>
        <w:rPr>
          <w:rFonts w:ascii="Calibri" w:hAnsi="Calibri"/>
        </w:rPr>
      </w:pPr>
      <w:r w:rsidRPr="007535AE">
        <w:rPr>
          <w:b/>
        </w:rPr>
        <w:t>Mainstream Capacity Building Program:</w:t>
      </w:r>
      <w:r w:rsidRPr="007535AE">
        <w:t xml:space="preserve"> building the capacity, knowledge, skills, practices and cultures of mainstream services so they have the skills to meet the needs of people with disability</w:t>
      </w:r>
      <w:r w:rsidR="00E86FBA">
        <w:t xml:space="preserve"> through short term catalyst investments</w:t>
      </w:r>
      <w:r w:rsidRPr="007535AE">
        <w:t xml:space="preserve">. Targeting access and improving use of mainstream services by people with disability, to </w:t>
      </w:r>
      <w:r w:rsidR="00E86FBA">
        <w:t>improve life outcomes</w:t>
      </w:r>
      <w:r w:rsidRPr="007535AE">
        <w:t>.</w:t>
      </w:r>
    </w:p>
    <w:p w:rsidR="002F70CA" w:rsidRPr="00E428F4" w:rsidRDefault="002F70CA" w:rsidP="002F70CA">
      <w:pPr>
        <w:pStyle w:val="Heading4"/>
        <w:rPr>
          <w:i w:val="0"/>
          <w:color w:val="auto"/>
        </w:rPr>
      </w:pPr>
      <w:r w:rsidRPr="00E428F4">
        <w:rPr>
          <w:i w:val="0"/>
          <w:color w:val="auto"/>
        </w:rPr>
        <w:t xml:space="preserve">Example: Mainstream Capacity Building Program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0"/>
      </w:tblGrid>
      <w:tr w:rsidR="002F70CA" w:rsidTr="002F70CA">
        <w:trPr>
          <w:trHeight w:val="1352"/>
        </w:trPr>
        <w:tc>
          <w:tcPr>
            <w:tcW w:w="8860" w:type="dxa"/>
          </w:tcPr>
          <w:p w:rsidR="002F70CA" w:rsidRDefault="002F70CA" w:rsidP="002F70CA">
            <w:r w:rsidRPr="002F70CA">
              <w:t>An example of a national mainstream capacity building activity is one that facilitates conversations between mainstream services staff and people with an intellectual disability leading to improved inclusive behaviours and increased opportunities for participation of people with intellectual disability.</w:t>
            </w:r>
          </w:p>
        </w:tc>
      </w:tr>
    </w:tbl>
    <w:p w:rsidR="002B7430" w:rsidRPr="006507EE" w:rsidRDefault="00165523" w:rsidP="00C533B7">
      <w:r>
        <w:t>This</w:t>
      </w:r>
      <w:r w:rsidR="002B7430" w:rsidRPr="006507EE">
        <w:t xml:space="preserve"> new approach to ILC investment </w:t>
      </w:r>
      <w:r w:rsidR="002B7430">
        <w:t xml:space="preserve">is designed to </w:t>
      </w:r>
      <w:r w:rsidR="000F4313">
        <w:t>ensure:</w:t>
      </w:r>
    </w:p>
    <w:p w:rsidR="002B7430" w:rsidRPr="004F24AC" w:rsidRDefault="002B7430" w:rsidP="00C533B7">
      <w:pPr>
        <w:pStyle w:val="Bullets"/>
      </w:pPr>
      <w:r>
        <w:t xml:space="preserve">There </w:t>
      </w:r>
      <w:r w:rsidRPr="006507EE">
        <w:t>a</w:t>
      </w:r>
      <w:r>
        <w:t>re</w:t>
      </w:r>
      <w:r w:rsidRPr="006507EE">
        <w:t xml:space="preserve"> alternative pathway</w:t>
      </w:r>
      <w:r>
        <w:t>s</w:t>
      </w:r>
      <w:r w:rsidRPr="006507EE">
        <w:t xml:space="preserve"> to an ordinary life for people with a </w:t>
      </w:r>
      <w:r w:rsidR="00C57AB1" w:rsidRPr="006507EE">
        <w:t>disability</w:t>
      </w:r>
      <w:r w:rsidR="00C57AB1">
        <w:t xml:space="preserve"> </w:t>
      </w:r>
      <w:r w:rsidR="00C57AB1" w:rsidRPr="004F24AC">
        <w:t>particularly</w:t>
      </w:r>
      <w:r w:rsidRPr="004F24AC">
        <w:t xml:space="preserve"> by building the capacity of non-participants to achieve their goals outside of specialist disability services</w:t>
      </w:r>
      <w:r w:rsidR="00C57AB1">
        <w:t>.</w:t>
      </w:r>
    </w:p>
    <w:p w:rsidR="002B7430" w:rsidRPr="006507EE" w:rsidRDefault="00C57AB1" w:rsidP="00C533B7">
      <w:pPr>
        <w:pStyle w:val="Bullets"/>
      </w:pPr>
      <w:r>
        <w:t>P</w:t>
      </w:r>
      <w:r w:rsidR="002B7430" w:rsidRPr="006507EE">
        <w:t>eople with disability, their family and carers have greater access to information and supports</w:t>
      </w:r>
      <w:r>
        <w:t>.</w:t>
      </w:r>
      <w:r w:rsidR="002B7430" w:rsidRPr="006507EE">
        <w:t xml:space="preserve"> </w:t>
      </w:r>
    </w:p>
    <w:p w:rsidR="002B7430" w:rsidRPr="006507EE" w:rsidRDefault="00C57AB1" w:rsidP="00C533B7">
      <w:pPr>
        <w:pStyle w:val="Bullets"/>
      </w:pPr>
      <w:r>
        <w:lastRenderedPageBreak/>
        <w:t>P</w:t>
      </w:r>
      <w:r w:rsidR="002B7430" w:rsidRPr="006507EE">
        <w:t xml:space="preserve">eople with disability, their family and carers build their knowledge, skills and confidence </w:t>
      </w:r>
      <w:r w:rsidR="002B7430">
        <w:t>to</w:t>
      </w:r>
      <w:r w:rsidR="002B7430" w:rsidRPr="006507EE">
        <w:t xml:space="preserve"> participate in social and economic </w:t>
      </w:r>
      <w:r w:rsidR="002B7430">
        <w:t>life</w:t>
      </w:r>
      <w:r>
        <w:t>.</w:t>
      </w:r>
    </w:p>
    <w:p w:rsidR="002B7430" w:rsidRPr="006507EE" w:rsidRDefault="00C57AB1" w:rsidP="00C533B7">
      <w:pPr>
        <w:pStyle w:val="Bullets"/>
      </w:pPr>
      <w:r>
        <w:t xml:space="preserve">A </w:t>
      </w:r>
      <w:r w:rsidR="002B7430" w:rsidRPr="006507EE">
        <w:t xml:space="preserve">more aligned </w:t>
      </w:r>
      <w:r w:rsidR="007C05CD">
        <w:t>service delivery system</w:t>
      </w:r>
      <w:r>
        <w:t xml:space="preserve"> of</w:t>
      </w:r>
      <w:r w:rsidR="002B7430" w:rsidRPr="006507EE">
        <w:t xml:space="preserve"> ILC delivery, grounded in organisations run by and for people with disability and/or their families and carers</w:t>
      </w:r>
      <w:r>
        <w:t>.</w:t>
      </w:r>
    </w:p>
    <w:p w:rsidR="002B7430" w:rsidRDefault="00C57AB1" w:rsidP="00C533B7">
      <w:pPr>
        <w:pStyle w:val="Bullets"/>
      </w:pPr>
      <w:r>
        <w:t>S</w:t>
      </w:r>
      <w:r w:rsidR="002B7430" w:rsidRPr="006507EE">
        <w:t>trong collaboration across government and the sector that avoids duplication and maximises the NDIA’s investment in ILC.</w:t>
      </w:r>
    </w:p>
    <w:p w:rsidR="002B7430" w:rsidRPr="006507EE" w:rsidRDefault="002B7430" w:rsidP="00C533B7">
      <w:pPr>
        <w:pStyle w:val="Bullets"/>
      </w:pPr>
      <w:r>
        <w:t>Improved measurement of reach and impact of the ILC strategy.</w:t>
      </w:r>
    </w:p>
    <w:p w:rsidR="00C95EEA" w:rsidRPr="00BA2CF6" w:rsidRDefault="00165523" w:rsidP="00C533B7">
      <w:r>
        <w:t xml:space="preserve">The </w:t>
      </w:r>
      <w:r w:rsidR="00E86FBA" w:rsidRPr="00BA2CF6">
        <w:t>investment principles and enhanced measurement and evaluat</w:t>
      </w:r>
      <w:r>
        <w:t>ion capability will enable</w:t>
      </w:r>
      <w:r w:rsidR="00E86FBA" w:rsidRPr="00BA2CF6">
        <w:t xml:space="preserve"> </w:t>
      </w:r>
      <w:r w:rsidR="00117190" w:rsidRPr="00BA2CF6">
        <w:t>the impact and effectiveness</w:t>
      </w:r>
      <w:r w:rsidR="00E86FBA" w:rsidRPr="00BA2CF6">
        <w:t xml:space="preserve"> of </w:t>
      </w:r>
      <w:r w:rsidR="006E7F18" w:rsidRPr="00BA2CF6">
        <w:t>these programs</w:t>
      </w:r>
      <w:r w:rsidR="00E86FBA" w:rsidRPr="00BA2CF6">
        <w:t xml:space="preserve"> </w:t>
      </w:r>
      <w:r>
        <w:t xml:space="preserve">to be measured </w:t>
      </w:r>
      <w:r w:rsidR="00E86FBA" w:rsidRPr="00BA2CF6">
        <w:t xml:space="preserve">over time, </w:t>
      </w:r>
      <w:r>
        <w:t xml:space="preserve">so </w:t>
      </w:r>
      <w:r w:rsidR="00117190" w:rsidRPr="00BA2CF6">
        <w:t>learn</w:t>
      </w:r>
      <w:r>
        <w:t>ings</w:t>
      </w:r>
      <w:r w:rsidR="00117190" w:rsidRPr="00BA2CF6">
        <w:t xml:space="preserve"> and adjust</w:t>
      </w:r>
      <w:r>
        <w:t>ments can be made</w:t>
      </w:r>
      <w:r w:rsidR="00E86FBA" w:rsidRPr="00BA2CF6">
        <w:t>.</w:t>
      </w:r>
      <w:r w:rsidR="00C95EEA" w:rsidRPr="00BA2CF6">
        <w:t xml:space="preserve"> </w:t>
      </w:r>
      <w:r>
        <w:t xml:space="preserve"> T</w:t>
      </w:r>
      <w:r w:rsidR="00831400" w:rsidRPr="00BA2CF6">
        <w:t xml:space="preserve">he </w:t>
      </w:r>
      <w:r w:rsidR="006E7F18" w:rsidRPr="00BA2CF6">
        <w:t xml:space="preserve">implementation </w:t>
      </w:r>
      <w:r w:rsidR="00C57AB1">
        <w:t>of programs with national reach that drive consistency of supports and experience</w:t>
      </w:r>
      <w:r>
        <w:t xml:space="preserve"> will be balanced </w:t>
      </w:r>
      <w:r w:rsidR="00F9357D">
        <w:t>with program</w:t>
      </w:r>
      <w:r>
        <w:t>s</w:t>
      </w:r>
      <w:r w:rsidR="00F9357D">
        <w:t xml:space="preserve"> </w:t>
      </w:r>
      <w:r w:rsidR="00C57AB1">
        <w:t>that are responsive to</w:t>
      </w:r>
      <w:r w:rsidR="00F9357D">
        <w:t xml:space="preserve"> the</w:t>
      </w:r>
      <w:r w:rsidR="00C57AB1">
        <w:t xml:space="preserve"> specific </w:t>
      </w:r>
      <w:r w:rsidR="00F9357D">
        <w:t>issue and needs of jurisdictions</w:t>
      </w:r>
      <w:r w:rsidR="00C57AB1">
        <w:t xml:space="preserve">. </w:t>
      </w:r>
      <w:r w:rsidR="00C95EEA" w:rsidRPr="00BA2CF6">
        <w:t>While the method</w:t>
      </w:r>
      <w:r w:rsidR="006B5CC6" w:rsidRPr="00BA2CF6">
        <w:t>s</w:t>
      </w:r>
      <w:r w:rsidR="00C95EEA" w:rsidRPr="00BA2CF6">
        <w:t xml:space="preserve"> for awarding funding under each program will change, a wide range of </w:t>
      </w:r>
      <w:r w:rsidR="00E86FBA" w:rsidRPr="00BA2CF6">
        <w:t xml:space="preserve">funding </w:t>
      </w:r>
      <w:r w:rsidR="00C95EEA" w:rsidRPr="00BA2CF6">
        <w:t xml:space="preserve">opportunities will be available. </w:t>
      </w:r>
    </w:p>
    <w:p w:rsidR="00C95EEA" w:rsidRPr="007535AE" w:rsidRDefault="00C95EEA" w:rsidP="00C533B7">
      <w:r w:rsidRPr="00BA2CF6">
        <w:t>In addition to the new programs, there w</w:t>
      </w:r>
      <w:r w:rsidR="00C57AB1">
        <w:t xml:space="preserve">ill be a stronger </w:t>
      </w:r>
      <w:r w:rsidR="00165523">
        <w:t xml:space="preserve">focus on </w:t>
      </w:r>
      <w:r w:rsidR="004D1923" w:rsidRPr="00BA2CF6">
        <w:t xml:space="preserve">incremental </w:t>
      </w:r>
      <w:r w:rsidRPr="00BA2CF6">
        <w:t xml:space="preserve">improvements to </w:t>
      </w:r>
      <w:r w:rsidR="004D1923" w:rsidRPr="00BA2CF6">
        <w:t xml:space="preserve">ILC </w:t>
      </w:r>
      <w:r w:rsidRPr="00BA2CF6">
        <w:t>activities delivered and managed by Local Area Coordinators (LACs) and DP</w:t>
      </w:r>
      <w:r w:rsidR="00AA7096" w:rsidRPr="00BA2CF6">
        <w:t>O</w:t>
      </w:r>
      <w:r w:rsidR="003163D2">
        <w:t>s</w:t>
      </w:r>
      <w:r w:rsidR="00AA7096" w:rsidRPr="00BA2CF6">
        <w:t>/</w:t>
      </w:r>
      <w:r w:rsidRPr="00BA2CF6">
        <w:t>FO</w:t>
      </w:r>
      <w:r w:rsidR="00C14173" w:rsidRPr="00BA2CF6">
        <w:t>s</w:t>
      </w:r>
      <w:r w:rsidR="006E7F18" w:rsidRPr="00BA2CF6">
        <w:t xml:space="preserve"> </w:t>
      </w:r>
      <w:r w:rsidR="00C14173" w:rsidRPr="00BA2CF6">
        <w:t>in their communities</w:t>
      </w:r>
      <w:r w:rsidRPr="00BA2CF6">
        <w:t xml:space="preserve">. </w:t>
      </w:r>
      <w:r w:rsidR="004D1923" w:rsidRPr="00BA2CF6">
        <w:t xml:space="preserve">The Strategy envisages </w:t>
      </w:r>
      <w:r w:rsidRPr="00BA2CF6">
        <w:t>LACs and DP</w:t>
      </w:r>
      <w:r w:rsidR="00AA7096" w:rsidRPr="00BA2CF6">
        <w:t>O</w:t>
      </w:r>
      <w:r w:rsidR="003163D2">
        <w:t>s</w:t>
      </w:r>
      <w:r w:rsidR="00831400" w:rsidRPr="00BA2CF6">
        <w:t>/</w:t>
      </w:r>
      <w:r w:rsidRPr="00BA2CF6">
        <w:t xml:space="preserve">FOs </w:t>
      </w:r>
      <w:r w:rsidR="004D1923" w:rsidRPr="00BA2CF6">
        <w:t xml:space="preserve">working in a coordinated way, together with </w:t>
      </w:r>
      <w:r w:rsidR="00C14173" w:rsidRPr="00BA2CF6">
        <w:t xml:space="preserve">other </w:t>
      </w:r>
      <w:r w:rsidR="004D1923" w:rsidRPr="00BA2CF6">
        <w:t>ILC funded projects in their</w:t>
      </w:r>
      <w:r w:rsidR="00C14173" w:rsidRPr="00BA2CF6">
        <w:t xml:space="preserve"> area</w:t>
      </w:r>
      <w:r w:rsidR="004D1923" w:rsidRPr="00BA2CF6">
        <w:t xml:space="preserve"> </w:t>
      </w:r>
      <w:r w:rsidR="006E7F18" w:rsidRPr="00BA2CF6">
        <w:t xml:space="preserve">to maximise the value of </w:t>
      </w:r>
      <w:r w:rsidR="00AE7DD1">
        <w:t>comple</w:t>
      </w:r>
      <w:r w:rsidR="00C14173" w:rsidRPr="00BA2CF6">
        <w:t>mentary</w:t>
      </w:r>
      <w:r w:rsidR="006E7F18" w:rsidRPr="00BA2CF6">
        <w:t xml:space="preserve"> investments and deliver</w:t>
      </w:r>
      <w:r w:rsidR="004D1923" w:rsidRPr="00BA2CF6">
        <w:t xml:space="preserve"> the best </w:t>
      </w:r>
      <w:r w:rsidR="006E7F18" w:rsidRPr="00BA2CF6">
        <w:t xml:space="preserve">ILC </w:t>
      </w:r>
      <w:r w:rsidR="004D1923" w:rsidRPr="00BA2CF6">
        <w:t>outcomes</w:t>
      </w:r>
      <w:r w:rsidRPr="00BA2CF6">
        <w:t xml:space="preserve"> </w:t>
      </w:r>
      <w:r w:rsidR="006E7F18" w:rsidRPr="00BA2CF6">
        <w:t xml:space="preserve">for </w:t>
      </w:r>
      <w:r w:rsidRPr="00BA2CF6">
        <w:t>people with disabilities.</w:t>
      </w:r>
    </w:p>
    <w:p w:rsidR="00C95EEA" w:rsidRPr="00D42D7A" w:rsidRDefault="00C95EEA" w:rsidP="00C533B7">
      <w:r>
        <w:t>The</w:t>
      </w:r>
      <w:r w:rsidR="00C14173">
        <w:t xml:space="preserve"> Strategy</w:t>
      </w:r>
      <w:r>
        <w:t xml:space="preserve"> will </w:t>
      </w:r>
      <w:r w:rsidR="00C14173">
        <w:t>b</w:t>
      </w:r>
      <w:r w:rsidR="003C5857">
        <w:t>e</w:t>
      </w:r>
      <w:r w:rsidR="00C14173">
        <w:t xml:space="preserve"> underpinned by</w:t>
      </w:r>
      <w:r>
        <w:t xml:space="preserve"> a</w:t>
      </w:r>
      <w:r w:rsidRPr="007535AE">
        <w:t xml:space="preserve"> strengthened approach to monitoring and evaluation, with an early focus on the integration of ILC within established NDIA data management and reporting frameworks.</w:t>
      </w:r>
    </w:p>
    <w:p w:rsidR="00C95EEA" w:rsidRPr="00E428F4" w:rsidRDefault="00F53FD1" w:rsidP="00E428F4">
      <w:pPr>
        <w:pStyle w:val="Heading2"/>
      </w:pPr>
      <w:bookmarkStart w:id="12" w:name="_Toc532982801"/>
      <w:r w:rsidRPr="00E428F4">
        <w:t>5</w:t>
      </w:r>
      <w:r w:rsidR="00C95EEA" w:rsidRPr="00E428F4">
        <w:t xml:space="preserve">. </w:t>
      </w:r>
      <w:r w:rsidR="001B2EF9" w:rsidRPr="00E428F4">
        <w:t>A progressive rollout</w:t>
      </w:r>
      <w:bookmarkEnd w:id="12"/>
      <w:r w:rsidR="001B2EF9" w:rsidRPr="00E428F4">
        <w:t xml:space="preserve"> </w:t>
      </w:r>
    </w:p>
    <w:p w:rsidR="005430C5" w:rsidRDefault="005430C5" w:rsidP="00C533B7">
      <w:r>
        <w:t>The four programs being used to deliver the ILC Investment Strategy will be progressively rolled out from July 2019</w:t>
      </w:r>
      <w:r w:rsidR="005663B1">
        <w:t>, with</w:t>
      </w:r>
      <w:r w:rsidR="003163D2">
        <w:t xml:space="preserve"> funding opportunities available for applications from March 2019</w:t>
      </w:r>
      <w:r>
        <w:t>. Three important steps will be taken before the programs start rolling out:</w:t>
      </w:r>
    </w:p>
    <w:p w:rsidR="005430C5" w:rsidRPr="00C533B7" w:rsidRDefault="005430C5" w:rsidP="00C533B7">
      <w:pPr>
        <w:pStyle w:val="ListParagraph"/>
        <w:rPr>
          <w:rStyle w:val="Emphasis"/>
          <w:i w:val="0"/>
        </w:rPr>
      </w:pPr>
      <w:r w:rsidRPr="00C533B7">
        <w:rPr>
          <w:rStyle w:val="Emphasis"/>
          <w:i w:val="0"/>
        </w:rPr>
        <w:t>i) Funding Rounds to Lay Foundations</w:t>
      </w:r>
    </w:p>
    <w:p w:rsidR="005430C5" w:rsidRPr="007535AE" w:rsidRDefault="005430C5" w:rsidP="00C533B7">
      <w:r w:rsidRPr="007535AE">
        <w:t xml:space="preserve">To help the sector prepare for the implementation of the ILC Investment Strategy, </w:t>
      </w:r>
      <w:r w:rsidR="002B7430">
        <w:t>the NDIA</w:t>
      </w:r>
      <w:r w:rsidR="002B7430" w:rsidRPr="007535AE">
        <w:t xml:space="preserve"> </w:t>
      </w:r>
      <w:r w:rsidR="002903F2">
        <w:t>is running</w:t>
      </w:r>
      <w:r w:rsidRPr="007535AE">
        <w:t xml:space="preserve"> </w:t>
      </w:r>
      <w:r>
        <w:t xml:space="preserve">two </w:t>
      </w:r>
      <w:r w:rsidR="002903F2">
        <w:t xml:space="preserve">“interim” </w:t>
      </w:r>
      <w:r>
        <w:t xml:space="preserve">funding rounds in late 2018 and early 2019. </w:t>
      </w:r>
    </w:p>
    <w:p w:rsidR="005430C5" w:rsidRDefault="005430C5" w:rsidP="00C533B7">
      <w:r w:rsidRPr="007535AE">
        <w:rPr>
          <w:bCs/>
        </w:rPr>
        <w:t>The</w:t>
      </w:r>
      <w:r>
        <w:rPr>
          <w:bCs/>
        </w:rPr>
        <w:t xml:space="preserve"> first round </w:t>
      </w:r>
      <w:r w:rsidR="002903F2">
        <w:rPr>
          <w:bCs/>
        </w:rPr>
        <w:t>was</w:t>
      </w:r>
      <w:r w:rsidR="00B33D01">
        <w:rPr>
          <w:bCs/>
        </w:rPr>
        <w:t xml:space="preserve"> </w:t>
      </w:r>
      <w:r w:rsidR="002B7430">
        <w:rPr>
          <w:bCs/>
        </w:rPr>
        <w:t xml:space="preserve">launched in November </w:t>
      </w:r>
      <w:r w:rsidR="00F9357D">
        <w:rPr>
          <w:bCs/>
        </w:rPr>
        <w:t xml:space="preserve">2018 </w:t>
      </w:r>
      <w:r w:rsidR="002B7430">
        <w:rPr>
          <w:bCs/>
        </w:rPr>
        <w:t xml:space="preserve">and </w:t>
      </w:r>
      <w:r>
        <w:rPr>
          <w:bCs/>
        </w:rPr>
        <w:t xml:space="preserve">will </w:t>
      </w:r>
      <w:r w:rsidRPr="007535AE">
        <w:t xml:space="preserve">build foundations for delivery of the </w:t>
      </w:r>
      <w:r>
        <w:t>Individual Capacity Building Program by</w:t>
      </w:r>
      <w:r w:rsidR="002B7430">
        <w:t xml:space="preserve"> providing initial funding to</w:t>
      </w:r>
      <w:r>
        <w:t xml:space="preserve"> </w:t>
      </w:r>
      <w:r w:rsidR="002903F2">
        <w:t xml:space="preserve">organisations meeting the criteria of </w:t>
      </w:r>
      <w:r>
        <w:t>D</w:t>
      </w:r>
      <w:r>
        <w:rPr>
          <w:bCs/>
        </w:rPr>
        <w:t xml:space="preserve">isabled Peoples </w:t>
      </w:r>
      <w:r w:rsidR="008F37D8">
        <w:rPr>
          <w:bCs/>
        </w:rPr>
        <w:t xml:space="preserve">Organisations </w:t>
      </w:r>
      <w:r>
        <w:rPr>
          <w:bCs/>
        </w:rPr>
        <w:t>and Families Organisations (DP</w:t>
      </w:r>
      <w:r w:rsidR="00485F03">
        <w:rPr>
          <w:bCs/>
        </w:rPr>
        <w:t>O</w:t>
      </w:r>
      <w:r w:rsidR="003163D2">
        <w:rPr>
          <w:bCs/>
        </w:rPr>
        <w:t>s</w:t>
      </w:r>
      <w:r w:rsidR="00485F03">
        <w:rPr>
          <w:bCs/>
        </w:rPr>
        <w:t>/</w:t>
      </w:r>
      <w:r>
        <w:rPr>
          <w:bCs/>
        </w:rPr>
        <w:t xml:space="preserve">FOs). </w:t>
      </w:r>
    </w:p>
    <w:p w:rsidR="005430C5" w:rsidRDefault="00165523" w:rsidP="00C533B7">
      <w:r>
        <w:t xml:space="preserve">Through this round, </w:t>
      </w:r>
      <w:r w:rsidR="005430C5">
        <w:t xml:space="preserve">activities such as peer </w:t>
      </w:r>
      <w:r w:rsidR="009F6E1F">
        <w:t>support groups and mentoring</w:t>
      </w:r>
      <w:r>
        <w:t xml:space="preserve"> will be funded, as will activities </w:t>
      </w:r>
      <w:r w:rsidR="00C43D26">
        <w:t xml:space="preserve">that help </w:t>
      </w:r>
      <w:r w:rsidR="005430C5">
        <w:t>DP</w:t>
      </w:r>
      <w:r w:rsidR="00485F03">
        <w:t>O</w:t>
      </w:r>
      <w:r w:rsidR="003163D2">
        <w:t>s</w:t>
      </w:r>
      <w:r w:rsidR="00485F03">
        <w:t>/</w:t>
      </w:r>
      <w:r w:rsidR="005430C5">
        <w:t>FOs</w:t>
      </w:r>
      <w:r w:rsidR="00C43D26">
        <w:t xml:space="preserve"> build their capacity</w:t>
      </w:r>
      <w:r w:rsidR="005430C5">
        <w:t xml:space="preserve"> to</w:t>
      </w:r>
      <w:r w:rsidR="00C43D26">
        <w:t xml:space="preserve"> deliver these </w:t>
      </w:r>
      <w:r w:rsidR="009F6E1F">
        <w:t>activities</w:t>
      </w:r>
      <w:r w:rsidR="002B7430">
        <w:t>.</w:t>
      </w:r>
      <w:r w:rsidR="005430C5">
        <w:t xml:space="preserve"> </w:t>
      </w:r>
    </w:p>
    <w:p w:rsidR="00600C68" w:rsidRDefault="005430C5" w:rsidP="00C533B7">
      <w:r w:rsidRPr="00390EBE">
        <w:t xml:space="preserve">The second </w:t>
      </w:r>
      <w:r w:rsidR="002903F2">
        <w:t>interim</w:t>
      </w:r>
      <w:r w:rsidR="002B7430">
        <w:t xml:space="preserve"> funding </w:t>
      </w:r>
      <w:r w:rsidRPr="00390EBE">
        <w:t xml:space="preserve">round </w:t>
      </w:r>
      <w:r w:rsidR="00600C68">
        <w:t>will focus on building capacity to improve economic participation, including employment opportunities for people wi</w:t>
      </w:r>
      <w:r w:rsidR="002903F2">
        <w:t xml:space="preserve">th disability across Australia. This </w:t>
      </w:r>
      <w:r w:rsidR="00FA5D5E">
        <w:t xml:space="preserve">national </w:t>
      </w:r>
      <w:r w:rsidR="002903F2">
        <w:t xml:space="preserve">round will </w:t>
      </w:r>
      <w:r w:rsidR="00FA5D5E">
        <w:t xml:space="preserve">help lay foundations for the </w:t>
      </w:r>
      <w:r w:rsidR="00F97C73">
        <w:t xml:space="preserve">economic and community participation </w:t>
      </w:r>
      <w:r w:rsidR="00FA5D5E">
        <w:t xml:space="preserve">program and will </w:t>
      </w:r>
      <w:r w:rsidR="002903F2">
        <w:t>be announced shortly.</w:t>
      </w:r>
    </w:p>
    <w:p w:rsidR="00AB6A3D" w:rsidRPr="00390EBE" w:rsidRDefault="00AB6A3D" w:rsidP="00C533B7">
      <w:pPr>
        <w:pStyle w:val="ListParagraph"/>
      </w:pPr>
    </w:p>
    <w:p w:rsidR="005430C5" w:rsidRPr="00C533B7" w:rsidRDefault="005430C5" w:rsidP="00C533B7">
      <w:pPr>
        <w:pStyle w:val="ListParagraph"/>
        <w:rPr>
          <w:rStyle w:val="Emphasis"/>
          <w:b w:val="0"/>
        </w:rPr>
      </w:pPr>
      <w:r w:rsidRPr="00C533B7">
        <w:t xml:space="preserve">ii) </w:t>
      </w:r>
      <w:r w:rsidR="00E574B6" w:rsidRPr="00C533B7">
        <w:t xml:space="preserve">Funding </w:t>
      </w:r>
      <w:r w:rsidR="002B7430" w:rsidRPr="00C533B7">
        <w:t xml:space="preserve">to </w:t>
      </w:r>
      <w:r w:rsidR="00EF6D79" w:rsidRPr="00C533B7">
        <w:t xml:space="preserve">help </w:t>
      </w:r>
      <w:r w:rsidR="002B7430" w:rsidRPr="00C533B7">
        <w:t xml:space="preserve">bridge the transition to the new approach </w:t>
      </w:r>
      <w:r w:rsidR="00EF6D79" w:rsidRPr="00C533B7">
        <w:t xml:space="preserve">to ILC </w:t>
      </w:r>
      <w:r w:rsidR="002B7430" w:rsidRPr="00C533B7">
        <w:t>investment</w:t>
      </w:r>
    </w:p>
    <w:p w:rsidR="00366F56" w:rsidRDefault="00366F56" w:rsidP="00C533B7">
      <w:r>
        <w:lastRenderedPageBreak/>
        <w:t xml:space="preserve">The NDIA recognises there are many people with disability participating in ILC-type programs </w:t>
      </w:r>
      <w:r w:rsidR="00EF6D79">
        <w:t>whose funding is dependent on new opportunities within this Strategy</w:t>
      </w:r>
      <w:r>
        <w:t>.</w:t>
      </w:r>
    </w:p>
    <w:p w:rsidR="00366F56" w:rsidRDefault="00366F56" w:rsidP="00C533B7">
      <w:r>
        <w:t xml:space="preserve">To help </w:t>
      </w:r>
      <w:r w:rsidR="00DC6F93">
        <w:t>address potential risks resulting from the timing of these opportunities</w:t>
      </w:r>
      <w:r>
        <w:t>, the NDIA has committed $26 million of fund</w:t>
      </w:r>
      <w:r w:rsidR="00AB6A3D">
        <w:t>ing to be allocated across all states and t</w:t>
      </w:r>
      <w:r>
        <w:t xml:space="preserve">erritories, to </w:t>
      </w:r>
      <w:r w:rsidR="00DC6F93">
        <w:t>guard against gaps emerging</w:t>
      </w:r>
      <w:r>
        <w:t xml:space="preserve">. </w:t>
      </w:r>
      <w:r w:rsidR="00295789">
        <w:t xml:space="preserve">This funding will </w:t>
      </w:r>
      <w:r w:rsidR="00DC6F93">
        <w:t xml:space="preserve">enable the extension of </w:t>
      </w:r>
      <w:r w:rsidR="00B33D01">
        <w:t xml:space="preserve">some </w:t>
      </w:r>
      <w:r w:rsidR="00DC6F93">
        <w:t>existing programs</w:t>
      </w:r>
      <w:r w:rsidR="00295789">
        <w:t xml:space="preserve"> beyond June 2019</w:t>
      </w:r>
      <w:r w:rsidR="00DC6F93">
        <w:t xml:space="preserve"> so that an orderly transition is supported across jurisdictions</w:t>
      </w:r>
      <w:r w:rsidR="00295789">
        <w:t xml:space="preserve">. </w:t>
      </w:r>
    </w:p>
    <w:p w:rsidR="009E0A62" w:rsidRPr="009E0A62" w:rsidRDefault="009E0A62" w:rsidP="00C533B7">
      <w:pPr>
        <w:pStyle w:val="ListParagraph"/>
      </w:pPr>
      <w:r>
        <w:t>iii) Progressive Rollout from July 2019</w:t>
      </w:r>
    </w:p>
    <w:p w:rsidR="0013139B" w:rsidRDefault="00DC6F93" w:rsidP="00C533B7">
      <w:r>
        <w:t>New f</w:t>
      </w:r>
      <w:r w:rsidR="0013139B">
        <w:t xml:space="preserve">unding </w:t>
      </w:r>
      <w:r>
        <w:t>opportunities</w:t>
      </w:r>
      <w:r w:rsidR="0013139B">
        <w:t xml:space="preserve"> will </w:t>
      </w:r>
      <w:r>
        <w:t>be available to</w:t>
      </w:r>
      <w:r w:rsidR="0013139B">
        <w:t xml:space="preserve"> organisations </w:t>
      </w:r>
      <w:r>
        <w:t>for each new ILC</w:t>
      </w:r>
      <w:r w:rsidR="0013139B">
        <w:t xml:space="preserve"> program </w:t>
      </w:r>
      <w:r>
        <w:t>during</w:t>
      </w:r>
      <w:r w:rsidR="00763550">
        <w:t xml:space="preserve"> </w:t>
      </w:r>
      <w:r w:rsidR="00093B44">
        <w:t>2019-2020</w:t>
      </w:r>
      <w:r>
        <w:t>, with horizons to</w:t>
      </w:r>
      <w:r w:rsidR="00761FA1">
        <w:t xml:space="preserve"> </w:t>
      </w:r>
      <w:r w:rsidR="0013139B">
        <w:t xml:space="preserve">2021-22. </w:t>
      </w:r>
      <w:r>
        <w:t>Our anticipated timelines are:</w:t>
      </w:r>
    </w:p>
    <w:p w:rsidR="009B396C" w:rsidRDefault="00AB15F8" w:rsidP="00C533B7">
      <w:r>
        <w:rPr>
          <w:noProof/>
          <w:lang w:eastAsia="en-AU"/>
        </w:rPr>
        <w:drawing>
          <wp:inline distT="0" distB="0" distL="0" distR="0" wp14:anchorId="5327C2C8">
            <wp:extent cx="5108575" cy="2109470"/>
            <wp:effectExtent l="0" t="0" r="0" b="0"/>
            <wp:docPr id="345" name="Picture 345" descr="The National Information Program will open in March 2019 and grant implementation from July 2019. Individual Capacity Building Program will open in May 2019 with grant implementation from September 2019. Economic and Community Participation program will open in July 2019 with grant implementation from November 2019. Mainstream Capacity Building Program will open July 2019 with implementation from November 2019." title="Calendar of grant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8575" cy="2109470"/>
                    </a:xfrm>
                    <a:prstGeom prst="rect">
                      <a:avLst/>
                    </a:prstGeom>
                    <a:noFill/>
                  </pic:spPr>
                </pic:pic>
              </a:graphicData>
            </a:graphic>
          </wp:inline>
        </w:drawing>
      </w:r>
    </w:p>
    <w:bookmarkEnd w:id="11"/>
    <w:p w:rsidR="00AB15F8" w:rsidRDefault="00AB15F8" w:rsidP="00C533B7"/>
    <w:p w:rsidR="00E229A9" w:rsidRPr="00F53FD1" w:rsidRDefault="00DC6F93" w:rsidP="00C533B7">
      <w:r>
        <w:t>N</w:t>
      </w:r>
      <w:r w:rsidR="00E229A9" w:rsidRPr="00F53FD1">
        <w:t xml:space="preserve">ew </w:t>
      </w:r>
      <w:r>
        <w:t xml:space="preserve">program </w:t>
      </w:r>
      <w:r w:rsidR="00E229A9" w:rsidRPr="00F53FD1">
        <w:t>guidelines will provide more detail about all of the ILC programs</w:t>
      </w:r>
      <w:r>
        <w:t>,</w:t>
      </w:r>
      <w:r w:rsidR="003C5857">
        <w:t xml:space="preserve"> </w:t>
      </w:r>
      <w:r w:rsidR="00E229A9" w:rsidRPr="00F53FD1">
        <w:t>includ</w:t>
      </w:r>
      <w:r>
        <w:t>ing</w:t>
      </w:r>
      <w:r w:rsidR="00165523">
        <w:t xml:space="preserve"> the criteria that will be </w:t>
      </w:r>
      <w:r w:rsidR="00E229A9" w:rsidRPr="00F53FD1">
        <w:t>use</w:t>
      </w:r>
      <w:r w:rsidR="00165523">
        <w:t>d</w:t>
      </w:r>
      <w:r w:rsidR="00E229A9" w:rsidRPr="00F53FD1">
        <w:t xml:space="preserve"> to select organisations to deliver each program</w:t>
      </w:r>
      <w:r>
        <w:t xml:space="preserve"> and </w:t>
      </w:r>
      <w:r w:rsidR="00E229A9" w:rsidRPr="00F53FD1">
        <w:t>more specific inform</w:t>
      </w:r>
      <w:r w:rsidR="00165523">
        <w:t xml:space="preserve">ation on the activities to be </w:t>
      </w:r>
      <w:r w:rsidR="00E229A9" w:rsidRPr="00F53FD1">
        <w:t>fund</w:t>
      </w:r>
      <w:r w:rsidR="00165523">
        <w:t>ed</w:t>
      </w:r>
      <w:r w:rsidR="00E229A9" w:rsidRPr="00F53FD1">
        <w:t xml:space="preserve">. </w:t>
      </w:r>
      <w:r>
        <w:t>These will be available as early as practical in 2019.</w:t>
      </w:r>
    </w:p>
    <w:p w:rsidR="00F53FD1" w:rsidRPr="00F53FD1" w:rsidRDefault="00761FA1" w:rsidP="00C533B7">
      <w:r>
        <w:t>National i</w:t>
      </w:r>
      <w:r w:rsidR="0013139B">
        <w:t>nformation</w:t>
      </w:r>
      <w:r w:rsidR="00F53FD1" w:rsidRPr="00F53FD1">
        <w:t xml:space="preserve"> sessions will be held after the Program Guidelines are released </w:t>
      </w:r>
      <w:r w:rsidR="00DC6F93">
        <w:t>to</w:t>
      </w:r>
      <w:r w:rsidR="00F53FD1" w:rsidRPr="00F53FD1">
        <w:t xml:space="preserve"> </w:t>
      </w:r>
      <w:r w:rsidR="00DC6F93">
        <w:t>ensure there is clarity regarding next steps</w:t>
      </w:r>
      <w:r w:rsidR="00F53FD1" w:rsidRPr="00F53FD1">
        <w:t>.</w:t>
      </w:r>
    </w:p>
    <w:p w:rsidR="00ED2E7B" w:rsidRDefault="004F24AC" w:rsidP="008736BB">
      <w:pPr>
        <w:tabs>
          <w:tab w:val="left" w:pos="3969"/>
        </w:tabs>
      </w:pPr>
      <w:r w:rsidRPr="0068387E">
        <w:t xml:space="preserve">For more information about ILC and the new investment approach, visit the </w:t>
      </w:r>
      <w:hyperlink r:id="rId18" w:history="1">
        <w:r w:rsidRPr="00C44F2A">
          <w:rPr>
            <w:rStyle w:val="Hyperlink"/>
          </w:rPr>
          <w:t>NDIS website</w:t>
        </w:r>
      </w:hyperlink>
      <w:r w:rsidRPr="0068387E">
        <w:t xml:space="preserve"> or </w:t>
      </w:r>
      <w:hyperlink r:id="rId19" w:history="1">
        <w:r w:rsidRPr="00335E86">
          <w:rPr>
            <w:rStyle w:val="Hyperlink"/>
          </w:rPr>
          <w:t>ILC Toolkit</w:t>
        </w:r>
      </w:hyperlink>
      <w:r w:rsidR="00304227">
        <w:t xml:space="preserve"> or telephone 1800 800 110.</w:t>
      </w:r>
    </w:p>
    <w:p w:rsidR="008736BB" w:rsidRDefault="008736BB">
      <w:pPr>
        <w:spacing w:before="0"/>
        <w:rPr>
          <w:rFonts w:eastAsiaTheme="majorEastAsia"/>
          <w:b/>
          <w:color w:val="6B2976"/>
          <w:sz w:val="32"/>
          <w:szCs w:val="32"/>
        </w:rPr>
      </w:pPr>
      <w:r>
        <w:br w:type="page"/>
      </w:r>
    </w:p>
    <w:p w:rsidR="00ED2E7B" w:rsidRDefault="00ED2E7B" w:rsidP="00E428F4">
      <w:pPr>
        <w:pStyle w:val="Heading2"/>
      </w:pPr>
      <w:bookmarkStart w:id="13" w:name="_Toc532982802"/>
      <w:r w:rsidRPr="00151BB6">
        <w:lastRenderedPageBreak/>
        <w:t>Glossary</w:t>
      </w:r>
      <w:bookmarkEnd w:id="13"/>
      <w:r w:rsidRPr="00151BB6">
        <w:t xml:space="preserve"> </w:t>
      </w:r>
    </w:p>
    <w:p w:rsidR="00E637BC" w:rsidRPr="00E4148D" w:rsidRDefault="00E637BC" w:rsidP="00C533B7"/>
    <w:p w:rsidR="00E637BC" w:rsidRPr="00E4148D" w:rsidRDefault="00F97C73" w:rsidP="00C533B7">
      <w:r>
        <w:rPr>
          <w:b/>
        </w:rPr>
        <w:t xml:space="preserve">Economic and </w:t>
      </w:r>
      <w:r w:rsidR="00E637BC" w:rsidRPr="00E4148D">
        <w:rPr>
          <w:b/>
        </w:rPr>
        <w:t xml:space="preserve">Community </w:t>
      </w:r>
      <w:r>
        <w:rPr>
          <w:b/>
        </w:rPr>
        <w:t xml:space="preserve">Participation </w:t>
      </w:r>
      <w:r w:rsidR="00E637BC" w:rsidRPr="00E4148D">
        <w:rPr>
          <w:b/>
        </w:rPr>
        <w:t>Program</w:t>
      </w:r>
      <w:r w:rsidR="00E637BC" w:rsidRPr="00E4148D">
        <w:t xml:space="preserve"> </w:t>
      </w:r>
      <w:r w:rsidR="00485F03" w:rsidRPr="00E4148D">
        <w:t xml:space="preserve">refers to </w:t>
      </w:r>
      <w:r w:rsidR="00E637BC" w:rsidRPr="00E4148D">
        <w:t>Inclusion related strategies targeting specific networks including employers, sports and recreation clubs and arts and culture leveraging the role of industry peaks.</w:t>
      </w:r>
    </w:p>
    <w:p w:rsidR="00E637BC" w:rsidRDefault="00E637BC" w:rsidP="00C533B7">
      <w:r w:rsidRPr="00E4148D">
        <w:rPr>
          <w:b/>
        </w:rPr>
        <w:t>DPO</w:t>
      </w:r>
      <w:r w:rsidR="004C6789" w:rsidRPr="00E4148D">
        <w:rPr>
          <w:b/>
        </w:rPr>
        <w:t>s</w:t>
      </w:r>
      <w:r w:rsidRPr="00E4148D">
        <w:rPr>
          <w:b/>
        </w:rPr>
        <w:t>/FOs</w:t>
      </w:r>
      <w:r w:rsidRPr="00E4148D">
        <w:t xml:space="preserve"> are defined as organisations that are run by and for people with disability and/or families. These organisations have a minimum membership of 50% of people with disability and/or families on their board</w:t>
      </w:r>
      <w:r w:rsidR="00C016C4">
        <w:t xml:space="preserve"> and/or</w:t>
      </w:r>
      <w:r w:rsidRPr="00E4148D">
        <w:t xml:space="preserve"> staff</w:t>
      </w:r>
      <w:r w:rsidR="00AB15F8">
        <w:t>.</w:t>
      </w:r>
      <w:r w:rsidRPr="00E4148D">
        <w:t xml:space="preserve"> </w:t>
      </w:r>
    </w:p>
    <w:p w:rsidR="00485F03" w:rsidRDefault="00095E9D" w:rsidP="00C533B7">
      <w:r w:rsidRPr="00E4148D">
        <w:rPr>
          <w:b/>
        </w:rPr>
        <w:t>Evidence</w:t>
      </w:r>
      <w:r w:rsidR="00304227" w:rsidRPr="00E4148D">
        <w:rPr>
          <w:b/>
        </w:rPr>
        <w:t xml:space="preserve"> </w:t>
      </w:r>
      <w:r w:rsidR="00304227" w:rsidRPr="00E4148D">
        <w:t xml:space="preserve">refers to something that makes plain or clear, an indication or a sign, for example </w:t>
      </w:r>
      <w:r w:rsidR="00E4148D" w:rsidRPr="00E4148D">
        <w:t>data collected through the Australian census in 2016 identified that Australian’s population was over 20 million people.</w:t>
      </w:r>
    </w:p>
    <w:p w:rsidR="00E637BC" w:rsidRPr="00E4148D" w:rsidRDefault="00E637BC" w:rsidP="00C533B7">
      <w:r w:rsidRPr="00E4148D">
        <w:rPr>
          <w:b/>
        </w:rPr>
        <w:t>Individual Capacity Building</w:t>
      </w:r>
      <w:r w:rsidRPr="00E4148D">
        <w:t xml:space="preserve"> Enable systematic access to peer support, mentoring and other skills building for people with disability, carers and families, delivered through the building and strengthened of a national network of c.200-300 Disabled Peoples and Families Organisations (DP</w:t>
      </w:r>
      <w:r w:rsidR="00485F03" w:rsidRPr="00E4148D">
        <w:t>O</w:t>
      </w:r>
      <w:r w:rsidR="00304227" w:rsidRPr="00E4148D">
        <w:t>s</w:t>
      </w:r>
      <w:r w:rsidR="00485F03" w:rsidRPr="00E4148D">
        <w:t>/</w:t>
      </w:r>
      <w:r w:rsidRPr="00E4148D">
        <w:t>FOs)</w:t>
      </w:r>
    </w:p>
    <w:p w:rsidR="00E637BC" w:rsidRPr="00E4148D" w:rsidRDefault="00E637BC" w:rsidP="00C533B7">
      <w:r w:rsidRPr="00E4148D">
        <w:rPr>
          <w:b/>
        </w:rPr>
        <w:t>Mainstream</w:t>
      </w:r>
      <w:r w:rsidRPr="00E4148D">
        <w:t xml:space="preserve"> </w:t>
      </w:r>
      <w:r w:rsidR="00485F03" w:rsidRPr="00E4148D">
        <w:t xml:space="preserve">refers to universal </w:t>
      </w:r>
      <w:r w:rsidRPr="00E4148D">
        <w:t>services</w:t>
      </w:r>
      <w:r w:rsidR="00485F03" w:rsidRPr="00E4148D">
        <w:t xml:space="preserve"> every Australian uses</w:t>
      </w:r>
      <w:r w:rsidRPr="00E4148D">
        <w:t xml:space="preserve"> like doctors surgeries, sports clubs, community centres, transport and schools.</w:t>
      </w:r>
    </w:p>
    <w:p w:rsidR="00831400" w:rsidRDefault="00E637BC" w:rsidP="00C533B7">
      <w:r w:rsidRPr="00E4148D">
        <w:rPr>
          <w:b/>
        </w:rPr>
        <w:t>National Information Program</w:t>
      </w:r>
      <w:r w:rsidRPr="00E4148D">
        <w:t xml:space="preserve"> </w:t>
      </w:r>
      <w:r w:rsidR="00E4148D">
        <w:t>refer to</w:t>
      </w:r>
      <w:r w:rsidRPr="00E4148D">
        <w:t xml:space="preserve"> a national core of high quality disability information products covering different disability types and disability support options in a variety of formats (e.g. online and hardcopy resources), and actively disseminating these through the DP</w:t>
      </w:r>
      <w:r w:rsidR="00E4148D" w:rsidRPr="00E4148D">
        <w:t>Os/</w:t>
      </w:r>
      <w:r w:rsidRPr="00E4148D">
        <w:t>FO</w:t>
      </w:r>
      <w:r w:rsidR="00E4148D" w:rsidRPr="00E4148D">
        <w:t>s</w:t>
      </w:r>
      <w:r w:rsidRPr="00E4148D">
        <w:t xml:space="preserve"> network and our LACs</w:t>
      </w:r>
    </w:p>
    <w:sectPr w:rsidR="00831400" w:rsidSect="00954D4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333" w:rsidRDefault="00D93333" w:rsidP="00C533B7">
      <w:r>
        <w:separator/>
      </w:r>
    </w:p>
  </w:endnote>
  <w:endnote w:type="continuationSeparator" w:id="0">
    <w:p w:rsidR="00D93333" w:rsidRDefault="00D93333" w:rsidP="00C5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FS Me Light">
    <w:altName w:val="Times New Roman"/>
    <w:charset w:val="00"/>
    <w:family w:val="auto"/>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F6" w:rsidRDefault="0095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D" w:rsidRPr="00C533B7" w:rsidRDefault="00C533B7" w:rsidP="00C533B7">
    <w:pPr>
      <w:rPr>
        <w:rFonts w:ascii="FS Me Light" w:hAnsi="FS Me Light"/>
        <w:color w:val="5E2D73"/>
        <w:sz w:val="20"/>
        <w:szCs w:val="20"/>
      </w:rPr>
    </w:pPr>
    <w:r>
      <w:rPr>
        <w:b/>
        <w:color w:val="5E2D73"/>
        <w:sz w:val="32"/>
        <w:szCs w:val="32"/>
      </w:rPr>
      <w:t>ndis.gov.au</w:t>
    </w:r>
    <w:r w:rsidR="008B231C">
      <w:t xml:space="preserve"> </w:t>
    </w:r>
    <w:r w:rsidR="008B231C" w:rsidRPr="00C533B7">
      <w:rPr>
        <w:sz w:val="20"/>
        <w:szCs w:val="20"/>
      </w:rPr>
      <w:t>December</w:t>
    </w:r>
    <w:r w:rsidR="00E4148D" w:rsidRPr="00C533B7">
      <w:rPr>
        <w:sz w:val="20"/>
        <w:szCs w:val="20"/>
      </w:rPr>
      <w:t xml:space="preserve"> 2018 | Strengthening ILC | A National Strategy towards 2022</w:t>
    </w:r>
    <w:r w:rsidRPr="00C533B7">
      <w:rPr>
        <w:sz w:val="20"/>
        <w:szCs w:val="20"/>
      </w:rPr>
      <w:t xml:space="preserve"> </w:t>
    </w:r>
    <w:r>
      <w:rPr>
        <w:sz w:val="20"/>
        <w:szCs w:val="20"/>
      </w:rPr>
      <w:tab/>
    </w:r>
    <w:sdt>
      <w:sdtPr>
        <w:rPr>
          <w:sz w:val="20"/>
          <w:szCs w:val="20"/>
        </w:rPr>
        <w:id w:val="-619613177"/>
        <w:docPartObj>
          <w:docPartGallery w:val="Page Numbers (Bottom of Page)"/>
          <w:docPartUnique/>
        </w:docPartObj>
      </w:sdtPr>
      <w:sdtEndPr>
        <w:rPr>
          <w:noProof/>
        </w:rPr>
      </w:sdtEndPr>
      <w:sdtContent>
        <w:r w:rsidR="00E4148D" w:rsidRPr="00C533B7">
          <w:rPr>
            <w:sz w:val="20"/>
            <w:szCs w:val="20"/>
          </w:rPr>
          <w:fldChar w:fldCharType="begin"/>
        </w:r>
        <w:r w:rsidR="00E4148D" w:rsidRPr="00C533B7">
          <w:rPr>
            <w:sz w:val="20"/>
            <w:szCs w:val="20"/>
          </w:rPr>
          <w:instrText xml:space="preserve"> PAGE   \* MERGEFORMAT </w:instrText>
        </w:r>
        <w:r w:rsidR="00E4148D" w:rsidRPr="00C533B7">
          <w:rPr>
            <w:sz w:val="20"/>
            <w:szCs w:val="20"/>
          </w:rPr>
          <w:fldChar w:fldCharType="separate"/>
        </w:r>
        <w:r w:rsidR="0051249A">
          <w:rPr>
            <w:noProof/>
            <w:sz w:val="20"/>
            <w:szCs w:val="20"/>
          </w:rPr>
          <w:t>10</w:t>
        </w:r>
        <w:r w:rsidR="00E4148D" w:rsidRPr="00C533B7">
          <w:rPr>
            <w:noProof/>
            <w:sz w:val="20"/>
            <w:szCs w:val="20"/>
          </w:rPr>
          <w:fldChar w:fldCharType="end"/>
        </w:r>
      </w:sdtContent>
    </w:sdt>
  </w:p>
  <w:p w:rsidR="00E4148D" w:rsidRDefault="00E4148D" w:rsidP="00C533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D" w:rsidRDefault="00E4148D" w:rsidP="00C533B7">
    <w:r>
      <w:rPr>
        <w:b/>
        <w:color w:val="5E2D73"/>
        <w:sz w:val="32"/>
        <w:szCs w:val="32"/>
      </w:rPr>
      <w:t>n</w:t>
    </w:r>
    <w:r w:rsidRPr="00FB5514">
      <w:rPr>
        <w:b/>
        <w:color w:val="5E2D73"/>
        <w:sz w:val="32"/>
        <w:szCs w:val="32"/>
      </w:rPr>
      <w:t>dis.gov.au</w:t>
    </w:r>
    <w:r w:rsidRPr="00FB5514">
      <w:rPr>
        <w:b/>
        <w:color w:val="5E2D73"/>
        <w:sz w:val="32"/>
        <w:szCs w:val="32"/>
      </w:rPr>
      <w:ptab w:relativeTo="margin" w:alignment="center" w:leader="none"/>
    </w:r>
    <w:r w:rsidR="00090DBA">
      <w:rPr>
        <w:vanish/>
      </w:rPr>
      <w:t>December</w:t>
    </w:r>
    <w:r w:rsidRPr="00CF4618">
      <w:t xml:space="preserve"> </w:t>
    </w:r>
    <w:r w:rsidR="00090DBA">
      <w:t xml:space="preserve">December </w:t>
    </w:r>
    <w:r w:rsidRPr="00CF4618">
      <w:t>201</w:t>
    </w:r>
    <w:r>
      <w:t>8</w:t>
    </w:r>
    <w:r w:rsidRPr="00CF4618">
      <w:t xml:space="preserve"> | </w:t>
    </w:r>
    <w:r>
      <w:t xml:space="preserve">Strengthening ILC </w:t>
    </w:r>
    <w:r w:rsidRPr="00CF4618">
      <w:t>|</w:t>
    </w:r>
    <w:r w:rsidR="00090DBA">
      <w:t xml:space="preserve"> A national s</w:t>
    </w:r>
    <w:r>
      <w:t>trategy towards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333" w:rsidRDefault="00D93333" w:rsidP="00C533B7">
      <w:r>
        <w:separator/>
      </w:r>
    </w:p>
  </w:footnote>
  <w:footnote w:type="continuationSeparator" w:id="0">
    <w:p w:rsidR="00D93333" w:rsidRDefault="00D93333" w:rsidP="00C53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F6" w:rsidRDefault="0095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F6" w:rsidRDefault="00953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D" w:rsidRDefault="00D93333" w:rsidP="00C533B7">
    <w:pPr>
      <w:pStyle w:val="Header"/>
    </w:pPr>
    <w:sdt>
      <w:sdtPr>
        <w:id w:val="968752352"/>
        <w:placeholder>
          <w:docPart w:val="BAB6697BBC0E49E69B2B1F201058F1A2"/>
        </w:placeholder>
        <w:temporary/>
        <w:showingPlcHdr/>
        <w15:appearance w15:val="hidden"/>
      </w:sdtPr>
      <w:sdtEndPr/>
      <w:sdtContent>
        <w:r w:rsidR="00E4148D">
          <w:t>[Type here]</w:t>
        </w:r>
      </w:sdtContent>
    </w:sdt>
  </w:p>
  <w:p w:rsidR="00E4148D" w:rsidRDefault="00E4148D" w:rsidP="00C53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67"/>
    <w:multiLevelType w:val="hybridMultilevel"/>
    <w:tmpl w:val="710C38D8"/>
    <w:lvl w:ilvl="0" w:tplc="7458C5F2">
      <w:start w:val="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95580"/>
    <w:multiLevelType w:val="hybridMultilevel"/>
    <w:tmpl w:val="A2006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3E0357"/>
    <w:multiLevelType w:val="hybridMultilevel"/>
    <w:tmpl w:val="9DC63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C64606"/>
    <w:multiLevelType w:val="multilevel"/>
    <w:tmpl w:val="445E1E18"/>
    <w:lvl w:ilvl="0">
      <w:start w:val="1"/>
      <w:numFmt w:val="bullet"/>
      <w:lvlText w:val=""/>
      <w:lvlJc w:val="left"/>
      <w:pPr>
        <w:ind w:left="720" w:hanging="720"/>
      </w:pPr>
      <w:rPr>
        <w:rFonts w:ascii="Symbol" w:hAnsi="Symbol" w:hint="default"/>
        <w:color w:val="6A2875"/>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4" w15:restartNumberingAfterBreak="0">
    <w:nsid w:val="1CB33B8D"/>
    <w:multiLevelType w:val="hybridMultilevel"/>
    <w:tmpl w:val="A65C8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B14A62"/>
    <w:multiLevelType w:val="hybridMultilevel"/>
    <w:tmpl w:val="C2526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4A3923"/>
    <w:multiLevelType w:val="hybridMultilevel"/>
    <w:tmpl w:val="5BDA3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AB2502"/>
    <w:multiLevelType w:val="hybridMultilevel"/>
    <w:tmpl w:val="4FA6F3C0"/>
    <w:lvl w:ilvl="0" w:tplc="BFDAC35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D5763"/>
    <w:multiLevelType w:val="hybridMultilevel"/>
    <w:tmpl w:val="9314D032"/>
    <w:lvl w:ilvl="0" w:tplc="7458C5F2">
      <w:start w:val="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948B2"/>
    <w:multiLevelType w:val="hybridMultilevel"/>
    <w:tmpl w:val="2C6A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0495E"/>
    <w:multiLevelType w:val="hybridMultilevel"/>
    <w:tmpl w:val="B5C25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3B1457"/>
    <w:multiLevelType w:val="hybridMultilevel"/>
    <w:tmpl w:val="F13E8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B821BFF"/>
    <w:multiLevelType w:val="hybridMultilevel"/>
    <w:tmpl w:val="891EC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EE177B5"/>
    <w:multiLevelType w:val="hybridMultilevel"/>
    <w:tmpl w:val="7258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5" w15:restartNumberingAfterBreak="0">
    <w:nsid w:val="4039023F"/>
    <w:multiLevelType w:val="hybridMultilevel"/>
    <w:tmpl w:val="244E1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8093975"/>
    <w:multiLevelType w:val="hybridMultilevel"/>
    <w:tmpl w:val="FC8C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240BF"/>
    <w:multiLevelType w:val="hybridMultilevel"/>
    <w:tmpl w:val="1BB4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7531C5"/>
    <w:multiLevelType w:val="hybridMultilevel"/>
    <w:tmpl w:val="02420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B7E70"/>
    <w:multiLevelType w:val="hybridMultilevel"/>
    <w:tmpl w:val="CC9AC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7BA4AA1"/>
    <w:multiLevelType w:val="hybridMultilevel"/>
    <w:tmpl w:val="966C472E"/>
    <w:lvl w:ilvl="0" w:tplc="7458C5F2">
      <w:start w:val="3"/>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AD46F8"/>
    <w:multiLevelType w:val="hybridMultilevel"/>
    <w:tmpl w:val="C776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7840B8"/>
    <w:multiLevelType w:val="hybridMultilevel"/>
    <w:tmpl w:val="1870E4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6A2B6F"/>
    <w:multiLevelType w:val="hybridMultilevel"/>
    <w:tmpl w:val="632E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1"/>
  </w:num>
  <w:num w:numId="8">
    <w:abstractNumId w:val="13"/>
  </w:num>
  <w:num w:numId="9">
    <w:abstractNumId w:val="6"/>
  </w:num>
  <w:num w:numId="10">
    <w:abstractNumId w:val="9"/>
  </w:num>
  <w:num w:numId="11">
    <w:abstractNumId w:val="4"/>
  </w:num>
  <w:num w:numId="12">
    <w:abstractNumId w:val="16"/>
  </w:num>
  <w:num w:numId="13">
    <w:abstractNumId w:val="15"/>
  </w:num>
  <w:num w:numId="14">
    <w:abstractNumId w:val="23"/>
  </w:num>
  <w:num w:numId="15">
    <w:abstractNumId w:val="7"/>
  </w:num>
  <w:num w:numId="16">
    <w:abstractNumId w:val="2"/>
  </w:num>
  <w:num w:numId="17">
    <w:abstractNumId w:val="22"/>
  </w:num>
  <w:num w:numId="18">
    <w:abstractNumId w:val="17"/>
  </w:num>
  <w:num w:numId="19">
    <w:abstractNumId w:val="14"/>
    <w:lvlOverride w:ilvl="0">
      <w:lvl w:ilvl="0">
        <w:start w:val="1"/>
        <w:numFmt w:val="decimal"/>
        <w:pStyle w:val="1NumberedParagaphStyle"/>
        <w:lvlText w:val="%1."/>
        <w:lvlJc w:val="left"/>
        <w:pPr>
          <w:tabs>
            <w:tab w:val="num" w:pos="425"/>
          </w:tabs>
          <w:ind w:left="284" w:hanging="284"/>
        </w:pPr>
        <w:rPr>
          <w:rFonts w:hint="default"/>
          <w:b w:val="0"/>
          <w:color w:val="auto"/>
        </w:rPr>
      </w:lvl>
    </w:lvlOverride>
    <w:lvlOverride w:ilvl="1">
      <w:lvl w:ilvl="1">
        <w:start w:val="1"/>
        <w:numFmt w:val="lowerLetter"/>
        <w:lvlText w:val="%2)"/>
        <w:lvlJc w:val="left"/>
        <w:pPr>
          <w:ind w:left="851" w:hanging="426"/>
        </w:pPr>
        <w:rPr>
          <w:rFonts w:hint="default"/>
          <w:b w:val="0"/>
          <w:color w:val="auto"/>
        </w:rPr>
      </w:lvl>
    </w:lvlOverride>
    <w:lvlOverride w:ilvl="2">
      <w:lvl w:ilvl="2">
        <w:start w:val="1"/>
        <w:numFmt w:val="lowerRoman"/>
        <w:lvlText w:val="%3)"/>
        <w:lvlJc w:val="right"/>
        <w:pPr>
          <w:ind w:left="1276" w:hanging="284"/>
        </w:pPr>
        <w:rPr>
          <w:rFonts w:hint="default"/>
          <w:color w:val="auto"/>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abstractNumId w:val="21"/>
  </w:num>
  <w:num w:numId="21">
    <w:abstractNumId w:val="5"/>
  </w:num>
  <w:num w:numId="22">
    <w:abstractNumId w:val="0"/>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2D"/>
    <w:rsid w:val="00001AE7"/>
    <w:rsid w:val="00011531"/>
    <w:rsid w:val="00021CC2"/>
    <w:rsid w:val="00022F7D"/>
    <w:rsid w:val="00057E15"/>
    <w:rsid w:val="00067E72"/>
    <w:rsid w:val="00085740"/>
    <w:rsid w:val="00090DBA"/>
    <w:rsid w:val="00093B44"/>
    <w:rsid w:val="00095E9D"/>
    <w:rsid w:val="000E1EE3"/>
    <w:rsid w:val="000F2046"/>
    <w:rsid w:val="000F4313"/>
    <w:rsid w:val="000F6650"/>
    <w:rsid w:val="000F799C"/>
    <w:rsid w:val="001040EC"/>
    <w:rsid w:val="00104502"/>
    <w:rsid w:val="00106267"/>
    <w:rsid w:val="00113ACC"/>
    <w:rsid w:val="00115E30"/>
    <w:rsid w:val="00117190"/>
    <w:rsid w:val="0013139B"/>
    <w:rsid w:val="00136ACB"/>
    <w:rsid w:val="001454DE"/>
    <w:rsid w:val="00146AAA"/>
    <w:rsid w:val="00150B69"/>
    <w:rsid w:val="00151BB6"/>
    <w:rsid w:val="00162FE8"/>
    <w:rsid w:val="00165523"/>
    <w:rsid w:val="00192BA4"/>
    <w:rsid w:val="00195035"/>
    <w:rsid w:val="001A44A4"/>
    <w:rsid w:val="001A65D3"/>
    <w:rsid w:val="001B2EF9"/>
    <w:rsid w:val="001B6868"/>
    <w:rsid w:val="001D3A8E"/>
    <w:rsid w:val="00200EE8"/>
    <w:rsid w:val="00270DF7"/>
    <w:rsid w:val="002903F2"/>
    <w:rsid w:val="00293E9A"/>
    <w:rsid w:val="00295789"/>
    <w:rsid w:val="002A306D"/>
    <w:rsid w:val="002B54A2"/>
    <w:rsid w:val="002B7430"/>
    <w:rsid w:val="002F4704"/>
    <w:rsid w:val="002F70CA"/>
    <w:rsid w:val="00304227"/>
    <w:rsid w:val="00306F03"/>
    <w:rsid w:val="00307E81"/>
    <w:rsid w:val="003163D2"/>
    <w:rsid w:val="00320BD2"/>
    <w:rsid w:val="00333719"/>
    <w:rsid w:val="00335E86"/>
    <w:rsid w:val="00337FF0"/>
    <w:rsid w:val="0034019D"/>
    <w:rsid w:val="0034481C"/>
    <w:rsid w:val="003472C3"/>
    <w:rsid w:val="00347FCB"/>
    <w:rsid w:val="00362154"/>
    <w:rsid w:val="00366F56"/>
    <w:rsid w:val="00373702"/>
    <w:rsid w:val="00390EBE"/>
    <w:rsid w:val="003C5857"/>
    <w:rsid w:val="003C6437"/>
    <w:rsid w:val="003D5375"/>
    <w:rsid w:val="003F2704"/>
    <w:rsid w:val="004045FE"/>
    <w:rsid w:val="00415FC3"/>
    <w:rsid w:val="00451279"/>
    <w:rsid w:val="004549EB"/>
    <w:rsid w:val="00463838"/>
    <w:rsid w:val="00485F03"/>
    <w:rsid w:val="004C0981"/>
    <w:rsid w:val="004C6789"/>
    <w:rsid w:val="004D1923"/>
    <w:rsid w:val="004F1BC2"/>
    <w:rsid w:val="004F24AC"/>
    <w:rsid w:val="0051249A"/>
    <w:rsid w:val="00521A47"/>
    <w:rsid w:val="005430C5"/>
    <w:rsid w:val="00552802"/>
    <w:rsid w:val="005539FF"/>
    <w:rsid w:val="005663B1"/>
    <w:rsid w:val="00585994"/>
    <w:rsid w:val="005A5CF6"/>
    <w:rsid w:val="005B1529"/>
    <w:rsid w:val="005C4433"/>
    <w:rsid w:val="005D2D85"/>
    <w:rsid w:val="005D454B"/>
    <w:rsid w:val="005F0543"/>
    <w:rsid w:val="00600C68"/>
    <w:rsid w:val="00632591"/>
    <w:rsid w:val="00642492"/>
    <w:rsid w:val="006662B5"/>
    <w:rsid w:val="006679CF"/>
    <w:rsid w:val="0068387E"/>
    <w:rsid w:val="00696F88"/>
    <w:rsid w:val="006B5CC6"/>
    <w:rsid w:val="006D66E6"/>
    <w:rsid w:val="006E7F18"/>
    <w:rsid w:val="0075357A"/>
    <w:rsid w:val="00761FA1"/>
    <w:rsid w:val="00763550"/>
    <w:rsid w:val="007C05CD"/>
    <w:rsid w:val="007D56CB"/>
    <w:rsid w:val="007F1072"/>
    <w:rsid w:val="00813698"/>
    <w:rsid w:val="00813EAC"/>
    <w:rsid w:val="00816188"/>
    <w:rsid w:val="008177F1"/>
    <w:rsid w:val="00825CE1"/>
    <w:rsid w:val="00831400"/>
    <w:rsid w:val="00840079"/>
    <w:rsid w:val="008736BB"/>
    <w:rsid w:val="0087489B"/>
    <w:rsid w:val="00874E54"/>
    <w:rsid w:val="008778C7"/>
    <w:rsid w:val="008B1CB4"/>
    <w:rsid w:val="008B231C"/>
    <w:rsid w:val="008D65CA"/>
    <w:rsid w:val="008F2E27"/>
    <w:rsid w:val="008F37D8"/>
    <w:rsid w:val="008F7A60"/>
    <w:rsid w:val="00911DEB"/>
    <w:rsid w:val="00933DCA"/>
    <w:rsid w:val="00934E97"/>
    <w:rsid w:val="00937E6F"/>
    <w:rsid w:val="00942161"/>
    <w:rsid w:val="009534F6"/>
    <w:rsid w:val="00954D41"/>
    <w:rsid w:val="00967042"/>
    <w:rsid w:val="00967DD2"/>
    <w:rsid w:val="00986C9F"/>
    <w:rsid w:val="009B396C"/>
    <w:rsid w:val="009D5CC5"/>
    <w:rsid w:val="009E0A62"/>
    <w:rsid w:val="009E24B5"/>
    <w:rsid w:val="009F5CDC"/>
    <w:rsid w:val="009F6E1F"/>
    <w:rsid w:val="00A21392"/>
    <w:rsid w:val="00A679F5"/>
    <w:rsid w:val="00A72B93"/>
    <w:rsid w:val="00A75176"/>
    <w:rsid w:val="00A85BF8"/>
    <w:rsid w:val="00A94F5C"/>
    <w:rsid w:val="00AA7096"/>
    <w:rsid w:val="00AB15F8"/>
    <w:rsid w:val="00AB6A3D"/>
    <w:rsid w:val="00AD5F71"/>
    <w:rsid w:val="00AE45EF"/>
    <w:rsid w:val="00AE7DD1"/>
    <w:rsid w:val="00AF0796"/>
    <w:rsid w:val="00AF0BC3"/>
    <w:rsid w:val="00B0630E"/>
    <w:rsid w:val="00B21397"/>
    <w:rsid w:val="00B2204F"/>
    <w:rsid w:val="00B224C3"/>
    <w:rsid w:val="00B3026F"/>
    <w:rsid w:val="00B33D01"/>
    <w:rsid w:val="00B3720D"/>
    <w:rsid w:val="00B441CA"/>
    <w:rsid w:val="00B655B8"/>
    <w:rsid w:val="00B8569D"/>
    <w:rsid w:val="00B92421"/>
    <w:rsid w:val="00BA083A"/>
    <w:rsid w:val="00BA2CF6"/>
    <w:rsid w:val="00BB14E9"/>
    <w:rsid w:val="00BC2E23"/>
    <w:rsid w:val="00BF209A"/>
    <w:rsid w:val="00BF2C3B"/>
    <w:rsid w:val="00BF3BE7"/>
    <w:rsid w:val="00C016C4"/>
    <w:rsid w:val="00C14173"/>
    <w:rsid w:val="00C43D26"/>
    <w:rsid w:val="00C445C1"/>
    <w:rsid w:val="00C44F2A"/>
    <w:rsid w:val="00C533B7"/>
    <w:rsid w:val="00C57AB1"/>
    <w:rsid w:val="00C6324E"/>
    <w:rsid w:val="00C65C50"/>
    <w:rsid w:val="00C75E6A"/>
    <w:rsid w:val="00C95EEA"/>
    <w:rsid w:val="00C977BA"/>
    <w:rsid w:val="00CA12A5"/>
    <w:rsid w:val="00CA1BF7"/>
    <w:rsid w:val="00CA4936"/>
    <w:rsid w:val="00CD0854"/>
    <w:rsid w:val="00CD1D37"/>
    <w:rsid w:val="00CE397D"/>
    <w:rsid w:val="00CF6EFF"/>
    <w:rsid w:val="00D10BD8"/>
    <w:rsid w:val="00D14464"/>
    <w:rsid w:val="00D270D7"/>
    <w:rsid w:val="00D278A2"/>
    <w:rsid w:val="00D343F7"/>
    <w:rsid w:val="00D36CBD"/>
    <w:rsid w:val="00D42B54"/>
    <w:rsid w:val="00D7047D"/>
    <w:rsid w:val="00D93333"/>
    <w:rsid w:val="00DB4BE8"/>
    <w:rsid w:val="00DC0F2B"/>
    <w:rsid w:val="00DC6923"/>
    <w:rsid w:val="00DC6F93"/>
    <w:rsid w:val="00DD16B7"/>
    <w:rsid w:val="00DD6F61"/>
    <w:rsid w:val="00DE04DE"/>
    <w:rsid w:val="00E15A6C"/>
    <w:rsid w:val="00E176FF"/>
    <w:rsid w:val="00E229A9"/>
    <w:rsid w:val="00E2480A"/>
    <w:rsid w:val="00E25314"/>
    <w:rsid w:val="00E32BB2"/>
    <w:rsid w:val="00E4148D"/>
    <w:rsid w:val="00E428F4"/>
    <w:rsid w:val="00E45912"/>
    <w:rsid w:val="00E45CDF"/>
    <w:rsid w:val="00E46C40"/>
    <w:rsid w:val="00E574B6"/>
    <w:rsid w:val="00E609D5"/>
    <w:rsid w:val="00E637BC"/>
    <w:rsid w:val="00E6672D"/>
    <w:rsid w:val="00E82713"/>
    <w:rsid w:val="00E85D91"/>
    <w:rsid w:val="00E86FBA"/>
    <w:rsid w:val="00E917EA"/>
    <w:rsid w:val="00EB5EA8"/>
    <w:rsid w:val="00EC5072"/>
    <w:rsid w:val="00ED2E7B"/>
    <w:rsid w:val="00ED2EDE"/>
    <w:rsid w:val="00EF6D79"/>
    <w:rsid w:val="00F06718"/>
    <w:rsid w:val="00F31322"/>
    <w:rsid w:val="00F34350"/>
    <w:rsid w:val="00F53FD1"/>
    <w:rsid w:val="00F63848"/>
    <w:rsid w:val="00F7752D"/>
    <w:rsid w:val="00F9357D"/>
    <w:rsid w:val="00F97C73"/>
    <w:rsid w:val="00FA0B36"/>
    <w:rsid w:val="00FA2FF3"/>
    <w:rsid w:val="00FA4393"/>
    <w:rsid w:val="00FA5D5E"/>
    <w:rsid w:val="00FC3767"/>
    <w:rsid w:val="00FD7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936DAF-7FA0-4FF4-97C9-A35A1ED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B7"/>
    <w:pPr>
      <w:spacing w:before="240"/>
    </w:pPr>
    <w:rPr>
      <w:rFonts w:ascii="Arial" w:hAnsi="Arial" w:cs="Arial"/>
    </w:rPr>
  </w:style>
  <w:style w:type="paragraph" w:styleId="Heading1">
    <w:name w:val="heading 1"/>
    <w:basedOn w:val="Normal"/>
    <w:next w:val="Normal"/>
    <w:link w:val="Heading1Char"/>
    <w:uiPriority w:val="9"/>
    <w:qFormat/>
    <w:rsid w:val="00136ACB"/>
    <w:pPr>
      <w:keepNext/>
      <w:keepLines/>
      <w:spacing w:after="0"/>
      <w:outlineLvl w:val="0"/>
    </w:pPr>
    <w:rPr>
      <w:rFonts w:eastAsiaTheme="majorEastAsia"/>
      <w:b/>
      <w:color w:val="6B2976"/>
      <w:sz w:val="32"/>
      <w:szCs w:val="32"/>
    </w:rPr>
  </w:style>
  <w:style w:type="paragraph" w:styleId="Heading2">
    <w:name w:val="heading 2"/>
    <w:basedOn w:val="Normal"/>
    <w:next w:val="Normal"/>
    <w:link w:val="Heading2Char"/>
    <w:uiPriority w:val="9"/>
    <w:unhideWhenUsed/>
    <w:qFormat/>
    <w:rsid w:val="00136ACB"/>
    <w:pPr>
      <w:keepNext/>
      <w:keepLines/>
      <w:spacing w:before="40" w:after="0"/>
      <w:outlineLvl w:val="1"/>
    </w:pPr>
    <w:rPr>
      <w:rFonts w:eastAsiaTheme="majorEastAsia"/>
      <w:b/>
      <w:color w:val="6B2976"/>
      <w:sz w:val="26"/>
      <w:szCs w:val="26"/>
    </w:rPr>
  </w:style>
  <w:style w:type="paragraph" w:styleId="Heading4">
    <w:name w:val="heading 4"/>
    <w:basedOn w:val="Normal"/>
    <w:next w:val="Normal"/>
    <w:link w:val="Heading4Char"/>
    <w:uiPriority w:val="9"/>
    <w:unhideWhenUsed/>
    <w:qFormat/>
    <w:rsid w:val="00B302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72D"/>
    <w:rPr>
      <w:color w:val="0563C1" w:themeColor="hyperlink"/>
      <w:u w:val="single"/>
    </w:rPr>
  </w:style>
  <w:style w:type="paragraph" w:styleId="TOC2">
    <w:name w:val="toc 2"/>
    <w:basedOn w:val="Normal"/>
    <w:next w:val="Normal"/>
    <w:autoRedefine/>
    <w:uiPriority w:val="39"/>
    <w:unhideWhenUsed/>
    <w:qFormat/>
    <w:rsid w:val="00E6672D"/>
    <w:pPr>
      <w:spacing w:after="100" w:line="288" w:lineRule="auto"/>
      <w:ind w:left="220"/>
    </w:pPr>
    <w:rPr>
      <w:rFonts w:eastAsiaTheme="minorEastAsia"/>
      <w:szCs w:val="24"/>
      <w:lang w:val="en-US" w:eastAsia="ja-JP"/>
    </w:rPr>
  </w:style>
  <w:style w:type="paragraph" w:styleId="ListParagraph">
    <w:name w:val="List Paragraph"/>
    <w:aliases w:val="Recommendation,List Paragraph1,List Paragraph11,List Paragraph*,Dot Point,#List Paragraph,L,Bullet point,Bullet Points,NFP GP Bulleted List,Figure_name,Bullet- First level,Listenabsatz1,2nd Bullet point,List Paragraph111,F5 List Paragraph"/>
    <w:basedOn w:val="Normal"/>
    <w:link w:val="ListParagraphChar"/>
    <w:uiPriority w:val="34"/>
    <w:qFormat/>
    <w:rsid w:val="00C533B7"/>
    <w:pPr>
      <w:ind w:left="720"/>
      <w:contextualSpacing/>
    </w:pPr>
    <w:rPr>
      <w:b/>
    </w:rPr>
  </w:style>
  <w:style w:type="paragraph" w:customStyle="1" w:styleId="BodyText1">
    <w:name w:val="Body Text1"/>
    <w:basedOn w:val="Normal"/>
    <w:qFormat/>
    <w:rsid w:val="00EC5072"/>
    <w:pPr>
      <w:spacing w:after="120" w:line="240" w:lineRule="auto"/>
    </w:pPr>
    <w:rPr>
      <w:rFonts w:eastAsia="MS Mincho" w:cs="FSMe-Bold"/>
      <w:spacing w:val="-2"/>
      <w:sz w:val="20"/>
      <w:szCs w:val="20"/>
      <w:lang w:val="en-US"/>
    </w:rPr>
  </w:style>
  <w:style w:type="character" w:customStyle="1" w:styleId="ListParagraphChar">
    <w:name w:val="List Paragraph Char"/>
    <w:aliases w:val="Recommendation Char,List Paragraph1 Char,List Paragraph11 Char,List Paragraph* Char,Dot Point Char,#List Paragraph Char,L Char,Bullet point Char,Bullet Points Char,NFP GP Bulleted List Char,Figure_name Char,Bullet- First level Char"/>
    <w:basedOn w:val="DefaultParagraphFont"/>
    <w:link w:val="ListParagraph"/>
    <w:uiPriority w:val="34"/>
    <w:qFormat/>
    <w:locked/>
    <w:rsid w:val="00C533B7"/>
    <w:rPr>
      <w:rFonts w:ascii="Arial" w:hAnsi="Arial" w:cs="Arial"/>
      <w:b/>
    </w:rPr>
  </w:style>
  <w:style w:type="character" w:customStyle="1" w:styleId="Heading1Char">
    <w:name w:val="Heading 1 Char"/>
    <w:basedOn w:val="DefaultParagraphFont"/>
    <w:link w:val="Heading1"/>
    <w:uiPriority w:val="9"/>
    <w:rsid w:val="00136ACB"/>
    <w:rPr>
      <w:rFonts w:ascii="Arial" w:eastAsiaTheme="majorEastAsia" w:hAnsi="Arial" w:cs="Arial"/>
      <w:b/>
      <w:color w:val="6B2976"/>
      <w:sz w:val="32"/>
      <w:szCs w:val="32"/>
    </w:rPr>
  </w:style>
  <w:style w:type="character" w:customStyle="1" w:styleId="Heading2Char">
    <w:name w:val="Heading 2 Char"/>
    <w:basedOn w:val="DefaultParagraphFont"/>
    <w:link w:val="Heading2"/>
    <w:uiPriority w:val="9"/>
    <w:rsid w:val="00136ACB"/>
    <w:rPr>
      <w:rFonts w:ascii="Arial" w:eastAsiaTheme="majorEastAsia" w:hAnsi="Arial" w:cs="Arial"/>
      <w:b/>
      <w:color w:val="6B2976"/>
      <w:sz w:val="26"/>
      <w:szCs w:val="26"/>
    </w:rPr>
  </w:style>
  <w:style w:type="paragraph" w:styleId="Header">
    <w:name w:val="header"/>
    <w:basedOn w:val="Normal"/>
    <w:link w:val="HeaderChar"/>
    <w:uiPriority w:val="99"/>
    <w:unhideWhenUsed/>
    <w:rsid w:val="00E17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6FF"/>
  </w:style>
  <w:style w:type="paragraph" w:styleId="Footer">
    <w:name w:val="footer"/>
    <w:basedOn w:val="Normal"/>
    <w:link w:val="FooterChar"/>
    <w:uiPriority w:val="99"/>
    <w:unhideWhenUsed/>
    <w:rsid w:val="00E17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6FF"/>
  </w:style>
  <w:style w:type="paragraph" w:styleId="PlainText">
    <w:name w:val="Plain Text"/>
    <w:basedOn w:val="Normal"/>
    <w:link w:val="PlainTextChar"/>
    <w:uiPriority w:val="99"/>
    <w:semiHidden/>
    <w:unhideWhenUsed/>
    <w:rsid w:val="009F5C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F5CDC"/>
    <w:rPr>
      <w:rFonts w:ascii="Calibri" w:hAnsi="Calibri"/>
      <w:szCs w:val="21"/>
    </w:rPr>
  </w:style>
  <w:style w:type="character" w:styleId="CommentReference">
    <w:name w:val="annotation reference"/>
    <w:basedOn w:val="DefaultParagraphFont"/>
    <w:uiPriority w:val="99"/>
    <w:semiHidden/>
    <w:unhideWhenUsed/>
    <w:rsid w:val="00C95EEA"/>
    <w:rPr>
      <w:sz w:val="16"/>
      <w:szCs w:val="16"/>
    </w:rPr>
  </w:style>
  <w:style w:type="paragraph" w:styleId="CommentText">
    <w:name w:val="annotation text"/>
    <w:basedOn w:val="Normal"/>
    <w:link w:val="CommentTextChar"/>
    <w:uiPriority w:val="99"/>
    <w:unhideWhenUsed/>
    <w:rsid w:val="00C95EEA"/>
    <w:pPr>
      <w:spacing w:after="200"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C95EEA"/>
    <w:rPr>
      <w:rFonts w:ascii="Arial" w:eastAsiaTheme="minorEastAsia" w:hAnsi="Arial"/>
      <w:sz w:val="20"/>
      <w:szCs w:val="20"/>
      <w:lang w:eastAsia="ja-JP"/>
    </w:rPr>
  </w:style>
  <w:style w:type="character" w:customStyle="1" w:styleId="veryhardreadability">
    <w:name w:val="veryhardreadability"/>
    <w:basedOn w:val="DefaultParagraphFont"/>
    <w:rsid w:val="00C95EEA"/>
  </w:style>
  <w:style w:type="character" w:customStyle="1" w:styleId="hardreadability">
    <w:name w:val="hardreadability"/>
    <w:basedOn w:val="DefaultParagraphFont"/>
    <w:rsid w:val="00C95EEA"/>
  </w:style>
  <w:style w:type="character" w:customStyle="1" w:styleId="complexword">
    <w:name w:val="complexword"/>
    <w:basedOn w:val="DefaultParagraphFont"/>
    <w:rsid w:val="00C95EEA"/>
  </w:style>
  <w:style w:type="paragraph" w:styleId="BalloonText">
    <w:name w:val="Balloon Text"/>
    <w:basedOn w:val="Normal"/>
    <w:link w:val="BalloonTextChar"/>
    <w:uiPriority w:val="99"/>
    <w:semiHidden/>
    <w:unhideWhenUsed/>
    <w:rsid w:val="00C95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E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14E9"/>
    <w:pPr>
      <w:spacing w:after="160"/>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BB14E9"/>
    <w:rPr>
      <w:rFonts w:ascii="Arial" w:eastAsiaTheme="minorEastAsia" w:hAnsi="Arial"/>
      <w:b/>
      <w:bCs/>
      <w:sz w:val="20"/>
      <w:szCs w:val="20"/>
      <w:lang w:eastAsia="ja-JP"/>
    </w:rPr>
  </w:style>
  <w:style w:type="paragraph" w:customStyle="1" w:styleId="1NumberedParagaphStyle">
    <w:name w:val="1. Numbered Paragaph Style"/>
    <w:basedOn w:val="Normal"/>
    <w:link w:val="1NumberedParagaphStyleChar"/>
    <w:qFormat/>
    <w:rsid w:val="00600C68"/>
    <w:pPr>
      <w:numPr>
        <w:numId w:val="19"/>
      </w:numPr>
      <w:spacing w:after="0" w:line="240" w:lineRule="auto"/>
      <w:contextualSpacing/>
    </w:pPr>
    <w:rPr>
      <w:rFonts w:eastAsia="Cambria" w:cs="Times New Roman"/>
      <w:sz w:val="24"/>
      <w:szCs w:val="20"/>
    </w:rPr>
  </w:style>
  <w:style w:type="character" w:customStyle="1" w:styleId="1NumberedParagaphStyleChar">
    <w:name w:val="1. Numbered Paragaph Style Char"/>
    <w:basedOn w:val="DefaultParagraphFont"/>
    <w:link w:val="1NumberedParagaphStyle"/>
    <w:rsid w:val="00600C68"/>
    <w:rPr>
      <w:rFonts w:eastAsia="Cambria" w:cs="Times New Roman"/>
      <w:sz w:val="24"/>
      <w:szCs w:val="20"/>
    </w:rPr>
  </w:style>
  <w:style w:type="paragraph" w:styleId="FootnoteText">
    <w:name w:val="footnote text"/>
    <w:basedOn w:val="Normal"/>
    <w:link w:val="FootnoteTextChar"/>
    <w:uiPriority w:val="99"/>
    <w:semiHidden/>
    <w:unhideWhenUsed/>
    <w:rsid w:val="00095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E9D"/>
    <w:rPr>
      <w:sz w:val="20"/>
      <w:szCs w:val="20"/>
    </w:rPr>
  </w:style>
  <w:style w:type="character" w:styleId="FootnoteReference">
    <w:name w:val="footnote reference"/>
    <w:basedOn w:val="DefaultParagraphFont"/>
    <w:uiPriority w:val="99"/>
    <w:semiHidden/>
    <w:unhideWhenUsed/>
    <w:rsid w:val="00095E9D"/>
    <w:rPr>
      <w:vertAlign w:val="superscript"/>
    </w:rPr>
  </w:style>
  <w:style w:type="character" w:customStyle="1" w:styleId="Heading4Char">
    <w:name w:val="Heading 4 Char"/>
    <w:basedOn w:val="DefaultParagraphFont"/>
    <w:link w:val="Heading4"/>
    <w:uiPriority w:val="9"/>
    <w:rsid w:val="00B3026F"/>
    <w:rPr>
      <w:rFonts w:asciiTheme="majorHAnsi" w:eastAsiaTheme="majorEastAsia" w:hAnsiTheme="majorHAnsi" w:cstheme="majorBidi"/>
      <w:i/>
      <w:iCs/>
      <w:color w:val="2E74B5" w:themeColor="accent1" w:themeShade="BF"/>
    </w:rPr>
  </w:style>
  <w:style w:type="character" w:styleId="BookTitle">
    <w:name w:val="Book Title"/>
    <w:uiPriority w:val="33"/>
    <w:qFormat/>
    <w:rsid w:val="00136ACB"/>
    <w:rPr>
      <w:color w:val="FFFFFF" w:themeColor="background1"/>
      <w:sz w:val="56"/>
      <w:szCs w:val="56"/>
    </w:rPr>
  </w:style>
  <w:style w:type="paragraph" w:styleId="Subtitle">
    <w:name w:val="Subtitle"/>
    <w:basedOn w:val="Normal"/>
    <w:next w:val="Normal"/>
    <w:link w:val="SubtitleChar"/>
    <w:uiPriority w:val="11"/>
    <w:qFormat/>
    <w:rsid w:val="00C533B7"/>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33B7"/>
    <w:rPr>
      <w:rFonts w:eastAsiaTheme="minorEastAsia"/>
      <w:color w:val="5A5A5A" w:themeColor="text1" w:themeTint="A5"/>
      <w:spacing w:val="15"/>
    </w:rPr>
  </w:style>
  <w:style w:type="character" w:styleId="SubtleEmphasis">
    <w:name w:val="Subtle Emphasis"/>
    <w:basedOn w:val="DefaultParagraphFont"/>
    <w:uiPriority w:val="19"/>
    <w:qFormat/>
    <w:rsid w:val="00C533B7"/>
    <w:rPr>
      <w:i/>
      <w:iCs/>
      <w:color w:val="404040" w:themeColor="text1" w:themeTint="BF"/>
    </w:rPr>
  </w:style>
  <w:style w:type="character" w:styleId="Emphasis">
    <w:name w:val="Emphasis"/>
    <w:basedOn w:val="DefaultParagraphFont"/>
    <w:uiPriority w:val="20"/>
    <w:qFormat/>
    <w:rsid w:val="00C533B7"/>
    <w:rPr>
      <w:i/>
      <w:iCs/>
    </w:rPr>
  </w:style>
  <w:style w:type="paragraph" w:customStyle="1" w:styleId="Bullets">
    <w:name w:val="Bullets"/>
    <w:basedOn w:val="ListParagraph"/>
    <w:link w:val="BulletsChar"/>
    <w:qFormat/>
    <w:rsid w:val="00C533B7"/>
    <w:pPr>
      <w:numPr>
        <w:numId w:val="15"/>
      </w:numPr>
      <w:spacing w:before="360" w:after="240"/>
      <w:ind w:left="714" w:hanging="357"/>
    </w:pPr>
    <w:rPr>
      <w:b w:val="0"/>
    </w:rPr>
  </w:style>
  <w:style w:type="character" w:customStyle="1" w:styleId="BulletsChar">
    <w:name w:val="Bullets Char"/>
    <w:basedOn w:val="ListParagraphChar"/>
    <w:link w:val="Bullets"/>
    <w:rsid w:val="00C533B7"/>
    <w:rPr>
      <w:rFonts w:ascii="Arial" w:hAnsi="Arial" w:cs="Arial"/>
      <w:b w:val="0"/>
    </w:rPr>
  </w:style>
  <w:style w:type="paragraph" w:styleId="TOCHeading">
    <w:name w:val="TOC Heading"/>
    <w:basedOn w:val="Heading1"/>
    <w:next w:val="Normal"/>
    <w:uiPriority w:val="39"/>
    <w:unhideWhenUsed/>
    <w:qFormat/>
    <w:rsid w:val="004549EB"/>
    <w:pPr>
      <w:outlineLvl w:val="9"/>
    </w:pPr>
    <w:rPr>
      <w:rFonts w:asciiTheme="majorHAnsi" w:hAnsiTheme="majorHAnsi" w:cstheme="majorBidi"/>
      <w:b w:val="0"/>
      <w:color w:val="2E74B5" w:themeColor="accent1" w:themeShade="BF"/>
      <w:lang w:val="en-US"/>
    </w:rPr>
  </w:style>
  <w:style w:type="paragraph" w:styleId="TOC1">
    <w:name w:val="toc 1"/>
    <w:basedOn w:val="Normal"/>
    <w:next w:val="Normal"/>
    <w:autoRedefine/>
    <w:uiPriority w:val="39"/>
    <w:unhideWhenUsed/>
    <w:rsid w:val="004549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983">
      <w:bodyDiv w:val="1"/>
      <w:marLeft w:val="0"/>
      <w:marRight w:val="0"/>
      <w:marTop w:val="0"/>
      <w:marBottom w:val="0"/>
      <w:divBdr>
        <w:top w:val="none" w:sz="0" w:space="0" w:color="auto"/>
        <w:left w:val="none" w:sz="0" w:space="0" w:color="auto"/>
        <w:bottom w:val="none" w:sz="0" w:space="0" w:color="auto"/>
        <w:right w:val="none" w:sz="0" w:space="0" w:color="auto"/>
      </w:divBdr>
    </w:div>
    <w:div w:id="254243262">
      <w:bodyDiv w:val="1"/>
      <w:marLeft w:val="0"/>
      <w:marRight w:val="0"/>
      <w:marTop w:val="0"/>
      <w:marBottom w:val="0"/>
      <w:divBdr>
        <w:top w:val="none" w:sz="0" w:space="0" w:color="auto"/>
        <w:left w:val="none" w:sz="0" w:space="0" w:color="auto"/>
        <w:bottom w:val="none" w:sz="0" w:space="0" w:color="auto"/>
        <w:right w:val="none" w:sz="0" w:space="0" w:color="auto"/>
      </w:divBdr>
    </w:div>
    <w:div w:id="644773035">
      <w:bodyDiv w:val="1"/>
      <w:marLeft w:val="0"/>
      <w:marRight w:val="0"/>
      <w:marTop w:val="0"/>
      <w:marBottom w:val="0"/>
      <w:divBdr>
        <w:top w:val="none" w:sz="0" w:space="0" w:color="auto"/>
        <w:left w:val="none" w:sz="0" w:space="0" w:color="auto"/>
        <w:bottom w:val="none" w:sz="0" w:space="0" w:color="auto"/>
        <w:right w:val="none" w:sz="0" w:space="0" w:color="auto"/>
      </w:divBdr>
    </w:div>
    <w:div w:id="665597549">
      <w:bodyDiv w:val="1"/>
      <w:marLeft w:val="0"/>
      <w:marRight w:val="0"/>
      <w:marTop w:val="0"/>
      <w:marBottom w:val="0"/>
      <w:divBdr>
        <w:top w:val="none" w:sz="0" w:space="0" w:color="auto"/>
        <w:left w:val="none" w:sz="0" w:space="0" w:color="auto"/>
        <w:bottom w:val="none" w:sz="0" w:space="0" w:color="auto"/>
        <w:right w:val="none" w:sz="0" w:space="0" w:color="auto"/>
      </w:divBdr>
    </w:div>
    <w:div w:id="690954912">
      <w:bodyDiv w:val="1"/>
      <w:marLeft w:val="0"/>
      <w:marRight w:val="0"/>
      <w:marTop w:val="0"/>
      <w:marBottom w:val="0"/>
      <w:divBdr>
        <w:top w:val="none" w:sz="0" w:space="0" w:color="auto"/>
        <w:left w:val="none" w:sz="0" w:space="0" w:color="auto"/>
        <w:bottom w:val="none" w:sz="0" w:space="0" w:color="auto"/>
        <w:right w:val="none" w:sz="0" w:space="0" w:color="auto"/>
      </w:divBdr>
    </w:div>
    <w:div w:id="16953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48BC8.C05AE750" TargetMode="External"/><Relationship Id="rId18" Type="http://schemas.openxmlformats.org/officeDocument/2006/relationships/hyperlink" Target="https://www.ndis.gov.au/communities/il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lctoolkit.ndi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communities/local-area-coordination"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B6697BBC0E49E69B2B1F201058F1A2"/>
        <w:category>
          <w:name w:val="General"/>
          <w:gallery w:val="placeholder"/>
        </w:category>
        <w:types>
          <w:type w:val="bbPlcHdr"/>
        </w:types>
        <w:behaviors>
          <w:behavior w:val="content"/>
        </w:behaviors>
        <w:guid w:val="{576C104E-CF1A-4C71-8268-5470BAD1BAC3}"/>
      </w:docPartPr>
      <w:docPartBody>
        <w:p w:rsidR="00AE3373" w:rsidRDefault="00D51CEF" w:rsidP="00D51CEF">
          <w:pPr>
            <w:pStyle w:val="BAB6697BBC0E49E69B2B1F201058F1A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FS Me Light">
    <w:altName w:val="Times New Roman"/>
    <w:charset w:val="00"/>
    <w:family w:val="auto"/>
    <w:pitch w:val="variable"/>
    <w:sig w:usb0="00000001" w:usb1="4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EF"/>
    <w:rsid w:val="00196D7B"/>
    <w:rsid w:val="001F23D7"/>
    <w:rsid w:val="00237550"/>
    <w:rsid w:val="003A4A29"/>
    <w:rsid w:val="0051738E"/>
    <w:rsid w:val="007227A6"/>
    <w:rsid w:val="007905C3"/>
    <w:rsid w:val="009D5D98"/>
    <w:rsid w:val="00AE3373"/>
    <w:rsid w:val="00BE2B14"/>
    <w:rsid w:val="00D51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C9BAA18C984870B6EF2BCB095A1105">
    <w:name w:val="5DC9BAA18C984870B6EF2BCB095A1105"/>
    <w:rsid w:val="00D51CEF"/>
  </w:style>
  <w:style w:type="paragraph" w:customStyle="1" w:styleId="BAB6697BBC0E49E69B2B1F201058F1A2">
    <w:name w:val="BAB6697BBC0E49E69B2B1F201058F1A2"/>
    <w:rsid w:val="00D51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AttachedBy xmlns="534E154A-9543-4F85-BF78-F8FC98F83A59" xsi:nil="true"/>
    <pdms_Reason xmlns="534E154A-9543-4F85-BF78-F8FC98F83A59" xsi:nil="true"/>
    <pdms_DocumentType xmlns="534E154A-9543-4F85-BF78-F8FC98F83A59" xsi:nil="true"/>
    <pdms_SecurityClassification xmlns="534E154A-9543-4F85-BF78-F8FC98F83A59" xsi:nil="true"/>
    <SecurityClassification xmlns="534E154A-9543-4F85-BF78-F8FC98F83A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9568B6739F44D041AEECCB5A7CB11576" ma:contentTypeVersion="" ma:contentTypeDescription="PDMS Documentation Content Type" ma:contentTypeScope="" ma:versionID="363bd1ca1083742d3c4db66b61ae07c5">
  <xsd:schema xmlns:xsd="http://www.w3.org/2001/XMLSchema" xmlns:xs="http://www.w3.org/2001/XMLSchema" xmlns:p="http://schemas.microsoft.com/office/2006/metadata/properties" xmlns:ns2="534E154A-9543-4F85-BF78-F8FC98F83A59" targetNamespace="http://schemas.microsoft.com/office/2006/metadata/properties" ma:root="true" ma:fieldsID="1b8d8efc7f295e1e8a905e659aced584" ns2:_="">
    <xsd:import namespace="534E154A-9543-4F85-BF78-F8FC98F83A5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E154A-9543-4F85-BF78-F8FC98F83A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EB17-D75F-4A18-992C-DAB6D09B7E3A}">
  <ds:schemaRefs>
    <ds:schemaRef ds:uri="http://schemas.microsoft.com/sharepoint/v3/contenttype/forms"/>
  </ds:schemaRefs>
</ds:datastoreItem>
</file>

<file path=customXml/itemProps2.xml><?xml version="1.0" encoding="utf-8"?>
<ds:datastoreItem xmlns:ds="http://schemas.openxmlformats.org/officeDocument/2006/customXml" ds:itemID="{08CAF1BE-C6DF-45F5-8CF3-D5D878BDFA39}">
  <ds:schemaRefs>
    <ds:schemaRef ds:uri="http://schemas.microsoft.com/office/2006/metadata/properties"/>
    <ds:schemaRef ds:uri="http://schemas.microsoft.com/office/infopath/2007/PartnerControls"/>
    <ds:schemaRef ds:uri="534E154A-9543-4F85-BF78-F8FC98F83A59"/>
  </ds:schemaRefs>
</ds:datastoreItem>
</file>

<file path=customXml/itemProps3.xml><?xml version="1.0" encoding="utf-8"?>
<ds:datastoreItem xmlns:ds="http://schemas.openxmlformats.org/officeDocument/2006/customXml" ds:itemID="{A2B7A56D-AFBF-41F4-8C3D-3A5CFFB2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E154A-9543-4F85-BF78-F8FC98F83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16BF6-17FA-438C-9F76-99B59D2C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Strengthening Information, Linkages and Capacity Building (ILC)</vt:lpstr>
    </vt:vector>
  </TitlesOfParts>
  <Company>Australian Government</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Information, Linkages and Capacity Building (ILC)</dc:title>
  <dc:subject/>
  <dc:creator>Burke, Anna</dc:creator>
  <cp:keywords/>
  <dc:description/>
  <cp:lastModifiedBy>SEGAL, Elysha</cp:lastModifiedBy>
  <cp:revision>2</cp:revision>
  <cp:lastPrinted>2018-12-19T22:04:00Z</cp:lastPrinted>
  <dcterms:created xsi:type="dcterms:W3CDTF">2020-10-09T03:51:00Z</dcterms:created>
  <dcterms:modified xsi:type="dcterms:W3CDTF">2020-10-09T03:51:00Z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0x010100266966F133664895A6EE3632470D45F501009568B6739F44D041AEECCB5A7CB11576</vt:lpwstr>
  </property>
</Properties>
</file>