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Bold" w:hAnsi="Arial Bold"/>
          <w:b/>
          <w:color w:val="000000"/>
          <w:sz w:val="64"/>
          <w:szCs w:val="64"/>
        </w:rPr>
        <w:id w:val="1038548860"/>
        <w:docPartObj>
          <w:docPartGallery w:val="Cover Pages"/>
          <w:docPartUnique/>
        </w:docPartObj>
      </w:sdtPr>
      <w:sdtEndPr>
        <w:rPr>
          <w:rFonts w:ascii="Arial" w:hAnsi="Arial"/>
          <w:color w:val="C00000"/>
          <w:sz w:val="44"/>
          <w:szCs w:val="22"/>
        </w:rPr>
      </w:sdtEndPr>
      <w:sdtContent>
        <w:p w14:paraId="32E7ED0D" w14:textId="77777777" w:rsidR="001A66F1" w:rsidRPr="001A66F1" w:rsidRDefault="001A66F1" w:rsidP="00D0310F">
          <w:pPr>
            <w:ind w:left="720"/>
            <w:rPr>
              <w:rFonts w:ascii="Arial Bold" w:hAnsi="Arial Bold"/>
              <w:b/>
              <w:color w:val="000000"/>
              <w:sz w:val="26"/>
              <w:szCs w:val="64"/>
            </w:rPr>
          </w:pPr>
        </w:p>
        <w:p w14:paraId="067DCE56" w14:textId="77777777" w:rsidR="00D2683A" w:rsidRPr="00831298" w:rsidRDefault="00D2683A" w:rsidP="00831298">
          <w:pPr>
            <w:pStyle w:val="Heading1"/>
            <w:ind w:left="709"/>
            <w:rPr>
              <w:rFonts w:ascii="Arial" w:hAnsi="Arial" w:cs="Arial"/>
              <w:sz w:val="64"/>
              <w:szCs w:val="64"/>
            </w:rPr>
          </w:pPr>
          <w:r w:rsidRPr="00831298">
            <w:rPr>
              <w:rFonts w:ascii="Arial" w:hAnsi="Arial" w:cs="Arial"/>
              <w:color w:val="auto"/>
              <w:sz w:val="64"/>
              <w:szCs w:val="64"/>
            </w:rPr>
            <w:t xml:space="preserve">National Consumer </w:t>
          </w:r>
          <w:r w:rsidRPr="00831298">
            <w:rPr>
              <w:rFonts w:ascii="Arial" w:hAnsi="Arial" w:cs="Arial"/>
              <w:color w:val="auto"/>
              <w:sz w:val="64"/>
              <w:szCs w:val="64"/>
            </w:rPr>
            <w:br/>
            <w:t>Protection Framework for Online Wagering in Australia</w:t>
          </w:r>
          <w:r w:rsidR="009C57F0" w:rsidRPr="00831298">
            <w:rPr>
              <w:rFonts w:ascii="Arial" w:hAnsi="Arial" w:cs="Arial"/>
              <w:color w:val="auto"/>
              <w:sz w:val="64"/>
              <w:szCs w:val="64"/>
            </w:rPr>
            <w:t xml:space="preserve"> – </w:t>
          </w:r>
          <w:r w:rsidR="004E0D5E" w:rsidRPr="00831298">
            <w:rPr>
              <w:rFonts w:ascii="Arial" w:hAnsi="Arial" w:cs="Arial"/>
              <w:color w:val="auto"/>
              <w:sz w:val="64"/>
              <w:szCs w:val="64"/>
            </w:rPr>
            <w:t xml:space="preserve">National </w:t>
          </w:r>
          <w:r w:rsidR="009C57F0" w:rsidRPr="00831298">
            <w:rPr>
              <w:rFonts w:ascii="Arial" w:hAnsi="Arial" w:cs="Arial"/>
              <w:color w:val="auto"/>
              <w:sz w:val="64"/>
              <w:szCs w:val="64"/>
            </w:rPr>
            <w:t>Policy Statement</w:t>
          </w:r>
        </w:p>
        <w:p w14:paraId="23617F14" w14:textId="674CAA4C" w:rsidR="00A639F6" w:rsidRPr="00856A83" w:rsidRDefault="00D2683A" w:rsidP="00D0310F">
          <w:pPr>
            <w:ind w:left="720"/>
            <w:rPr>
              <w:rFonts w:ascii="Arial" w:hAnsi="Arial" w:cs="Arial"/>
              <w:color w:val="000000"/>
              <w:sz w:val="24"/>
              <w:szCs w:val="24"/>
            </w:rPr>
          </w:pPr>
          <w:r w:rsidRPr="00856A83">
            <w:rPr>
              <w:rFonts w:ascii="Arial" w:hAnsi="Arial" w:cs="Arial"/>
              <w:noProof/>
              <w:color w:val="000000"/>
              <w:sz w:val="24"/>
              <w:szCs w:val="24"/>
              <w:lang w:eastAsia="en-AU"/>
            </w:rPr>
            <mc:AlternateContent>
              <mc:Choice Requires="wps">
                <w:drawing>
                  <wp:anchor distT="0" distB="0" distL="114300" distR="114300" simplePos="0" relativeHeight="251659264" behindDoc="0" locked="0" layoutInCell="1" allowOverlap="1" wp14:anchorId="6DCFC584" wp14:editId="56D939D6">
                    <wp:simplePos x="0" y="0"/>
                    <wp:positionH relativeFrom="margin">
                      <wp:align>center</wp:align>
                    </wp:positionH>
                    <wp:positionV relativeFrom="paragraph">
                      <wp:posOffset>289560</wp:posOffset>
                    </wp:positionV>
                    <wp:extent cx="6276975" cy="272415"/>
                    <wp:effectExtent l="0" t="0" r="28575" b="13335"/>
                    <wp:wrapNone/>
                    <wp:docPr id="1" name="Rounded Rectangle 1" title="Rounded rectangle"/>
                    <wp:cNvGraphicFramePr/>
                    <a:graphic xmlns:a="http://schemas.openxmlformats.org/drawingml/2006/main">
                      <a:graphicData uri="http://schemas.microsoft.com/office/word/2010/wordprocessingShape">
                        <wps:wsp>
                          <wps:cNvSpPr/>
                          <wps:spPr>
                            <a:xfrm>
                              <a:off x="0" y="0"/>
                              <a:ext cx="6276975" cy="272415"/>
                            </a:xfrm>
                            <a:prstGeom prst="roundRect">
                              <a:avLst/>
                            </a:prstGeom>
                            <a:solidFill>
                              <a:srgbClr val="835199"/>
                            </a:solidFill>
                            <a:ln>
                              <a:solidFill>
                                <a:srgbClr val="7030A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287376C" w14:textId="77777777" w:rsidR="00D730DA" w:rsidRDefault="00D730DA" w:rsidP="004E74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CFC584" id="Rounded Rectangle 1" o:spid="_x0000_s1026" alt="Title: Rounded rectangle" style="position:absolute;left:0;text-align:left;margin-left:0;margin-top:22.8pt;width:494.25pt;height:21.4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" fillcolor="#835199" strokecolor="#7030a0" strokeweight="1pt">
                    <v:stroke joinstyle="miter"/>
                    <v:textbox>
                      <w:txbxContent>
                        <w:p w14:paraId="4287376C" w14:textId="77777777" w:rsidR="00D730DA" w:rsidRDefault="00D730DA" w:rsidP="004E7418">
                          <w:pPr>
                            <w:jc w:val="center"/>
                          </w:pPr>
                        </w:p>
                      </w:txbxContent>
                    </v:textbox>
                    <w10:wrap anchorx="margin"/>
                  </v:roundrect>
                </w:pict>
              </mc:Fallback>
            </mc:AlternateContent>
          </w:r>
          <w:r w:rsidR="002D3517" w:rsidRPr="00856A83">
            <w:rPr>
              <w:rFonts w:ascii="Arial" w:hAnsi="Arial" w:cs="Arial"/>
              <w:color w:val="000000"/>
              <w:sz w:val="24"/>
              <w:szCs w:val="24"/>
            </w:rPr>
            <w:t>26 November 2018</w:t>
          </w:r>
          <w:r w:rsidR="00D730DA">
            <w:rPr>
              <w:rFonts w:ascii="Arial" w:hAnsi="Arial" w:cs="Arial"/>
              <w:color w:val="000000"/>
              <w:sz w:val="24"/>
              <w:szCs w:val="24"/>
            </w:rPr>
            <w:t xml:space="preserve"> (updated </w:t>
          </w:r>
          <w:r w:rsidR="002E3199">
            <w:rPr>
              <w:rFonts w:ascii="Arial" w:hAnsi="Arial" w:cs="Arial"/>
              <w:color w:val="000000"/>
              <w:sz w:val="24"/>
              <w:szCs w:val="24"/>
            </w:rPr>
            <w:t>3 May</w:t>
          </w:r>
          <w:bookmarkStart w:id="0" w:name="_GoBack"/>
          <w:bookmarkEnd w:id="0"/>
          <w:r w:rsidR="00D730DA">
            <w:rPr>
              <w:rFonts w:ascii="Arial" w:hAnsi="Arial" w:cs="Arial"/>
              <w:color w:val="000000"/>
              <w:sz w:val="24"/>
              <w:szCs w:val="24"/>
            </w:rPr>
            <w:t xml:space="preserve"> 2022)</w:t>
          </w:r>
        </w:p>
        <w:p w14:paraId="6E54E0D4" w14:textId="77777777" w:rsidR="00A639F6" w:rsidRPr="003D51E4" w:rsidRDefault="00A639F6" w:rsidP="00D0310F">
          <w:pPr>
            <w:ind w:left="720"/>
            <w:rPr>
              <w:color w:val="000000"/>
              <w:sz w:val="28"/>
              <w:szCs w:val="48"/>
            </w:rPr>
          </w:pPr>
          <w:r w:rsidRPr="003D51E4">
            <w:rPr>
              <w:color w:val="000000"/>
              <w:sz w:val="28"/>
              <w:szCs w:val="48"/>
            </w:rPr>
            <w:br/>
          </w:r>
        </w:p>
        <w:tbl>
          <w:tblPr>
            <w:tblStyle w:val="TableGridLight"/>
            <w:tblW w:w="4985" w:type="pct"/>
            <w:tblLayout w:type="fixed"/>
            <w:tblCellMar>
              <w:left w:w="0" w:type="dxa"/>
              <w:right w:w="0" w:type="dxa"/>
            </w:tblCellMar>
            <w:tblLook w:val="01E0" w:firstRow="1" w:lastRow="1" w:firstColumn="1" w:lastColumn="1" w:noHBand="0" w:noVBand="0"/>
            <w:tblDescription w:val="List of jurisdictions party to this agreed National Policy Statement"/>
          </w:tblPr>
          <w:tblGrid>
            <w:gridCol w:w="2262"/>
            <w:gridCol w:w="7686"/>
          </w:tblGrid>
          <w:tr w:rsidR="00AA34E9" w:rsidRPr="003D51E4" w14:paraId="07B4DD06" w14:textId="77777777" w:rsidTr="004E7418">
            <w:trPr>
              <w:tblHeader/>
            </w:trPr>
            <w:tc>
              <w:tcPr>
                <w:tcW w:w="5000" w:type="pct"/>
                <w:gridSpan w:val="2"/>
                <w:tcBorders>
                  <w:top w:val="nil"/>
                  <w:left w:val="nil"/>
                  <w:bottom w:val="nil"/>
                  <w:right w:val="nil"/>
                </w:tcBorders>
              </w:tcPr>
              <w:p w14:paraId="4942188E" w14:textId="77777777" w:rsidR="00AA34E9" w:rsidRPr="003D51E4" w:rsidRDefault="00AA34E9" w:rsidP="001A6634">
                <w:pPr>
                  <w:pStyle w:val="AgreementParties"/>
                  <w:numPr>
                    <w:ilvl w:val="0"/>
                    <w:numId w:val="0"/>
                  </w:numPr>
                  <w:tabs>
                    <w:tab w:val="left" w:pos="720"/>
                  </w:tabs>
                  <w:spacing w:before="0" w:after="160" w:line="259" w:lineRule="auto"/>
                  <w:rPr>
                    <w:rFonts w:ascii="Arial" w:hAnsi="Arial" w:cs="Arial"/>
                    <w:sz w:val="28"/>
                  </w:rPr>
                </w:pPr>
                <w:r w:rsidRPr="003D51E4">
                  <w:rPr>
                    <w:rFonts w:ascii="Arial" w:hAnsi="Arial" w:cs="Arial"/>
                    <w:sz w:val="28"/>
                  </w:rPr>
                  <w:t>A</w:t>
                </w:r>
                <w:r w:rsidR="003F0FA9" w:rsidRPr="003D51E4">
                  <w:rPr>
                    <w:rFonts w:ascii="Arial" w:hAnsi="Arial" w:cs="Arial"/>
                    <w:sz w:val="28"/>
                  </w:rPr>
                  <w:t xml:space="preserve"> National Policy Statement of</w:t>
                </w:r>
                <w:r w:rsidR="009C57F0" w:rsidRPr="003D51E4">
                  <w:rPr>
                    <w:rFonts w:ascii="Arial" w:hAnsi="Arial" w:cs="Arial"/>
                    <w:sz w:val="28"/>
                  </w:rPr>
                  <w:t xml:space="preserve"> agreed co</w:t>
                </w:r>
                <w:r w:rsidR="003F0FA9" w:rsidRPr="003D51E4">
                  <w:rPr>
                    <w:rFonts w:ascii="Arial" w:hAnsi="Arial" w:cs="Arial"/>
                    <w:sz w:val="28"/>
                  </w:rPr>
                  <w:t>mmitment</w:t>
                </w:r>
                <w:r w:rsidR="009C57F0" w:rsidRPr="003D51E4">
                  <w:rPr>
                    <w:rFonts w:ascii="Arial" w:hAnsi="Arial" w:cs="Arial"/>
                    <w:sz w:val="28"/>
                  </w:rPr>
                  <w:t xml:space="preserve">s </w:t>
                </w:r>
                <w:r w:rsidR="004E0D5E" w:rsidRPr="003D51E4">
                  <w:rPr>
                    <w:rFonts w:ascii="Arial" w:hAnsi="Arial" w:cs="Arial"/>
                    <w:sz w:val="28"/>
                  </w:rPr>
                  <w:t>to prov</w:t>
                </w:r>
                <w:r w:rsidR="00160B84">
                  <w:rPr>
                    <w:rFonts w:ascii="Arial" w:hAnsi="Arial" w:cs="Arial"/>
                    <w:sz w:val="28"/>
                  </w:rPr>
                  <w:t>ide</w:t>
                </w:r>
                <w:r w:rsidR="004E0D5E" w:rsidRPr="003D51E4">
                  <w:rPr>
                    <w:rFonts w:ascii="Arial" w:hAnsi="Arial" w:cs="Arial"/>
                    <w:sz w:val="28"/>
                  </w:rPr>
                  <w:t xml:space="preserve"> </w:t>
                </w:r>
                <w:r w:rsidR="00363A18">
                  <w:rPr>
                    <w:rFonts w:ascii="Arial" w:hAnsi="Arial" w:cs="Arial"/>
                    <w:sz w:val="28"/>
                  </w:rPr>
                  <w:t xml:space="preserve">a National Consumer Protection Framework </w:t>
                </w:r>
                <w:r w:rsidR="004E0D5E" w:rsidRPr="003D51E4">
                  <w:rPr>
                    <w:rFonts w:ascii="Arial" w:hAnsi="Arial" w:cs="Arial"/>
                    <w:sz w:val="28"/>
                  </w:rPr>
                  <w:t xml:space="preserve">for </w:t>
                </w:r>
                <w:r w:rsidR="00676E1D">
                  <w:rPr>
                    <w:rFonts w:ascii="Arial" w:hAnsi="Arial" w:cs="Arial"/>
                    <w:sz w:val="28"/>
                  </w:rPr>
                  <w:t>interactive</w:t>
                </w:r>
                <w:r w:rsidR="004E0D5E" w:rsidRPr="003D51E4">
                  <w:rPr>
                    <w:rFonts w:ascii="Arial" w:hAnsi="Arial" w:cs="Arial"/>
                    <w:sz w:val="28"/>
                  </w:rPr>
                  <w:t xml:space="preserve"> wagering in Australia, </w:t>
                </w:r>
                <w:r w:rsidRPr="003D51E4">
                  <w:rPr>
                    <w:rFonts w:ascii="Arial" w:hAnsi="Arial" w:cs="Arial"/>
                    <w:sz w:val="28"/>
                  </w:rPr>
                  <w:t>between</w:t>
                </w:r>
              </w:p>
            </w:tc>
          </w:tr>
          <w:tr w:rsidR="00AA34E9" w:rsidRPr="003D51E4" w14:paraId="08BD0D67" w14:textId="77777777" w:rsidTr="00940768">
            <w:tc>
              <w:tcPr>
                <w:tcW w:w="1137" w:type="pct"/>
                <w:tcBorders>
                  <w:top w:val="nil"/>
                  <w:left w:val="nil"/>
                  <w:bottom w:val="nil"/>
                  <w:right w:val="nil"/>
                </w:tcBorders>
              </w:tcPr>
              <w:p w14:paraId="408FF610" w14:textId="77777777" w:rsidR="00AA34E9" w:rsidRPr="003D51E4" w:rsidRDefault="00AA34E9" w:rsidP="00940768">
                <w:pPr>
                  <w:pStyle w:val="AgreementParties"/>
                  <w:numPr>
                    <w:ilvl w:val="0"/>
                    <w:numId w:val="0"/>
                  </w:numPr>
                  <w:tabs>
                    <w:tab w:val="left" w:pos="720"/>
                  </w:tabs>
                  <w:spacing w:before="0" w:after="160" w:line="259" w:lineRule="auto"/>
                  <w:ind w:left="360"/>
                  <w:rPr>
                    <w:rFonts w:ascii="Arial" w:hAnsi="Arial" w:cs="Arial"/>
                    <w:color w:val="000000"/>
                    <w:sz w:val="23"/>
                  </w:rPr>
                </w:pPr>
              </w:p>
            </w:tc>
            <w:tc>
              <w:tcPr>
                <w:tcW w:w="3863" w:type="pct"/>
                <w:tcBorders>
                  <w:top w:val="nil"/>
                  <w:left w:val="nil"/>
                  <w:bottom w:val="nil"/>
                  <w:right w:val="nil"/>
                </w:tcBorders>
                <w:hideMark/>
              </w:tcPr>
              <w:p w14:paraId="6DDF9735" w14:textId="77777777" w:rsidR="00AA34E9" w:rsidRPr="003D51E4" w:rsidRDefault="00AA34E9" w:rsidP="00940768">
                <w:pPr>
                  <w:pStyle w:val="Indentednumberpara"/>
                  <w:numPr>
                    <w:ilvl w:val="0"/>
                    <w:numId w:val="24"/>
                  </w:numPr>
                  <w:tabs>
                    <w:tab w:val="left" w:pos="720"/>
                  </w:tabs>
                  <w:spacing w:after="160" w:line="259" w:lineRule="auto"/>
                  <w:rPr>
                    <w:rFonts w:ascii="Arial" w:hAnsi="Arial" w:cs="Arial"/>
                    <w:color w:val="auto"/>
                    <w:sz w:val="28"/>
                    <w:szCs w:val="32"/>
                    <w:lang w:eastAsia="ja-JP"/>
                  </w:rPr>
                </w:pPr>
                <w:r w:rsidRPr="003D51E4">
                  <w:rPr>
                    <w:rFonts w:ascii="Arial" w:hAnsi="Arial" w:cs="Arial"/>
                    <w:color w:val="auto"/>
                    <w:sz w:val="28"/>
                    <w:szCs w:val="32"/>
                    <w:lang w:eastAsia="ja-JP"/>
                  </w:rPr>
                  <w:t xml:space="preserve">the </w:t>
                </w:r>
                <w:r w:rsidRPr="003D51E4">
                  <w:rPr>
                    <w:rFonts w:ascii="Arial" w:hAnsi="Arial" w:cs="Arial"/>
                    <w:b/>
                    <w:color w:val="auto"/>
                    <w:sz w:val="28"/>
                    <w:szCs w:val="32"/>
                    <w:lang w:eastAsia="ja-JP"/>
                  </w:rPr>
                  <w:t>Commonwealth of Australia</w:t>
                </w:r>
                <w:r w:rsidRPr="003D51E4">
                  <w:rPr>
                    <w:rFonts w:ascii="Arial" w:hAnsi="Arial" w:cs="Arial"/>
                    <w:color w:val="auto"/>
                    <w:sz w:val="28"/>
                    <w:szCs w:val="32"/>
                    <w:lang w:eastAsia="ja-JP"/>
                  </w:rPr>
                  <w:t xml:space="preserve"> and</w:t>
                </w:r>
              </w:p>
              <w:p w14:paraId="35B8AC76" w14:textId="77777777" w:rsidR="00AA34E9" w:rsidRPr="003D51E4" w:rsidRDefault="00AA34E9" w:rsidP="00940768">
                <w:pPr>
                  <w:pStyle w:val="Indentednumberpara"/>
                  <w:numPr>
                    <w:ilvl w:val="0"/>
                    <w:numId w:val="24"/>
                  </w:numPr>
                  <w:tabs>
                    <w:tab w:val="left" w:pos="720"/>
                  </w:tabs>
                  <w:spacing w:after="160" w:line="259" w:lineRule="auto"/>
                  <w:rPr>
                    <w:rFonts w:ascii="Arial" w:hAnsi="Arial" w:cs="Arial"/>
                    <w:sz w:val="28"/>
                    <w:lang w:eastAsia="en-US"/>
                  </w:rPr>
                </w:pPr>
                <w:r w:rsidRPr="003D51E4">
                  <w:rPr>
                    <w:rFonts w:ascii="Arial" w:hAnsi="Arial" w:cs="Arial"/>
                    <w:color w:val="auto"/>
                    <w:sz w:val="28"/>
                    <w:szCs w:val="32"/>
                    <w:lang w:eastAsia="ja-JP"/>
                  </w:rPr>
                  <w:t xml:space="preserve">the </w:t>
                </w:r>
                <w:r w:rsidRPr="003D51E4">
                  <w:rPr>
                    <w:rFonts w:ascii="Arial" w:hAnsi="Arial" w:cs="Arial"/>
                    <w:b/>
                    <w:color w:val="auto"/>
                    <w:sz w:val="28"/>
                    <w:szCs w:val="32"/>
                    <w:lang w:eastAsia="ja-JP"/>
                  </w:rPr>
                  <w:t>States and Territories</w:t>
                </w:r>
                <w:r w:rsidRPr="003D51E4">
                  <w:rPr>
                    <w:rFonts w:ascii="Arial" w:hAnsi="Arial" w:cs="Arial"/>
                    <w:color w:val="auto"/>
                    <w:sz w:val="28"/>
                    <w:szCs w:val="32"/>
                    <w:lang w:eastAsia="ja-JP"/>
                  </w:rPr>
                  <w:t>, being:</w:t>
                </w:r>
              </w:p>
            </w:tc>
          </w:tr>
          <w:tr w:rsidR="00AA34E9" w:rsidRPr="003D51E4" w14:paraId="4F5E5CCA" w14:textId="77777777" w:rsidTr="00940768">
            <w:tc>
              <w:tcPr>
                <w:tcW w:w="1137" w:type="pct"/>
                <w:tcBorders>
                  <w:top w:val="nil"/>
                  <w:left w:val="nil"/>
                  <w:bottom w:val="nil"/>
                  <w:right w:val="nil"/>
                </w:tcBorders>
              </w:tcPr>
              <w:p w14:paraId="57B7D66C" w14:textId="77777777" w:rsidR="00AA34E9" w:rsidRPr="003D51E4" w:rsidRDefault="00AA34E9" w:rsidP="00940768">
                <w:pPr>
                  <w:pStyle w:val="AgreementParties"/>
                  <w:numPr>
                    <w:ilvl w:val="0"/>
                    <w:numId w:val="0"/>
                  </w:numPr>
                  <w:tabs>
                    <w:tab w:val="left" w:pos="720"/>
                  </w:tabs>
                  <w:spacing w:before="0" w:after="160" w:line="259" w:lineRule="auto"/>
                  <w:ind w:left="-207"/>
                  <w:rPr>
                    <w:rFonts w:ascii="Arial" w:hAnsi="Arial" w:cs="Arial"/>
                    <w:color w:val="000000"/>
                    <w:sz w:val="23"/>
                  </w:rPr>
                </w:pPr>
              </w:p>
            </w:tc>
            <w:tc>
              <w:tcPr>
                <w:tcW w:w="3863" w:type="pct"/>
                <w:tcBorders>
                  <w:top w:val="nil"/>
                  <w:left w:val="nil"/>
                  <w:bottom w:val="nil"/>
                  <w:right w:val="nil"/>
                </w:tcBorders>
              </w:tcPr>
              <w:p w14:paraId="42A9DB4E" w14:textId="77777777" w:rsidR="00AA34E9" w:rsidRPr="00856A83" w:rsidRDefault="00AA34E9" w:rsidP="00940768">
                <w:pPr>
                  <w:pStyle w:val="ListParagraph"/>
                  <w:numPr>
                    <w:ilvl w:val="0"/>
                    <w:numId w:val="25"/>
                  </w:numPr>
                  <w:contextualSpacing w:val="0"/>
                  <w:rPr>
                    <w:rFonts w:ascii="Arial" w:hAnsi="Arial" w:cs="Arial"/>
                    <w:sz w:val="28"/>
                    <w:szCs w:val="28"/>
                    <w:lang w:eastAsia="ja-JP"/>
                  </w:rPr>
                </w:pPr>
                <w:r w:rsidRPr="00856A83">
                  <w:rPr>
                    <w:rFonts w:cs="Arial"/>
                    <w:sz w:val="28"/>
                    <w:szCs w:val="28"/>
                    <w:lang w:eastAsia="ja-JP"/>
                  </w:rPr>
                  <w:t>The State of New South Wales</w:t>
                </w:r>
              </w:p>
              <w:p w14:paraId="094F12A9" w14:textId="77777777" w:rsidR="00AA34E9" w:rsidRPr="00856A83" w:rsidRDefault="00AA34E9" w:rsidP="00940768">
                <w:pPr>
                  <w:pStyle w:val="ListParagraph"/>
                  <w:numPr>
                    <w:ilvl w:val="0"/>
                    <w:numId w:val="25"/>
                  </w:numPr>
                  <w:contextualSpacing w:val="0"/>
                  <w:rPr>
                    <w:rFonts w:cs="Arial"/>
                    <w:sz w:val="28"/>
                    <w:szCs w:val="28"/>
                    <w:lang w:eastAsia="ja-JP"/>
                  </w:rPr>
                </w:pPr>
                <w:r w:rsidRPr="00856A83">
                  <w:rPr>
                    <w:rFonts w:cs="Arial"/>
                    <w:sz w:val="28"/>
                    <w:szCs w:val="28"/>
                    <w:lang w:eastAsia="ja-JP"/>
                  </w:rPr>
                  <w:t>The State of Queensland</w:t>
                </w:r>
              </w:p>
              <w:p w14:paraId="398B9046" w14:textId="77777777" w:rsidR="00AA34E9" w:rsidRPr="004E684D" w:rsidRDefault="00AA34E9" w:rsidP="00D730DA">
                <w:pPr>
                  <w:pStyle w:val="ListParagraph"/>
                  <w:numPr>
                    <w:ilvl w:val="0"/>
                    <w:numId w:val="25"/>
                  </w:numPr>
                  <w:contextualSpacing w:val="0"/>
                  <w:rPr>
                    <w:rFonts w:cs="Arial"/>
                    <w:sz w:val="28"/>
                    <w:szCs w:val="28"/>
                    <w:lang w:eastAsia="ja-JP"/>
                  </w:rPr>
                </w:pPr>
                <w:r w:rsidRPr="004E684D">
                  <w:rPr>
                    <w:rFonts w:cs="Arial"/>
                    <w:sz w:val="28"/>
                    <w:szCs w:val="28"/>
                    <w:lang w:eastAsia="ja-JP"/>
                  </w:rPr>
                  <w:t>The State of South Australia</w:t>
                </w:r>
              </w:p>
              <w:p w14:paraId="3A2A8DB8" w14:textId="77777777" w:rsidR="00AA34E9" w:rsidRPr="00856A83" w:rsidRDefault="00AA34E9" w:rsidP="00940768">
                <w:pPr>
                  <w:pStyle w:val="ListParagraph"/>
                  <w:numPr>
                    <w:ilvl w:val="0"/>
                    <w:numId w:val="25"/>
                  </w:numPr>
                  <w:contextualSpacing w:val="0"/>
                  <w:rPr>
                    <w:rFonts w:cs="Arial"/>
                    <w:sz w:val="28"/>
                    <w:szCs w:val="28"/>
                    <w:lang w:eastAsia="ja-JP"/>
                  </w:rPr>
                </w:pPr>
                <w:r w:rsidRPr="00856A83">
                  <w:rPr>
                    <w:rFonts w:cs="Arial"/>
                    <w:sz w:val="28"/>
                    <w:szCs w:val="28"/>
                    <w:lang w:eastAsia="ja-JP"/>
                  </w:rPr>
                  <w:t>The State of Tasmania</w:t>
                </w:r>
              </w:p>
              <w:p w14:paraId="0D8B9FD7" w14:textId="77777777" w:rsidR="00AA34E9" w:rsidRPr="00856A83" w:rsidRDefault="00AA34E9" w:rsidP="00940768">
                <w:pPr>
                  <w:pStyle w:val="ListParagraph"/>
                  <w:numPr>
                    <w:ilvl w:val="0"/>
                    <w:numId w:val="25"/>
                  </w:numPr>
                  <w:contextualSpacing w:val="0"/>
                  <w:rPr>
                    <w:rFonts w:cs="Arial"/>
                    <w:sz w:val="28"/>
                    <w:szCs w:val="28"/>
                    <w:lang w:eastAsia="ja-JP"/>
                  </w:rPr>
                </w:pPr>
                <w:r w:rsidRPr="00856A83">
                  <w:rPr>
                    <w:rFonts w:cs="Arial"/>
                    <w:sz w:val="28"/>
                    <w:szCs w:val="28"/>
                    <w:lang w:eastAsia="ja-JP"/>
                  </w:rPr>
                  <w:t>The State of Victoria</w:t>
                </w:r>
              </w:p>
              <w:p w14:paraId="407FC655" w14:textId="77777777" w:rsidR="00AA34E9" w:rsidRPr="00856A83" w:rsidRDefault="00AA34E9" w:rsidP="00940768">
                <w:pPr>
                  <w:pStyle w:val="ListParagraph"/>
                  <w:numPr>
                    <w:ilvl w:val="0"/>
                    <w:numId w:val="25"/>
                  </w:numPr>
                  <w:contextualSpacing w:val="0"/>
                  <w:rPr>
                    <w:rFonts w:cs="Arial"/>
                    <w:sz w:val="28"/>
                    <w:szCs w:val="28"/>
                    <w:lang w:eastAsia="ja-JP"/>
                  </w:rPr>
                </w:pPr>
                <w:r w:rsidRPr="00856A83">
                  <w:rPr>
                    <w:rFonts w:cs="Arial"/>
                    <w:sz w:val="28"/>
                    <w:szCs w:val="28"/>
                    <w:lang w:eastAsia="ja-JP"/>
                  </w:rPr>
                  <w:t>The State of Western Australia</w:t>
                </w:r>
              </w:p>
              <w:p w14:paraId="00E892CF" w14:textId="77777777" w:rsidR="00AA34E9" w:rsidRPr="00856A83" w:rsidRDefault="00AA34E9" w:rsidP="00940768">
                <w:pPr>
                  <w:pStyle w:val="ListParagraph"/>
                  <w:numPr>
                    <w:ilvl w:val="0"/>
                    <w:numId w:val="25"/>
                  </w:numPr>
                  <w:contextualSpacing w:val="0"/>
                  <w:rPr>
                    <w:rFonts w:cs="Arial"/>
                    <w:sz w:val="28"/>
                    <w:szCs w:val="28"/>
                    <w:lang w:eastAsia="ja-JP"/>
                  </w:rPr>
                </w:pPr>
                <w:r w:rsidRPr="00856A83">
                  <w:rPr>
                    <w:rFonts w:cs="Arial"/>
                    <w:sz w:val="28"/>
                    <w:szCs w:val="28"/>
                    <w:lang w:eastAsia="ja-JP"/>
                  </w:rPr>
                  <w:t>The Australian Capital Territory, and</w:t>
                </w:r>
              </w:p>
              <w:p w14:paraId="7554C033" w14:textId="77777777" w:rsidR="00AA34E9" w:rsidRPr="003D51E4" w:rsidRDefault="00AA34E9" w:rsidP="00940768">
                <w:pPr>
                  <w:pStyle w:val="ListParagraph"/>
                  <w:numPr>
                    <w:ilvl w:val="0"/>
                    <w:numId w:val="25"/>
                  </w:numPr>
                  <w:contextualSpacing w:val="0"/>
                  <w:rPr>
                    <w:rFonts w:ascii="Arial" w:hAnsi="Arial" w:cs="Arial"/>
                    <w:sz w:val="28"/>
                  </w:rPr>
                </w:pPr>
                <w:r w:rsidRPr="00856A83">
                  <w:rPr>
                    <w:rFonts w:cs="Arial"/>
                    <w:sz w:val="28"/>
                    <w:szCs w:val="28"/>
                    <w:lang w:eastAsia="ja-JP"/>
                  </w:rPr>
                  <w:t>The Northern Territory of Australia.</w:t>
                </w:r>
              </w:p>
            </w:tc>
          </w:tr>
        </w:tbl>
        <w:p w14:paraId="721A84ED" w14:textId="77777777" w:rsidR="004A5068" w:rsidRPr="003D51E4" w:rsidRDefault="007974DB" w:rsidP="00D0310F">
          <w:pPr>
            <w:tabs>
              <w:tab w:val="left" w:pos="7464"/>
            </w:tabs>
            <w:rPr>
              <w:color w:val="000000"/>
              <w:sz w:val="28"/>
              <w:szCs w:val="48"/>
            </w:rPr>
            <w:sectPr w:rsidR="004A5068" w:rsidRPr="003D51E4" w:rsidSect="00DC78EF">
              <w:headerReference w:type="even" r:id="rId8"/>
              <w:headerReference w:type="default" r:id="rId9"/>
              <w:footerReference w:type="even" r:id="rId10"/>
              <w:footerReference w:type="default" r:id="rId11"/>
              <w:headerReference w:type="first" r:id="rId12"/>
              <w:footerReference w:type="first" r:id="rId13"/>
              <w:pgSz w:w="11906" w:h="16838"/>
              <w:pgMar w:top="567" w:right="964" w:bottom="284" w:left="964" w:header="709" w:footer="709" w:gutter="0"/>
              <w:pgBorders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pgNumType w:start="0"/>
              <w:cols w:space="708"/>
              <w:titlePg/>
              <w:docGrid w:linePitch="360"/>
            </w:sectPr>
          </w:pPr>
        </w:p>
      </w:sdtContent>
    </w:sdt>
    <w:p w14:paraId="7E6A663D" w14:textId="77777777" w:rsidR="00000DAD" w:rsidRPr="00831298" w:rsidRDefault="00000DAD" w:rsidP="00831298">
      <w:pPr>
        <w:pStyle w:val="Heading2"/>
        <w:rPr>
          <w:rFonts w:ascii="Arial" w:hAnsi="Arial" w:cs="Arial"/>
          <w:color w:val="C00000"/>
          <w:sz w:val="44"/>
          <w:szCs w:val="44"/>
        </w:rPr>
      </w:pPr>
      <w:r w:rsidRPr="00831298">
        <w:rPr>
          <w:rFonts w:ascii="Arial" w:hAnsi="Arial" w:cs="Arial"/>
          <w:color w:val="C00000"/>
          <w:sz w:val="44"/>
          <w:szCs w:val="44"/>
        </w:rPr>
        <w:lastRenderedPageBreak/>
        <w:t>Foreword:</w:t>
      </w:r>
    </w:p>
    <w:p w14:paraId="52E132F6" w14:textId="77777777" w:rsidR="00000DAD" w:rsidRPr="00561D8E" w:rsidRDefault="00000DAD" w:rsidP="000B36B2">
      <w:pPr>
        <w:textAlignment w:val="baseline"/>
        <w:rPr>
          <w:rFonts w:ascii="Arial" w:hAnsi="Arial"/>
          <w:color w:val="000000"/>
          <w:sz w:val="24"/>
        </w:rPr>
      </w:pPr>
      <w:r>
        <w:rPr>
          <w:rFonts w:ascii="Arial" w:hAnsi="Arial"/>
          <w:color w:val="000000"/>
          <w:sz w:val="24"/>
        </w:rPr>
        <w:t>The borderless nature of the internet presents challenges in providing consistent</w:t>
      </w:r>
      <w:r w:rsidR="00B0419E">
        <w:rPr>
          <w:rStyle w:val="FootnoteReference"/>
          <w:rFonts w:ascii="Arial" w:hAnsi="Arial"/>
          <w:color w:val="000000"/>
          <w:sz w:val="24"/>
        </w:rPr>
        <w:footnoteReference w:id="2"/>
      </w:r>
      <w:r>
        <w:rPr>
          <w:rFonts w:ascii="Arial" w:hAnsi="Arial"/>
          <w:color w:val="000000"/>
          <w:sz w:val="24"/>
        </w:rPr>
        <w:t xml:space="preserve"> and effective protections</w:t>
      </w:r>
      <w:r w:rsidR="00B0419E">
        <w:rPr>
          <w:rFonts w:ascii="Arial" w:hAnsi="Arial"/>
          <w:color w:val="000000"/>
          <w:sz w:val="24"/>
        </w:rPr>
        <w:t xml:space="preserve"> across jurisdictions,</w:t>
      </w:r>
      <w:r>
        <w:rPr>
          <w:rFonts w:ascii="Arial" w:hAnsi="Arial"/>
          <w:color w:val="000000"/>
          <w:sz w:val="24"/>
        </w:rPr>
        <w:t xml:space="preserve"> for consumers</w:t>
      </w:r>
      <w:r w:rsidRPr="00D40284">
        <w:rPr>
          <w:rFonts w:ascii="Arial" w:hAnsi="Arial"/>
          <w:color w:val="000000"/>
          <w:sz w:val="24"/>
        </w:rPr>
        <w:t xml:space="preserve"> </w:t>
      </w:r>
      <w:r>
        <w:rPr>
          <w:rFonts w:ascii="Arial" w:hAnsi="Arial"/>
          <w:color w:val="000000"/>
          <w:sz w:val="24"/>
        </w:rPr>
        <w:t xml:space="preserve">of interactive wagering services </w:t>
      </w:r>
      <w:r w:rsidR="00B0419E">
        <w:rPr>
          <w:rFonts w:ascii="Arial" w:hAnsi="Arial"/>
          <w:color w:val="000000"/>
          <w:sz w:val="24"/>
        </w:rPr>
        <w:t>in</w:t>
      </w:r>
      <w:r>
        <w:rPr>
          <w:rFonts w:ascii="Arial" w:hAnsi="Arial"/>
          <w:color w:val="000000"/>
          <w:sz w:val="24"/>
        </w:rPr>
        <w:t xml:space="preserve"> Australia. Given this and other concerns, the Commonwealth Government asked the Hon</w:t>
      </w:r>
      <w:r w:rsidR="00535CB7">
        <w:rPr>
          <w:rFonts w:ascii="Arial" w:hAnsi="Arial"/>
          <w:color w:val="000000"/>
          <w:sz w:val="24"/>
        </w:rPr>
        <w:t> </w:t>
      </w:r>
      <w:r>
        <w:rPr>
          <w:rFonts w:ascii="Arial" w:hAnsi="Arial"/>
          <w:color w:val="000000"/>
          <w:sz w:val="24"/>
        </w:rPr>
        <w:t xml:space="preserve">Barry O’Farrell to conduct a </w:t>
      </w:r>
      <w:r w:rsidRPr="00AE489C">
        <w:rPr>
          <w:rFonts w:ascii="Arial" w:hAnsi="Arial"/>
          <w:i/>
          <w:color w:val="000000"/>
          <w:sz w:val="24"/>
        </w:rPr>
        <w:t>Review of Illegal Offshore Wagering</w:t>
      </w:r>
      <w:r>
        <w:rPr>
          <w:rFonts w:ascii="Arial" w:hAnsi="Arial"/>
          <w:i/>
          <w:color w:val="000000"/>
          <w:sz w:val="24"/>
        </w:rPr>
        <w:t xml:space="preserve"> </w:t>
      </w:r>
      <w:r w:rsidRPr="00AE489C">
        <w:rPr>
          <w:rFonts w:ascii="Arial" w:hAnsi="Arial"/>
          <w:color w:val="000000"/>
          <w:sz w:val="24"/>
        </w:rPr>
        <w:t>(</w:t>
      </w:r>
      <w:r>
        <w:rPr>
          <w:rFonts w:ascii="Arial" w:hAnsi="Arial"/>
          <w:color w:val="000000"/>
          <w:sz w:val="24"/>
        </w:rPr>
        <w:t xml:space="preserve">the </w:t>
      </w:r>
      <w:r w:rsidRPr="00AE489C">
        <w:rPr>
          <w:rFonts w:ascii="Arial" w:hAnsi="Arial"/>
          <w:color w:val="000000"/>
          <w:sz w:val="24"/>
        </w:rPr>
        <w:t>Review)</w:t>
      </w:r>
      <w:r>
        <w:rPr>
          <w:rFonts w:ascii="Arial" w:hAnsi="Arial"/>
          <w:color w:val="000000"/>
          <w:sz w:val="24"/>
        </w:rPr>
        <w:t>.</w:t>
      </w:r>
      <w:r>
        <w:rPr>
          <w:rStyle w:val="FootnoteReference"/>
          <w:rFonts w:ascii="Arial" w:hAnsi="Arial"/>
          <w:color w:val="000000"/>
          <w:sz w:val="24"/>
        </w:rPr>
        <w:footnoteReference w:id="3"/>
      </w:r>
      <w:r>
        <w:rPr>
          <w:rFonts w:ascii="Arial" w:hAnsi="Arial"/>
          <w:color w:val="000000"/>
          <w:sz w:val="24"/>
        </w:rPr>
        <w:t xml:space="preserve"> </w:t>
      </w:r>
    </w:p>
    <w:p w14:paraId="246CEA80" w14:textId="77777777" w:rsidR="00000DAD" w:rsidRDefault="00000DAD" w:rsidP="00940768">
      <w:pPr>
        <w:textAlignment w:val="baseline"/>
        <w:rPr>
          <w:rFonts w:ascii="Arial" w:hAnsi="Arial"/>
          <w:color w:val="000000"/>
          <w:sz w:val="24"/>
        </w:rPr>
      </w:pPr>
      <w:r>
        <w:rPr>
          <w:rFonts w:ascii="Arial" w:hAnsi="Arial"/>
          <w:color w:val="000000"/>
          <w:sz w:val="24"/>
        </w:rPr>
        <w:t>The Review found that o</w:t>
      </w:r>
      <w:r w:rsidRPr="00434960">
        <w:rPr>
          <w:rFonts w:ascii="Arial" w:hAnsi="Arial"/>
          <w:color w:val="000000"/>
          <w:sz w:val="24"/>
        </w:rPr>
        <w:t>nline gambling is the fastest growing gambling segment</w:t>
      </w:r>
      <w:r>
        <w:rPr>
          <w:rFonts w:ascii="Arial" w:hAnsi="Arial"/>
          <w:color w:val="000000"/>
          <w:sz w:val="24"/>
        </w:rPr>
        <w:t xml:space="preserve"> in Australia</w:t>
      </w:r>
      <w:r w:rsidRPr="00434960">
        <w:rPr>
          <w:rFonts w:ascii="Arial" w:hAnsi="Arial"/>
          <w:color w:val="000000"/>
          <w:sz w:val="24"/>
        </w:rPr>
        <w:t>, with over $1.4 billion gambled online each year</w:t>
      </w:r>
      <w:r>
        <w:rPr>
          <w:rFonts w:ascii="Arial" w:hAnsi="Arial"/>
          <w:color w:val="000000"/>
          <w:sz w:val="24"/>
        </w:rPr>
        <w:t>.</w:t>
      </w:r>
      <w:bookmarkStart w:id="1" w:name="_Ref495928973"/>
      <w:r w:rsidR="00740FF4">
        <w:rPr>
          <w:rStyle w:val="FootnoteReference"/>
          <w:rFonts w:ascii="Arial" w:hAnsi="Arial"/>
          <w:color w:val="000000"/>
          <w:sz w:val="24"/>
        </w:rPr>
        <w:footnoteReference w:id="4"/>
      </w:r>
      <w:bookmarkEnd w:id="1"/>
      <w:r w:rsidRPr="00434960">
        <w:rPr>
          <w:rFonts w:ascii="Arial" w:hAnsi="Arial"/>
          <w:color w:val="000000"/>
          <w:sz w:val="24"/>
        </w:rPr>
        <w:t xml:space="preserve"> </w:t>
      </w:r>
      <w:r>
        <w:rPr>
          <w:rFonts w:ascii="Arial" w:hAnsi="Arial"/>
          <w:color w:val="000000"/>
          <w:sz w:val="24"/>
        </w:rPr>
        <w:t xml:space="preserve">Of concern to all governments is that the </w:t>
      </w:r>
      <w:r w:rsidRPr="00434960">
        <w:rPr>
          <w:rFonts w:ascii="Arial" w:hAnsi="Arial"/>
          <w:color w:val="000000"/>
          <w:sz w:val="24"/>
        </w:rPr>
        <w:t xml:space="preserve">rate of </w:t>
      </w:r>
      <w:r>
        <w:rPr>
          <w:rFonts w:ascii="Arial" w:hAnsi="Arial"/>
          <w:color w:val="000000"/>
          <w:sz w:val="24"/>
        </w:rPr>
        <w:t>online problem gambling in Australia</w:t>
      </w:r>
      <w:r w:rsidRPr="00434960">
        <w:rPr>
          <w:rFonts w:ascii="Arial" w:hAnsi="Arial"/>
          <w:color w:val="000000"/>
          <w:sz w:val="24"/>
        </w:rPr>
        <w:t xml:space="preserve"> is three times higher than</w:t>
      </w:r>
      <w:r>
        <w:rPr>
          <w:rFonts w:ascii="Arial" w:hAnsi="Arial"/>
          <w:color w:val="000000"/>
          <w:sz w:val="24"/>
        </w:rPr>
        <w:t xml:space="preserve"> all</w:t>
      </w:r>
      <w:r w:rsidRPr="00434960">
        <w:rPr>
          <w:rFonts w:ascii="Arial" w:hAnsi="Arial"/>
          <w:color w:val="000000"/>
          <w:sz w:val="24"/>
        </w:rPr>
        <w:t xml:space="preserve"> </w:t>
      </w:r>
      <w:r>
        <w:rPr>
          <w:rFonts w:ascii="Arial" w:hAnsi="Arial"/>
          <w:color w:val="000000"/>
          <w:sz w:val="24"/>
        </w:rPr>
        <w:t>other gambling platforms.</w:t>
      </w:r>
      <w:bookmarkStart w:id="2" w:name="_Ref495928939"/>
      <w:r w:rsidR="00740FF4">
        <w:rPr>
          <w:rStyle w:val="FootnoteReference"/>
          <w:rFonts w:ascii="Arial" w:hAnsi="Arial"/>
          <w:color w:val="000000"/>
          <w:sz w:val="24"/>
        </w:rPr>
        <w:footnoteReference w:id="5"/>
      </w:r>
      <w:bookmarkEnd w:id="2"/>
      <w:r w:rsidRPr="00434960">
        <w:rPr>
          <w:rFonts w:ascii="Arial" w:hAnsi="Arial"/>
          <w:color w:val="000000"/>
          <w:sz w:val="24"/>
        </w:rPr>
        <w:t xml:space="preserve">  </w:t>
      </w:r>
      <w:r>
        <w:rPr>
          <w:rFonts w:ascii="Arial" w:hAnsi="Arial"/>
          <w:color w:val="000000"/>
          <w:sz w:val="24"/>
        </w:rPr>
        <w:t xml:space="preserve">Further, the Review noted that the regulatory framework for online wagering has been fragmented, inconsistent and has led to increased compliance burdens for interactive wagering service providers in Australia </w:t>
      </w:r>
      <w:r w:rsidR="00535CB7">
        <w:rPr>
          <w:rFonts w:ascii="Arial" w:hAnsi="Arial"/>
          <w:color w:val="000000"/>
          <w:sz w:val="24"/>
        </w:rPr>
        <w:t>–</w:t>
      </w:r>
      <w:r>
        <w:rPr>
          <w:rFonts w:ascii="Arial" w:hAnsi="Arial"/>
          <w:color w:val="000000"/>
          <w:sz w:val="24"/>
        </w:rPr>
        <w:t xml:space="preserve"> this can limit the effectiveness of legal protections for consumers.</w:t>
      </w:r>
    </w:p>
    <w:p w14:paraId="016CEFE5" w14:textId="77777777" w:rsidR="00000DAD" w:rsidRPr="00000DAD" w:rsidRDefault="00000DAD" w:rsidP="00940768">
      <w:pPr>
        <w:textAlignment w:val="baseline"/>
        <w:rPr>
          <w:rFonts w:ascii="Arial" w:hAnsi="Arial"/>
          <w:color w:val="000000"/>
          <w:sz w:val="24"/>
        </w:rPr>
      </w:pPr>
      <w:r>
        <w:rPr>
          <w:rFonts w:ascii="Arial" w:hAnsi="Arial"/>
          <w:color w:val="000000"/>
          <w:sz w:val="24"/>
        </w:rPr>
        <w:t>Addressing these concerns, and as recommended by the Review, the National Consumer Protection Framework for online wagering (National Framework) aim</w:t>
      </w:r>
      <w:r w:rsidR="00290D2B">
        <w:rPr>
          <w:rFonts w:ascii="Arial" w:hAnsi="Arial"/>
          <w:color w:val="000000"/>
          <w:sz w:val="24"/>
        </w:rPr>
        <w:t>s</w:t>
      </w:r>
      <w:r>
        <w:rPr>
          <w:rFonts w:ascii="Arial" w:hAnsi="Arial"/>
          <w:color w:val="000000"/>
          <w:sz w:val="24"/>
        </w:rPr>
        <w:t xml:space="preserve"> to reduce the harm </w:t>
      </w:r>
      <w:r w:rsidR="00290D2B">
        <w:rPr>
          <w:rFonts w:ascii="Arial" w:hAnsi="Arial"/>
          <w:color w:val="000000"/>
          <w:sz w:val="24"/>
        </w:rPr>
        <w:t>of</w:t>
      </w:r>
      <w:r>
        <w:rPr>
          <w:rFonts w:ascii="Arial" w:hAnsi="Arial"/>
          <w:color w:val="000000"/>
          <w:sz w:val="24"/>
        </w:rPr>
        <w:t xml:space="preserve"> online wagering to Australian consumers. To achieve this, the National Framework provides – for the first time – strong</w:t>
      </w:r>
      <w:r w:rsidR="002B141A">
        <w:rPr>
          <w:rFonts w:ascii="Arial" w:hAnsi="Arial"/>
          <w:color w:val="000000"/>
          <w:sz w:val="24"/>
        </w:rPr>
        <w:t xml:space="preserve">, </w:t>
      </w:r>
      <w:r>
        <w:rPr>
          <w:rFonts w:ascii="Arial" w:hAnsi="Arial"/>
          <w:color w:val="000000"/>
          <w:sz w:val="24"/>
        </w:rPr>
        <w:t xml:space="preserve">nationally </w:t>
      </w:r>
      <w:r w:rsidRPr="00000DAD">
        <w:rPr>
          <w:rFonts w:ascii="Arial" w:hAnsi="Arial"/>
          <w:color w:val="000000"/>
          <w:sz w:val="24"/>
        </w:rPr>
        <w:t xml:space="preserve">consistent </w:t>
      </w:r>
      <w:r w:rsidR="002B141A">
        <w:rPr>
          <w:rFonts w:ascii="Arial" w:hAnsi="Arial"/>
          <w:color w:val="000000"/>
          <w:sz w:val="24"/>
        </w:rPr>
        <w:t xml:space="preserve">minimum </w:t>
      </w:r>
      <w:r w:rsidRPr="00940768">
        <w:rPr>
          <w:rFonts w:ascii="Arial" w:hAnsi="Arial"/>
          <w:color w:val="000000" w:themeColor="text1"/>
          <w:sz w:val="24"/>
        </w:rPr>
        <w:t xml:space="preserve">protections for </w:t>
      </w:r>
      <w:r w:rsidR="00470CA4" w:rsidRPr="00940768">
        <w:rPr>
          <w:rFonts w:ascii="Arial" w:hAnsi="Arial"/>
          <w:color w:val="000000" w:themeColor="text1"/>
          <w:sz w:val="24"/>
        </w:rPr>
        <w:t>consumers</w:t>
      </w:r>
      <w:r w:rsidR="00470CA4">
        <w:rPr>
          <w:rFonts w:ascii="Arial" w:hAnsi="Arial"/>
          <w:color w:val="000000" w:themeColor="text1"/>
          <w:sz w:val="24"/>
        </w:rPr>
        <w:t xml:space="preserve"> of interactive wagering services licensed in </w:t>
      </w:r>
      <w:r w:rsidR="00E07041">
        <w:rPr>
          <w:rFonts w:ascii="Arial" w:hAnsi="Arial"/>
          <w:color w:val="000000" w:themeColor="text1"/>
          <w:sz w:val="24"/>
        </w:rPr>
        <w:t>Australia</w:t>
      </w:r>
      <w:r w:rsidR="00E07041" w:rsidRPr="00940768">
        <w:rPr>
          <w:rFonts w:ascii="Arial" w:hAnsi="Arial"/>
          <w:color w:val="000000" w:themeColor="text1"/>
          <w:sz w:val="24"/>
        </w:rPr>
        <w:t>,</w:t>
      </w:r>
      <w:r w:rsidRPr="00000DAD">
        <w:rPr>
          <w:rFonts w:ascii="Arial" w:hAnsi="Arial"/>
          <w:color w:val="000000"/>
          <w:sz w:val="24"/>
        </w:rPr>
        <w:t xml:space="preserve"> in line with international best-practice. </w:t>
      </w:r>
    </w:p>
    <w:p w14:paraId="4B3BCAEE" w14:textId="77777777" w:rsidR="00C22C79" w:rsidRDefault="00000DAD" w:rsidP="00940768">
      <w:pPr>
        <w:textAlignment w:val="baseline"/>
        <w:rPr>
          <w:rFonts w:ascii="Arial" w:hAnsi="Arial"/>
          <w:color w:val="000000"/>
          <w:sz w:val="24"/>
        </w:rPr>
      </w:pPr>
      <w:r w:rsidRPr="00000DAD">
        <w:rPr>
          <w:rFonts w:ascii="Arial" w:hAnsi="Arial"/>
          <w:color w:val="000000"/>
          <w:sz w:val="24"/>
        </w:rPr>
        <w:t xml:space="preserve">This </w:t>
      </w:r>
      <w:r w:rsidR="00C22C79">
        <w:rPr>
          <w:rFonts w:ascii="Arial" w:hAnsi="Arial"/>
          <w:color w:val="000000"/>
          <w:sz w:val="24"/>
        </w:rPr>
        <w:t xml:space="preserve">National Policy </w:t>
      </w:r>
      <w:r w:rsidR="0031749E">
        <w:rPr>
          <w:rFonts w:ascii="Arial" w:hAnsi="Arial"/>
          <w:color w:val="000000"/>
          <w:sz w:val="24"/>
        </w:rPr>
        <w:t>Statement</w:t>
      </w:r>
      <w:r w:rsidRPr="00000DAD">
        <w:rPr>
          <w:rFonts w:ascii="Arial" w:hAnsi="Arial"/>
          <w:color w:val="000000"/>
          <w:sz w:val="24"/>
        </w:rPr>
        <w:t xml:space="preserve"> </w:t>
      </w:r>
      <w:r w:rsidR="00C22C79">
        <w:rPr>
          <w:rFonts w:ascii="Arial" w:hAnsi="Arial"/>
          <w:color w:val="000000"/>
          <w:sz w:val="24"/>
        </w:rPr>
        <w:t xml:space="preserve">(Statement) </w:t>
      </w:r>
      <w:r w:rsidRPr="00000DAD">
        <w:rPr>
          <w:rFonts w:ascii="Arial" w:hAnsi="Arial"/>
          <w:color w:val="000000"/>
          <w:sz w:val="24"/>
        </w:rPr>
        <w:t xml:space="preserve">sets out the </w:t>
      </w:r>
      <w:r w:rsidR="007215D5">
        <w:rPr>
          <w:rFonts w:ascii="Arial" w:hAnsi="Arial"/>
          <w:color w:val="000000"/>
          <w:sz w:val="24"/>
        </w:rPr>
        <w:t xml:space="preserve">agreed </w:t>
      </w:r>
      <w:r w:rsidRPr="00000DAD">
        <w:rPr>
          <w:rFonts w:ascii="Arial" w:hAnsi="Arial"/>
          <w:color w:val="000000"/>
          <w:sz w:val="24"/>
        </w:rPr>
        <w:t>policy commitments of Commonwealth, state, and territory governments (Australian Governments) that underpin the</w:t>
      </w:r>
      <w:r w:rsidR="00470CA4">
        <w:rPr>
          <w:rFonts w:ascii="Arial" w:hAnsi="Arial"/>
          <w:color w:val="000000"/>
          <w:sz w:val="24"/>
        </w:rPr>
        <w:t xml:space="preserve"> progressive introduction of the National Framework</w:t>
      </w:r>
      <w:r w:rsidR="007D683D">
        <w:rPr>
          <w:rFonts w:ascii="Arial" w:hAnsi="Arial"/>
          <w:color w:val="000000"/>
          <w:sz w:val="24"/>
        </w:rPr>
        <w:t>’s measures</w:t>
      </w:r>
      <w:r w:rsidR="00470CA4">
        <w:rPr>
          <w:rFonts w:ascii="Arial" w:hAnsi="Arial"/>
          <w:color w:val="000000"/>
          <w:sz w:val="24"/>
        </w:rPr>
        <w:t xml:space="preserve">. The Statement also outlines </w:t>
      </w:r>
      <w:r w:rsidRPr="00000DAD">
        <w:rPr>
          <w:rFonts w:ascii="Arial" w:hAnsi="Arial"/>
          <w:color w:val="000000"/>
          <w:sz w:val="24"/>
        </w:rPr>
        <w:t xml:space="preserve">the </w:t>
      </w:r>
      <w:r w:rsidR="00470CA4">
        <w:rPr>
          <w:rFonts w:ascii="Arial" w:hAnsi="Arial"/>
          <w:color w:val="000000"/>
          <w:sz w:val="24"/>
        </w:rPr>
        <w:t xml:space="preserve">agreed </w:t>
      </w:r>
      <w:r w:rsidRPr="00000DAD">
        <w:rPr>
          <w:rFonts w:ascii="Arial" w:hAnsi="Arial"/>
          <w:color w:val="000000"/>
          <w:sz w:val="24"/>
        </w:rPr>
        <w:t xml:space="preserve">implementation arrangements </w:t>
      </w:r>
      <w:r w:rsidR="00A0601B" w:rsidRPr="00A0601B">
        <w:rPr>
          <w:rFonts w:ascii="Arial" w:hAnsi="Arial"/>
          <w:color w:val="000000" w:themeColor="text1"/>
          <w:sz w:val="24"/>
        </w:rPr>
        <w:t>Australian G</w:t>
      </w:r>
      <w:r w:rsidRPr="00A0601B">
        <w:rPr>
          <w:rFonts w:ascii="Arial" w:hAnsi="Arial"/>
          <w:color w:val="000000" w:themeColor="text1"/>
          <w:sz w:val="24"/>
        </w:rPr>
        <w:t>overnments</w:t>
      </w:r>
      <w:r w:rsidRPr="00940768">
        <w:rPr>
          <w:rFonts w:ascii="Arial" w:hAnsi="Arial"/>
          <w:color w:val="000000" w:themeColor="text1"/>
          <w:sz w:val="24"/>
        </w:rPr>
        <w:t xml:space="preserve"> </w:t>
      </w:r>
      <w:r w:rsidRPr="00000DAD">
        <w:rPr>
          <w:rFonts w:ascii="Arial" w:hAnsi="Arial"/>
          <w:color w:val="000000"/>
          <w:sz w:val="24"/>
        </w:rPr>
        <w:t>will use to deliver the National Framework.</w:t>
      </w:r>
      <w:r>
        <w:rPr>
          <w:rFonts w:ascii="Arial" w:hAnsi="Arial"/>
          <w:color w:val="000000"/>
          <w:sz w:val="24"/>
        </w:rPr>
        <w:t xml:space="preserve"> </w:t>
      </w:r>
    </w:p>
    <w:p w14:paraId="4FE4E2C7" w14:textId="77777777" w:rsidR="00000DAD" w:rsidRDefault="00000DAD" w:rsidP="00940768">
      <w:pPr>
        <w:textAlignment w:val="baseline"/>
        <w:rPr>
          <w:rFonts w:ascii="Arial" w:hAnsi="Arial"/>
          <w:color w:val="000000"/>
          <w:sz w:val="24"/>
        </w:rPr>
      </w:pPr>
      <w:r w:rsidRPr="001D38FB">
        <w:rPr>
          <w:rFonts w:ascii="Arial" w:hAnsi="Arial"/>
          <w:color w:val="000000"/>
          <w:sz w:val="24"/>
        </w:rPr>
        <w:t xml:space="preserve">The </w:t>
      </w:r>
      <w:r>
        <w:rPr>
          <w:rFonts w:ascii="Arial" w:hAnsi="Arial"/>
          <w:color w:val="000000"/>
          <w:sz w:val="24"/>
        </w:rPr>
        <w:t xml:space="preserve">National Framework </w:t>
      </w:r>
      <w:r w:rsidRPr="001D38FB">
        <w:rPr>
          <w:rFonts w:ascii="Arial" w:hAnsi="Arial"/>
          <w:color w:val="000000"/>
          <w:sz w:val="24"/>
        </w:rPr>
        <w:t xml:space="preserve">will be </w:t>
      </w:r>
      <w:r>
        <w:rPr>
          <w:rFonts w:ascii="Arial" w:hAnsi="Arial"/>
          <w:color w:val="000000"/>
          <w:sz w:val="24"/>
        </w:rPr>
        <w:t xml:space="preserve">regularly </w:t>
      </w:r>
      <w:r w:rsidRPr="001D38FB">
        <w:rPr>
          <w:rFonts w:ascii="Arial" w:hAnsi="Arial"/>
          <w:color w:val="000000"/>
          <w:sz w:val="24"/>
        </w:rPr>
        <w:t>reviewed</w:t>
      </w:r>
      <w:r>
        <w:rPr>
          <w:rFonts w:ascii="Arial" w:hAnsi="Arial"/>
          <w:color w:val="000000"/>
          <w:sz w:val="24"/>
        </w:rPr>
        <w:t>,</w:t>
      </w:r>
      <w:r w:rsidRPr="001D38FB">
        <w:rPr>
          <w:rFonts w:ascii="Arial" w:hAnsi="Arial"/>
          <w:color w:val="000000"/>
          <w:sz w:val="24"/>
        </w:rPr>
        <w:t xml:space="preserve"> </w:t>
      </w:r>
      <w:r>
        <w:rPr>
          <w:rFonts w:ascii="Arial" w:hAnsi="Arial"/>
          <w:color w:val="000000"/>
          <w:sz w:val="24"/>
        </w:rPr>
        <w:t>updated, and refined as part of its continuous improvement, to keep pace with best-practice and the changing gambling environment</w:t>
      </w:r>
      <w:r w:rsidRPr="001D38FB">
        <w:rPr>
          <w:rFonts w:ascii="Arial" w:hAnsi="Arial"/>
          <w:color w:val="000000"/>
          <w:sz w:val="24"/>
        </w:rPr>
        <w:t>.</w:t>
      </w:r>
    </w:p>
    <w:p w14:paraId="1ADCDB30" w14:textId="77777777" w:rsidR="004A1E32" w:rsidRDefault="00000DAD" w:rsidP="00940768">
      <w:pPr>
        <w:textAlignment w:val="baseline"/>
        <w:rPr>
          <w:rFonts w:ascii="Arial" w:hAnsi="Arial"/>
          <w:color w:val="000000"/>
          <w:sz w:val="24"/>
        </w:rPr>
      </w:pPr>
      <w:r>
        <w:rPr>
          <w:rFonts w:ascii="Arial" w:hAnsi="Arial"/>
          <w:color w:val="000000"/>
          <w:sz w:val="24"/>
        </w:rPr>
        <w:t>Australian Governments wish to thank all stakeholders for their active engagement in the development of the policies that underpin this National Framework.</w:t>
      </w:r>
    </w:p>
    <w:p w14:paraId="25D193AF" w14:textId="77777777" w:rsidR="000E283F" w:rsidRDefault="000E283F">
      <w:pPr>
        <w:spacing w:after="0" w:line="240" w:lineRule="auto"/>
        <w:rPr>
          <w:rFonts w:ascii="Arial" w:hAnsi="Arial"/>
          <w:color w:val="000000"/>
          <w:sz w:val="24"/>
        </w:rPr>
      </w:pPr>
      <w:r>
        <w:rPr>
          <w:rFonts w:ascii="Arial" w:hAnsi="Arial"/>
          <w:color w:val="000000"/>
          <w:sz w:val="24"/>
        </w:rPr>
        <w:br w:type="page"/>
      </w:r>
    </w:p>
    <w:p w14:paraId="741B72D8" w14:textId="77777777" w:rsidR="000E283F" w:rsidRDefault="004A1E32" w:rsidP="00940768">
      <w:pPr>
        <w:textAlignment w:val="baseline"/>
        <w:rPr>
          <w:rFonts w:ascii="Arial" w:hAnsi="Arial"/>
          <w:color w:val="000000"/>
          <w:sz w:val="24"/>
        </w:rPr>
      </w:pPr>
      <w:r>
        <w:rPr>
          <w:rFonts w:ascii="Arial" w:hAnsi="Arial"/>
          <w:color w:val="000000"/>
          <w:sz w:val="24"/>
        </w:rPr>
        <w:lastRenderedPageBreak/>
        <w:t>The</w:t>
      </w:r>
      <w:r w:rsidR="00092198">
        <w:rPr>
          <w:rFonts w:ascii="Arial" w:hAnsi="Arial"/>
          <w:color w:val="000000"/>
          <w:sz w:val="24"/>
        </w:rPr>
        <w:t xml:space="preserve"> following</w:t>
      </w:r>
      <w:r>
        <w:rPr>
          <w:rFonts w:ascii="Arial" w:hAnsi="Arial"/>
          <w:color w:val="000000"/>
          <w:sz w:val="24"/>
        </w:rPr>
        <w:t xml:space="preserve"> parties </w:t>
      </w:r>
      <w:r w:rsidR="00092198">
        <w:rPr>
          <w:rFonts w:ascii="Arial" w:hAnsi="Arial"/>
          <w:color w:val="000000"/>
          <w:sz w:val="24"/>
        </w:rPr>
        <w:t xml:space="preserve">have </w:t>
      </w:r>
      <w:r>
        <w:rPr>
          <w:rFonts w:ascii="Arial" w:hAnsi="Arial"/>
          <w:color w:val="000000"/>
          <w:sz w:val="24"/>
        </w:rPr>
        <w:t>confirm</w:t>
      </w:r>
      <w:r w:rsidR="00092198">
        <w:rPr>
          <w:rFonts w:ascii="Arial" w:hAnsi="Arial"/>
          <w:color w:val="000000"/>
          <w:sz w:val="24"/>
        </w:rPr>
        <w:t>ed their commitments</w:t>
      </w:r>
      <w:r>
        <w:rPr>
          <w:rFonts w:ascii="Arial" w:hAnsi="Arial"/>
          <w:color w:val="000000"/>
          <w:sz w:val="24"/>
        </w:rPr>
        <w:t xml:space="preserve"> as expressed in this National Policy Statement</w:t>
      </w:r>
      <w:r w:rsidR="00092198">
        <w:rPr>
          <w:rFonts w:ascii="Arial" w:hAnsi="Arial"/>
          <w:color w:val="000000"/>
          <w:sz w:val="24"/>
        </w:rPr>
        <w:t>,</w:t>
      </w:r>
      <w:r w:rsidR="000E283F">
        <w:rPr>
          <w:rFonts w:ascii="Arial" w:hAnsi="Arial"/>
          <w:color w:val="000000"/>
          <w:sz w:val="24"/>
        </w:rPr>
        <w:t xml:space="preserve"> </w:t>
      </w:r>
      <w:r w:rsidR="00092198">
        <w:rPr>
          <w:rFonts w:ascii="Arial" w:hAnsi="Arial"/>
          <w:color w:val="000000"/>
          <w:sz w:val="24"/>
        </w:rPr>
        <w:t xml:space="preserve">effective </w:t>
      </w:r>
      <w:r w:rsidR="000E283F">
        <w:rPr>
          <w:rFonts w:ascii="Arial" w:hAnsi="Arial"/>
          <w:color w:val="000000"/>
          <w:sz w:val="24"/>
        </w:rPr>
        <w:t>on</w:t>
      </w:r>
      <w:r w:rsidR="002D3517">
        <w:rPr>
          <w:rFonts w:ascii="Arial" w:hAnsi="Arial"/>
          <w:color w:val="000000"/>
          <w:sz w:val="24"/>
        </w:rPr>
        <w:t xml:space="preserve"> 26 November 2018</w:t>
      </w:r>
      <w:r>
        <w:rPr>
          <w:rFonts w:ascii="Arial" w:hAnsi="Arial"/>
          <w:color w:val="000000"/>
          <w:sz w:val="24"/>
        </w:rPr>
        <w:t>.</w:t>
      </w:r>
    </w:p>
    <w:p w14:paraId="5C11B33D" w14:textId="77777777" w:rsidR="00092198" w:rsidRDefault="00092198" w:rsidP="00940768">
      <w:pPr>
        <w:textAlignment w:val="baseline"/>
        <w:rPr>
          <w:rFonts w:ascii="Arial" w:hAnsi="Arial"/>
          <w:color w:val="000000"/>
          <w:sz w:val="24"/>
        </w:rPr>
      </w:pPr>
    </w:p>
    <w:tbl>
      <w:tblPr>
        <w:tblStyle w:val="TableGrid"/>
        <w:tblW w:w="0" w:type="auto"/>
        <w:tblInd w:w="0" w:type="dxa"/>
        <w:tblLook w:val="04A0" w:firstRow="1" w:lastRow="0" w:firstColumn="1" w:lastColumn="0" w:noHBand="0" w:noVBand="1"/>
        <w:tblDescription w:val="List of Commonwealth and state an territory ministers who have confirmed their committment to this National Policy Statement by letter"/>
      </w:tblPr>
      <w:tblGrid>
        <w:gridCol w:w="4984"/>
        <w:gridCol w:w="4984"/>
      </w:tblGrid>
      <w:tr w:rsidR="000E283F" w14:paraId="352EF7C6" w14:textId="77777777" w:rsidTr="004E7418">
        <w:trPr>
          <w:tblHeader/>
        </w:trPr>
        <w:tc>
          <w:tcPr>
            <w:tcW w:w="4984" w:type="dxa"/>
            <w:tcBorders>
              <w:top w:val="nil"/>
              <w:left w:val="nil"/>
              <w:bottom w:val="nil"/>
              <w:right w:val="nil"/>
            </w:tcBorders>
          </w:tcPr>
          <w:p w14:paraId="2E162538" w14:textId="77777777" w:rsidR="000E283F" w:rsidRDefault="000E283F" w:rsidP="00172A00">
            <w:pPr>
              <w:contextualSpacing/>
              <w:textAlignment w:val="baseline"/>
              <w:rPr>
                <w:rFonts w:ascii="Arial" w:hAnsi="Arial"/>
                <w:color w:val="000000"/>
                <w:sz w:val="24"/>
              </w:rPr>
            </w:pPr>
            <w:r>
              <w:rPr>
                <w:rFonts w:ascii="Arial" w:hAnsi="Arial"/>
                <w:color w:val="000000"/>
                <w:sz w:val="24"/>
              </w:rPr>
              <w:t xml:space="preserve">The Hon </w:t>
            </w:r>
            <w:r w:rsidR="001A4946">
              <w:rPr>
                <w:rFonts w:ascii="Arial" w:hAnsi="Arial"/>
                <w:color w:val="000000"/>
                <w:sz w:val="24"/>
              </w:rPr>
              <w:t>Paul Fletcher</w:t>
            </w:r>
            <w:r>
              <w:rPr>
                <w:rFonts w:ascii="Arial" w:hAnsi="Arial"/>
                <w:color w:val="000000"/>
                <w:sz w:val="24"/>
              </w:rPr>
              <w:t xml:space="preserve"> MP</w:t>
            </w:r>
          </w:p>
          <w:p w14:paraId="229EAB10" w14:textId="77777777" w:rsidR="000E283F" w:rsidRDefault="000E283F" w:rsidP="00172A00">
            <w:pPr>
              <w:contextualSpacing/>
              <w:textAlignment w:val="baseline"/>
              <w:rPr>
                <w:rFonts w:ascii="Arial" w:hAnsi="Arial"/>
                <w:color w:val="000000"/>
                <w:sz w:val="24"/>
              </w:rPr>
            </w:pPr>
            <w:r>
              <w:rPr>
                <w:rFonts w:ascii="Arial" w:hAnsi="Arial"/>
                <w:color w:val="000000"/>
                <w:sz w:val="24"/>
              </w:rPr>
              <w:t xml:space="preserve">Minister for </w:t>
            </w:r>
            <w:r w:rsidR="001A4946">
              <w:rPr>
                <w:rFonts w:ascii="Arial" w:hAnsi="Arial"/>
                <w:color w:val="000000"/>
                <w:sz w:val="24"/>
              </w:rPr>
              <w:t xml:space="preserve">Families and </w:t>
            </w:r>
            <w:r>
              <w:rPr>
                <w:rFonts w:ascii="Arial" w:hAnsi="Arial"/>
                <w:color w:val="000000"/>
                <w:sz w:val="24"/>
              </w:rPr>
              <w:t>Social Services</w:t>
            </w:r>
          </w:p>
          <w:p w14:paraId="3C1556DC" w14:textId="77777777" w:rsidR="000E283F" w:rsidRDefault="00583F9F" w:rsidP="00172A00">
            <w:pPr>
              <w:contextualSpacing/>
              <w:textAlignment w:val="baseline"/>
              <w:rPr>
                <w:rFonts w:ascii="Arial" w:hAnsi="Arial"/>
                <w:color w:val="000000"/>
                <w:sz w:val="24"/>
              </w:rPr>
            </w:pPr>
            <w:r>
              <w:rPr>
                <w:rFonts w:ascii="Arial" w:hAnsi="Arial"/>
                <w:color w:val="000000"/>
                <w:sz w:val="24"/>
              </w:rPr>
              <w:t xml:space="preserve">Commonwealth </w:t>
            </w:r>
            <w:r w:rsidR="000E283F">
              <w:rPr>
                <w:rFonts w:ascii="Arial" w:hAnsi="Arial"/>
                <w:color w:val="000000"/>
                <w:sz w:val="24"/>
              </w:rPr>
              <w:t>Government</w:t>
            </w:r>
          </w:p>
          <w:p w14:paraId="19B20BCB" w14:textId="77777777" w:rsidR="00933F8A" w:rsidRDefault="00933F8A" w:rsidP="00933F8A">
            <w:pPr>
              <w:textAlignment w:val="baseline"/>
              <w:rPr>
                <w:rFonts w:ascii="Arial" w:hAnsi="Arial"/>
                <w:color w:val="000000"/>
                <w:sz w:val="24"/>
              </w:rPr>
            </w:pPr>
          </w:p>
        </w:tc>
        <w:tc>
          <w:tcPr>
            <w:tcW w:w="4984" w:type="dxa"/>
            <w:tcBorders>
              <w:top w:val="nil"/>
              <w:left w:val="nil"/>
              <w:bottom w:val="nil"/>
              <w:right w:val="nil"/>
            </w:tcBorders>
          </w:tcPr>
          <w:p w14:paraId="5E7B245D" w14:textId="77777777" w:rsidR="000E283F" w:rsidRPr="00933F8A" w:rsidRDefault="000E283F" w:rsidP="00172A00">
            <w:pPr>
              <w:contextualSpacing/>
              <w:textAlignment w:val="baseline"/>
              <w:rPr>
                <w:rFonts w:ascii="Arial" w:hAnsi="Arial"/>
                <w:color w:val="FFFFFF" w:themeColor="background1"/>
                <w:sz w:val="24"/>
              </w:rPr>
            </w:pPr>
          </w:p>
        </w:tc>
      </w:tr>
      <w:tr w:rsidR="000E283F" w14:paraId="629BDF09" w14:textId="77777777" w:rsidTr="00933F8A">
        <w:tc>
          <w:tcPr>
            <w:tcW w:w="4984" w:type="dxa"/>
            <w:tcBorders>
              <w:top w:val="nil"/>
              <w:left w:val="nil"/>
              <w:bottom w:val="nil"/>
              <w:right w:val="nil"/>
            </w:tcBorders>
          </w:tcPr>
          <w:p w14:paraId="65E447A9" w14:textId="77777777" w:rsidR="000E283F" w:rsidRPr="006854C0" w:rsidRDefault="000E283F" w:rsidP="00172A00">
            <w:pPr>
              <w:contextualSpacing/>
              <w:textAlignment w:val="baseline"/>
              <w:rPr>
                <w:rFonts w:ascii="Arial" w:hAnsi="Arial"/>
                <w:color w:val="000000"/>
                <w:sz w:val="24"/>
                <w:lang w:val="en"/>
              </w:rPr>
            </w:pPr>
            <w:r w:rsidRPr="006854C0">
              <w:rPr>
                <w:rFonts w:ascii="Arial" w:hAnsi="Arial"/>
                <w:color w:val="000000"/>
                <w:sz w:val="24"/>
                <w:lang w:val="en"/>
              </w:rPr>
              <w:t>The Hon Paul Toole MP</w:t>
            </w:r>
          </w:p>
          <w:p w14:paraId="019E0B58" w14:textId="77777777" w:rsidR="000E283F" w:rsidRPr="006854C0" w:rsidRDefault="000E283F" w:rsidP="00172A00">
            <w:pPr>
              <w:contextualSpacing/>
              <w:textAlignment w:val="baseline"/>
              <w:rPr>
                <w:rFonts w:ascii="Arial" w:hAnsi="Arial"/>
                <w:color w:val="000000"/>
                <w:sz w:val="24"/>
                <w:lang w:val="en"/>
              </w:rPr>
            </w:pPr>
            <w:r w:rsidRPr="006854C0">
              <w:rPr>
                <w:rFonts w:ascii="Arial" w:hAnsi="Arial"/>
                <w:color w:val="000000"/>
                <w:sz w:val="24"/>
                <w:lang w:val="en"/>
              </w:rPr>
              <w:t>Minister for Racing</w:t>
            </w:r>
          </w:p>
          <w:p w14:paraId="2725E67E" w14:textId="77777777" w:rsidR="00092198" w:rsidRDefault="002A3A56" w:rsidP="00172A00">
            <w:pPr>
              <w:contextualSpacing/>
              <w:textAlignment w:val="baseline"/>
              <w:rPr>
                <w:rFonts w:ascii="Arial" w:hAnsi="Arial"/>
                <w:color w:val="000000"/>
                <w:sz w:val="24"/>
                <w:lang w:val="en"/>
              </w:rPr>
            </w:pPr>
            <w:r>
              <w:rPr>
                <w:rFonts w:ascii="Arial" w:hAnsi="Arial"/>
                <w:color w:val="000000"/>
                <w:sz w:val="24"/>
                <w:lang w:val="en"/>
              </w:rPr>
              <w:t>New South Wales Government</w:t>
            </w:r>
          </w:p>
          <w:p w14:paraId="74083A1A" w14:textId="77777777" w:rsidR="00933F8A" w:rsidRPr="002A3A56" w:rsidRDefault="00933F8A" w:rsidP="00933F8A">
            <w:pPr>
              <w:textAlignment w:val="baseline"/>
              <w:rPr>
                <w:rFonts w:ascii="Arial" w:hAnsi="Arial"/>
                <w:color w:val="000000"/>
                <w:sz w:val="24"/>
                <w:lang w:val="en"/>
              </w:rPr>
            </w:pPr>
          </w:p>
        </w:tc>
        <w:tc>
          <w:tcPr>
            <w:tcW w:w="4984" w:type="dxa"/>
            <w:tcBorders>
              <w:top w:val="nil"/>
              <w:left w:val="nil"/>
              <w:bottom w:val="nil"/>
              <w:right w:val="nil"/>
            </w:tcBorders>
          </w:tcPr>
          <w:p w14:paraId="7AA9E3FA" w14:textId="77777777" w:rsidR="000E283F" w:rsidRPr="00933F8A" w:rsidRDefault="000E283F" w:rsidP="00172A00">
            <w:pPr>
              <w:contextualSpacing/>
              <w:textAlignment w:val="baseline"/>
              <w:rPr>
                <w:rFonts w:ascii="Arial" w:hAnsi="Arial"/>
                <w:color w:val="FFFFFF" w:themeColor="background1"/>
                <w:sz w:val="24"/>
                <w:lang w:val="en"/>
              </w:rPr>
            </w:pPr>
          </w:p>
        </w:tc>
      </w:tr>
      <w:tr w:rsidR="000E283F" w14:paraId="7E06B4BC" w14:textId="77777777" w:rsidTr="00933F8A">
        <w:tc>
          <w:tcPr>
            <w:tcW w:w="4984" w:type="dxa"/>
            <w:tcBorders>
              <w:top w:val="nil"/>
              <w:left w:val="nil"/>
              <w:bottom w:val="nil"/>
              <w:right w:val="nil"/>
            </w:tcBorders>
          </w:tcPr>
          <w:p w14:paraId="10C847CB" w14:textId="77777777" w:rsidR="000E283F" w:rsidRDefault="000E283F" w:rsidP="00172A00">
            <w:pPr>
              <w:contextualSpacing/>
              <w:textAlignment w:val="baseline"/>
              <w:rPr>
                <w:rFonts w:ascii="Arial" w:hAnsi="Arial"/>
                <w:color w:val="000000"/>
                <w:sz w:val="24"/>
              </w:rPr>
            </w:pPr>
            <w:r>
              <w:rPr>
                <w:rFonts w:ascii="Arial" w:hAnsi="Arial"/>
                <w:color w:val="000000"/>
                <w:sz w:val="24"/>
              </w:rPr>
              <w:t>The Hon Vickie Chapman</w:t>
            </w:r>
          </w:p>
          <w:p w14:paraId="6E770352" w14:textId="77777777" w:rsidR="000E283F" w:rsidRDefault="000E283F" w:rsidP="00172A00">
            <w:pPr>
              <w:contextualSpacing/>
              <w:textAlignment w:val="baseline"/>
              <w:rPr>
                <w:rFonts w:ascii="Arial" w:hAnsi="Arial"/>
                <w:color w:val="000000"/>
                <w:sz w:val="24"/>
              </w:rPr>
            </w:pPr>
            <w:r>
              <w:rPr>
                <w:rFonts w:ascii="Arial" w:hAnsi="Arial"/>
                <w:color w:val="000000"/>
                <w:sz w:val="24"/>
              </w:rPr>
              <w:t>Deputy Premier</w:t>
            </w:r>
          </w:p>
          <w:p w14:paraId="66C7530D" w14:textId="77777777" w:rsidR="000E283F" w:rsidRDefault="000E283F" w:rsidP="00172A00">
            <w:pPr>
              <w:contextualSpacing/>
              <w:textAlignment w:val="baseline"/>
              <w:rPr>
                <w:rFonts w:ascii="Arial" w:hAnsi="Arial"/>
                <w:color w:val="000000"/>
                <w:sz w:val="24"/>
              </w:rPr>
            </w:pPr>
            <w:r>
              <w:rPr>
                <w:rFonts w:ascii="Arial" w:hAnsi="Arial"/>
                <w:color w:val="000000"/>
                <w:sz w:val="24"/>
              </w:rPr>
              <w:t xml:space="preserve">Attorney-General </w:t>
            </w:r>
            <w:r>
              <w:rPr>
                <w:rFonts w:ascii="Arial" w:hAnsi="Arial"/>
                <w:color w:val="000000"/>
                <w:sz w:val="24"/>
              </w:rPr>
              <w:br/>
              <w:t>South Australian Government</w:t>
            </w:r>
          </w:p>
          <w:p w14:paraId="07CA1A14" w14:textId="77777777" w:rsidR="00933F8A" w:rsidRDefault="00933F8A" w:rsidP="00933F8A">
            <w:pPr>
              <w:textAlignment w:val="baseline"/>
              <w:rPr>
                <w:rFonts w:ascii="Arial" w:hAnsi="Arial"/>
                <w:color w:val="000000"/>
                <w:sz w:val="24"/>
              </w:rPr>
            </w:pPr>
          </w:p>
        </w:tc>
        <w:tc>
          <w:tcPr>
            <w:tcW w:w="4984" w:type="dxa"/>
            <w:tcBorders>
              <w:top w:val="nil"/>
              <w:left w:val="nil"/>
              <w:bottom w:val="nil"/>
              <w:right w:val="nil"/>
            </w:tcBorders>
          </w:tcPr>
          <w:p w14:paraId="6F572A82" w14:textId="77777777" w:rsidR="000E283F" w:rsidRPr="00933F8A" w:rsidRDefault="000E283F" w:rsidP="00172A00">
            <w:pPr>
              <w:contextualSpacing/>
              <w:textAlignment w:val="baseline"/>
              <w:rPr>
                <w:rFonts w:ascii="Arial" w:hAnsi="Arial"/>
                <w:color w:val="FFFFFF" w:themeColor="background1"/>
                <w:sz w:val="24"/>
                <w:lang w:val="en"/>
              </w:rPr>
            </w:pPr>
          </w:p>
        </w:tc>
      </w:tr>
      <w:tr w:rsidR="000E283F" w14:paraId="102AF059" w14:textId="77777777" w:rsidTr="00933F8A">
        <w:tc>
          <w:tcPr>
            <w:tcW w:w="4984" w:type="dxa"/>
            <w:tcBorders>
              <w:top w:val="nil"/>
              <w:left w:val="nil"/>
              <w:bottom w:val="nil"/>
              <w:right w:val="nil"/>
            </w:tcBorders>
          </w:tcPr>
          <w:p w14:paraId="625085B5" w14:textId="77777777" w:rsidR="000E283F" w:rsidRPr="00675D4F" w:rsidRDefault="000E283F" w:rsidP="00172A00">
            <w:pPr>
              <w:contextualSpacing/>
              <w:textAlignment w:val="baseline"/>
              <w:rPr>
                <w:rFonts w:ascii="Arial" w:hAnsi="Arial"/>
                <w:color w:val="000000"/>
                <w:sz w:val="24"/>
                <w:lang w:val="en"/>
              </w:rPr>
            </w:pPr>
            <w:r w:rsidRPr="00675D4F">
              <w:rPr>
                <w:rFonts w:ascii="Arial" w:hAnsi="Arial"/>
                <w:color w:val="000000"/>
                <w:sz w:val="24"/>
                <w:lang w:val="en"/>
              </w:rPr>
              <w:t>The Hon Marlene Kairouz MP</w:t>
            </w:r>
          </w:p>
          <w:p w14:paraId="462662DF" w14:textId="77777777" w:rsidR="000E283F" w:rsidRPr="00675D4F" w:rsidRDefault="000E283F" w:rsidP="00172A00">
            <w:pPr>
              <w:contextualSpacing/>
              <w:textAlignment w:val="baseline"/>
              <w:rPr>
                <w:rFonts w:ascii="Arial" w:hAnsi="Arial"/>
                <w:color w:val="000000"/>
                <w:sz w:val="24"/>
                <w:lang w:val="en"/>
              </w:rPr>
            </w:pPr>
            <w:r w:rsidRPr="00675D4F">
              <w:rPr>
                <w:rFonts w:ascii="Arial" w:hAnsi="Arial"/>
                <w:color w:val="000000"/>
                <w:sz w:val="24"/>
                <w:lang w:val="en"/>
              </w:rPr>
              <w:t>Minister for Consumer Affairs, Gaming</w:t>
            </w:r>
            <w:r>
              <w:rPr>
                <w:rFonts w:ascii="Arial" w:hAnsi="Arial"/>
                <w:color w:val="000000"/>
                <w:sz w:val="24"/>
                <w:lang w:val="en"/>
              </w:rPr>
              <w:t xml:space="preserve"> a</w:t>
            </w:r>
            <w:r w:rsidRPr="00675D4F">
              <w:rPr>
                <w:rFonts w:ascii="Arial" w:hAnsi="Arial"/>
                <w:color w:val="000000"/>
                <w:sz w:val="24"/>
                <w:lang w:val="en"/>
              </w:rPr>
              <w:t>nd Liquor Regulation</w:t>
            </w:r>
          </w:p>
          <w:p w14:paraId="49ABD0FD" w14:textId="77777777" w:rsidR="000E283F" w:rsidRDefault="000E283F" w:rsidP="00172A00">
            <w:pPr>
              <w:contextualSpacing/>
              <w:textAlignment w:val="baseline"/>
              <w:rPr>
                <w:rFonts w:ascii="Arial" w:hAnsi="Arial"/>
                <w:color w:val="000000"/>
                <w:sz w:val="24"/>
              </w:rPr>
            </w:pPr>
            <w:r>
              <w:rPr>
                <w:rFonts w:ascii="Arial" w:hAnsi="Arial"/>
                <w:color w:val="000000"/>
                <w:sz w:val="24"/>
              </w:rPr>
              <w:t>Victorian Government</w:t>
            </w:r>
          </w:p>
          <w:p w14:paraId="5F7D5ACA" w14:textId="77777777" w:rsidR="00933F8A" w:rsidRDefault="00933F8A" w:rsidP="00933F8A">
            <w:pPr>
              <w:textAlignment w:val="baseline"/>
              <w:rPr>
                <w:rFonts w:ascii="Arial" w:hAnsi="Arial"/>
                <w:color w:val="000000"/>
                <w:sz w:val="24"/>
              </w:rPr>
            </w:pPr>
          </w:p>
        </w:tc>
        <w:tc>
          <w:tcPr>
            <w:tcW w:w="4984" w:type="dxa"/>
            <w:tcBorders>
              <w:top w:val="nil"/>
              <w:left w:val="nil"/>
              <w:bottom w:val="nil"/>
              <w:right w:val="nil"/>
            </w:tcBorders>
          </w:tcPr>
          <w:p w14:paraId="6710F243" w14:textId="77777777" w:rsidR="000E283F" w:rsidRPr="00933F8A" w:rsidRDefault="000E283F" w:rsidP="002A3A56">
            <w:pPr>
              <w:contextualSpacing/>
              <w:textAlignment w:val="baseline"/>
              <w:rPr>
                <w:rFonts w:ascii="Arial" w:hAnsi="Arial"/>
                <w:color w:val="FFFFFF" w:themeColor="background1"/>
                <w:sz w:val="24"/>
              </w:rPr>
            </w:pPr>
          </w:p>
        </w:tc>
      </w:tr>
      <w:tr w:rsidR="000E283F" w14:paraId="0A62D12C" w14:textId="77777777" w:rsidTr="00933F8A">
        <w:trPr>
          <w:trHeight w:val="70"/>
        </w:trPr>
        <w:tc>
          <w:tcPr>
            <w:tcW w:w="4984" w:type="dxa"/>
            <w:tcBorders>
              <w:top w:val="nil"/>
              <w:left w:val="nil"/>
              <w:bottom w:val="nil"/>
              <w:right w:val="nil"/>
            </w:tcBorders>
          </w:tcPr>
          <w:p w14:paraId="5A535169" w14:textId="77777777" w:rsidR="000E283F" w:rsidRPr="006854C0" w:rsidRDefault="000E283F" w:rsidP="00172A00">
            <w:pPr>
              <w:contextualSpacing/>
              <w:textAlignment w:val="baseline"/>
              <w:rPr>
                <w:rFonts w:ascii="Arial" w:hAnsi="Arial"/>
                <w:color w:val="000000"/>
                <w:sz w:val="24"/>
                <w:lang w:val="en"/>
              </w:rPr>
            </w:pPr>
            <w:r w:rsidRPr="006854C0">
              <w:rPr>
                <w:rFonts w:ascii="Arial" w:hAnsi="Arial"/>
                <w:color w:val="000000"/>
                <w:sz w:val="24"/>
                <w:lang w:val="en"/>
              </w:rPr>
              <w:t>The Hon Gordon Ramsay MP</w:t>
            </w:r>
          </w:p>
          <w:p w14:paraId="49670322" w14:textId="77777777" w:rsidR="000E283F" w:rsidRPr="006854C0" w:rsidRDefault="000E283F" w:rsidP="00172A00">
            <w:pPr>
              <w:contextualSpacing/>
              <w:textAlignment w:val="baseline"/>
              <w:rPr>
                <w:rFonts w:ascii="Arial" w:hAnsi="Arial"/>
                <w:color w:val="000000"/>
                <w:sz w:val="24"/>
                <w:lang w:val="en"/>
              </w:rPr>
            </w:pPr>
            <w:r w:rsidRPr="006854C0">
              <w:rPr>
                <w:rFonts w:ascii="Arial" w:hAnsi="Arial"/>
                <w:color w:val="000000"/>
                <w:sz w:val="24"/>
                <w:lang w:val="en"/>
              </w:rPr>
              <w:t>Attorney-General</w:t>
            </w:r>
          </w:p>
          <w:p w14:paraId="0FF00EF7" w14:textId="77777777" w:rsidR="000E283F" w:rsidRDefault="000E283F" w:rsidP="00172A00">
            <w:pPr>
              <w:contextualSpacing/>
              <w:textAlignment w:val="baseline"/>
              <w:rPr>
                <w:rFonts w:ascii="Arial" w:hAnsi="Arial"/>
                <w:color w:val="000000"/>
                <w:sz w:val="24"/>
              </w:rPr>
            </w:pPr>
            <w:r>
              <w:rPr>
                <w:rFonts w:ascii="Arial" w:hAnsi="Arial"/>
                <w:color w:val="000000"/>
                <w:sz w:val="24"/>
              </w:rPr>
              <w:t>Australian Capital Territory Government</w:t>
            </w:r>
          </w:p>
          <w:p w14:paraId="077AC485" w14:textId="77777777" w:rsidR="00933F8A" w:rsidRDefault="00933F8A" w:rsidP="00933F8A">
            <w:pPr>
              <w:textAlignment w:val="baseline"/>
              <w:rPr>
                <w:rFonts w:ascii="Arial" w:hAnsi="Arial"/>
                <w:color w:val="000000"/>
                <w:sz w:val="24"/>
              </w:rPr>
            </w:pPr>
          </w:p>
        </w:tc>
        <w:tc>
          <w:tcPr>
            <w:tcW w:w="4984" w:type="dxa"/>
            <w:tcBorders>
              <w:top w:val="nil"/>
              <w:left w:val="nil"/>
              <w:bottom w:val="nil"/>
              <w:right w:val="nil"/>
            </w:tcBorders>
          </w:tcPr>
          <w:p w14:paraId="0BD1CAEE" w14:textId="77777777" w:rsidR="000E283F" w:rsidRPr="00933F8A" w:rsidRDefault="000E283F" w:rsidP="00172A00">
            <w:pPr>
              <w:contextualSpacing/>
              <w:textAlignment w:val="baseline"/>
              <w:rPr>
                <w:rFonts w:ascii="Arial" w:hAnsi="Arial"/>
                <w:color w:val="FFFFFF" w:themeColor="background1"/>
                <w:sz w:val="24"/>
              </w:rPr>
            </w:pPr>
          </w:p>
        </w:tc>
      </w:tr>
      <w:tr w:rsidR="00092198" w14:paraId="77BF6A35" w14:textId="77777777" w:rsidTr="00933F8A">
        <w:trPr>
          <w:trHeight w:val="70"/>
        </w:trPr>
        <w:tc>
          <w:tcPr>
            <w:tcW w:w="4984" w:type="dxa"/>
            <w:tcBorders>
              <w:top w:val="nil"/>
              <w:left w:val="nil"/>
              <w:bottom w:val="nil"/>
              <w:right w:val="nil"/>
            </w:tcBorders>
          </w:tcPr>
          <w:p w14:paraId="0BFF4E1E" w14:textId="77777777" w:rsidR="00092198" w:rsidRPr="006854C0" w:rsidRDefault="00092198" w:rsidP="00092198">
            <w:pPr>
              <w:contextualSpacing/>
              <w:textAlignment w:val="baseline"/>
              <w:rPr>
                <w:rFonts w:ascii="Arial" w:hAnsi="Arial"/>
                <w:color w:val="000000"/>
                <w:sz w:val="24"/>
                <w:lang w:val="en"/>
              </w:rPr>
            </w:pPr>
            <w:r w:rsidRPr="006854C0">
              <w:rPr>
                <w:rFonts w:ascii="Arial" w:hAnsi="Arial"/>
                <w:color w:val="000000"/>
                <w:sz w:val="24"/>
                <w:lang w:val="en"/>
              </w:rPr>
              <w:t>The Hon Yvette D’Ath</w:t>
            </w:r>
          </w:p>
          <w:p w14:paraId="5C64932A" w14:textId="77777777" w:rsidR="00092198" w:rsidRPr="006854C0" w:rsidRDefault="00092198" w:rsidP="00092198">
            <w:pPr>
              <w:contextualSpacing/>
              <w:textAlignment w:val="baseline"/>
              <w:rPr>
                <w:rFonts w:ascii="Arial" w:hAnsi="Arial"/>
                <w:color w:val="000000"/>
                <w:sz w:val="24"/>
                <w:lang w:val="en"/>
              </w:rPr>
            </w:pPr>
            <w:r w:rsidRPr="006854C0">
              <w:rPr>
                <w:rFonts w:ascii="Arial" w:hAnsi="Arial"/>
                <w:color w:val="000000"/>
                <w:sz w:val="24"/>
                <w:lang w:val="en"/>
              </w:rPr>
              <w:t>Attorney-General</w:t>
            </w:r>
            <w:r>
              <w:rPr>
                <w:rFonts w:ascii="Arial" w:hAnsi="Arial"/>
                <w:color w:val="000000"/>
                <w:sz w:val="24"/>
                <w:lang w:val="en"/>
              </w:rPr>
              <w:t xml:space="preserve"> and </w:t>
            </w:r>
            <w:r w:rsidRPr="006854C0">
              <w:rPr>
                <w:rFonts w:ascii="Arial" w:hAnsi="Arial"/>
                <w:color w:val="000000"/>
                <w:sz w:val="24"/>
                <w:lang w:val="en"/>
              </w:rPr>
              <w:t xml:space="preserve">Minister </w:t>
            </w:r>
            <w:r>
              <w:rPr>
                <w:rFonts w:ascii="Arial" w:hAnsi="Arial"/>
                <w:color w:val="000000"/>
                <w:sz w:val="24"/>
                <w:lang w:val="en"/>
              </w:rPr>
              <w:t xml:space="preserve">for </w:t>
            </w:r>
            <w:r w:rsidRPr="006854C0">
              <w:rPr>
                <w:rFonts w:ascii="Arial" w:hAnsi="Arial"/>
                <w:color w:val="000000"/>
                <w:sz w:val="24"/>
                <w:lang w:val="en"/>
              </w:rPr>
              <w:t>Justice</w:t>
            </w:r>
          </w:p>
          <w:p w14:paraId="196E89ED" w14:textId="77777777" w:rsidR="00092198" w:rsidRDefault="00092198" w:rsidP="00092198">
            <w:pPr>
              <w:contextualSpacing/>
              <w:textAlignment w:val="baseline"/>
              <w:rPr>
                <w:rFonts w:ascii="Arial" w:hAnsi="Arial"/>
                <w:color w:val="000000"/>
                <w:sz w:val="24"/>
                <w:lang w:val="en"/>
              </w:rPr>
            </w:pPr>
            <w:r>
              <w:rPr>
                <w:rFonts w:ascii="Arial" w:hAnsi="Arial"/>
                <w:color w:val="000000"/>
                <w:sz w:val="24"/>
                <w:lang w:val="en"/>
              </w:rPr>
              <w:t>Queensland Government</w:t>
            </w:r>
          </w:p>
          <w:p w14:paraId="40AE1081" w14:textId="77777777" w:rsidR="00933F8A" w:rsidRPr="002A3A56" w:rsidRDefault="00933F8A" w:rsidP="00933F8A">
            <w:pPr>
              <w:textAlignment w:val="baseline"/>
              <w:rPr>
                <w:rFonts w:ascii="Arial" w:hAnsi="Arial"/>
                <w:color w:val="000000"/>
                <w:sz w:val="24"/>
                <w:lang w:val="en"/>
              </w:rPr>
            </w:pPr>
          </w:p>
        </w:tc>
        <w:tc>
          <w:tcPr>
            <w:tcW w:w="4984" w:type="dxa"/>
            <w:tcBorders>
              <w:top w:val="nil"/>
              <w:left w:val="nil"/>
              <w:bottom w:val="nil"/>
              <w:right w:val="nil"/>
            </w:tcBorders>
          </w:tcPr>
          <w:p w14:paraId="70BC02AC" w14:textId="77777777" w:rsidR="00092198" w:rsidRPr="00933F8A" w:rsidRDefault="00092198" w:rsidP="00092198">
            <w:pPr>
              <w:contextualSpacing/>
              <w:textAlignment w:val="baseline"/>
              <w:rPr>
                <w:rFonts w:ascii="Arial" w:hAnsi="Arial"/>
                <w:color w:val="FFFFFF" w:themeColor="background1"/>
                <w:sz w:val="24"/>
                <w:lang w:val="en"/>
              </w:rPr>
            </w:pPr>
          </w:p>
        </w:tc>
      </w:tr>
      <w:tr w:rsidR="00933F8A" w14:paraId="00C85928" w14:textId="77777777" w:rsidTr="00933F8A">
        <w:trPr>
          <w:trHeight w:val="70"/>
        </w:trPr>
        <w:tc>
          <w:tcPr>
            <w:tcW w:w="4984" w:type="dxa"/>
            <w:tcBorders>
              <w:top w:val="nil"/>
              <w:left w:val="nil"/>
              <w:bottom w:val="nil"/>
              <w:right w:val="nil"/>
            </w:tcBorders>
          </w:tcPr>
          <w:p w14:paraId="055A587C" w14:textId="77777777" w:rsidR="00933F8A" w:rsidRPr="006854C0" w:rsidRDefault="00933F8A" w:rsidP="00933F8A">
            <w:pPr>
              <w:contextualSpacing/>
              <w:textAlignment w:val="baseline"/>
              <w:rPr>
                <w:rFonts w:ascii="Arial" w:hAnsi="Arial"/>
                <w:color w:val="000000"/>
                <w:sz w:val="24"/>
                <w:lang w:val="en"/>
              </w:rPr>
            </w:pPr>
            <w:r w:rsidRPr="006854C0">
              <w:rPr>
                <w:rFonts w:ascii="Arial" w:hAnsi="Arial"/>
                <w:color w:val="000000"/>
                <w:sz w:val="24"/>
                <w:lang w:val="en"/>
              </w:rPr>
              <w:t>The Hon Peter Gutwein MP</w:t>
            </w:r>
          </w:p>
          <w:p w14:paraId="76014FCE" w14:textId="77777777" w:rsidR="00933F8A" w:rsidRDefault="00933F8A" w:rsidP="00933F8A">
            <w:pPr>
              <w:contextualSpacing/>
              <w:textAlignment w:val="baseline"/>
              <w:rPr>
                <w:rFonts w:ascii="Arial" w:hAnsi="Arial"/>
                <w:color w:val="000000"/>
                <w:sz w:val="24"/>
                <w:lang w:val="en"/>
              </w:rPr>
            </w:pPr>
            <w:r w:rsidRPr="006854C0">
              <w:rPr>
                <w:rFonts w:ascii="Arial" w:hAnsi="Arial"/>
                <w:color w:val="000000"/>
                <w:sz w:val="24"/>
                <w:lang w:val="en"/>
              </w:rPr>
              <w:t>Treasurer</w:t>
            </w:r>
          </w:p>
          <w:p w14:paraId="2B5F8BF8" w14:textId="77777777" w:rsidR="00933F8A" w:rsidRDefault="00933F8A" w:rsidP="00933F8A">
            <w:pPr>
              <w:contextualSpacing/>
              <w:textAlignment w:val="baseline"/>
              <w:rPr>
                <w:rFonts w:ascii="Arial" w:hAnsi="Arial"/>
                <w:color w:val="000000"/>
                <w:sz w:val="24"/>
                <w:lang w:val="en"/>
              </w:rPr>
            </w:pPr>
            <w:r>
              <w:rPr>
                <w:rFonts w:ascii="Arial" w:hAnsi="Arial"/>
                <w:color w:val="000000"/>
                <w:sz w:val="24"/>
                <w:lang w:val="en"/>
              </w:rPr>
              <w:t>Tasmanian Government</w:t>
            </w:r>
          </w:p>
          <w:p w14:paraId="0B8985EF" w14:textId="77777777" w:rsidR="00933F8A" w:rsidRPr="002A3A56" w:rsidRDefault="00933F8A" w:rsidP="00933F8A">
            <w:pPr>
              <w:textAlignment w:val="baseline"/>
              <w:rPr>
                <w:rFonts w:ascii="Arial" w:hAnsi="Arial"/>
                <w:color w:val="000000"/>
                <w:sz w:val="24"/>
                <w:lang w:val="en"/>
              </w:rPr>
            </w:pPr>
          </w:p>
        </w:tc>
        <w:tc>
          <w:tcPr>
            <w:tcW w:w="4984" w:type="dxa"/>
            <w:tcBorders>
              <w:top w:val="nil"/>
              <w:left w:val="nil"/>
              <w:bottom w:val="nil"/>
              <w:right w:val="nil"/>
            </w:tcBorders>
          </w:tcPr>
          <w:p w14:paraId="35E3D753" w14:textId="77777777" w:rsidR="00933F8A" w:rsidRPr="006854C0" w:rsidRDefault="00933F8A" w:rsidP="00933F8A">
            <w:pPr>
              <w:contextualSpacing/>
              <w:textAlignment w:val="baseline"/>
              <w:rPr>
                <w:rFonts w:ascii="Arial" w:hAnsi="Arial"/>
                <w:color w:val="000000"/>
                <w:sz w:val="24"/>
                <w:lang w:val="en"/>
              </w:rPr>
            </w:pPr>
          </w:p>
        </w:tc>
      </w:tr>
      <w:tr w:rsidR="00933F8A" w14:paraId="53CB2F27" w14:textId="77777777" w:rsidTr="00933F8A">
        <w:trPr>
          <w:trHeight w:val="70"/>
        </w:trPr>
        <w:tc>
          <w:tcPr>
            <w:tcW w:w="4984" w:type="dxa"/>
            <w:tcBorders>
              <w:top w:val="nil"/>
              <w:left w:val="nil"/>
              <w:bottom w:val="nil"/>
              <w:right w:val="nil"/>
            </w:tcBorders>
          </w:tcPr>
          <w:p w14:paraId="21110A62" w14:textId="77777777" w:rsidR="00933F8A" w:rsidRPr="00675D4F" w:rsidRDefault="00933F8A" w:rsidP="00933F8A">
            <w:pPr>
              <w:contextualSpacing/>
              <w:textAlignment w:val="baseline"/>
              <w:rPr>
                <w:rFonts w:ascii="Arial" w:hAnsi="Arial"/>
                <w:color w:val="000000"/>
                <w:sz w:val="24"/>
                <w:lang w:val="en"/>
              </w:rPr>
            </w:pPr>
            <w:r w:rsidRPr="00675D4F">
              <w:rPr>
                <w:rFonts w:ascii="Arial" w:hAnsi="Arial"/>
                <w:color w:val="000000"/>
                <w:sz w:val="24"/>
                <w:lang w:val="en"/>
              </w:rPr>
              <w:t>The Hon Paul Papalia CSC MLA</w:t>
            </w:r>
          </w:p>
          <w:p w14:paraId="25C80395" w14:textId="77777777" w:rsidR="00933F8A" w:rsidRPr="00675D4F" w:rsidRDefault="00933F8A" w:rsidP="00933F8A">
            <w:pPr>
              <w:contextualSpacing/>
              <w:textAlignment w:val="baseline"/>
              <w:rPr>
                <w:rFonts w:ascii="Arial" w:hAnsi="Arial"/>
                <w:color w:val="000000"/>
                <w:sz w:val="24"/>
                <w:lang w:val="en"/>
              </w:rPr>
            </w:pPr>
            <w:r w:rsidRPr="00675D4F">
              <w:rPr>
                <w:rFonts w:ascii="Arial" w:hAnsi="Arial"/>
                <w:color w:val="000000"/>
                <w:sz w:val="24"/>
                <w:lang w:val="en"/>
              </w:rPr>
              <w:t>Minister for Racing and Gaming</w:t>
            </w:r>
          </w:p>
          <w:p w14:paraId="053E3008" w14:textId="77777777" w:rsidR="00933F8A" w:rsidRPr="006854C0" w:rsidRDefault="00933F8A" w:rsidP="00933F8A">
            <w:pPr>
              <w:contextualSpacing/>
              <w:textAlignment w:val="baseline"/>
              <w:rPr>
                <w:rFonts w:ascii="Arial" w:hAnsi="Arial"/>
                <w:color w:val="000000"/>
                <w:sz w:val="24"/>
                <w:lang w:val="en"/>
              </w:rPr>
            </w:pPr>
            <w:r>
              <w:rPr>
                <w:rFonts w:ascii="Arial" w:hAnsi="Arial"/>
                <w:color w:val="000000"/>
                <w:sz w:val="24"/>
              </w:rPr>
              <w:t>Western Australian Government</w:t>
            </w:r>
          </w:p>
        </w:tc>
        <w:tc>
          <w:tcPr>
            <w:tcW w:w="4984" w:type="dxa"/>
            <w:tcBorders>
              <w:top w:val="nil"/>
              <w:left w:val="nil"/>
              <w:bottom w:val="nil"/>
              <w:right w:val="nil"/>
            </w:tcBorders>
          </w:tcPr>
          <w:p w14:paraId="3DC543EA" w14:textId="77777777" w:rsidR="00933F8A" w:rsidRPr="006854C0" w:rsidRDefault="00933F8A" w:rsidP="00933F8A">
            <w:pPr>
              <w:contextualSpacing/>
              <w:textAlignment w:val="baseline"/>
              <w:rPr>
                <w:rFonts w:ascii="Arial" w:hAnsi="Arial"/>
                <w:color w:val="000000"/>
                <w:sz w:val="24"/>
                <w:lang w:val="en"/>
              </w:rPr>
            </w:pPr>
          </w:p>
        </w:tc>
      </w:tr>
      <w:tr w:rsidR="00933F8A" w14:paraId="7B1D22E3" w14:textId="77777777" w:rsidTr="00933F8A">
        <w:trPr>
          <w:trHeight w:val="70"/>
        </w:trPr>
        <w:tc>
          <w:tcPr>
            <w:tcW w:w="4984" w:type="dxa"/>
            <w:tcBorders>
              <w:top w:val="nil"/>
              <w:left w:val="nil"/>
              <w:bottom w:val="nil"/>
              <w:right w:val="nil"/>
            </w:tcBorders>
          </w:tcPr>
          <w:p w14:paraId="34DCC3BC" w14:textId="77777777" w:rsidR="00933F8A" w:rsidRDefault="00933F8A" w:rsidP="00933F8A">
            <w:pPr>
              <w:textAlignment w:val="baseline"/>
              <w:rPr>
                <w:rFonts w:ascii="Arial" w:hAnsi="Arial"/>
                <w:color w:val="000000"/>
                <w:sz w:val="24"/>
                <w:lang w:val="en"/>
              </w:rPr>
            </w:pPr>
          </w:p>
          <w:p w14:paraId="144DD19A" w14:textId="77777777" w:rsidR="00933F8A" w:rsidRPr="006854C0" w:rsidRDefault="00933F8A" w:rsidP="00933F8A">
            <w:pPr>
              <w:contextualSpacing/>
              <w:textAlignment w:val="baseline"/>
              <w:rPr>
                <w:rFonts w:ascii="Arial" w:hAnsi="Arial"/>
                <w:color w:val="000000"/>
                <w:sz w:val="24"/>
                <w:lang w:val="en"/>
              </w:rPr>
            </w:pPr>
            <w:r w:rsidRPr="006854C0">
              <w:rPr>
                <w:rFonts w:ascii="Arial" w:hAnsi="Arial"/>
                <w:color w:val="000000"/>
                <w:sz w:val="24"/>
                <w:lang w:val="en"/>
              </w:rPr>
              <w:t>The Hon Natasha Fyles MP</w:t>
            </w:r>
          </w:p>
          <w:p w14:paraId="086EAD4E" w14:textId="77777777" w:rsidR="00933F8A" w:rsidRDefault="00933F8A" w:rsidP="00933F8A">
            <w:pPr>
              <w:contextualSpacing/>
              <w:textAlignment w:val="baseline"/>
              <w:rPr>
                <w:rFonts w:ascii="Arial" w:hAnsi="Arial"/>
                <w:color w:val="000000"/>
                <w:sz w:val="24"/>
                <w:lang w:val="en"/>
              </w:rPr>
            </w:pPr>
            <w:r>
              <w:rPr>
                <w:rFonts w:ascii="Arial" w:hAnsi="Arial"/>
                <w:color w:val="000000"/>
                <w:sz w:val="24"/>
                <w:lang w:val="en"/>
              </w:rPr>
              <w:t>Attorney-</w:t>
            </w:r>
            <w:r w:rsidRPr="006854C0">
              <w:rPr>
                <w:rFonts w:ascii="Arial" w:hAnsi="Arial"/>
                <w:color w:val="000000"/>
                <w:sz w:val="24"/>
                <w:lang w:val="en"/>
              </w:rPr>
              <w:t xml:space="preserve">General </w:t>
            </w:r>
            <w:r>
              <w:rPr>
                <w:rFonts w:ascii="Arial" w:hAnsi="Arial"/>
                <w:color w:val="000000"/>
                <w:sz w:val="24"/>
                <w:lang w:val="en"/>
              </w:rPr>
              <w:t xml:space="preserve">and </w:t>
            </w:r>
            <w:r w:rsidRPr="006854C0">
              <w:rPr>
                <w:rFonts w:ascii="Arial" w:hAnsi="Arial"/>
                <w:color w:val="000000"/>
                <w:sz w:val="24"/>
                <w:lang w:val="en"/>
              </w:rPr>
              <w:t>Minister for Justice</w:t>
            </w:r>
          </w:p>
          <w:p w14:paraId="18FB5132" w14:textId="77777777" w:rsidR="00933F8A" w:rsidRDefault="00933F8A" w:rsidP="00933F8A">
            <w:pPr>
              <w:contextualSpacing/>
              <w:textAlignment w:val="baseline"/>
              <w:rPr>
                <w:rFonts w:ascii="Arial" w:hAnsi="Arial"/>
                <w:color w:val="000000"/>
                <w:sz w:val="24"/>
              </w:rPr>
            </w:pPr>
            <w:r>
              <w:rPr>
                <w:rFonts w:ascii="Arial" w:hAnsi="Arial"/>
                <w:color w:val="000000"/>
                <w:sz w:val="24"/>
              </w:rPr>
              <w:t>Northern Territory Government</w:t>
            </w:r>
          </w:p>
          <w:p w14:paraId="7C66A60E" w14:textId="77777777" w:rsidR="00933F8A" w:rsidRPr="006854C0" w:rsidRDefault="00933F8A" w:rsidP="00933F8A">
            <w:pPr>
              <w:contextualSpacing/>
              <w:textAlignment w:val="baseline"/>
              <w:rPr>
                <w:rFonts w:ascii="Arial" w:hAnsi="Arial"/>
                <w:color w:val="000000"/>
                <w:sz w:val="24"/>
                <w:lang w:val="en"/>
              </w:rPr>
            </w:pPr>
          </w:p>
        </w:tc>
        <w:tc>
          <w:tcPr>
            <w:tcW w:w="4984" w:type="dxa"/>
            <w:tcBorders>
              <w:top w:val="nil"/>
              <w:left w:val="nil"/>
              <w:bottom w:val="nil"/>
              <w:right w:val="nil"/>
            </w:tcBorders>
          </w:tcPr>
          <w:p w14:paraId="08FD5E73" w14:textId="77777777" w:rsidR="00933F8A" w:rsidRPr="006854C0" w:rsidRDefault="00933F8A" w:rsidP="00933F8A">
            <w:pPr>
              <w:contextualSpacing/>
              <w:textAlignment w:val="baseline"/>
              <w:rPr>
                <w:rFonts w:ascii="Arial" w:hAnsi="Arial"/>
                <w:color w:val="000000"/>
                <w:sz w:val="24"/>
                <w:lang w:val="en"/>
              </w:rPr>
            </w:pPr>
          </w:p>
        </w:tc>
      </w:tr>
    </w:tbl>
    <w:p w14:paraId="27D058C0" w14:textId="77777777" w:rsidR="00DC78EF" w:rsidRDefault="00DC78EF" w:rsidP="00940768">
      <w:pPr>
        <w:textAlignment w:val="baseline"/>
        <w:rPr>
          <w:rFonts w:ascii="Arial" w:hAnsi="Arial"/>
          <w:color w:val="000000"/>
          <w:sz w:val="24"/>
        </w:rPr>
      </w:pPr>
    </w:p>
    <w:p w14:paraId="7EE98202" w14:textId="77777777" w:rsidR="00DC78EF" w:rsidRDefault="00DC78EF" w:rsidP="00940768">
      <w:pPr>
        <w:textAlignment w:val="baseline"/>
        <w:rPr>
          <w:rFonts w:ascii="Arial" w:hAnsi="Arial"/>
          <w:color w:val="000000"/>
          <w:sz w:val="24"/>
        </w:rPr>
      </w:pPr>
    </w:p>
    <w:p w14:paraId="5F2D72C6" w14:textId="77777777" w:rsidR="000E283F" w:rsidRPr="00DC78EF" w:rsidRDefault="000E283F">
      <w:pPr>
        <w:spacing w:after="0" w:line="240" w:lineRule="auto"/>
        <w:rPr>
          <w:rFonts w:ascii="Arial" w:hAnsi="Arial"/>
          <w:color w:val="000000"/>
          <w:sz w:val="2"/>
        </w:rPr>
      </w:pPr>
    </w:p>
    <w:p w14:paraId="6D98ED12" w14:textId="77777777" w:rsidR="000D4E73" w:rsidRPr="00831298" w:rsidRDefault="000D4E73" w:rsidP="00831298">
      <w:pPr>
        <w:pStyle w:val="Heading2"/>
        <w:numPr>
          <w:ilvl w:val="0"/>
          <w:numId w:val="40"/>
        </w:numPr>
        <w:rPr>
          <w:rFonts w:ascii="Arial" w:hAnsi="Arial" w:cs="Arial"/>
          <w:color w:val="C00000"/>
          <w:sz w:val="44"/>
          <w:szCs w:val="44"/>
        </w:rPr>
      </w:pPr>
      <w:r w:rsidRPr="00831298">
        <w:rPr>
          <w:rFonts w:ascii="Arial" w:hAnsi="Arial" w:cs="Arial"/>
          <w:color w:val="C00000"/>
          <w:sz w:val="44"/>
          <w:szCs w:val="44"/>
        </w:rPr>
        <w:lastRenderedPageBreak/>
        <w:t>Background</w:t>
      </w:r>
    </w:p>
    <w:p w14:paraId="1ECBAEE5" w14:textId="77777777" w:rsidR="00BB3CA6" w:rsidRPr="003D51E4" w:rsidRDefault="00515106" w:rsidP="00940768">
      <w:pPr>
        <w:textAlignment w:val="baseline"/>
        <w:rPr>
          <w:rFonts w:ascii="Arial" w:hAnsi="Arial"/>
          <w:color w:val="000000"/>
          <w:sz w:val="24"/>
        </w:rPr>
      </w:pPr>
      <w:r w:rsidRPr="003D51E4">
        <w:rPr>
          <w:rFonts w:ascii="Arial" w:hAnsi="Arial"/>
          <w:color w:val="000000"/>
          <w:sz w:val="24"/>
        </w:rPr>
        <w:t>On</w:t>
      </w:r>
      <w:r w:rsidR="00BB3CA6" w:rsidRPr="003D51E4">
        <w:rPr>
          <w:rFonts w:ascii="Arial" w:hAnsi="Arial"/>
          <w:color w:val="000000"/>
          <w:sz w:val="24"/>
        </w:rPr>
        <w:t xml:space="preserve"> 7 September 2015, the</w:t>
      </w:r>
      <w:r w:rsidR="00971A66" w:rsidRPr="003D51E4">
        <w:rPr>
          <w:rFonts w:ascii="Arial" w:hAnsi="Arial"/>
          <w:color w:val="000000"/>
          <w:sz w:val="24"/>
        </w:rPr>
        <w:t xml:space="preserve"> Commonwealth</w:t>
      </w:r>
      <w:r w:rsidR="00BB3CA6" w:rsidRPr="003D51E4">
        <w:rPr>
          <w:rFonts w:ascii="Arial" w:hAnsi="Arial"/>
          <w:color w:val="000000"/>
          <w:sz w:val="24"/>
        </w:rPr>
        <w:t xml:space="preserve"> Government asked the Hon Barry O’Farrell to conduct</w:t>
      </w:r>
      <w:r w:rsidR="00311817" w:rsidRPr="003D51E4">
        <w:rPr>
          <w:rFonts w:ascii="Arial" w:hAnsi="Arial"/>
          <w:color w:val="000000"/>
          <w:sz w:val="24"/>
        </w:rPr>
        <w:t xml:space="preserve"> the</w:t>
      </w:r>
      <w:r w:rsidR="00BB3CA6" w:rsidRPr="003D51E4">
        <w:rPr>
          <w:rFonts w:ascii="Arial" w:hAnsi="Arial"/>
          <w:color w:val="000000"/>
          <w:sz w:val="24"/>
        </w:rPr>
        <w:t xml:space="preserve"> </w:t>
      </w:r>
      <w:r w:rsidR="00F203AA" w:rsidRPr="003D51E4">
        <w:rPr>
          <w:rFonts w:ascii="Arial" w:hAnsi="Arial"/>
          <w:color w:val="000000"/>
          <w:sz w:val="24"/>
        </w:rPr>
        <w:t>Review</w:t>
      </w:r>
      <w:r w:rsidR="00BB3CA6" w:rsidRPr="003D51E4">
        <w:rPr>
          <w:rFonts w:ascii="Arial" w:hAnsi="Arial"/>
          <w:color w:val="000000"/>
          <w:sz w:val="24"/>
        </w:rPr>
        <w:t>.</w:t>
      </w:r>
    </w:p>
    <w:p w14:paraId="07015BA4" w14:textId="77777777" w:rsidR="00BB3CA6" w:rsidRPr="003D51E4" w:rsidRDefault="00BB3CA6" w:rsidP="00940768">
      <w:pPr>
        <w:textAlignment w:val="baseline"/>
        <w:rPr>
          <w:rFonts w:ascii="Arial" w:hAnsi="Arial"/>
          <w:color w:val="000000"/>
          <w:sz w:val="24"/>
        </w:rPr>
      </w:pPr>
      <w:r w:rsidRPr="003D51E4">
        <w:rPr>
          <w:rFonts w:ascii="Arial" w:hAnsi="Arial"/>
          <w:color w:val="000000"/>
          <w:sz w:val="24"/>
        </w:rPr>
        <w:t>The Review investigate</w:t>
      </w:r>
      <w:r w:rsidR="005B624E" w:rsidRPr="003D51E4">
        <w:rPr>
          <w:rFonts w:ascii="Arial" w:hAnsi="Arial"/>
          <w:color w:val="000000"/>
          <w:sz w:val="24"/>
        </w:rPr>
        <w:t>d</w:t>
      </w:r>
      <w:r w:rsidRPr="003D51E4">
        <w:rPr>
          <w:rFonts w:ascii="Arial" w:hAnsi="Arial"/>
          <w:color w:val="000000"/>
          <w:sz w:val="24"/>
        </w:rPr>
        <w:t xml:space="preserve"> the size and scope of the illegal offshore wagering problem and advise</w:t>
      </w:r>
      <w:r w:rsidR="005B624E" w:rsidRPr="003D51E4">
        <w:rPr>
          <w:rFonts w:ascii="Arial" w:hAnsi="Arial"/>
          <w:color w:val="000000"/>
          <w:sz w:val="24"/>
        </w:rPr>
        <w:t>d</w:t>
      </w:r>
      <w:r w:rsidRPr="003D51E4">
        <w:rPr>
          <w:rFonts w:ascii="Arial" w:hAnsi="Arial"/>
          <w:color w:val="000000"/>
          <w:sz w:val="24"/>
        </w:rPr>
        <w:t xml:space="preserve"> on ways to strengthen regulatory enforcement and </w:t>
      </w:r>
      <w:r w:rsidR="00F016E3" w:rsidRPr="003D51E4">
        <w:rPr>
          <w:rFonts w:ascii="Arial" w:hAnsi="Arial"/>
          <w:color w:val="000000"/>
          <w:sz w:val="24"/>
        </w:rPr>
        <w:t xml:space="preserve">better </w:t>
      </w:r>
      <w:r w:rsidRPr="003D51E4">
        <w:rPr>
          <w:rFonts w:ascii="Arial" w:hAnsi="Arial"/>
          <w:color w:val="000000"/>
          <w:sz w:val="24"/>
        </w:rPr>
        <w:t xml:space="preserve">protect Australians from </w:t>
      </w:r>
      <w:r w:rsidR="00F016E3" w:rsidRPr="003D51E4">
        <w:rPr>
          <w:rFonts w:ascii="Arial" w:hAnsi="Arial"/>
          <w:color w:val="000000"/>
          <w:sz w:val="24"/>
        </w:rPr>
        <w:t xml:space="preserve">harms associated with </w:t>
      </w:r>
      <w:r w:rsidRPr="003D51E4">
        <w:rPr>
          <w:rFonts w:ascii="Arial" w:hAnsi="Arial"/>
          <w:color w:val="000000"/>
          <w:sz w:val="24"/>
        </w:rPr>
        <w:t>illegal offshore wagering.</w:t>
      </w:r>
      <w:r w:rsidR="009E65D1" w:rsidRPr="003D51E4">
        <w:rPr>
          <w:rFonts w:ascii="Arial" w:hAnsi="Arial"/>
          <w:color w:val="000000"/>
          <w:sz w:val="24"/>
        </w:rPr>
        <w:t xml:space="preserve"> </w:t>
      </w:r>
      <w:r w:rsidR="00FB361C" w:rsidRPr="003D51E4">
        <w:rPr>
          <w:rFonts w:ascii="Arial" w:hAnsi="Arial"/>
          <w:color w:val="000000"/>
          <w:sz w:val="24"/>
        </w:rPr>
        <w:t xml:space="preserve">The </w:t>
      </w:r>
      <w:r w:rsidR="00F203AA" w:rsidRPr="003D51E4">
        <w:rPr>
          <w:rFonts w:ascii="Arial" w:hAnsi="Arial"/>
          <w:color w:val="000000"/>
          <w:sz w:val="24"/>
        </w:rPr>
        <w:t>Review</w:t>
      </w:r>
      <w:r w:rsidR="00FB361C" w:rsidRPr="003D51E4">
        <w:rPr>
          <w:rFonts w:ascii="Arial" w:hAnsi="Arial"/>
          <w:color w:val="000000"/>
          <w:sz w:val="24"/>
        </w:rPr>
        <w:t xml:space="preserve"> was delivered </w:t>
      </w:r>
      <w:r w:rsidR="00F016E3" w:rsidRPr="003D51E4">
        <w:rPr>
          <w:rFonts w:ascii="Arial" w:hAnsi="Arial"/>
          <w:color w:val="000000"/>
          <w:sz w:val="24"/>
        </w:rPr>
        <w:t xml:space="preserve">to the Commonwealth Government </w:t>
      </w:r>
      <w:r w:rsidRPr="003D51E4">
        <w:rPr>
          <w:rFonts w:ascii="Arial" w:hAnsi="Arial"/>
          <w:color w:val="000000"/>
          <w:sz w:val="24"/>
        </w:rPr>
        <w:t>on 18 December 2015.</w:t>
      </w:r>
      <w:r w:rsidR="000C1BB9" w:rsidRPr="003D51E4">
        <w:rPr>
          <w:rStyle w:val="FootnoteReference"/>
          <w:rFonts w:ascii="Arial" w:hAnsi="Arial"/>
          <w:color w:val="000000"/>
          <w:sz w:val="24"/>
        </w:rPr>
        <w:footnoteReference w:id="6"/>
      </w:r>
    </w:p>
    <w:p w14:paraId="5A254AE3" w14:textId="77777777" w:rsidR="00F0209C" w:rsidRPr="00127DB8" w:rsidRDefault="00C749CB" w:rsidP="000B36B2">
      <w:pPr>
        <w:textAlignment w:val="baseline"/>
        <w:rPr>
          <w:rFonts w:ascii="Arial" w:hAnsi="Arial"/>
          <w:color w:val="000000"/>
          <w:sz w:val="24"/>
        </w:rPr>
      </w:pPr>
      <w:r w:rsidRPr="003D51E4">
        <w:rPr>
          <w:rFonts w:ascii="Arial" w:hAnsi="Arial"/>
          <w:color w:val="000000"/>
          <w:sz w:val="24"/>
        </w:rPr>
        <w:t>The Review noted that</w:t>
      </w:r>
      <w:r w:rsidR="00091267" w:rsidRPr="003D51E4">
        <w:rPr>
          <w:rFonts w:ascii="Arial" w:hAnsi="Arial"/>
          <w:color w:val="000000"/>
          <w:sz w:val="24"/>
        </w:rPr>
        <w:t xml:space="preserve"> </w:t>
      </w:r>
      <w:r w:rsidR="0051551B" w:rsidRPr="003D51E4">
        <w:rPr>
          <w:rFonts w:ascii="Arial" w:hAnsi="Arial"/>
          <w:color w:val="000000"/>
          <w:sz w:val="24"/>
        </w:rPr>
        <w:t>one of the most significant changes to the gambling environment in Australia over the past 15 years has been the increased availability of online gambling.</w:t>
      </w:r>
      <w:r w:rsidR="000C1BB9" w:rsidRPr="003D51E4">
        <w:rPr>
          <w:rFonts w:ascii="Arial" w:hAnsi="Arial"/>
          <w:color w:val="000000"/>
          <w:sz w:val="24"/>
        </w:rPr>
        <w:t xml:space="preserve"> </w:t>
      </w:r>
      <w:r w:rsidR="0051551B" w:rsidRPr="003D51E4">
        <w:rPr>
          <w:rFonts w:ascii="Arial" w:hAnsi="Arial"/>
          <w:color w:val="000000"/>
          <w:sz w:val="24"/>
        </w:rPr>
        <w:t xml:space="preserve">Research shows that online wagering is the fastest growing gambling segment, expanding at a </w:t>
      </w:r>
      <w:r w:rsidR="0051551B" w:rsidRPr="00127DB8">
        <w:rPr>
          <w:rFonts w:ascii="Arial" w:hAnsi="Arial"/>
          <w:color w:val="000000"/>
          <w:sz w:val="24"/>
        </w:rPr>
        <w:t xml:space="preserve">rate of 15 per cent </w:t>
      </w:r>
      <w:r w:rsidR="00127DB8">
        <w:rPr>
          <w:rFonts w:ascii="Arial" w:hAnsi="Arial"/>
          <w:color w:val="000000"/>
          <w:sz w:val="24"/>
        </w:rPr>
        <w:t>annually</w:t>
      </w:r>
      <w:r w:rsidR="00E80045" w:rsidRPr="00127DB8">
        <w:t>.</w:t>
      </w:r>
      <w:r w:rsidR="00E80045" w:rsidRPr="00127DB8">
        <w:rPr>
          <w:rStyle w:val="FootnoteReference"/>
          <w:rFonts w:ascii="Arial" w:hAnsi="Arial"/>
          <w:color w:val="000000"/>
          <w:sz w:val="24"/>
        </w:rPr>
        <w:footnoteReference w:id="7"/>
      </w:r>
      <w:r w:rsidR="0051551B" w:rsidRPr="00127DB8">
        <w:rPr>
          <w:rFonts w:ascii="Arial" w:hAnsi="Arial"/>
          <w:color w:val="000000"/>
          <w:sz w:val="24"/>
        </w:rPr>
        <w:t xml:space="preserve"> </w:t>
      </w:r>
      <w:r w:rsidR="00F0209C" w:rsidRPr="00127DB8">
        <w:rPr>
          <w:rFonts w:ascii="Arial" w:hAnsi="Arial"/>
          <w:color w:val="000000"/>
          <w:sz w:val="24"/>
        </w:rPr>
        <w:t>Of concern to all governments is that the rate of online problem gambling in Australia is three times higher than all other gambling platforms.</w:t>
      </w:r>
      <w:r w:rsidR="000C1BB9" w:rsidRPr="00127DB8">
        <w:rPr>
          <w:rStyle w:val="FootnoteReference"/>
          <w:rFonts w:ascii="Arial" w:hAnsi="Arial"/>
          <w:color w:val="000000"/>
          <w:sz w:val="24"/>
        </w:rPr>
        <w:footnoteReference w:id="8"/>
      </w:r>
      <w:r w:rsidR="000C1BB9" w:rsidRPr="00127DB8" w:rsidDel="00105C7B">
        <w:rPr>
          <w:rFonts w:ascii="Arial" w:hAnsi="Arial"/>
          <w:color w:val="000000"/>
          <w:sz w:val="24"/>
        </w:rPr>
        <w:t xml:space="preserve"> </w:t>
      </w:r>
      <w:r w:rsidR="00F0209C" w:rsidRPr="00127DB8" w:rsidDel="00105C7B">
        <w:rPr>
          <w:rFonts w:ascii="Arial" w:hAnsi="Arial"/>
          <w:color w:val="000000"/>
          <w:sz w:val="24"/>
        </w:rPr>
        <w:t xml:space="preserve"> </w:t>
      </w:r>
    </w:p>
    <w:p w14:paraId="63B6DC07" w14:textId="77777777" w:rsidR="00E94756" w:rsidRPr="003D51E4" w:rsidRDefault="00E94756" w:rsidP="000B36B2">
      <w:pPr>
        <w:textAlignment w:val="baseline"/>
        <w:rPr>
          <w:rFonts w:ascii="Arial" w:hAnsi="Arial"/>
          <w:color w:val="000000"/>
          <w:sz w:val="24"/>
        </w:rPr>
      </w:pPr>
      <w:r w:rsidRPr="00127DB8">
        <w:rPr>
          <w:rFonts w:ascii="Arial" w:hAnsi="Arial"/>
          <w:color w:val="000000"/>
          <w:sz w:val="24"/>
        </w:rPr>
        <w:t xml:space="preserve">The Review identified that a key </w:t>
      </w:r>
      <w:r w:rsidR="00825830" w:rsidRPr="00127DB8">
        <w:rPr>
          <w:rFonts w:ascii="Arial" w:hAnsi="Arial"/>
          <w:color w:val="000000"/>
          <w:sz w:val="24"/>
        </w:rPr>
        <w:t xml:space="preserve">legislative </w:t>
      </w:r>
      <w:r w:rsidRPr="00127DB8">
        <w:rPr>
          <w:rFonts w:ascii="Arial" w:hAnsi="Arial"/>
          <w:color w:val="000000"/>
          <w:sz w:val="24"/>
        </w:rPr>
        <w:t xml:space="preserve">challenge in protecting consumers of online wagering in Australia is </w:t>
      </w:r>
      <w:r w:rsidR="00B23CB9" w:rsidRPr="00127DB8">
        <w:rPr>
          <w:rFonts w:ascii="Arial" w:hAnsi="Arial"/>
          <w:color w:val="000000"/>
          <w:sz w:val="24"/>
        </w:rPr>
        <w:t xml:space="preserve">the coordination required to align </w:t>
      </w:r>
      <w:r w:rsidR="007215D5" w:rsidRPr="00127DB8">
        <w:rPr>
          <w:rFonts w:ascii="Arial" w:hAnsi="Arial"/>
          <w:color w:val="000000"/>
          <w:sz w:val="24"/>
        </w:rPr>
        <w:t xml:space="preserve">the administration of </w:t>
      </w:r>
      <w:r w:rsidRPr="00127DB8">
        <w:rPr>
          <w:rFonts w:ascii="Arial" w:hAnsi="Arial"/>
          <w:color w:val="000000"/>
          <w:sz w:val="24"/>
        </w:rPr>
        <w:t>more than 60</w:t>
      </w:r>
      <w:r w:rsidR="00015A06">
        <w:rPr>
          <w:rFonts w:ascii="Arial" w:hAnsi="Arial"/>
          <w:color w:val="000000"/>
          <w:sz w:val="24"/>
        </w:rPr>
        <w:t> </w:t>
      </w:r>
      <w:r w:rsidRPr="00127DB8">
        <w:rPr>
          <w:rFonts w:ascii="Arial" w:hAnsi="Arial"/>
          <w:color w:val="000000"/>
          <w:sz w:val="24"/>
        </w:rPr>
        <w:t xml:space="preserve">pieces of legislation, </w:t>
      </w:r>
      <w:r w:rsidR="00740FF4">
        <w:rPr>
          <w:rFonts w:ascii="Arial" w:hAnsi="Arial"/>
          <w:color w:val="000000"/>
          <w:sz w:val="24"/>
        </w:rPr>
        <w:t>related to</w:t>
      </w:r>
      <w:r w:rsidRPr="00127DB8">
        <w:rPr>
          <w:rFonts w:ascii="Arial" w:hAnsi="Arial"/>
          <w:color w:val="000000"/>
          <w:sz w:val="24"/>
        </w:rPr>
        <w:t xml:space="preserve"> licenc</w:t>
      </w:r>
      <w:r w:rsidR="007215D5" w:rsidRPr="00127DB8">
        <w:rPr>
          <w:rFonts w:ascii="Arial" w:hAnsi="Arial"/>
          <w:color w:val="000000"/>
          <w:sz w:val="24"/>
        </w:rPr>
        <w:t>ing</w:t>
      </w:r>
      <w:r w:rsidRPr="00127DB8">
        <w:rPr>
          <w:rFonts w:ascii="Arial" w:hAnsi="Arial"/>
          <w:color w:val="000000"/>
          <w:sz w:val="24"/>
        </w:rPr>
        <w:t xml:space="preserve"> and or regulat</w:t>
      </w:r>
      <w:r w:rsidR="007215D5" w:rsidRPr="00127DB8">
        <w:rPr>
          <w:rFonts w:ascii="Arial" w:hAnsi="Arial"/>
          <w:color w:val="000000"/>
          <w:sz w:val="24"/>
        </w:rPr>
        <w:t>ing</w:t>
      </w:r>
      <w:r w:rsidRPr="00127DB8">
        <w:rPr>
          <w:rFonts w:ascii="Arial" w:hAnsi="Arial"/>
          <w:color w:val="000000"/>
          <w:sz w:val="24"/>
        </w:rPr>
        <w:t xml:space="preserve"> online wagering. As a result, the regulatory framework for online wagering has been fragmented, inconsistent</w:t>
      </w:r>
      <w:r w:rsidRPr="003D51E4">
        <w:rPr>
          <w:rFonts w:ascii="Arial" w:hAnsi="Arial"/>
          <w:color w:val="000000"/>
          <w:sz w:val="24"/>
        </w:rPr>
        <w:t xml:space="preserve"> and led to increased compliance burdens for interactive wagering service providers in Australia</w:t>
      </w:r>
      <w:r w:rsidR="00426AFA" w:rsidRPr="003D51E4">
        <w:rPr>
          <w:rFonts w:ascii="Arial" w:hAnsi="Arial"/>
          <w:color w:val="000000"/>
          <w:sz w:val="24"/>
        </w:rPr>
        <w:t>.</w:t>
      </w:r>
      <w:r w:rsidR="00F0209C" w:rsidRPr="003D51E4">
        <w:rPr>
          <w:rFonts w:ascii="Arial" w:hAnsi="Arial"/>
          <w:color w:val="000000"/>
          <w:sz w:val="24"/>
        </w:rPr>
        <w:t xml:space="preserve"> This can undermine the effectiveness of the legal protections afforded to consumers</w:t>
      </w:r>
      <w:r w:rsidR="00426AFA" w:rsidRPr="003D51E4">
        <w:rPr>
          <w:rFonts w:ascii="Arial" w:hAnsi="Arial"/>
          <w:color w:val="000000"/>
          <w:sz w:val="24"/>
        </w:rPr>
        <w:t xml:space="preserve"> both in terms of the efficacy of </w:t>
      </w:r>
      <w:r w:rsidR="00404B07">
        <w:rPr>
          <w:rFonts w:ascii="Arial" w:hAnsi="Arial"/>
          <w:color w:val="000000"/>
          <w:sz w:val="24"/>
        </w:rPr>
        <w:t>its</w:t>
      </w:r>
      <w:r w:rsidR="00404B07" w:rsidRPr="003D51E4">
        <w:rPr>
          <w:rFonts w:ascii="Arial" w:hAnsi="Arial"/>
          <w:color w:val="000000"/>
          <w:sz w:val="24"/>
        </w:rPr>
        <w:t xml:space="preserve"> </w:t>
      </w:r>
      <w:r w:rsidR="00426AFA" w:rsidRPr="003D51E4">
        <w:rPr>
          <w:rFonts w:ascii="Arial" w:hAnsi="Arial"/>
          <w:color w:val="000000"/>
          <w:sz w:val="24"/>
        </w:rPr>
        <w:t>protection</w:t>
      </w:r>
      <w:r w:rsidR="00404B07">
        <w:rPr>
          <w:rFonts w:ascii="Arial" w:hAnsi="Arial"/>
          <w:color w:val="000000"/>
          <w:sz w:val="24"/>
        </w:rPr>
        <w:t>s</w:t>
      </w:r>
      <w:r w:rsidR="00426AFA" w:rsidRPr="003D51E4">
        <w:rPr>
          <w:rFonts w:ascii="Arial" w:hAnsi="Arial"/>
          <w:color w:val="000000"/>
          <w:sz w:val="24"/>
        </w:rPr>
        <w:t xml:space="preserve"> and the competitive advantage this affords to illegal offshore service providers, which do not provide any guaranteed protections.</w:t>
      </w:r>
      <w:r w:rsidR="00E80045" w:rsidRPr="003D51E4">
        <w:rPr>
          <w:rStyle w:val="FootnoteReference"/>
          <w:rFonts w:ascii="Arial" w:hAnsi="Arial"/>
          <w:color w:val="000000"/>
          <w:sz w:val="24"/>
        </w:rPr>
        <w:footnoteReference w:id="9"/>
      </w:r>
    </w:p>
    <w:p w14:paraId="7923D227" w14:textId="77777777" w:rsidR="00123AAA" w:rsidRPr="003D51E4" w:rsidRDefault="00CB0F62" w:rsidP="00940768">
      <w:pPr>
        <w:textAlignment w:val="baseline"/>
        <w:rPr>
          <w:rFonts w:ascii="Arial" w:hAnsi="Arial"/>
          <w:color w:val="000000"/>
          <w:sz w:val="24"/>
        </w:rPr>
      </w:pPr>
      <w:r w:rsidRPr="003D51E4">
        <w:rPr>
          <w:rFonts w:ascii="Arial" w:hAnsi="Arial"/>
          <w:color w:val="000000"/>
          <w:sz w:val="24"/>
        </w:rPr>
        <w:t>The Review also</w:t>
      </w:r>
      <w:r w:rsidR="00123AAA" w:rsidRPr="003D51E4">
        <w:rPr>
          <w:rFonts w:ascii="Arial" w:hAnsi="Arial"/>
          <w:color w:val="000000"/>
          <w:sz w:val="24"/>
        </w:rPr>
        <w:t xml:space="preserve"> highlighted that Australia’s c</w:t>
      </w:r>
      <w:r w:rsidR="00E07041">
        <w:rPr>
          <w:rFonts w:ascii="Arial" w:hAnsi="Arial"/>
          <w:color w:val="000000"/>
          <w:sz w:val="24"/>
        </w:rPr>
        <w:t xml:space="preserve">onsumer protections for onshore </w:t>
      </w:r>
      <w:r w:rsidR="00123AAA" w:rsidRPr="003D51E4">
        <w:rPr>
          <w:rFonts w:ascii="Arial" w:hAnsi="Arial"/>
          <w:color w:val="000000"/>
          <w:sz w:val="24"/>
        </w:rPr>
        <w:t xml:space="preserve">legal </w:t>
      </w:r>
      <w:r w:rsidR="00E07041">
        <w:rPr>
          <w:rFonts w:ascii="Arial" w:hAnsi="Arial"/>
          <w:color w:val="000000"/>
          <w:sz w:val="24"/>
        </w:rPr>
        <w:t xml:space="preserve">interactive wagering services are insufficient to address </w:t>
      </w:r>
      <w:r w:rsidR="00123AAA" w:rsidRPr="003D51E4">
        <w:rPr>
          <w:rFonts w:ascii="Arial" w:hAnsi="Arial"/>
          <w:color w:val="000000"/>
          <w:sz w:val="24"/>
        </w:rPr>
        <w:t>harm and less robust than global best practice.</w:t>
      </w:r>
      <w:r w:rsidR="00123AAA" w:rsidRPr="003D51E4">
        <w:rPr>
          <w:rStyle w:val="FootnoteReference"/>
          <w:rFonts w:ascii="Arial" w:hAnsi="Arial"/>
          <w:color w:val="000000"/>
          <w:sz w:val="24"/>
        </w:rPr>
        <w:footnoteReference w:id="10"/>
      </w:r>
      <w:r w:rsidR="00123AAA" w:rsidRPr="003D51E4">
        <w:rPr>
          <w:rFonts w:ascii="Arial" w:hAnsi="Arial"/>
          <w:color w:val="000000"/>
          <w:sz w:val="24"/>
        </w:rPr>
        <w:t xml:space="preserve"> </w:t>
      </w:r>
    </w:p>
    <w:p w14:paraId="6E422BA9" w14:textId="77777777" w:rsidR="004E7418" w:rsidRPr="004E7418" w:rsidRDefault="00290D2B" w:rsidP="004E7418">
      <w:pPr>
        <w:textAlignment w:val="baseline"/>
        <w:rPr>
          <w:rFonts w:ascii="Arial" w:hAnsi="Arial"/>
          <w:color w:val="000000"/>
          <w:sz w:val="24"/>
        </w:rPr>
      </w:pPr>
      <w:r>
        <w:rPr>
          <w:rFonts w:ascii="Arial" w:hAnsi="Arial"/>
          <w:color w:val="000000"/>
          <w:sz w:val="24"/>
        </w:rPr>
        <w:t>On 28 April 2016, t</w:t>
      </w:r>
      <w:r w:rsidR="00F016E3" w:rsidRPr="003D51E4">
        <w:rPr>
          <w:rFonts w:ascii="Arial" w:hAnsi="Arial"/>
          <w:color w:val="000000"/>
          <w:sz w:val="24"/>
        </w:rPr>
        <w:t>he Commonwealth Go</w:t>
      </w:r>
      <w:r w:rsidR="000B0F16" w:rsidRPr="003D51E4">
        <w:rPr>
          <w:rFonts w:ascii="Arial" w:hAnsi="Arial"/>
          <w:color w:val="000000"/>
          <w:sz w:val="24"/>
        </w:rPr>
        <w:t xml:space="preserve">vernment publicly released </w:t>
      </w:r>
      <w:r w:rsidR="00F016E3" w:rsidRPr="003D51E4">
        <w:rPr>
          <w:rFonts w:ascii="Arial" w:hAnsi="Arial"/>
          <w:color w:val="000000"/>
          <w:sz w:val="24"/>
        </w:rPr>
        <w:t xml:space="preserve">its response </w:t>
      </w:r>
      <w:r>
        <w:rPr>
          <w:rFonts w:ascii="Arial" w:hAnsi="Arial"/>
          <w:color w:val="000000"/>
          <w:sz w:val="24"/>
        </w:rPr>
        <w:t xml:space="preserve">to </w:t>
      </w:r>
      <w:r w:rsidRPr="003D51E4">
        <w:rPr>
          <w:rFonts w:ascii="Arial" w:hAnsi="Arial"/>
          <w:color w:val="000000"/>
          <w:sz w:val="24"/>
        </w:rPr>
        <w:t>the Review</w:t>
      </w:r>
      <w:r w:rsidR="00F016E3" w:rsidRPr="003D51E4">
        <w:rPr>
          <w:rFonts w:ascii="Arial" w:hAnsi="Arial"/>
          <w:color w:val="000000"/>
          <w:sz w:val="24"/>
        </w:rPr>
        <w:t>, accepting 18 of the 19 recommendations in full or in-principle and noting one.</w:t>
      </w:r>
      <w:r w:rsidR="00F016E3" w:rsidRPr="003D51E4">
        <w:rPr>
          <w:rStyle w:val="FootnoteReference"/>
          <w:rFonts w:ascii="Arial" w:hAnsi="Arial"/>
          <w:color w:val="000000"/>
          <w:sz w:val="24"/>
        </w:rPr>
        <w:footnoteReference w:id="11"/>
      </w:r>
      <w:r w:rsidR="00F008E0" w:rsidRPr="003D51E4">
        <w:rPr>
          <w:rFonts w:ascii="Arial" w:hAnsi="Arial"/>
          <w:color w:val="000000"/>
          <w:sz w:val="24"/>
        </w:rPr>
        <w:t xml:space="preserve"> </w:t>
      </w:r>
      <w:r w:rsidR="005352D8">
        <w:rPr>
          <w:rFonts w:ascii="Arial" w:hAnsi="Arial"/>
          <w:color w:val="000000"/>
          <w:sz w:val="24"/>
        </w:rPr>
        <w:br/>
      </w:r>
      <w:r w:rsidR="00FB1D0D" w:rsidRPr="003D51E4">
        <w:rPr>
          <w:rFonts w:ascii="Arial" w:hAnsi="Arial"/>
          <w:color w:val="000000"/>
          <w:sz w:val="24"/>
        </w:rPr>
        <w:t>With respect to th</w:t>
      </w:r>
      <w:r w:rsidR="00F34519" w:rsidRPr="003D51E4">
        <w:rPr>
          <w:rFonts w:ascii="Arial" w:hAnsi="Arial"/>
          <w:color w:val="000000"/>
          <w:sz w:val="24"/>
        </w:rPr>
        <w:t>e recommendations relating to</w:t>
      </w:r>
      <w:r w:rsidR="00291558" w:rsidRPr="003D51E4">
        <w:rPr>
          <w:rFonts w:ascii="Arial" w:hAnsi="Arial"/>
          <w:color w:val="000000"/>
          <w:sz w:val="24"/>
        </w:rPr>
        <w:t xml:space="preserve"> </w:t>
      </w:r>
      <w:r w:rsidR="00240076" w:rsidRPr="003D51E4">
        <w:rPr>
          <w:rFonts w:ascii="Arial" w:hAnsi="Arial"/>
          <w:color w:val="000000"/>
          <w:sz w:val="24"/>
        </w:rPr>
        <w:t>onshore</w:t>
      </w:r>
      <w:r w:rsidR="00A75F4C" w:rsidRPr="003D51E4">
        <w:rPr>
          <w:rFonts w:ascii="Arial" w:hAnsi="Arial"/>
          <w:color w:val="000000"/>
          <w:sz w:val="24"/>
        </w:rPr>
        <w:t xml:space="preserve"> </w:t>
      </w:r>
      <w:r w:rsidR="00C827F9" w:rsidRPr="003D51E4">
        <w:rPr>
          <w:rFonts w:ascii="Arial" w:hAnsi="Arial"/>
          <w:color w:val="000000"/>
          <w:sz w:val="24"/>
        </w:rPr>
        <w:t>wagering services</w:t>
      </w:r>
      <w:r w:rsidR="00D51075" w:rsidRPr="003D51E4">
        <w:rPr>
          <w:rFonts w:ascii="Arial" w:hAnsi="Arial"/>
          <w:color w:val="000000"/>
          <w:sz w:val="24"/>
        </w:rPr>
        <w:t>,</w:t>
      </w:r>
      <w:r w:rsidR="00F016E3" w:rsidRPr="003D51E4">
        <w:rPr>
          <w:rFonts w:ascii="Arial" w:hAnsi="Arial"/>
          <w:color w:val="000000"/>
          <w:sz w:val="24"/>
        </w:rPr>
        <w:t xml:space="preserve"> </w:t>
      </w:r>
      <w:r w:rsidR="001231BE" w:rsidRPr="003D51E4">
        <w:rPr>
          <w:rFonts w:ascii="Arial" w:hAnsi="Arial"/>
          <w:color w:val="000000"/>
          <w:sz w:val="24"/>
        </w:rPr>
        <w:t>t</w:t>
      </w:r>
      <w:r w:rsidR="000E0390" w:rsidRPr="003D51E4">
        <w:rPr>
          <w:rFonts w:ascii="Arial" w:hAnsi="Arial"/>
          <w:color w:val="000000"/>
          <w:sz w:val="24"/>
        </w:rPr>
        <w:t xml:space="preserve">he </w:t>
      </w:r>
      <w:r w:rsidR="00F016E3" w:rsidRPr="003D51E4">
        <w:rPr>
          <w:rFonts w:ascii="Arial" w:hAnsi="Arial"/>
          <w:color w:val="000000"/>
          <w:sz w:val="24"/>
        </w:rPr>
        <w:t>Commonwealth Government committed to work with state and territory government</w:t>
      </w:r>
      <w:r w:rsidR="000B0F16" w:rsidRPr="003D51E4">
        <w:rPr>
          <w:rFonts w:ascii="Arial" w:hAnsi="Arial"/>
          <w:color w:val="000000"/>
          <w:sz w:val="24"/>
        </w:rPr>
        <w:t>s</w:t>
      </w:r>
      <w:r w:rsidR="00F016E3" w:rsidRPr="003D51E4">
        <w:rPr>
          <w:rFonts w:ascii="Arial" w:hAnsi="Arial"/>
          <w:color w:val="000000"/>
          <w:sz w:val="24"/>
        </w:rPr>
        <w:t xml:space="preserve"> to </w:t>
      </w:r>
      <w:r w:rsidR="004B0A82" w:rsidRPr="003D51E4">
        <w:rPr>
          <w:rFonts w:ascii="Arial" w:hAnsi="Arial"/>
          <w:color w:val="000000"/>
          <w:sz w:val="24"/>
        </w:rPr>
        <w:t>establish a national</w:t>
      </w:r>
      <w:r w:rsidR="00FF6CA0" w:rsidRPr="003D51E4">
        <w:rPr>
          <w:rFonts w:ascii="Arial" w:hAnsi="Arial"/>
          <w:color w:val="000000"/>
          <w:sz w:val="24"/>
        </w:rPr>
        <w:t>ly consistent</w:t>
      </w:r>
      <w:r w:rsidR="004B0A82" w:rsidRPr="003D51E4">
        <w:rPr>
          <w:rFonts w:ascii="Arial" w:hAnsi="Arial"/>
          <w:color w:val="000000"/>
          <w:sz w:val="24"/>
        </w:rPr>
        <w:t xml:space="preserve"> framework</w:t>
      </w:r>
      <w:r w:rsidR="00FF6CA0" w:rsidRPr="003D51E4">
        <w:rPr>
          <w:rFonts w:ascii="Arial" w:hAnsi="Arial"/>
          <w:color w:val="000000"/>
          <w:sz w:val="24"/>
        </w:rPr>
        <w:t xml:space="preserve"> of consumer</w:t>
      </w:r>
      <w:r w:rsidR="00240076" w:rsidRPr="003D51E4">
        <w:rPr>
          <w:rFonts w:ascii="Arial" w:hAnsi="Arial"/>
          <w:color w:val="000000"/>
          <w:sz w:val="24"/>
        </w:rPr>
        <w:t xml:space="preserve"> protections in Australia</w:t>
      </w:r>
      <w:r w:rsidR="00F016E3" w:rsidRPr="003D51E4">
        <w:rPr>
          <w:rFonts w:ascii="Arial" w:hAnsi="Arial"/>
          <w:color w:val="000000"/>
          <w:sz w:val="24"/>
        </w:rPr>
        <w:t>.</w:t>
      </w:r>
      <w:r w:rsidR="004E7418">
        <w:rPr>
          <w:rFonts w:ascii="Arial" w:hAnsi="Arial"/>
          <w:b/>
          <w:color w:val="C00000"/>
          <w:sz w:val="44"/>
        </w:rPr>
        <w:br w:type="page"/>
      </w:r>
    </w:p>
    <w:p w14:paraId="7B91D838" w14:textId="77777777" w:rsidR="0066558C" w:rsidRPr="00831298" w:rsidRDefault="00A169B2" w:rsidP="00831298">
      <w:pPr>
        <w:pStyle w:val="Heading2"/>
        <w:numPr>
          <w:ilvl w:val="0"/>
          <w:numId w:val="40"/>
        </w:numPr>
        <w:rPr>
          <w:rFonts w:ascii="Arial" w:hAnsi="Arial" w:cs="Arial"/>
          <w:color w:val="C00000"/>
          <w:sz w:val="44"/>
          <w:szCs w:val="44"/>
        </w:rPr>
      </w:pPr>
      <w:r w:rsidRPr="00831298">
        <w:rPr>
          <w:rFonts w:ascii="Arial" w:hAnsi="Arial" w:cs="Arial"/>
          <w:color w:val="C00000"/>
          <w:sz w:val="44"/>
          <w:szCs w:val="44"/>
        </w:rPr>
        <w:lastRenderedPageBreak/>
        <w:t>O</w:t>
      </w:r>
      <w:r w:rsidR="007E6880" w:rsidRPr="00831298">
        <w:rPr>
          <w:rFonts w:ascii="Arial" w:hAnsi="Arial" w:cs="Arial"/>
          <w:color w:val="C00000"/>
          <w:sz w:val="44"/>
          <w:szCs w:val="44"/>
        </w:rPr>
        <w:t>bjective</w:t>
      </w:r>
    </w:p>
    <w:p w14:paraId="2520D6DA" w14:textId="77777777" w:rsidR="0031749E" w:rsidRDefault="007215D5" w:rsidP="000B36B2">
      <w:pPr>
        <w:rPr>
          <w:rFonts w:ascii="Arial" w:hAnsi="Arial" w:cs="Arial"/>
          <w:color w:val="222222"/>
          <w:sz w:val="24"/>
          <w:szCs w:val="20"/>
        </w:rPr>
      </w:pPr>
      <w:bookmarkStart w:id="3" w:name="_2"/>
      <w:bookmarkEnd w:id="3"/>
      <w:r>
        <w:rPr>
          <w:rFonts w:ascii="Arial" w:hAnsi="Arial" w:cs="Arial"/>
          <w:color w:val="222222"/>
          <w:sz w:val="24"/>
          <w:szCs w:val="20"/>
        </w:rPr>
        <w:t>T</w:t>
      </w:r>
      <w:r w:rsidR="007E6880" w:rsidRPr="003D51E4">
        <w:rPr>
          <w:rFonts w:ascii="Arial" w:hAnsi="Arial" w:cs="Arial"/>
          <w:color w:val="222222"/>
          <w:sz w:val="24"/>
          <w:szCs w:val="20"/>
        </w:rPr>
        <w:t xml:space="preserve">he objective of the </w:t>
      </w:r>
      <w:r w:rsidR="007E6880" w:rsidRPr="003D51E4">
        <w:rPr>
          <w:rFonts w:ascii="Arial" w:hAnsi="Arial"/>
          <w:color w:val="222222"/>
          <w:sz w:val="24"/>
        </w:rPr>
        <w:t xml:space="preserve">National </w:t>
      </w:r>
      <w:r w:rsidR="007E6880" w:rsidRPr="003D51E4">
        <w:rPr>
          <w:rFonts w:ascii="Arial" w:hAnsi="Arial" w:cs="Arial"/>
          <w:color w:val="222222"/>
          <w:sz w:val="24"/>
          <w:szCs w:val="20"/>
        </w:rPr>
        <w:t xml:space="preserve">Consumer Protection </w:t>
      </w:r>
      <w:r w:rsidR="007E6880" w:rsidRPr="003D51E4">
        <w:rPr>
          <w:rFonts w:ascii="Arial" w:hAnsi="Arial"/>
          <w:color w:val="222222"/>
          <w:sz w:val="24"/>
        </w:rPr>
        <w:t>Framework</w:t>
      </w:r>
      <w:r w:rsidR="007E6880" w:rsidRPr="003D51E4">
        <w:rPr>
          <w:rFonts w:ascii="Arial" w:hAnsi="Arial" w:cs="Arial"/>
          <w:color w:val="222222"/>
          <w:sz w:val="24"/>
          <w:szCs w:val="20"/>
        </w:rPr>
        <w:t xml:space="preserve"> for </w:t>
      </w:r>
      <w:r w:rsidR="00535CB7">
        <w:rPr>
          <w:rFonts w:ascii="Arial" w:hAnsi="Arial" w:cs="Arial"/>
          <w:color w:val="222222"/>
          <w:sz w:val="24"/>
          <w:szCs w:val="20"/>
        </w:rPr>
        <w:t>o</w:t>
      </w:r>
      <w:r w:rsidR="007E6880" w:rsidRPr="003D51E4">
        <w:rPr>
          <w:rFonts w:ascii="Arial" w:hAnsi="Arial" w:cs="Arial"/>
          <w:color w:val="222222"/>
          <w:sz w:val="24"/>
          <w:szCs w:val="20"/>
        </w:rPr>
        <w:t xml:space="preserve">nline </w:t>
      </w:r>
      <w:r w:rsidR="00535CB7">
        <w:rPr>
          <w:rFonts w:ascii="Arial" w:hAnsi="Arial" w:cs="Arial"/>
          <w:color w:val="222222"/>
          <w:sz w:val="24"/>
          <w:szCs w:val="20"/>
        </w:rPr>
        <w:t>w</w:t>
      </w:r>
      <w:r w:rsidR="007E6880" w:rsidRPr="003D51E4">
        <w:rPr>
          <w:rFonts w:ascii="Arial" w:hAnsi="Arial" w:cs="Arial"/>
          <w:color w:val="222222"/>
          <w:sz w:val="24"/>
          <w:szCs w:val="20"/>
        </w:rPr>
        <w:t>agering</w:t>
      </w:r>
      <w:r w:rsidR="00015A06">
        <w:rPr>
          <w:rFonts w:ascii="Arial" w:hAnsi="Arial" w:cs="Arial"/>
          <w:color w:val="222222"/>
          <w:sz w:val="24"/>
          <w:szCs w:val="20"/>
        </w:rPr>
        <w:t xml:space="preserve"> </w:t>
      </w:r>
      <w:r>
        <w:rPr>
          <w:rFonts w:ascii="Arial" w:hAnsi="Arial" w:cs="Arial"/>
          <w:color w:val="222222"/>
          <w:sz w:val="24"/>
          <w:szCs w:val="20"/>
        </w:rPr>
        <w:t xml:space="preserve">is </w:t>
      </w:r>
      <w:r w:rsidR="00950133" w:rsidRPr="003D51E4">
        <w:rPr>
          <w:rFonts w:ascii="Arial" w:hAnsi="Arial" w:cs="Arial"/>
          <w:color w:val="222222"/>
          <w:sz w:val="24"/>
          <w:szCs w:val="20"/>
        </w:rPr>
        <w:t>to minimise gambling harm related</w:t>
      </w:r>
      <w:r>
        <w:rPr>
          <w:rFonts w:ascii="Arial" w:hAnsi="Arial" w:cs="Arial"/>
          <w:color w:val="222222"/>
          <w:sz w:val="24"/>
          <w:szCs w:val="20"/>
        </w:rPr>
        <w:t xml:space="preserve"> </w:t>
      </w:r>
      <w:r w:rsidR="00950133" w:rsidRPr="003D51E4">
        <w:rPr>
          <w:rFonts w:ascii="Arial" w:hAnsi="Arial" w:cs="Arial"/>
          <w:color w:val="222222"/>
          <w:sz w:val="24"/>
          <w:szCs w:val="20"/>
        </w:rPr>
        <w:t xml:space="preserve">to online wagering activity. </w:t>
      </w:r>
    </w:p>
    <w:p w14:paraId="77DF426F" w14:textId="77777777" w:rsidR="00B01547" w:rsidRPr="003D51E4" w:rsidRDefault="00950133" w:rsidP="000B36B2">
      <w:pPr>
        <w:rPr>
          <w:rFonts w:ascii="Arial" w:hAnsi="Arial" w:cs="Arial"/>
          <w:color w:val="222222"/>
          <w:sz w:val="24"/>
          <w:szCs w:val="20"/>
        </w:rPr>
      </w:pPr>
      <w:r w:rsidRPr="003D51E4">
        <w:rPr>
          <w:rFonts w:ascii="Arial" w:hAnsi="Arial" w:cs="Arial"/>
          <w:color w:val="222222"/>
          <w:sz w:val="24"/>
          <w:szCs w:val="20"/>
        </w:rPr>
        <w:t xml:space="preserve">The National Framework’s </w:t>
      </w:r>
      <w:r w:rsidR="00B01547" w:rsidRPr="003D51E4">
        <w:rPr>
          <w:rFonts w:ascii="Arial" w:hAnsi="Arial" w:cs="Arial"/>
          <w:color w:val="222222"/>
          <w:sz w:val="24"/>
          <w:szCs w:val="20"/>
        </w:rPr>
        <w:t>objective will be achieved</w:t>
      </w:r>
      <w:r w:rsidR="00C2559E" w:rsidRPr="003D51E4">
        <w:rPr>
          <w:rFonts w:ascii="Arial" w:hAnsi="Arial" w:cs="Arial"/>
          <w:color w:val="222222"/>
          <w:sz w:val="24"/>
          <w:szCs w:val="20"/>
        </w:rPr>
        <w:t xml:space="preserve"> by removing inconsistencies </w:t>
      </w:r>
      <w:r w:rsidR="00D0072B" w:rsidRPr="003D51E4">
        <w:rPr>
          <w:rFonts w:ascii="Arial" w:hAnsi="Arial" w:cs="Arial"/>
          <w:color w:val="222222"/>
          <w:sz w:val="24"/>
          <w:szCs w:val="20"/>
        </w:rPr>
        <w:t xml:space="preserve">and </w:t>
      </w:r>
      <w:r w:rsidR="008C14CF" w:rsidRPr="003D51E4">
        <w:rPr>
          <w:rFonts w:ascii="Arial" w:hAnsi="Arial" w:cs="Arial"/>
          <w:color w:val="222222"/>
          <w:sz w:val="24"/>
          <w:szCs w:val="20"/>
        </w:rPr>
        <w:t>associated</w:t>
      </w:r>
      <w:r w:rsidR="00D0072B" w:rsidRPr="003D51E4">
        <w:rPr>
          <w:rFonts w:ascii="Arial" w:hAnsi="Arial" w:cs="Arial"/>
          <w:color w:val="222222"/>
          <w:sz w:val="24"/>
          <w:szCs w:val="20"/>
        </w:rPr>
        <w:t xml:space="preserve"> </w:t>
      </w:r>
      <w:r w:rsidR="008C14CF" w:rsidRPr="003D51E4">
        <w:rPr>
          <w:rFonts w:ascii="Arial" w:hAnsi="Arial" w:cs="Arial"/>
          <w:color w:val="222222"/>
          <w:sz w:val="24"/>
          <w:szCs w:val="20"/>
        </w:rPr>
        <w:t xml:space="preserve">compliance </w:t>
      </w:r>
      <w:r w:rsidR="00D0072B" w:rsidRPr="003D51E4">
        <w:rPr>
          <w:rFonts w:ascii="Arial" w:hAnsi="Arial" w:cs="Arial"/>
          <w:color w:val="222222"/>
          <w:sz w:val="24"/>
          <w:szCs w:val="20"/>
        </w:rPr>
        <w:t xml:space="preserve">burdens </w:t>
      </w:r>
      <w:r w:rsidR="0020327B" w:rsidRPr="003D51E4">
        <w:rPr>
          <w:rFonts w:ascii="Arial" w:hAnsi="Arial" w:cs="Arial"/>
          <w:color w:val="222222"/>
          <w:sz w:val="24"/>
          <w:szCs w:val="20"/>
        </w:rPr>
        <w:t>between</w:t>
      </w:r>
      <w:r w:rsidR="00910469" w:rsidRPr="003D51E4">
        <w:rPr>
          <w:rFonts w:ascii="Arial" w:hAnsi="Arial" w:cs="Arial"/>
          <w:color w:val="222222"/>
          <w:sz w:val="24"/>
          <w:szCs w:val="20"/>
        </w:rPr>
        <w:t xml:space="preserve"> Commonwealth, </w:t>
      </w:r>
      <w:r w:rsidR="00C2559E" w:rsidRPr="003D51E4">
        <w:rPr>
          <w:rFonts w:ascii="Arial" w:hAnsi="Arial" w:cs="Arial"/>
          <w:color w:val="222222"/>
          <w:sz w:val="24"/>
          <w:szCs w:val="20"/>
        </w:rPr>
        <w:t>state and territory-based regulatio</w:t>
      </w:r>
      <w:r w:rsidR="00426AFA" w:rsidRPr="003D51E4">
        <w:rPr>
          <w:rFonts w:ascii="Arial" w:hAnsi="Arial" w:cs="Arial"/>
          <w:color w:val="222222"/>
          <w:sz w:val="24"/>
          <w:szCs w:val="20"/>
        </w:rPr>
        <w:t>ns</w:t>
      </w:r>
      <w:r w:rsidR="00C2559E" w:rsidRPr="003D51E4">
        <w:rPr>
          <w:rFonts w:ascii="Arial" w:hAnsi="Arial" w:cs="Arial"/>
          <w:color w:val="222222"/>
          <w:sz w:val="24"/>
          <w:szCs w:val="20"/>
        </w:rPr>
        <w:t xml:space="preserve">, and </w:t>
      </w:r>
      <w:r w:rsidR="00211608">
        <w:rPr>
          <w:rFonts w:ascii="Arial" w:hAnsi="Arial" w:cs="Arial"/>
          <w:color w:val="222222"/>
          <w:sz w:val="24"/>
          <w:szCs w:val="20"/>
        </w:rPr>
        <w:t xml:space="preserve">ensuring strong protections are made </w:t>
      </w:r>
      <w:r w:rsidR="00C2559E" w:rsidRPr="003D51E4">
        <w:rPr>
          <w:rFonts w:ascii="Arial" w:hAnsi="Arial" w:cs="Arial"/>
          <w:color w:val="222222"/>
          <w:sz w:val="24"/>
          <w:szCs w:val="20"/>
        </w:rPr>
        <w:t xml:space="preserve">available to consumers of </w:t>
      </w:r>
      <w:r w:rsidR="00363A18">
        <w:rPr>
          <w:rFonts w:ascii="Arial" w:hAnsi="Arial" w:cs="Arial"/>
          <w:color w:val="222222"/>
          <w:sz w:val="24"/>
          <w:szCs w:val="20"/>
        </w:rPr>
        <w:t xml:space="preserve">interactive wagering services </w:t>
      </w:r>
      <w:r w:rsidR="00211608">
        <w:rPr>
          <w:rFonts w:ascii="Arial" w:hAnsi="Arial" w:cs="Arial"/>
          <w:color w:val="222222"/>
          <w:sz w:val="24"/>
          <w:szCs w:val="20"/>
        </w:rPr>
        <w:t xml:space="preserve">or </w:t>
      </w:r>
      <w:r w:rsidR="002D144B">
        <w:rPr>
          <w:rFonts w:ascii="Arial" w:hAnsi="Arial" w:cs="Arial"/>
          <w:color w:val="222222"/>
          <w:sz w:val="24"/>
          <w:szCs w:val="20"/>
        </w:rPr>
        <w:t xml:space="preserve">maintained where </w:t>
      </w:r>
      <w:r w:rsidR="00DB35B0">
        <w:rPr>
          <w:rFonts w:ascii="Arial" w:hAnsi="Arial" w:cs="Arial"/>
          <w:color w:val="222222"/>
          <w:sz w:val="24"/>
          <w:szCs w:val="20"/>
        </w:rPr>
        <w:t>they are already in place</w:t>
      </w:r>
      <w:r w:rsidR="002D144B">
        <w:rPr>
          <w:rFonts w:ascii="Arial" w:hAnsi="Arial" w:cs="Arial"/>
          <w:color w:val="222222"/>
          <w:sz w:val="24"/>
          <w:szCs w:val="20"/>
        </w:rPr>
        <w:t>, in jurisdictions across Australia</w:t>
      </w:r>
      <w:r w:rsidR="00C2559E" w:rsidRPr="003D51E4">
        <w:rPr>
          <w:rFonts w:ascii="Arial" w:hAnsi="Arial" w:cs="Arial"/>
          <w:color w:val="222222"/>
          <w:sz w:val="24"/>
          <w:szCs w:val="20"/>
        </w:rPr>
        <w:t xml:space="preserve">. </w:t>
      </w:r>
      <w:r w:rsidR="007E397D" w:rsidRPr="003D51E4">
        <w:rPr>
          <w:rFonts w:ascii="Arial" w:hAnsi="Arial" w:cs="Arial"/>
          <w:color w:val="222222"/>
          <w:sz w:val="24"/>
          <w:szCs w:val="20"/>
        </w:rPr>
        <w:t>Th</w:t>
      </w:r>
      <w:r w:rsidR="00F621D4" w:rsidRPr="003D51E4">
        <w:rPr>
          <w:rFonts w:ascii="Arial" w:hAnsi="Arial" w:cs="Arial"/>
          <w:color w:val="222222"/>
          <w:sz w:val="24"/>
          <w:szCs w:val="20"/>
        </w:rPr>
        <w:t xml:space="preserve">is </w:t>
      </w:r>
      <w:r w:rsidR="005B6739" w:rsidRPr="003D51E4">
        <w:rPr>
          <w:rFonts w:ascii="Arial" w:hAnsi="Arial" w:cs="Arial"/>
          <w:color w:val="222222"/>
          <w:sz w:val="24"/>
          <w:szCs w:val="20"/>
        </w:rPr>
        <w:t xml:space="preserve">is </w:t>
      </w:r>
      <w:r w:rsidR="00F621D4" w:rsidRPr="003D51E4">
        <w:rPr>
          <w:rFonts w:ascii="Arial" w:hAnsi="Arial" w:cs="Arial"/>
          <w:color w:val="222222"/>
          <w:sz w:val="24"/>
          <w:szCs w:val="20"/>
        </w:rPr>
        <w:t>intended to deliver a</w:t>
      </w:r>
      <w:r w:rsidR="00AC7450" w:rsidRPr="003D51E4">
        <w:rPr>
          <w:rFonts w:ascii="Arial" w:hAnsi="Arial" w:cs="Arial"/>
          <w:color w:val="222222"/>
          <w:sz w:val="24"/>
          <w:szCs w:val="20"/>
        </w:rPr>
        <w:t xml:space="preserve"> </w:t>
      </w:r>
      <w:r w:rsidR="00211608">
        <w:rPr>
          <w:rFonts w:ascii="Arial" w:hAnsi="Arial" w:cs="Arial"/>
          <w:color w:val="222222"/>
          <w:sz w:val="24"/>
          <w:szCs w:val="20"/>
        </w:rPr>
        <w:t xml:space="preserve">nationally </w:t>
      </w:r>
      <w:r w:rsidR="00AC7450" w:rsidRPr="003D51E4">
        <w:rPr>
          <w:rFonts w:ascii="Arial" w:hAnsi="Arial" w:cs="Arial"/>
          <w:color w:val="222222"/>
          <w:sz w:val="24"/>
          <w:szCs w:val="20"/>
        </w:rPr>
        <w:t xml:space="preserve">consistent set of </w:t>
      </w:r>
      <w:r w:rsidR="00C06DA5">
        <w:rPr>
          <w:rFonts w:ascii="Arial" w:hAnsi="Arial" w:cs="Arial"/>
          <w:color w:val="222222"/>
          <w:sz w:val="24"/>
          <w:szCs w:val="20"/>
        </w:rPr>
        <w:t xml:space="preserve">agreed </w:t>
      </w:r>
      <w:r w:rsidR="00FD2E4D">
        <w:rPr>
          <w:rFonts w:ascii="Arial" w:hAnsi="Arial" w:cs="Arial"/>
          <w:color w:val="222222"/>
          <w:sz w:val="24"/>
          <w:szCs w:val="20"/>
        </w:rPr>
        <w:t xml:space="preserve">minimum </w:t>
      </w:r>
      <w:r w:rsidR="00AC7450" w:rsidRPr="003D51E4">
        <w:rPr>
          <w:rFonts w:ascii="Arial" w:hAnsi="Arial" w:cs="Arial"/>
          <w:color w:val="222222"/>
          <w:sz w:val="24"/>
          <w:szCs w:val="20"/>
        </w:rPr>
        <w:t>consumer protection measures,</w:t>
      </w:r>
      <w:r w:rsidR="00E93506" w:rsidRPr="003D51E4">
        <w:rPr>
          <w:rFonts w:ascii="Arial" w:hAnsi="Arial" w:cs="Arial"/>
          <w:color w:val="222222"/>
          <w:sz w:val="24"/>
          <w:szCs w:val="20"/>
        </w:rPr>
        <w:t xml:space="preserve"> </w:t>
      </w:r>
      <w:r w:rsidR="00D733DD" w:rsidRPr="003D51E4">
        <w:rPr>
          <w:rFonts w:ascii="Arial" w:hAnsi="Arial" w:cs="Arial"/>
          <w:color w:val="222222"/>
          <w:sz w:val="24"/>
          <w:szCs w:val="20"/>
        </w:rPr>
        <w:t>that</w:t>
      </w:r>
      <w:r w:rsidR="00EA7287" w:rsidRPr="003D51E4">
        <w:rPr>
          <w:rFonts w:ascii="Arial" w:hAnsi="Arial" w:cs="Arial"/>
          <w:color w:val="222222"/>
          <w:sz w:val="24"/>
          <w:szCs w:val="20"/>
        </w:rPr>
        <w:t>:</w:t>
      </w:r>
    </w:p>
    <w:p w14:paraId="4B0482FA" w14:textId="77777777" w:rsidR="00B01547" w:rsidRPr="001329B9" w:rsidRDefault="00B01547" w:rsidP="001329B9">
      <w:pPr>
        <w:pStyle w:val="ListParagraph"/>
        <w:numPr>
          <w:ilvl w:val="0"/>
          <w:numId w:val="12"/>
        </w:numPr>
        <w:ind w:left="714" w:hanging="357"/>
        <w:contextualSpacing w:val="0"/>
        <w:rPr>
          <w:rFonts w:ascii="Arial" w:hAnsi="Arial"/>
          <w:sz w:val="24"/>
        </w:rPr>
      </w:pPr>
      <w:r w:rsidRPr="00940768">
        <w:rPr>
          <w:rFonts w:ascii="Arial" w:hAnsi="Arial"/>
          <w:sz w:val="24"/>
        </w:rPr>
        <w:t xml:space="preserve">apply to </w:t>
      </w:r>
      <w:r w:rsidR="00E6303D" w:rsidRPr="001329B9">
        <w:rPr>
          <w:rFonts w:ascii="Arial" w:hAnsi="Arial"/>
          <w:sz w:val="24"/>
        </w:rPr>
        <w:t>interactive wagering service providers</w:t>
      </w:r>
      <w:r w:rsidRPr="00940768">
        <w:rPr>
          <w:rFonts w:ascii="Arial" w:hAnsi="Arial"/>
          <w:sz w:val="24"/>
        </w:rPr>
        <w:t>, regardless of the Australian jurisdiction in which they are licensed</w:t>
      </w:r>
      <w:r w:rsidR="00A47215" w:rsidRPr="00940768">
        <w:rPr>
          <w:rFonts w:ascii="Arial" w:hAnsi="Arial"/>
          <w:sz w:val="24"/>
        </w:rPr>
        <w:t xml:space="preserve">, </w:t>
      </w:r>
      <w:r w:rsidR="00A47215" w:rsidRPr="001329B9">
        <w:rPr>
          <w:rFonts w:ascii="Arial" w:hAnsi="Arial"/>
          <w:sz w:val="24"/>
        </w:rPr>
        <w:t>or offer or provide their services</w:t>
      </w:r>
      <w:r w:rsidRPr="001329B9">
        <w:rPr>
          <w:rFonts w:ascii="Arial" w:hAnsi="Arial"/>
          <w:sz w:val="24"/>
        </w:rPr>
        <w:t xml:space="preserve"> </w:t>
      </w:r>
    </w:p>
    <w:p w14:paraId="072184F8" w14:textId="77777777" w:rsidR="009166D1" w:rsidRPr="003D51E4" w:rsidRDefault="00B01547" w:rsidP="00940768">
      <w:pPr>
        <w:pStyle w:val="ListParagraph"/>
        <w:numPr>
          <w:ilvl w:val="0"/>
          <w:numId w:val="12"/>
        </w:numPr>
        <w:ind w:left="714" w:hanging="357"/>
        <w:contextualSpacing w:val="0"/>
        <w:rPr>
          <w:rFonts w:ascii="Arial" w:hAnsi="Arial" w:cs="Arial"/>
          <w:color w:val="222222"/>
          <w:sz w:val="24"/>
          <w:szCs w:val="20"/>
        </w:rPr>
      </w:pPr>
      <w:r w:rsidRPr="001329B9">
        <w:rPr>
          <w:rFonts w:ascii="Arial" w:hAnsi="Arial"/>
          <w:sz w:val="24"/>
        </w:rPr>
        <w:t>afford</w:t>
      </w:r>
      <w:r w:rsidR="00E4570E" w:rsidRPr="00940768">
        <w:rPr>
          <w:rFonts w:ascii="Arial" w:hAnsi="Arial"/>
          <w:sz w:val="24"/>
        </w:rPr>
        <w:t xml:space="preserve"> consumers of </w:t>
      </w:r>
      <w:r w:rsidR="00363A18">
        <w:rPr>
          <w:rFonts w:ascii="Arial" w:hAnsi="Arial" w:cs="Arial"/>
          <w:sz w:val="24"/>
          <w:szCs w:val="24"/>
        </w:rPr>
        <w:t>licensed</w:t>
      </w:r>
      <w:r w:rsidR="00E07041">
        <w:rPr>
          <w:rFonts w:ascii="Arial" w:hAnsi="Arial" w:cs="Arial"/>
          <w:sz w:val="24"/>
          <w:szCs w:val="24"/>
        </w:rPr>
        <w:t xml:space="preserve"> interactive</w:t>
      </w:r>
      <w:r w:rsidR="00E07041" w:rsidRPr="00940768">
        <w:rPr>
          <w:rFonts w:ascii="Arial" w:hAnsi="Arial"/>
          <w:sz w:val="24"/>
        </w:rPr>
        <w:t xml:space="preserve"> wagering services</w:t>
      </w:r>
      <w:r w:rsidR="00E07041">
        <w:rPr>
          <w:rFonts w:ascii="Arial" w:hAnsi="Arial" w:cs="Arial"/>
          <w:sz w:val="24"/>
          <w:szCs w:val="24"/>
        </w:rPr>
        <w:t xml:space="preserve"> </w:t>
      </w:r>
      <w:r w:rsidR="000E0E9B" w:rsidRPr="001329B9">
        <w:rPr>
          <w:rFonts w:ascii="Arial" w:hAnsi="Arial"/>
          <w:sz w:val="24"/>
        </w:rPr>
        <w:t>effective</w:t>
      </w:r>
      <w:r w:rsidR="00EA7287" w:rsidRPr="001329B9">
        <w:rPr>
          <w:rFonts w:ascii="Arial" w:hAnsi="Arial"/>
          <w:sz w:val="24"/>
        </w:rPr>
        <w:t xml:space="preserve"> </w:t>
      </w:r>
      <w:r w:rsidR="00A47215" w:rsidRPr="001329B9">
        <w:rPr>
          <w:rFonts w:ascii="Arial" w:hAnsi="Arial"/>
          <w:sz w:val="24"/>
        </w:rPr>
        <w:t>safeguards</w:t>
      </w:r>
      <w:r w:rsidRPr="00940768">
        <w:rPr>
          <w:rFonts w:ascii="Arial" w:hAnsi="Arial"/>
          <w:sz w:val="24"/>
        </w:rPr>
        <w:t xml:space="preserve">, regardless of the </w:t>
      </w:r>
      <w:r w:rsidR="00832B02" w:rsidRPr="001329B9">
        <w:rPr>
          <w:rFonts w:ascii="Arial" w:hAnsi="Arial"/>
          <w:sz w:val="24"/>
        </w:rPr>
        <w:t xml:space="preserve">Australian </w:t>
      </w:r>
      <w:r w:rsidRPr="00940768">
        <w:rPr>
          <w:rFonts w:ascii="Arial" w:hAnsi="Arial"/>
          <w:sz w:val="24"/>
        </w:rPr>
        <w:t>jurisdiction</w:t>
      </w:r>
      <w:r w:rsidRPr="003D51E4">
        <w:rPr>
          <w:rFonts w:ascii="Arial" w:hAnsi="Arial" w:cs="Arial"/>
          <w:color w:val="222222"/>
          <w:sz w:val="24"/>
          <w:szCs w:val="20"/>
        </w:rPr>
        <w:t xml:space="preserve"> in which they </w:t>
      </w:r>
      <w:r w:rsidR="00953A5E" w:rsidRPr="003D51E4">
        <w:rPr>
          <w:rFonts w:ascii="Arial" w:hAnsi="Arial" w:cs="Arial"/>
          <w:color w:val="222222"/>
          <w:sz w:val="24"/>
          <w:szCs w:val="20"/>
        </w:rPr>
        <w:t>consume</w:t>
      </w:r>
      <w:r w:rsidR="00363A18">
        <w:rPr>
          <w:rFonts w:ascii="Arial" w:hAnsi="Arial" w:cs="Arial"/>
          <w:color w:val="222222"/>
          <w:sz w:val="24"/>
          <w:szCs w:val="20"/>
        </w:rPr>
        <w:t xml:space="preserve"> these services</w:t>
      </w:r>
      <w:r w:rsidRPr="003D51E4">
        <w:rPr>
          <w:rFonts w:ascii="Arial" w:hAnsi="Arial" w:cs="Arial"/>
          <w:color w:val="222222"/>
          <w:sz w:val="24"/>
          <w:szCs w:val="20"/>
        </w:rPr>
        <w:t>.</w:t>
      </w:r>
    </w:p>
    <w:p w14:paraId="2BF6D0E6" w14:textId="77777777" w:rsidR="00707263" w:rsidRPr="003D51E4" w:rsidRDefault="00707263" w:rsidP="000B36B2">
      <w:pPr>
        <w:pStyle w:val="ListParagraph"/>
        <w:numPr>
          <w:ilvl w:val="0"/>
          <w:numId w:val="37"/>
        </w:numPr>
        <w:contextualSpacing w:val="0"/>
        <w:rPr>
          <w:rFonts w:ascii="Arial" w:hAnsi="Arial" w:cs="Arial"/>
          <w:color w:val="FFFFFF" w:themeColor="background1"/>
          <w:sz w:val="24"/>
          <w:szCs w:val="20"/>
        </w:rPr>
      </w:pPr>
    </w:p>
    <w:p w14:paraId="36B8C0E0" w14:textId="77777777" w:rsidR="001A3AC2" w:rsidRPr="00831298" w:rsidRDefault="00774D90" w:rsidP="00831298">
      <w:pPr>
        <w:pStyle w:val="Heading2"/>
        <w:numPr>
          <w:ilvl w:val="0"/>
          <w:numId w:val="40"/>
        </w:numPr>
        <w:rPr>
          <w:rFonts w:ascii="Arial" w:hAnsi="Arial" w:cs="Arial"/>
          <w:color w:val="C00000"/>
          <w:sz w:val="44"/>
          <w:szCs w:val="44"/>
        </w:rPr>
      </w:pPr>
      <w:r w:rsidRPr="00831298">
        <w:rPr>
          <w:rFonts w:ascii="Arial" w:hAnsi="Arial" w:cs="Arial"/>
          <w:color w:val="C00000"/>
          <w:sz w:val="44"/>
          <w:szCs w:val="44"/>
        </w:rPr>
        <w:t>Consumer protection measures</w:t>
      </w:r>
    </w:p>
    <w:p w14:paraId="68CC297D" w14:textId="77777777" w:rsidR="00844487" w:rsidRPr="003D51E4" w:rsidRDefault="005914B4" w:rsidP="00D0310F">
      <w:pPr>
        <w:rPr>
          <w:rFonts w:ascii="Arial" w:hAnsi="Arial"/>
          <w:sz w:val="24"/>
        </w:rPr>
      </w:pPr>
      <w:r w:rsidRPr="007D436C">
        <w:rPr>
          <w:rFonts w:ascii="Arial" w:hAnsi="Arial" w:cs="Arial"/>
          <w:sz w:val="24"/>
          <w:szCs w:val="24"/>
        </w:rPr>
        <w:t>The</w:t>
      </w:r>
      <w:r w:rsidRPr="007D436C">
        <w:rPr>
          <w:rFonts w:ascii="Arial" w:hAnsi="Arial"/>
          <w:sz w:val="24"/>
        </w:rPr>
        <w:t xml:space="preserve"> </w:t>
      </w:r>
      <w:r w:rsidR="00C47316" w:rsidRPr="007D436C">
        <w:rPr>
          <w:rFonts w:ascii="Arial" w:hAnsi="Arial"/>
          <w:sz w:val="24"/>
        </w:rPr>
        <w:t xml:space="preserve">National </w:t>
      </w:r>
      <w:r w:rsidRPr="007D436C">
        <w:rPr>
          <w:rFonts w:ascii="Arial" w:hAnsi="Arial"/>
          <w:sz w:val="24"/>
        </w:rPr>
        <w:t>Framework</w:t>
      </w:r>
      <w:r w:rsidR="00707263" w:rsidRPr="007D436C">
        <w:rPr>
          <w:rFonts w:ascii="Arial" w:hAnsi="Arial"/>
          <w:sz w:val="24"/>
        </w:rPr>
        <w:t xml:space="preserve"> consist</w:t>
      </w:r>
      <w:r w:rsidR="00312DD1" w:rsidRPr="007D436C">
        <w:rPr>
          <w:rFonts w:ascii="Arial" w:hAnsi="Arial"/>
          <w:sz w:val="24"/>
        </w:rPr>
        <w:t>s</w:t>
      </w:r>
      <w:r w:rsidR="00707263" w:rsidRPr="007D436C">
        <w:rPr>
          <w:rFonts w:ascii="Arial" w:hAnsi="Arial"/>
          <w:sz w:val="24"/>
        </w:rPr>
        <w:t xml:space="preserve"> of 10</w:t>
      </w:r>
      <w:r w:rsidR="00DB35B0" w:rsidRPr="007D436C">
        <w:rPr>
          <w:rFonts w:ascii="Arial" w:hAnsi="Arial"/>
          <w:sz w:val="24"/>
        </w:rPr>
        <w:t xml:space="preserve"> agreed</w:t>
      </w:r>
      <w:r w:rsidR="00582BE4" w:rsidRPr="007D436C">
        <w:rPr>
          <w:rFonts w:ascii="Arial" w:hAnsi="Arial"/>
          <w:sz w:val="24"/>
        </w:rPr>
        <w:t xml:space="preserve"> </w:t>
      </w:r>
      <w:r w:rsidR="00707263" w:rsidRPr="003D51E4">
        <w:rPr>
          <w:rFonts w:ascii="Arial" w:hAnsi="Arial"/>
          <w:sz w:val="24"/>
        </w:rPr>
        <w:t>consumer protection measures</w:t>
      </w:r>
      <w:r w:rsidR="00EA7287" w:rsidRPr="003D51E4">
        <w:rPr>
          <w:rFonts w:ascii="Arial" w:hAnsi="Arial"/>
          <w:sz w:val="24"/>
        </w:rPr>
        <w:t>. These measures</w:t>
      </w:r>
      <w:r w:rsidR="00707263" w:rsidRPr="003D51E4">
        <w:rPr>
          <w:rFonts w:ascii="Arial" w:hAnsi="Arial"/>
          <w:sz w:val="24"/>
        </w:rPr>
        <w:t xml:space="preserve"> provide a suite of tools</w:t>
      </w:r>
      <w:r w:rsidR="00707263" w:rsidRPr="003D51E4">
        <w:rPr>
          <w:rFonts w:ascii="Arial" w:hAnsi="Arial" w:cs="Arial"/>
          <w:sz w:val="24"/>
          <w:szCs w:val="24"/>
        </w:rPr>
        <w:t xml:space="preserve"> available for use by </w:t>
      </w:r>
      <w:r w:rsidR="00B0419E">
        <w:rPr>
          <w:rFonts w:ascii="Arial" w:hAnsi="Arial" w:cs="Arial"/>
          <w:sz w:val="24"/>
          <w:szCs w:val="24"/>
        </w:rPr>
        <w:t xml:space="preserve">individuals, as well as </w:t>
      </w:r>
      <w:r w:rsidR="005352D8">
        <w:rPr>
          <w:rFonts w:ascii="Arial" w:hAnsi="Arial" w:cs="Arial"/>
          <w:sz w:val="24"/>
          <w:szCs w:val="24"/>
        </w:rPr>
        <w:t xml:space="preserve">requirements for </w:t>
      </w:r>
      <w:r w:rsidR="00B0419E">
        <w:rPr>
          <w:rFonts w:ascii="Arial" w:hAnsi="Arial" w:cs="Arial"/>
          <w:sz w:val="24"/>
          <w:szCs w:val="24"/>
        </w:rPr>
        <w:t xml:space="preserve">interactive wagering service providers, </w:t>
      </w:r>
      <w:r w:rsidR="00707263" w:rsidRPr="003D51E4">
        <w:rPr>
          <w:rFonts w:ascii="Arial" w:hAnsi="Arial" w:cs="Arial"/>
          <w:sz w:val="24"/>
          <w:szCs w:val="24"/>
        </w:rPr>
        <w:t>to help mitigate the risk of harm</w:t>
      </w:r>
      <w:r w:rsidR="008716C5" w:rsidRPr="003D51E4">
        <w:rPr>
          <w:rFonts w:ascii="Arial" w:hAnsi="Arial" w:cs="Arial"/>
          <w:sz w:val="24"/>
          <w:szCs w:val="24"/>
        </w:rPr>
        <w:t>.</w:t>
      </w:r>
    </w:p>
    <w:p w14:paraId="7B6091A0" w14:textId="77777777" w:rsidR="009F5AA1" w:rsidRPr="003D51E4" w:rsidRDefault="009F5AA1" w:rsidP="00D0310F">
      <w:pPr>
        <w:rPr>
          <w:rFonts w:ascii="Arial" w:hAnsi="Arial" w:cs="Arial"/>
          <w:sz w:val="24"/>
          <w:szCs w:val="24"/>
        </w:rPr>
      </w:pPr>
      <w:r w:rsidRPr="003D51E4">
        <w:rPr>
          <w:rFonts w:ascii="Arial" w:hAnsi="Arial" w:cs="Arial"/>
          <w:sz w:val="24"/>
          <w:szCs w:val="24"/>
        </w:rPr>
        <w:t xml:space="preserve">The </w:t>
      </w:r>
      <w:r w:rsidRPr="003D51E4">
        <w:rPr>
          <w:rFonts w:ascii="Arial" w:hAnsi="Arial"/>
          <w:sz w:val="24"/>
        </w:rPr>
        <w:t>measures</w:t>
      </w:r>
      <w:r w:rsidRPr="003D51E4">
        <w:rPr>
          <w:rFonts w:ascii="Arial" w:hAnsi="Arial" w:cs="Arial"/>
          <w:sz w:val="24"/>
          <w:szCs w:val="24"/>
        </w:rPr>
        <w:t xml:space="preserve"> </w:t>
      </w:r>
      <w:r w:rsidR="00EF6C37" w:rsidRPr="003D51E4">
        <w:rPr>
          <w:rFonts w:ascii="Arial" w:hAnsi="Arial" w:cs="Arial"/>
          <w:sz w:val="24"/>
          <w:szCs w:val="24"/>
        </w:rPr>
        <w:t>a</w:t>
      </w:r>
      <w:r w:rsidR="00B01547" w:rsidRPr="003D51E4">
        <w:rPr>
          <w:rFonts w:ascii="Arial" w:hAnsi="Arial" w:cs="Arial"/>
          <w:sz w:val="24"/>
          <w:szCs w:val="24"/>
        </w:rPr>
        <w:t>re designed</w:t>
      </w:r>
      <w:r w:rsidR="00EF6C37" w:rsidRPr="003D51E4">
        <w:rPr>
          <w:rFonts w:ascii="Arial" w:hAnsi="Arial" w:cs="Arial"/>
          <w:sz w:val="24"/>
          <w:szCs w:val="24"/>
        </w:rPr>
        <w:t xml:space="preserve"> to</w:t>
      </w:r>
      <w:r w:rsidR="00707263" w:rsidRPr="003D51E4">
        <w:rPr>
          <w:rFonts w:ascii="Arial" w:hAnsi="Arial" w:cs="Arial"/>
          <w:sz w:val="24"/>
          <w:szCs w:val="24"/>
        </w:rPr>
        <w:t>:</w:t>
      </w:r>
      <w:r w:rsidR="008462EC" w:rsidRPr="003D51E4">
        <w:rPr>
          <w:rFonts w:ascii="Arial" w:hAnsi="Arial" w:cs="Arial"/>
          <w:sz w:val="24"/>
          <w:szCs w:val="24"/>
        </w:rPr>
        <w:t xml:space="preserve"> </w:t>
      </w:r>
    </w:p>
    <w:p w14:paraId="42BF9293" w14:textId="77777777" w:rsidR="009F5AA1" w:rsidRPr="003D51E4" w:rsidRDefault="009F5AA1" w:rsidP="00D0310F">
      <w:pPr>
        <w:pStyle w:val="ListParagraph"/>
        <w:numPr>
          <w:ilvl w:val="0"/>
          <w:numId w:val="12"/>
        </w:numPr>
        <w:ind w:left="714" w:hanging="357"/>
        <w:contextualSpacing w:val="0"/>
        <w:rPr>
          <w:rFonts w:ascii="Arial" w:hAnsi="Arial" w:cs="Arial"/>
          <w:sz w:val="24"/>
          <w:szCs w:val="24"/>
        </w:rPr>
      </w:pPr>
      <w:r w:rsidRPr="003D51E4">
        <w:rPr>
          <w:rFonts w:ascii="Arial" w:hAnsi="Arial" w:cs="Arial"/>
          <w:sz w:val="24"/>
          <w:szCs w:val="24"/>
        </w:rPr>
        <w:t xml:space="preserve">provide </w:t>
      </w:r>
      <w:r w:rsidR="00871E8E" w:rsidRPr="003D51E4">
        <w:rPr>
          <w:rFonts w:ascii="Arial" w:hAnsi="Arial" w:cs="Arial"/>
          <w:sz w:val="24"/>
          <w:szCs w:val="24"/>
        </w:rPr>
        <w:t xml:space="preserve">consumers with </w:t>
      </w:r>
      <w:r w:rsidR="00871E8E" w:rsidRPr="00844487">
        <w:rPr>
          <w:rFonts w:ascii="Arial" w:hAnsi="Arial" w:cs="Arial"/>
          <w:sz w:val="24"/>
          <w:szCs w:val="24"/>
        </w:rPr>
        <w:t>strong</w:t>
      </w:r>
      <w:r w:rsidR="003D0CAB">
        <w:rPr>
          <w:rFonts w:ascii="Arial" w:hAnsi="Arial" w:cs="Arial"/>
          <w:sz w:val="24"/>
          <w:szCs w:val="24"/>
        </w:rPr>
        <w:t>, nationally consistent</w:t>
      </w:r>
      <w:r w:rsidR="00BC14BA">
        <w:rPr>
          <w:rFonts w:ascii="Arial" w:hAnsi="Arial" w:cs="Arial"/>
          <w:sz w:val="24"/>
          <w:szCs w:val="24"/>
        </w:rPr>
        <w:t xml:space="preserve"> </w:t>
      </w:r>
      <w:r w:rsidR="00FD2E4D">
        <w:rPr>
          <w:rFonts w:ascii="Arial" w:hAnsi="Arial" w:cs="Arial"/>
          <w:sz w:val="24"/>
          <w:szCs w:val="24"/>
        </w:rPr>
        <w:t>minimum</w:t>
      </w:r>
      <w:r w:rsidR="00953A5E" w:rsidRPr="003D51E4">
        <w:rPr>
          <w:rFonts w:ascii="Arial" w:hAnsi="Arial" w:cs="Arial"/>
          <w:sz w:val="24"/>
          <w:szCs w:val="24"/>
        </w:rPr>
        <w:t xml:space="preserve"> </w:t>
      </w:r>
      <w:r w:rsidR="00BC14BA" w:rsidRPr="003D51E4">
        <w:rPr>
          <w:rFonts w:ascii="Arial" w:hAnsi="Arial" w:cs="Arial"/>
          <w:sz w:val="24"/>
          <w:szCs w:val="24"/>
        </w:rPr>
        <w:t>pro</w:t>
      </w:r>
      <w:r w:rsidR="00C2559E" w:rsidRPr="003D51E4">
        <w:rPr>
          <w:rFonts w:ascii="Arial" w:hAnsi="Arial" w:cs="Arial"/>
          <w:sz w:val="24"/>
          <w:szCs w:val="24"/>
        </w:rPr>
        <w:t>t</w:t>
      </w:r>
      <w:r w:rsidR="00BC14BA" w:rsidRPr="003D51E4">
        <w:rPr>
          <w:rFonts w:ascii="Arial" w:hAnsi="Arial" w:cs="Arial"/>
          <w:sz w:val="24"/>
          <w:szCs w:val="24"/>
        </w:rPr>
        <w:t>ections</w:t>
      </w:r>
      <w:r w:rsidR="00871E8E" w:rsidRPr="003D51E4">
        <w:rPr>
          <w:rFonts w:ascii="Arial" w:hAnsi="Arial" w:cs="Arial"/>
          <w:sz w:val="24"/>
          <w:szCs w:val="24"/>
        </w:rPr>
        <w:t>, which both prevent and</w:t>
      </w:r>
      <w:r w:rsidR="00876181" w:rsidRPr="003D51E4">
        <w:rPr>
          <w:rFonts w:ascii="Arial" w:hAnsi="Arial" w:cs="Arial"/>
          <w:sz w:val="24"/>
          <w:szCs w:val="24"/>
        </w:rPr>
        <w:t xml:space="preserve"> provide support for those experiencing</w:t>
      </w:r>
      <w:r w:rsidR="00871E8E" w:rsidRPr="003D51E4">
        <w:rPr>
          <w:rFonts w:ascii="Arial" w:hAnsi="Arial" w:cs="Arial"/>
          <w:sz w:val="24"/>
          <w:szCs w:val="24"/>
        </w:rPr>
        <w:t xml:space="preserve"> </w:t>
      </w:r>
      <w:r w:rsidR="00BC14BA" w:rsidRPr="003D51E4">
        <w:rPr>
          <w:rFonts w:ascii="Arial" w:hAnsi="Arial" w:cs="Arial"/>
          <w:sz w:val="24"/>
          <w:szCs w:val="24"/>
        </w:rPr>
        <w:t>gambling harm</w:t>
      </w:r>
    </w:p>
    <w:p w14:paraId="4A66D729" w14:textId="77777777" w:rsidR="00844487" w:rsidRPr="003D51E4" w:rsidRDefault="00844487" w:rsidP="00D0310F">
      <w:pPr>
        <w:pStyle w:val="ListParagraph"/>
        <w:numPr>
          <w:ilvl w:val="0"/>
          <w:numId w:val="12"/>
        </w:numPr>
        <w:ind w:left="714" w:hanging="357"/>
        <w:contextualSpacing w:val="0"/>
        <w:rPr>
          <w:rFonts w:ascii="Arial" w:hAnsi="Arial" w:cs="Arial"/>
          <w:sz w:val="24"/>
          <w:szCs w:val="24"/>
        </w:rPr>
      </w:pPr>
      <w:r w:rsidRPr="003D51E4">
        <w:rPr>
          <w:rFonts w:ascii="Arial" w:hAnsi="Arial" w:cs="Arial"/>
          <w:sz w:val="24"/>
          <w:szCs w:val="24"/>
        </w:rPr>
        <w:t xml:space="preserve">respect consumer choice by empowering </w:t>
      </w:r>
      <w:r w:rsidR="00EF6C37" w:rsidRPr="003D51E4">
        <w:rPr>
          <w:rFonts w:ascii="Arial" w:hAnsi="Arial" w:cs="Arial"/>
          <w:sz w:val="24"/>
          <w:szCs w:val="24"/>
        </w:rPr>
        <w:t>consumers</w:t>
      </w:r>
      <w:r w:rsidRPr="003D51E4">
        <w:rPr>
          <w:rFonts w:ascii="Arial" w:hAnsi="Arial" w:cs="Arial"/>
          <w:sz w:val="24"/>
          <w:szCs w:val="24"/>
        </w:rPr>
        <w:t xml:space="preserve"> to make more informed</w:t>
      </w:r>
      <w:r w:rsidR="00BC14BA" w:rsidRPr="003D51E4">
        <w:rPr>
          <w:rFonts w:ascii="Arial" w:hAnsi="Arial" w:cs="Arial"/>
          <w:sz w:val="24"/>
          <w:szCs w:val="24"/>
        </w:rPr>
        <w:t xml:space="preserve"> decisions about their gambling</w:t>
      </w:r>
      <w:r w:rsidR="00582BE4">
        <w:rPr>
          <w:rFonts w:ascii="Arial" w:hAnsi="Arial" w:cs="Arial"/>
          <w:sz w:val="24"/>
          <w:szCs w:val="24"/>
        </w:rPr>
        <w:t>.</w:t>
      </w:r>
    </w:p>
    <w:p w14:paraId="66591DDA" w14:textId="77777777" w:rsidR="00F80EE2" w:rsidRPr="003D51E4" w:rsidRDefault="00F80EE2" w:rsidP="00D0310F">
      <w:pPr>
        <w:rPr>
          <w:rFonts w:ascii="Arial" w:hAnsi="Arial" w:cs="Arial"/>
          <w:sz w:val="24"/>
          <w:szCs w:val="24"/>
        </w:rPr>
      </w:pPr>
      <w:r w:rsidRPr="003D51E4">
        <w:rPr>
          <w:rFonts w:ascii="Arial" w:hAnsi="Arial" w:cs="Arial"/>
          <w:sz w:val="24"/>
          <w:szCs w:val="24"/>
        </w:rPr>
        <w:t>The</w:t>
      </w:r>
      <w:r w:rsidR="00D4444E" w:rsidRPr="003D51E4">
        <w:rPr>
          <w:rFonts w:ascii="Arial" w:hAnsi="Arial" w:cs="Arial"/>
          <w:sz w:val="24"/>
          <w:szCs w:val="24"/>
        </w:rPr>
        <w:t xml:space="preserve"> above</w:t>
      </w:r>
      <w:r w:rsidR="00953A5E" w:rsidRPr="003D51E4">
        <w:rPr>
          <w:rFonts w:ascii="Arial" w:hAnsi="Arial" w:cs="Arial"/>
          <w:sz w:val="24"/>
          <w:szCs w:val="24"/>
        </w:rPr>
        <w:t xml:space="preserve"> aims and objectives </w:t>
      </w:r>
      <w:r w:rsidR="00EF6C37" w:rsidRPr="003D51E4">
        <w:rPr>
          <w:rFonts w:ascii="Arial" w:hAnsi="Arial" w:cs="Arial"/>
          <w:sz w:val="24"/>
          <w:szCs w:val="24"/>
        </w:rPr>
        <w:t xml:space="preserve">will </w:t>
      </w:r>
      <w:r w:rsidRPr="003D51E4">
        <w:rPr>
          <w:rFonts w:ascii="Arial" w:hAnsi="Arial" w:cs="Arial"/>
          <w:sz w:val="24"/>
          <w:szCs w:val="24"/>
        </w:rPr>
        <w:t xml:space="preserve">inform </w:t>
      </w:r>
      <w:r w:rsidR="00BD7B9A" w:rsidRPr="003D51E4">
        <w:rPr>
          <w:rFonts w:ascii="Arial" w:hAnsi="Arial" w:cs="Arial"/>
          <w:sz w:val="24"/>
          <w:szCs w:val="24"/>
        </w:rPr>
        <w:t xml:space="preserve">future </w:t>
      </w:r>
      <w:r w:rsidR="00C17CA4" w:rsidRPr="003D51E4">
        <w:rPr>
          <w:rFonts w:ascii="Arial" w:hAnsi="Arial" w:cs="Arial"/>
          <w:sz w:val="24"/>
          <w:szCs w:val="24"/>
        </w:rPr>
        <w:t xml:space="preserve">evaluation and refinement </w:t>
      </w:r>
      <w:r w:rsidR="00BD7B9A" w:rsidRPr="003D51E4">
        <w:rPr>
          <w:rFonts w:ascii="Arial" w:hAnsi="Arial" w:cs="Arial"/>
          <w:sz w:val="24"/>
          <w:szCs w:val="24"/>
        </w:rPr>
        <w:t xml:space="preserve">of </w:t>
      </w:r>
      <w:r w:rsidRPr="003D51E4">
        <w:rPr>
          <w:rFonts w:ascii="Arial" w:hAnsi="Arial" w:cs="Arial"/>
          <w:sz w:val="24"/>
          <w:szCs w:val="24"/>
        </w:rPr>
        <w:t>the National Framework.</w:t>
      </w:r>
    </w:p>
    <w:p w14:paraId="03DB2BDC" w14:textId="77777777" w:rsidR="00A35A92" w:rsidRPr="00831298" w:rsidRDefault="00871E8E" w:rsidP="00831298">
      <w:pPr>
        <w:pStyle w:val="Heading3"/>
        <w:rPr>
          <w:rFonts w:ascii="Arial" w:hAnsi="Arial" w:cs="Arial"/>
          <w:b w:val="0"/>
          <w:color w:val="C00000"/>
          <w:sz w:val="32"/>
          <w:szCs w:val="32"/>
        </w:rPr>
      </w:pPr>
      <w:r w:rsidRPr="00831298">
        <w:rPr>
          <w:rFonts w:ascii="Arial" w:hAnsi="Arial" w:cs="Arial"/>
          <w:b w:val="0"/>
          <w:color w:val="C00000"/>
          <w:sz w:val="32"/>
          <w:szCs w:val="32"/>
        </w:rPr>
        <w:t>S</w:t>
      </w:r>
      <w:r w:rsidR="00A35A92" w:rsidRPr="00831298">
        <w:rPr>
          <w:rFonts w:ascii="Arial" w:hAnsi="Arial" w:cs="Arial"/>
          <w:b w:val="0"/>
          <w:color w:val="C00000"/>
          <w:sz w:val="32"/>
          <w:szCs w:val="32"/>
        </w:rPr>
        <w:t>cope</w:t>
      </w:r>
    </w:p>
    <w:p w14:paraId="0A2E4D79" w14:textId="77777777" w:rsidR="007B6E7B" w:rsidRPr="003D51E4" w:rsidRDefault="00A35A92" w:rsidP="00D0310F">
      <w:pPr>
        <w:rPr>
          <w:rFonts w:ascii="Arial" w:hAnsi="Arial" w:cs="Arial"/>
          <w:sz w:val="24"/>
          <w:szCs w:val="24"/>
        </w:rPr>
      </w:pPr>
      <w:r w:rsidRPr="003D51E4">
        <w:rPr>
          <w:rFonts w:ascii="Arial" w:hAnsi="Arial" w:cs="Arial"/>
          <w:sz w:val="24"/>
          <w:szCs w:val="24"/>
        </w:rPr>
        <w:t xml:space="preserve">The scope of the </w:t>
      </w:r>
      <w:r w:rsidR="00E56394" w:rsidRPr="003D51E4">
        <w:rPr>
          <w:rFonts w:ascii="Arial" w:hAnsi="Arial" w:cs="Arial"/>
          <w:sz w:val="24"/>
          <w:szCs w:val="24"/>
        </w:rPr>
        <w:t xml:space="preserve">National </w:t>
      </w:r>
      <w:r w:rsidRPr="003D51E4">
        <w:rPr>
          <w:rFonts w:ascii="Arial" w:hAnsi="Arial" w:cs="Arial"/>
          <w:sz w:val="24"/>
          <w:szCs w:val="24"/>
        </w:rPr>
        <w:t xml:space="preserve">Framework and its </w:t>
      </w:r>
      <w:r w:rsidR="00373844" w:rsidRPr="003D51E4">
        <w:rPr>
          <w:rFonts w:ascii="Arial" w:hAnsi="Arial" w:cs="Arial"/>
          <w:sz w:val="24"/>
          <w:szCs w:val="24"/>
        </w:rPr>
        <w:t xml:space="preserve">consumer protection </w:t>
      </w:r>
      <w:r w:rsidRPr="003D51E4">
        <w:rPr>
          <w:rFonts w:ascii="Arial" w:hAnsi="Arial" w:cs="Arial"/>
          <w:sz w:val="24"/>
          <w:szCs w:val="24"/>
        </w:rPr>
        <w:t xml:space="preserve">measures is intended </w:t>
      </w:r>
      <w:r w:rsidR="004B0A82" w:rsidRPr="003D51E4">
        <w:rPr>
          <w:rFonts w:ascii="Arial" w:hAnsi="Arial" w:cs="Arial"/>
          <w:sz w:val="24"/>
          <w:szCs w:val="24"/>
        </w:rPr>
        <w:t xml:space="preserve">to </w:t>
      </w:r>
      <w:r w:rsidRPr="003D51E4">
        <w:rPr>
          <w:rFonts w:ascii="Arial" w:hAnsi="Arial" w:cs="Arial"/>
          <w:sz w:val="24"/>
          <w:szCs w:val="24"/>
        </w:rPr>
        <w:t>cover all forms of online wagering that is conducted using any telecommunication service</w:t>
      </w:r>
      <w:r w:rsidR="00BD7B9A" w:rsidRPr="003D51E4">
        <w:rPr>
          <w:rFonts w:ascii="Arial" w:hAnsi="Arial" w:cs="Arial"/>
          <w:sz w:val="24"/>
          <w:szCs w:val="24"/>
        </w:rPr>
        <w:t>, which</w:t>
      </w:r>
      <w:r w:rsidR="00A8235A" w:rsidRPr="003D51E4">
        <w:rPr>
          <w:rFonts w:ascii="Arial" w:hAnsi="Arial" w:cs="Arial"/>
          <w:sz w:val="24"/>
          <w:szCs w:val="24"/>
        </w:rPr>
        <w:t xml:space="preserve"> includes </w:t>
      </w:r>
      <w:r w:rsidRPr="003D51E4">
        <w:rPr>
          <w:rFonts w:ascii="Arial" w:hAnsi="Arial" w:cs="Arial"/>
          <w:sz w:val="24"/>
          <w:szCs w:val="24"/>
        </w:rPr>
        <w:t>any</w:t>
      </w:r>
      <w:r w:rsidR="009809FE" w:rsidRPr="003D51E4">
        <w:rPr>
          <w:rFonts w:ascii="Arial" w:hAnsi="Arial" w:cs="Arial"/>
          <w:sz w:val="24"/>
          <w:szCs w:val="24"/>
        </w:rPr>
        <w:t xml:space="preserve"> </w:t>
      </w:r>
      <w:r w:rsidRPr="003D51E4">
        <w:rPr>
          <w:rFonts w:ascii="Arial" w:hAnsi="Arial" w:cs="Arial"/>
          <w:sz w:val="24"/>
          <w:szCs w:val="24"/>
        </w:rPr>
        <w:t xml:space="preserve">‘regulated interactive gambling service’ </w:t>
      </w:r>
      <w:r w:rsidR="001F7ADC" w:rsidRPr="003D51E4">
        <w:rPr>
          <w:rFonts w:ascii="Arial" w:hAnsi="Arial" w:cs="Arial"/>
          <w:sz w:val="24"/>
          <w:szCs w:val="24"/>
        </w:rPr>
        <w:t xml:space="preserve">that is also </w:t>
      </w:r>
      <w:r w:rsidRPr="003D51E4">
        <w:rPr>
          <w:rFonts w:ascii="Arial" w:hAnsi="Arial" w:cs="Arial"/>
          <w:sz w:val="24"/>
          <w:szCs w:val="24"/>
        </w:rPr>
        <w:t>an ‘excluded wagering service’</w:t>
      </w:r>
      <w:r w:rsidR="004C6E97" w:rsidRPr="003D51E4">
        <w:rPr>
          <w:rFonts w:ascii="Arial" w:hAnsi="Arial" w:cs="Arial"/>
          <w:sz w:val="24"/>
          <w:szCs w:val="24"/>
        </w:rPr>
        <w:t xml:space="preserve"> </w:t>
      </w:r>
      <w:r w:rsidRPr="003D51E4">
        <w:rPr>
          <w:rFonts w:ascii="Arial" w:hAnsi="Arial" w:cs="Arial"/>
          <w:sz w:val="24"/>
          <w:szCs w:val="24"/>
        </w:rPr>
        <w:t>as defined under the</w:t>
      </w:r>
      <w:r w:rsidRPr="003D51E4">
        <w:rPr>
          <w:rFonts w:ascii="Arial" w:hAnsi="Arial" w:cs="Arial"/>
          <w:i/>
          <w:sz w:val="24"/>
          <w:szCs w:val="24"/>
        </w:rPr>
        <w:t xml:space="preserve"> Interactive Gambling Amendment Act 2017</w:t>
      </w:r>
      <w:r w:rsidR="00456D34" w:rsidRPr="003D51E4">
        <w:rPr>
          <w:rFonts w:ascii="Arial" w:hAnsi="Arial" w:cs="Arial"/>
          <w:sz w:val="24"/>
          <w:szCs w:val="24"/>
        </w:rPr>
        <w:t>.</w:t>
      </w:r>
      <w:r w:rsidR="004C6E97" w:rsidRPr="003D51E4">
        <w:rPr>
          <w:rFonts w:ascii="Arial" w:hAnsi="Arial" w:cs="Arial"/>
          <w:sz w:val="24"/>
          <w:szCs w:val="24"/>
        </w:rPr>
        <w:t xml:space="preserve"> </w:t>
      </w:r>
      <w:r w:rsidR="00456D34" w:rsidRPr="003D51E4">
        <w:rPr>
          <w:rFonts w:ascii="Arial" w:hAnsi="Arial" w:cs="Arial"/>
          <w:sz w:val="24"/>
          <w:szCs w:val="24"/>
        </w:rPr>
        <w:t>Further </w:t>
      </w:r>
      <w:r w:rsidRPr="003D51E4">
        <w:rPr>
          <w:rFonts w:ascii="Arial" w:hAnsi="Arial" w:cs="Arial"/>
          <w:sz w:val="24"/>
          <w:szCs w:val="24"/>
        </w:rPr>
        <w:t xml:space="preserve">details are at </w:t>
      </w:r>
      <w:r w:rsidR="002E34FE" w:rsidRPr="003D51E4">
        <w:rPr>
          <w:rFonts w:ascii="Arial" w:hAnsi="Arial" w:cs="Arial"/>
          <w:b/>
          <w:sz w:val="24"/>
          <w:szCs w:val="24"/>
        </w:rPr>
        <w:t>Attachment A</w:t>
      </w:r>
      <w:r w:rsidRPr="003D51E4">
        <w:rPr>
          <w:rFonts w:ascii="Arial" w:hAnsi="Arial" w:cs="Arial"/>
          <w:sz w:val="24"/>
          <w:szCs w:val="24"/>
        </w:rPr>
        <w:t xml:space="preserve">. </w:t>
      </w:r>
    </w:p>
    <w:p w14:paraId="2D5ED76D" w14:textId="77777777" w:rsidR="00DC78EF" w:rsidRDefault="007B6E7B" w:rsidP="004E7418">
      <w:pPr>
        <w:rPr>
          <w:rFonts w:ascii="Arial" w:hAnsi="Arial" w:cs="Arial"/>
          <w:sz w:val="24"/>
          <w:szCs w:val="24"/>
        </w:rPr>
      </w:pPr>
      <w:r w:rsidRPr="003D51E4">
        <w:rPr>
          <w:rFonts w:ascii="Arial" w:hAnsi="Arial" w:cs="Arial"/>
          <w:sz w:val="24"/>
          <w:szCs w:val="24"/>
        </w:rPr>
        <w:t xml:space="preserve">For the purposes of this </w:t>
      </w:r>
      <w:r w:rsidR="001E42D2">
        <w:rPr>
          <w:rFonts w:ascii="Arial" w:hAnsi="Arial" w:cs="Arial"/>
          <w:sz w:val="24"/>
          <w:szCs w:val="24"/>
        </w:rPr>
        <w:t>Statement</w:t>
      </w:r>
      <w:r w:rsidRPr="003D51E4">
        <w:rPr>
          <w:rFonts w:ascii="Arial" w:hAnsi="Arial" w:cs="Arial"/>
          <w:sz w:val="24"/>
          <w:szCs w:val="24"/>
        </w:rPr>
        <w:t xml:space="preserve">, a ‘regulated interactive gambling service’ that is also an ‘excluded wagering service’, is referred to as an </w:t>
      </w:r>
      <w:r w:rsidR="006A7347" w:rsidRPr="003D51E4">
        <w:rPr>
          <w:rFonts w:ascii="Arial" w:hAnsi="Arial" w:cs="Arial"/>
          <w:sz w:val="24"/>
          <w:szCs w:val="24"/>
        </w:rPr>
        <w:t>‘</w:t>
      </w:r>
      <w:r w:rsidRPr="003D51E4">
        <w:rPr>
          <w:rFonts w:ascii="Arial" w:hAnsi="Arial" w:cs="Arial"/>
          <w:sz w:val="24"/>
          <w:szCs w:val="24"/>
        </w:rPr>
        <w:t>interactive wagering service.</w:t>
      </w:r>
      <w:r w:rsidR="006A7347" w:rsidRPr="003D51E4">
        <w:rPr>
          <w:rFonts w:ascii="Arial" w:hAnsi="Arial" w:cs="Arial"/>
          <w:sz w:val="24"/>
          <w:szCs w:val="24"/>
        </w:rPr>
        <w:t>’</w:t>
      </w:r>
      <w:r w:rsidRPr="003D51E4">
        <w:rPr>
          <w:rFonts w:ascii="Arial" w:hAnsi="Arial" w:cs="Arial"/>
          <w:sz w:val="24"/>
          <w:szCs w:val="24"/>
        </w:rPr>
        <w:t xml:space="preserve"> </w:t>
      </w:r>
      <w:r w:rsidR="00363A18">
        <w:rPr>
          <w:rFonts w:ascii="Arial" w:hAnsi="Arial" w:cs="Arial"/>
          <w:sz w:val="24"/>
          <w:szCs w:val="24"/>
        </w:rPr>
        <w:t>A</w:t>
      </w:r>
      <w:r w:rsidR="00363A18" w:rsidRPr="003D51E4">
        <w:rPr>
          <w:rFonts w:ascii="Arial" w:hAnsi="Arial" w:cs="Arial"/>
          <w:sz w:val="24"/>
          <w:szCs w:val="24"/>
        </w:rPr>
        <w:t>n operator who is authorised under a</w:t>
      </w:r>
      <w:r w:rsidR="00363A18">
        <w:rPr>
          <w:rFonts w:ascii="Arial" w:hAnsi="Arial" w:cs="Arial"/>
          <w:sz w:val="24"/>
          <w:szCs w:val="24"/>
        </w:rPr>
        <w:t>n Australian</w:t>
      </w:r>
      <w:r w:rsidR="00363A18" w:rsidRPr="003D51E4">
        <w:rPr>
          <w:rFonts w:ascii="Arial" w:hAnsi="Arial" w:cs="Arial"/>
          <w:sz w:val="24"/>
          <w:szCs w:val="24"/>
        </w:rPr>
        <w:t xml:space="preserve"> state or territory law to conduct</w:t>
      </w:r>
      <w:r w:rsidR="00363A18">
        <w:rPr>
          <w:rFonts w:ascii="Arial" w:hAnsi="Arial" w:cs="Arial"/>
          <w:sz w:val="24"/>
          <w:szCs w:val="24"/>
        </w:rPr>
        <w:t xml:space="preserve"> an interactive wagering service, is an ‘interactive wagering service provider.’</w:t>
      </w:r>
    </w:p>
    <w:p w14:paraId="2A7B3A7B" w14:textId="77777777" w:rsidR="004E7418" w:rsidRDefault="004E7418">
      <w:pPr>
        <w:spacing w:after="0" w:line="240" w:lineRule="auto"/>
        <w:rPr>
          <w:rFonts w:ascii="Arial" w:hAnsi="Arial"/>
          <w:color w:val="C00000"/>
          <w:sz w:val="32"/>
        </w:rPr>
      </w:pPr>
      <w:r>
        <w:rPr>
          <w:rFonts w:ascii="Arial" w:hAnsi="Arial"/>
          <w:color w:val="C00000"/>
          <w:sz w:val="32"/>
        </w:rPr>
        <w:br w:type="page"/>
      </w:r>
    </w:p>
    <w:p w14:paraId="547F37E8" w14:textId="77777777" w:rsidR="0092175A" w:rsidRPr="00831298" w:rsidRDefault="0092175A" w:rsidP="00831298">
      <w:pPr>
        <w:pStyle w:val="Heading3"/>
        <w:rPr>
          <w:rFonts w:ascii="Arial" w:hAnsi="Arial" w:cs="Arial"/>
          <w:b w:val="0"/>
          <w:color w:val="C00000"/>
          <w:sz w:val="32"/>
          <w:szCs w:val="32"/>
        </w:rPr>
      </w:pPr>
      <w:r w:rsidRPr="00831298">
        <w:rPr>
          <w:rFonts w:ascii="Arial" w:hAnsi="Arial" w:cs="Arial"/>
          <w:b w:val="0"/>
          <w:color w:val="C00000"/>
          <w:sz w:val="32"/>
          <w:szCs w:val="32"/>
        </w:rPr>
        <w:lastRenderedPageBreak/>
        <w:t>Term</w:t>
      </w:r>
    </w:p>
    <w:p w14:paraId="2F90941A" w14:textId="77777777" w:rsidR="006528AE" w:rsidRDefault="00B53B1B" w:rsidP="000B36B2">
      <w:pPr>
        <w:textAlignment w:val="baseline"/>
        <w:rPr>
          <w:rFonts w:ascii="Arial" w:hAnsi="Arial" w:cs="Arial"/>
          <w:color w:val="222222"/>
          <w:sz w:val="24"/>
          <w:szCs w:val="20"/>
        </w:rPr>
      </w:pPr>
      <w:r>
        <w:rPr>
          <w:rFonts w:ascii="Arial" w:hAnsi="Arial" w:cs="Arial"/>
          <w:color w:val="222222"/>
          <w:sz w:val="24"/>
          <w:szCs w:val="20"/>
        </w:rPr>
        <w:t>The term of the National Framework is ongoing</w:t>
      </w:r>
      <w:r w:rsidR="007215D5">
        <w:rPr>
          <w:rFonts w:ascii="Arial" w:hAnsi="Arial" w:cs="Arial"/>
          <w:color w:val="222222"/>
          <w:sz w:val="24"/>
          <w:szCs w:val="20"/>
        </w:rPr>
        <w:t>.</w:t>
      </w:r>
      <w:r>
        <w:rPr>
          <w:rFonts w:ascii="Arial" w:hAnsi="Arial" w:cs="Arial"/>
          <w:color w:val="222222"/>
          <w:sz w:val="24"/>
          <w:szCs w:val="20"/>
        </w:rPr>
        <w:t xml:space="preserve"> </w:t>
      </w:r>
      <w:r w:rsidR="00BF2400">
        <w:rPr>
          <w:rFonts w:ascii="Arial" w:hAnsi="Arial" w:cs="Arial"/>
          <w:color w:val="222222"/>
          <w:sz w:val="24"/>
          <w:szCs w:val="20"/>
        </w:rPr>
        <w:t>A</w:t>
      </w:r>
      <w:r>
        <w:rPr>
          <w:rFonts w:ascii="Arial" w:hAnsi="Arial" w:cs="Arial"/>
          <w:color w:val="222222"/>
          <w:sz w:val="24"/>
          <w:szCs w:val="20"/>
        </w:rPr>
        <w:t>ustralian Government</w:t>
      </w:r>
      <w:r w:rsidR="002256F9">
        <w:rPr>
          <w:rFonts w:ascii="Arial" w:hAnsi="Arial" w:cs="Arial"/>
          <w:color w:val="222222"/>
          <w:sz w:val="24"/>
          <w:szCs w:val="20"/>
        </w:rPr>
        <w:t xml:space="preserve">s acknowledge </w:t>
      </w:r>
      <w:r w:rsidR="00BF2400">
        <w:rPr>
          <w:rFonts w:ascii="Arial" w:hAnsi="Arial" w:cs="Arial"/>
          <w:color w:val="222222"/>
          <w:sz w:val="24"/>
          <w:szCs w:val="20"/>
        </w:rPr>
        <w:t xml:space="preserve">their </w:t>
      </w:r>
      <w:r>
        <w:rPr>
          <w:rFonts w:ascii="Arial" w:hAnsi="Arial" w:cs="Arial"/>
          <w:color w:val="222222"/>
          <w:sz w:val="24"/>
          <w:szCs w:val="20"/>
        </w:rPr>
        <w:t xml:space="preserve">enduring commitment to apply the National Framework </w:t>
      </w:r>
      <w:r w:rsidR="00BF2400">
        <w:rPr>
          <w:rFonts w:ascii="Arial" w:hAnsi="Arial" w:cs="Arial"/>
          <w:color w:val="222222"/>
          <w:sz w:val="24"/>
          <w:szCs w:val="20"/>
        </w:rPr>
        <w:t xml:space="preserve">in relation to </w:t>
      </w:r>
      <w:r w:rsidR="002256F9">
        <w:rPr>
          <w:rFonts w:ascii="Arial" w:hAnsi="Arial" w:cs="Arial"/>
          <w:color w:val="222222"/>
          <w:sz w:val="24"/>
          <w:szCs w:val="20"/>
        </w:rPr>
        <w:t>the</w:t>
      </w:r>
      <w:r w:rsidR="00BF2400">
        <w:rPr>
          <w:rFonts w:ascii="Arial" w:hAnsi="Arial" w:cs="Arial"/>
          <w:color w:val="222222"/>
          <w:sz w:val="24"/>
          <w:szCs w:val="20"/>
        </w:rPr>
        <w:t>ir</w:t>
      </w:r>
      <w:r w:rsidR="002256F9">
        <w:rPr>
          <w:rFonts w:ascii="Arial" w:hAnsi="Arial" w:cs="Arial"/>
          <w:color w:val="222222"/>
          <w:sz w:val="24"/>
          <w:szCs w:val="20"/>
        </w:rPr>
        <w:t xml:space="preserve"> policy</w:t>
      </w:r>
      <w:r w:rsidR="00BF2400">
        <w:rPr>
          <w:rFonts w:ascii="Arial" w:hAnsi="Arial" w:cs="Arial"/>
          <w:color w:val="222222"/>
          <w:sz w:val="24"/>
          <w:szCs w:val="20"/>
        </w:rPr>
        <w:t>,</w:t>
      </w:r>
      <w:r w:rsidR="002256F9">
        <w:rPr>
          <w:rFonts w:ascii="Arial" w:hAnsi="Arial" w:cs="Arial"/>
          <w:color w:val="222222"/>
          <w:sz w:val="24"/>
          <w:szCs w:val="20"/>
        </w:rPr>
        <w:t xml:space="preserve"> and</w:t>
      </w:r>
      <w:r>
        <w:rPr>
          <w:rFonts w:ascii="Arial" w:hAnsi="Arial" w:cs="Arial"/>
          <w:color w:val="222222"/>
          <w:sz w:val="24"/>
          <w:szCs w:val="20"/>
        </w:rPr>
        <w:t xml:space="preserve"> </w:t>
      </w:r>
      <w:r w:rsidR="002256F9">
        <w:rPr>
          <w:rFonts w:ascii="Arial" w:hAnsi="Arial" w:cs="Arial"/>
          <w:color w:val="222222"/>
          <w:sz w:val="24"/>
          <w:szCs w:val="20"/>
        </w:rPr>
        <w:t xml:space="preserve">administration of </w:t>
      </w:r>
      <w:r>
        <w:rPr>
          <w:rFonts w:ascii="Arial" w:hAnsi="Arial" w:cs="Arial"/>
          <w:color w:val="222222"/>
          <w:sz w:val="24"/>
          <w:szCs w:val="20"/>
        </w:rPr>
        <w:t>consumer protection</w:t>
      </w:r>
      <w:r w:rsidR="00BF2400">
        <w:rPr>
          <w:rFonts w:ascii="Arial" w:hAnsi="Arial" w:cs="Arial"/>
          <w:color w:val="222222"/>
          <w:sz w:val="24"/>
          <w:szCs w:val="20"/>
        </w:rPr>
        <w:t xml:space="preserve"> measures</w:t>
      </w:r>
      <w:r>
        <w:rPr>
          <w:rFonts w:ascii="Arial" w:hAnsi="Arial" w:cs="Arial"/>
          <w:color w:val="222222"/>
          <w:sz w:val="24"/>
          <w:szCs w:val="20"/>
        </w:rPr>
        <w:t>.</w:t>
      </w:r>
    </w:p>
    <w:p w14:paraId="588E7499" w14:textId="77777777" w:rsidR="007C1DFD" w:rsidRPr="00831298" w:rsidRDefault="007C1DFD" w:rsidP="00831298">
      <w:pPr>
        <w:pStyle w:val="Heading3"/>
        <w:rPr>
          <w:rFonts w:ascii="Arial" w:hAnsi="Arial" w:cs="Arial"/>
          <w:b w:val="0"/>
          <w:color w:val="C00000"/>
          <w:sz w:val="32"/>
          <w:szCs w:val="32"/>
        </w:rPr>
      </w:pPr>
      <w:r w:rsidRPr="00831298">
        <w:rPr>
          <w:rFonts w:ascii="Arial" w:hAnsi="Arial" w:cs="Arial"/>
          <w:b w:val="0"/>
          <w:color w:val="C00000"/>
          <w:sz w:val="32"/>
          <w:szCs w:val="32"/>
        </w:rPr>
        <w:t>Roles</w:t>
      </w:r>
    </w:p>
    <w:p w14:paraId="6C1BF289" w14:textId="77777777" w:rsidR="003A7EBB" w:rsidRPr="00940768" w:rsidRDefault="00707263" w:rsidP="00940768">
      <w:pPr>
        <w:textAlignment w:val="baseline"/>
        <w:rPr>
          <w:rFonts w:ascii="Arial" w:hAnsi="Arial"/>
          <w:sz w:val="24"/>
        </w:rPr>
      </w:pPr>
      <w:r w:rsidRPr="001329B9">
        <w:rPr>
          <w:rFonts w:ascii="Arial" w:hAnsi="Arial"/>
          <w:sz w:val="24"/>
        </w:rPr>
        <w:t>Australian G</w:t>
      </w:r>
      <w:r w:rsidR="00971A66" w:rsidRPr="001329B9">
        <w:rPr>
          <w:rFonts w:ascii="Arial" w:hAnsi="Arial"/>
          <w:sz w:val="24"/>
        </w:rPr>
        <w:t>overnments</w:t>
      </w:r>
      <w:r w:rsidR="007935B2" w:rsidRPr="00940768">
        <w:rPr>
          <w:rFonts w:ascii="Arial" w:hAnsi="Arial"/>
          <w:sz w:val="24"/>
        </w:rPr>
        <w:t xml:space="preserve"> </w:t>
      </w:r>
      <w:r w:rsidR="005914B4" w:rsidRPr="00940768">
        <w:rPr>
          <w:rFonts w:ascii="Arial" w:hAnsi="Arial"/>
          <w:sz w:val="24"/>
        </w:rPr>
        <w:t xml:space="preserve">agree </w:t>
      </w:r>
      <w:r w:rsidR="00C3015A" w:rsidRPr="001329B9">
        <w:rPr>
          <w:rFonts w:ascii="Arial" w:hAnsi="Arial"/>
          <w:sz w:val="24"/>
        </w:rPr>
        <w:t>their</w:t>
      </w:r>
      <w:r w:rsidR="00BD7B9A" w:rsidRPr="001329B9">
        <w:rPr>
          <w:rFonts w:ascii="Arial" w:hAnsi="Arial"/>
          <w:sz w:val="24"/>
        </w:rPr>
        <w:t xml:space="preserve"> </w:t>
      </w:r>
      <w:r w:rsidR="005914B4" w:rsidRPr="00940768">
        <w:rPr>
          <w:rFonts w:ascii="Arial" w:hAnsi="Arial"/>
          <w:sz w:val="24"/>
        </w:rPr>
        <w:t xml:space="preserve">responsibility </w:t>
      </w:r>
      <w:r w:rsidR="00C3015A" w:rsidRPr="001329B9">
        <w:rPr>
          <w:rFonts w:ascii="Arial" w:hAnsi="Arial"/>
          <w:sz w:val="24"/>
        </w:rPr>
        <w:t xml:space="preserve">is </w:t>
      </w:r>
      <w:r w:rsidR="00BD7B9A" w:rsidRPr="00940768">
        <w:rPr>
          <w:rFonts w:ascii="Arial" w:hAnsi="Arial"/>
          <w:sz w:val="24"/>
        </w:rPr>
        <w:t xml:space="preserve">to regulate </w:t>
      </w:r>
      <w:r w:rsidR="00F62E3A" w:rsidRPr="001329B9">
        <w:rPr>
          <w:rFonts w:ascii="Arial" w:hAnsi="Arial"/>
          <w:sz w:val="24"/>
        </w:rPr>
        <w:t>interactive</w:t>
      </w:r>
      <w:r w:rsidR="00F62E3A" w:rsidRPr="00940768">
        <w:rPr>
          <w:rFonts w:ascii="Arial" w:hAnsi="Arial"/>
          <w:sz w:val="24"/>
        </w:rPr>
        <w:t xml:space="preserve"> wagering services</w:t>
      </w:r>
      <w:r w:rsidR="008716C5" w:rsidRPr="00940768">
        <w:rPr>
          <w:rFonts w:ascii="Arial" w:hAnsi="Arial"/>
          <w:sz w:val="24"/>
        </w:rPr>
        <w:t xml:space="preserve"> in a </w:t>
      </w:r>
      <w:r w:rsidR="008716C5" w:rsidRPr="001329B9">
        <w:rPr>
          <w:rFonts w:ascii="Arial" w:hAnsi="Arial"/>
          <w:sz w:val="24"/>
        </w:rPr>
        <w:t>way</w:t>
      </w:r>
      <w:r w:rsidR="008716C5" w:rsidRPr="00940768">
        <w:rPr>
          <w:rFonts w:ascii="Arial" w:hAnsi="Arial"/>
          <w:sz w:val="24"/>
        </w:rPr>
        <w:t xml:space="preserve"> that minimises gambling harm.</w:t>
      </w:r>
      <w:r w:rsidR="005914B4" w:rsidRPr="00940768">
        <w:rPr>
          <w:rFonts w:ascii="Arial" w:hAnsi="Arial"/>
          <w:sz w:val="24"/>
        </w:rPr>
        <w:t xml:space="preserve"> </w:t>
      </w:r>
      <w:r w:rsidR="003A7EBB" w:rsidRPr="001329B9">
        <w:rPr>
          <w:rFonts w:ascii="Arial" w:hAnsi="Arial"/>
          <w:sz w:val="24"/>
        </w:rPr>
        <w:t xml:space="preserve">To </w:t>
      </w:r>
      <w:r w:rsidR="00C3015A" w:rsidRPr="001329B9">
        <w:rPr>
          <w:rFonts w:ascii="Arial" w:hAnsi="Arial"/>
          <w:sz w:val="24"/>
        </w:rPr>
        <w:t>achieve this</w:t>
      </w:r>
      <w:r w:rsidR="003A7EBB" w:rsidRPr="001329B9">
        <w:rPr>
          <w:rFonts w:ascii="Arial" w:hAnsi="Arial"/>
          <w:sz w:val="24"/>
        </w:rPr>
        <w:t xml:space="preserve">, </w:t>
      </w:r>
      <w:r w:rsidR="00BD7B9A" w:rsidRPr="001329B9">
        <w:rPr>
          <w:rFonts w:ascii="Arial" w:hAnsi="Arial"/>
          <w:sz w:val="24"/>
        </w:rPr>
        <w:t>A</w:t>
      </w:r>
      <w:r w:rsidRPr="005352D8">
        <w:rPr>
          <w:rFonts w:ascii="Arial" w:hAnsi="Arial" w:cs="Arial"/>
          <w:sz w:val="24"/>
          <w:szCs w:val="24"/>
        </w:rPr>
        <w:t>ustralian</w:t>
      </w:r>
      <w:r w:rsidR="00971A66" w:rsidRPr="005352D8">
        <w:rPr>
          <w:rFonts w:ascii="Arial" w:hAnsi="Arial" w:cs="Arial"/>
          <w:sz w:val="24"/>
          <w:szCs w:val="24"/>
        </w:rPr>
        <w:t xml:space="preserve"> </w:t>
      </w:r>
      <w:r w:rsidRPr="005352D8">
        <w:rPr>
          <w:rFonts w:ascii="Arial" w:hAnsi="Arial" w:cs="Arial"/>
          <w:sz w:val="24"/>
          <w:szCs w:val="24"/>
        </w:rPr>
        <w:t>G</w:t>
      </w:r>
      <w:r w:rsidR="00971A66" w:rsidRPr="005352D8">
        <w:rPr>
          <w:rFonts w:ascii="Arial" w:hAnsi="Arial" w:cs="Arial"/>
          <w:sz w:val="24"/>
          <w:szCs w:val="24"/>
        </w:rPr>
        <w:t>overnments</w:t>
      </w:r>
      <w:r w:rsidR="007935B2" w:rsidRPr="005352D8">
        <w:rPr>
          <w:rFonts w:ascii="Arial" w:hAnsi="Arial" w:cs="Arial"/>
          <w:sz w:val="24"/>
          <w:szCs w:val="24"/>
        </w:rPr>
        <w:t xml:space="preserve"> </w:t>
      </w:r>
      <w:r w:rsidR="00BD7B9A" w:rsidRPr="005352D8">
        <w:rPr>
          <w:rFonts w:ascii="Arial" w:hAnsi="Arial" w:cs="Arial"/>
          <w:sz w:val="24"/>
          <w:szCs w:val="24"/>
        </w:rPr>
        <w:t>are</w:t>
      </w:r>
      <w:r w:rsidR="007C1DFD" w:rsidRPr="005352D8">
        <w:rPr>
          <w:rFonts w:ascii="Arial" w:hAnsi="Arial" w:cs="Arial"/>
          <w:sz w:val="24"/>
          <w:szCs w:val="24"/>
        </w:rPr>
        <w:t xml:space="preserve"> committed t</w:t>
      </w:r>
      <w:r w:rsidR="00F1300B" w:rsidRPr="005352D8">
        <w:rPr>
          <w:rFonts w:ascii="Arial" w:hAnsi="Arial" w:cs="Arial"/>
          <w:sz w:val="24"/>
          <w:szCs w:val="24"/>
        </w:rPr>
        <w:t>o</w:t>
      </w:r>
      <w:r w:rsidR="003A7EBB" w:rsidRPr="005352D8">
        <w:rPr>
          <w:rFonts w:ascii="Arial" w:hAnsi="Arial" w:cs="Arial"/>
          <w:sz w:val="24"/>
          <w:szCs w:val="24"/>
        </w:rPr>
        <w:t>:</w:t>
      </w:r>
    </w:p>
    <w:p w14:paraId="073473A0" w14:textId="77777777" w:rsidR="00F1300B" w:rsidRPr="001329B9" w:rsidRDefault="003A7EBB" w:rsidP="000B36B2">
      <w:pPr>
        <w:pStyle w:val="ListParagraph"/>
        <w:numPr>
          <w:ilvl w:val="0"/>
          <w:numId w:val="37"/>
        </w:numPr>
        <w:contextualSpacing w:val="0"/>
        <w:textAlignment w:val="baseline"/>
        <w:rPr>
          <w:rFonts w:ascii="Arial" w:hAnsi="Arial"/>
          <w:sz w:val="24"/>
        </w:rPr>
      </w:pPr>
      <w:r w:rsidRPr="005352D8">
        <w:rPr>
          <w:rFonts w:ascii="Arial" w:hAnsi="Arial" w:cs="Arial"/>
          <w:sz w:val="24"/>
          <w:szCs w:val="24"/>
        </w:rPr>
        <w:t xml:space="preserve">administering </w:t>
      </w:r>
      <w:r w:rsidR="00F1300B" w:rsidRPr="005352D8">
        <w:rPr>
          <w:rFonts w:ascii="Arial" w:hAnsi="Arial" w:cs="Arial"/>
          <w:sz w:val="24"/>
          <w:szCs w:val="24"/>
        </w:rPr>
        <w:t xml:space="preserve">respective </w:t>
      </w:r>
      <w:r w:rsidRPr="005352D8">
        <w:rPr>
          <w:rFonts w:ascii="Arial" w:hAnsi="Arial" w:cs="Arial"/>
          <w:sz w:val="24"/>
          <w:szCs w:val="24"/>
        </w:rPr>
        <w:t>consumer protection regulations consistent with the objectives, aims and principles which underpin the National Framework</w:t>
      </w:r>
    </w:p>
    <w:p w14:paraId="02446C5D" w14:textId="77777777" w:rsidR="00BC527C" w:rsidRPr="005352D8" w:rsidRDefault="005914B4" w:rsidP="000B36B2">
      <w:pPr>
        <w:pStyle w:val="ListParagraph"/>
        <w:numPr>
          <w:ilvl w:val="0"/>
          <w:numId w:val="37"/>
        </w:numPr>
        <w:contextualSpacing w:val="0"/>
        <w:textAlignment w:val="baseline"/>
        <w:rPr>
          <w:rFonts w:ascii="Arial" w:hAnsi="Arial" w:cs="Arial"/>
          <w:sz w:val="24"/>
          <w:szCs w:val="24"/>
        </w:rPr>
      </w:pPr>
      <w:r w:rsidRPr="005352D8">
        <w:rPr>
          <w:rFonts w:ascii="Arial" w:hAnsi="Arial" w:cs="Arial"/>
          <w:sz w:val="24"/>
          <w:szCs w:val="24"/>
        </w:rPr>
        <w:t>ongoing refinement</w:t>
      </w:r>
      <w:r w:rsidR="00891C8F" w:rsidRPr="005352D8">
        <w:rPr>
          <w:rFonts w:ascii="Arial" w:hAnsi="Arial" w:cs="Arial"/>
          <w:sz w:val="24"/>
          <w:szCs w:val="24"/>
        </w:rPr>
        <w:t xml:space="preserve"> </w:t>
      </w:r>
      <w:r w:rsidRPr="005352D8">
        <w:rPr>
          <w:rFonts w:ascii="Arial" w:hAnsi="Arial" w:cs="Arial"/>
          <w:sz w:val="24"/>
          <w:szCs w:val="24"/>
        </w:rPr>
        <w:t xml:space="preserve">of the </w:t>
      </w:r>
      <w:r w:rsidR="00BD7B9A" w:rsidRPr="005352D8">
        <w:rPr>
          <w:rFonts w:ascii="Arial" w:hAnsi="Arial" w:cs="Arial"/>
          <w:sz w:val="24"/>
          <w:szCs w:val="24"/>
        </w:rPr>
        <w:t>measures</w:t>
      </w:r>
      <w:r w:rsidR="00BD7B9A" w:rsidRPr="005352D8">
        <w:rPr>
          <w:rFonts w:ascii="Arial" w:hAnsi="Arial"/>
          <w:sz w:val="24"/>
        </w:rPr>
        <w:t xml:space="preserve"> </w:t>
      </w:r>
      <w:r w:rsidRPr="00940768">
        <w:rPr>
          <w:rFonts w:ascii="Arial" w:hAnsi="Arial"/>
          <w:sz w:val="24"/>
        </w:rPr>
        <w:t>to ensure</w:t>
      </w:r>
      <w:r w:rsidR="000157F4" w:rsidRPr="00940768">
        <w:rPr>
          <w:rFonts w:ascii="Arial" w:hAnsi="Arial"/>
          <w:sz w:val="24"/>
        </w:rPr>
        <w:t xml:space="preserve"> </w:t>
      </w:r>
      <w:r w:rsidR="00BD7B9A" w:rsidRPr="00940768">
        <w:rPr>
          <w:rFonts w:ascii="Arial" w:hAnsi="Arial"/>
          <w:sz w:val="24"/>
        </w:rPr>
        <w:t xml:space="preserve">the National Framework responds to </w:t>
      </w:r>
      <w:r w:rsidR="00891C8F" w:rsidRPr="001329B9">
        <w:rPr>
          <w:rFonts w:ascii="Arial" w:hAnsi="Arial"/>
          <w:sz w:val="24"/>
        </w:rPr>
        <w:t>changes in the regulated environment</w:t>
      </w:r>
      <w:r w:rsidR="00C22C79" w:rsidRPr="001329B9">
        <w:rPr>
          <w:rFonts w:ascii="Arial" w:hAnsi="Arial"/>
          <w:sz w:val="24"/>
        </w:rPr>
        <w:t xml:space="preserve"> and</w:t>
      </w:r>
      <w:r w:rsidR="00891C8F" w:rsidRPr="001329B9">
        <w:rPr>
          <w:rFonts w:ascii="Arial" w:hAnsi="Arial"/>
          <w:sz w:val="24"/>
        </w:rPr>
        <w:t xml:space="preserve"> </w:t>
      </w:r>
      <w:r w:rsidR="00BD7B9A" w:rsidRPr="00940768">
        <w:rPr>
          <w:rFonts w:ascii="Arial" w:hAnsi="Arial"/>
          <w:sz w:val="24"/>
        </w:rPr>
        <w:t xml:space="preserve">emerging evidence </w:t>
      </w:r>
      <w:r w:rsidR="008733DA" w:rsidRPr="005352D8">
        <w:rPr>
          <w:rFonts w:ascii="Arial" w:hAnsi="Arial" w:cs="Arial"/>
          <w:sz w:val="24"/>
          <w:szCs w:val="24"/>
        </w:rPr>
        <w:t>about</w:t>
      </w:r>
      <w:r w:rsidR="008733DA" w:rsidRPr="00940768">
        <w:rPr>
          <w:rFonts w:ascii="Arial" w:hAnsi="Arial"/>
          <w:sz w:val="24"/>
        </w:rPr>
        <w:t xml:space="preserve"> best</w:t>
      </w:r>
      <w:r w:rsidR="008733DA" w:rsidRPr="005352D8">
        <w:rPr>
          <w:rFonts w:ascii="Arial" w:hAnsi="Arial" w:cs="Arial"/>
          <w:sz w:val="24"/>
          <w:szCs w:val="24"/>
        </w:rPr>
        <w:t xml:space="preserve"> </w:t>
      </w:r>
      <w:r w:rsidR="008733DA" w:rsidRPr="00940768">
        <w:rPr>
          <w:rFonts w:ascii="Arial" w:hAnsi="Arial"/>
          <w:sz w:val="24"/>
        </w:rPr>
        <w:t>practice</w:t>
      </w:r>
      <w:r w:rsidR="00F1300B" w:rsidRPr="005352D8">
        <w:rPr>
          <w:rFonts w:ascii="Arial" w:hAnsi="Arial" w:cs="Arial"/>
          <w:sz w:val="24"/>
          <w:szCs w:val="24"/>
        </w:rPr>
        <w:t xml:space="preserve">, </w:t>
      </w:r>
      <w:r w:rsidR="00F1300B" w:rsidRPr="001329B9">
        <w:rPr>
          <w:rFonts w:ascii="Arial" w:hAnsi="Arial"/>
          <w:sz w:val="24"/>
        </w:rPr>
        <w:t xml:space="preserve">particularly in the </w:t>
      </w:r>
      <w:r w:rsidR="00BC527C" w:rsidRPr="005352D8">
        <w:rPr>
          <w:rFonts w:ascii="Arial" w:hAnsi="Arial" w:cs="Arial"/>
          <w:sz w:val="24"/>
          <w:szCs w:val="24"/>
        </w:rPr>
        <w:t>use of</w:t>
      </w:r>
      <w:r w:rsidR="00F1300B" w:rsidRPr="005352D8">
        <w:rPr>
          <w:rFonts w:ascii="Arial" w:hAnsi="Arial" w:cs="Arial"/>
          <w:sz w:val="24"/>
          <w:szCs w:val="24"/>
        </w:rPr>
        <w:t xml:space="preserve"> interactive technologies</w:t>
      </w:r>
      <w:r w:rsidR="00BC527C" w:rsidRPr="005352D8">
        <w:rPr>
          <w:rFonts w:ascii="Arial" w:hAnsi="Arial" w:cs="Arial"/>
          <w:sz w:val="24"/>
          <w:szCs w:val="24"/>
        </w:rPr>
        <w:t xml:space="preserve"> for wagering</w:t>
      </w:r>
    </w:p>
    <w:p w14:paraId="15FDD7D9" w14:textId="77777777" w:rsidR="00F1300B" w:rsidRPr="005352D8" w:rsidRDefault="0061375E" w:rsidP="00940768">
      <w:pPr>
        <w:pStyle w:val="ListParagraph"/>
        <w:numPr>
          <w:ilvl w:val="0"/>
          <w:numId w:val="37"/>
        </w:numPr>
        <w:contextualSpacing w:val="0"/>
        <w:textAlignment w:val="baseline"/>
        <w:rPr>
          <w:rFonts w:ascii="Arial" w:hAnsi="Arial" w:cs="Arial"/>
          <w:sz w:val="24"/>
          <w:szCs w:val="24"/>
        </w:rPr>
      </w:pPr>
      <w:r w:rsidRPr="005352D8">
        <w:rPr>
          <w:rFonts w:ascii="Arial" w:hAnsi="Arial" w:cs="Arial"/>
          <w:sz w:val="24"/>
          <w:szCs w:val="24"/>
        </w:rPr>
        <w:t xml:space="preserve">actively </w:t>
      </w:r>
      <w:r w:rsidR="00F1300B" w:rsidRPr="005352D8">
        <w:rPr>
          <w:rFonts w:ascii="Arial" w:hAnsi="Arial" w:cs="Arial"/>
          <w:sz w:val="24"/>
          <w:szCs w:val="24"/>
        </w:rPr>
        <w:t>promoting</w:t>
      </w:r>
      <w:r w:rsidRPr="005352D8">
        <w:rPr>
          <w:rFonts w:ascii="Arial" w:hAnsi="Arial" w:cs="Arial"/>
          <w:sz w:val="24"/>
          <w:szCs w:val="24"/>
        </w:rPr>
        <w:t xml:space="preserve"> an awareness and understanding of</w:t>
      </w:r>
      <w:r w:rsidR="00F1300B" w:rsidRPr="005352D8">
        <w:rPr>
          <w:rFonts w:ascii="Arial" w:hAnsi="Arial" w:cs="Arial"/>
          <w:sz w:val="24"/>
          <w:szCs w:val="24"/>
        </w:rPr>
        <w:t xml:space="preserve"> the National Framework, including by providing information to consumers, the community, industry, and other stakeholders</w:t>
      </w:r>
      <w:r w:rsidR="00891C8F" w:rsidRPr="005352D8">
        <w:rPr>
          <w:rFonts w:ascii="Arial" w:hAnsi="Arial" w:cs="Arial"/>
          <w:sz w:val="24"/>
          <w:szCs w:val="24"/>
        </w:rPr>
        <w:t>.</w:t>
      </w:r>
    </w:p>
    <w:p w14:paraId="464E4BD1" w14:textId="77777777" w:rsidR="00182659" w:rsidRDefault="00182659" w:rsidP="000B36B2">
      <w:pPr>
        <w:textAlignment w:val="baseline"/>
        <w:rPr>
          <w:rFonts w:ascii="Arial" w:hAnsi="Arial"/>
          <w:sz w:val="24"/>
        </w:rPr>
      </w:pPr>
      <w:r w:rsidRPr="001329B9">
        <w:rPr>
          <w:rFonts w:ascii="Arial" w:hAnsi="Arial"/>
          <w:sz w:val="24"/>
        </w:rPr>
        <w:t xml:space="preserve">Additionally, all governments commit to encouraging </w:t>
      </w:r>
      <w:r w:rsidR="00F62E3A" w:rsidRPr="001329B9">
        <w:rPr>
          <w:rFonts w:ascii="Arial" w:hAnsi="Arial"/>
          <w:sz w:val="24"/>
        </w:rPr>
        <w:t>interactive wagering service providers</w:t>
      </w:r>
      <w:r w:rsidR="00F62E3A" w:rsidRPr="001329B9" w:rsidDel="00F62E3A">
        <w:rPr>
          <w:rFonts w:ascii="Arial" w:hAnsi="Arial"/>
          <w:sz w:val="24"/>
        </w:rPr>
        <w:t xml:space="preserve"> </w:t>
      </w:r>
      <w:r w:rsidRPr="001329B9">
        <w:rPr>
          <w:rFonts w:ascii="Arial" w:hAnsi="Arial"/>
          <w:sz w:val="24"/>
        </w:rPr>
        <w:t>to act responsibly and consistently with the harm minimisation objectives of the National Framework’s measures.</w:t>
      </w:r>
    </w:p>
    <w:p w14:paraId="44BF734F" w14:textId="77777777" w:rsidR="00035A77" w:rsidRPr="0014619C" w:rsidRDefault="00035A77" w:rsidP="00035A77">
      <w:pPr>
        <w:textAlignment w:val="baseline"/>
        <w:rPr>
          <w:rFonts w:ascii="Arial" w:hAnsi="Arial"/>
          <w:sz w:val="24"/>
        </w:rPr>
      </w:pPr>
      <w:r w:rsidRPr="0014619C">
        <w:rPr>
          <w:rFonts w:ascii="Arial" w:hAnsi="Arial"/>
          <w:sz w:val="24"/>
        </w:rPr>
        <w:t xml:space="preserve">Interactive wagering service providers have legal obligations to implement consumer protections as part of the services they provide. In line with these obligations, </w:t>
      </w:r>
      <w:r>
        <w:rPr>
          <w:rFonts w:ascii="Arial" w:hAnsi="Arial"/>
          <w:sz w:val="24"/>
        </w:rPr>
        <w:t xml:space="preserve">governments will foster an expectation that </w:t>
      </w:r>
      <w:r w:rsidRPr="0014619C">
        <w:rPr>
          <w:rFonts w:ascii="Arial" w:hAnsi="Arial"/>
          <w:sz w:val="24"/>
        </w:rPr>
        <w:t>interactive wagering service providers conduct their business in a manner that minimises harm to their consumers, consistent with the spirit and intent of the National Framework and gambling consumer protections. At a minimum,</w:t>
      </w:r>
      <w:r>
        <w:rPr>
          <w:rFonts w:ascii="Arial" w:hAnsi="Arial"/>
          <w:sz w:val="24"/>
        </w:rPr>
        <w:t xml:space="preserve"> this expectation should include interactive wagering </w:t>
      </w:r>
      <w:r w:rsidR="00015A06">
        <w:rPr>
          <w:rFonts w:ascii="Arial" w:hAnsi="Arial"/>
          <w:sz w:val="24"/>
        </w:rPr>
        <w:t xml:space="preserve">providers </w:t>
      </w:r>
      <w:r w:rsidRPr="0014619C">
        <w:rPr>
          <w:rFonts w:ascii="Arial" w:hAnsi="Arial"/>
          <w:sz w:val="24"/>
        </w:rPr>
        <w:t>refrain</w:t>
      </w:r>
      <w:r>
        <w:rPr>
          <w:rFonts w:ascii="Arial" w:hAnsi="Arial"/>
          <w:sz w:val="24"/>
        </w:rPr>
        <w:t>ing</w:t>
      </w:r>
      <w:r w:rsidRPr="0014619C">
        <w:rPr>
          <w:rFonts w:ascii="Arial" w:hAnsi="Arial"/>
          <w:sz w:val="24"/>
        </w:rPr>
        <w:t xml:space="preserve"> from conduct which undermines the purpose or intended operation of a</w:t>
      </w:r>
      <w:r>
        <w:rPr>
          <w:rFonts w:ascii="Arial" w:hAnsi="Arial"/>
          <w:sz w:val="24"/>
        </w:rPr>
        <w:t>ny of the</w:t>
      </w:r>
      <w:r w:rsidRPr="0014619C">
        <w:rPr>
          <w:rFonts w:ascii="Arial" w:hAnsi="Arial"/>
          <w:sz w:val="24"/>
        </w:rPr>
        <w:t xml:space="preserve"> consumer protection measure</w:t>
      </w:r>
      <w:r>
        <w:rPr>
          <w:rFonts w:ascii="Arial" w:hAnsi="Arial"/>
          <w:sz w:val="24"/>
        </w:rPr>
        <w:t>s</w:t>
      </w:r>
      <w:r w:rsidRPr="0014619C">
        <w:rPr>
          <w:rFonts w:ascii="Arial" w:hAnsi="Arial"/>
          <w:sz w:val="24"/>
        </w:rPr>
        <w:t xml:space="preserve"> under the National Framework.</w:t>
      </w:r>
    </w:p>
    <w:p w14:paraId="7FB76421" w14:textId="77777777" w:rsidR="0092175A" w:rsidRPr="00831298" w:rsidRDefault="004366AB" w:rsidP="00831298">
      <w:pPr>
        <w:pStyle w:val="Heading3"/>
        <w:rPr>
          <w:rFonts w:ascii="Arial" w:hAnsi="Arial" w:cs="Arial"/>
          <w:b w:val="0"/>
          <w:color w:val="C00000"/>
          <w:sz w:val="32"/>
          <w:szCs w:val="32"/>
        </w:rPr>
      </w:pPr>
      <w:r w:rsidRPr="00831298">
        <w:rPr>
          <w:rFonts w:ascii="Arial" w:hAnsi="Arial" w:cs="Arial"/>
          <w:b w:val="0"/>
          <w:color w:val="C00000"/>
          <w:sz w:val="32"/>
          <w:szCs w:val="32"/>
        </w:rPr>
        <w:t>Principles</w:t>
      </w:r>
    </w:p>
    <w:p w14:paraId="39893C4D" w14:textId="77777777" w:rsidR="0048514D" w:rsidRPr="005352D8" w:rsidRDefault="004366AB" w:rsidP="00D0310F">
      <w:pPr>
        <w:rPr>
          <w:rFonts w:ascii="Arial" w:hAnsi="Arial" w:cs="Arial"/>
          <w:sz w:val="24"/>
          <w:szCs w:val="24"/>
        </w:rPr>
      </w:pPr>
      <w:r w:rsidRPr="005352D8">
        <w:rPr>
          <w:rFonts w:ascii="Arial" w:hAnsi="Arial" w:cs="Arial"/>
          <w:sz w:val="24"/>
          <w:szCs w:val="24"/>
        </w:rPr>
        <w:t>The National Framework adopts a principles based approach to defin</w:t>
      </w:r>
      <w:r w:rsidR="006F6E2C" w:rsidRPr="005352D8">
        <w:rPr>
          <w:rFonts w:ascii="Arial" w:hAnsi="Arial" w:cs="Arial"/>
          <w:sz w:val="24"/>
          <w:szCs w:val="24"/>
        </w:rPr>
        <w:t>ing</w:t>
      </w:r>
      <w:r w:rsidRPr="005352D8">
        <w:rPr>
          <w:rFonts w:ascii="Arial" w:hAnsi="Arial" w:cs="Arial"/>
          <w:sz w:val="24"/>
          <w:szCs w:val="24"/>
        </w:rPr>
        <w:t xml:space="preserve"> each measure </w:t>
      </w:r>
      <w:r w:rsidR="006F6E2C" w:rsidRPr="005352D8">
        <w:rPr>
          <w:rFonts w:ascii="Arial" w:hAnsi="Arial" w:cs="Arial"/>
          <w:sz w:val="24"/>
          <w:szCs w:val="24"/>
        </w:rPr>
        <w:t xml:space="preserve">in terms of </w:t>
      </w:r>
      <w:r w:rsidRPr="005352D8">
        <w:rPr>
          <w:rFonts w:ascii="Arial" w:hAnsi="Arial" w:cs="Arial"/>
          <w:sz w:val="24"/>
          <w:szCs w:val="24"/>
        </w:rPr>
        <w:t xml:space="preserve">its core functional requirements. This is necessary to enable its application across various policy and regulatory settings. </w:t>
      </w:r>
      <w:r w:rsidR="006F6E2C" w:rsidRPr="005352D8">
        <w:rPr>
          <w:rFonts w:ascii="Arial" w:hAnsi="Arial" w:cs="Arial"/>
          <w:sz w:val="24"/>
          <w:szCs w:val="24"/>
        </w:rPr>
        <w:t>In addition</w:t>
      </w:r>
      <w:r w:rsidR="00DF6A26" w:rsidRPr="005352D8">
        <w:rPr>
          <w:rFonts w:ascii="Arial" w:hAnsi="Arial" w:cs="Arial"/>
          <w:sz w:val="24"/>
          <w:szCs w:val="24"/>
        </w:rPr>
        <w:t xml:space="preserve">, and </w:t>
      </w:r>
      <w:r w:rsidR="006F6E2C" w:rsidRPr="005352D8">
        <w:rPr>
          <w:rFonts w:ascii="Arial" w:hAnsi="Arial" w:cs="Arial"/>
          <w:sz w:val="24"/>
          <w:szCs w:val="24"/>
        </w:rPr>
        <w:t>w</w:t>
      </w:r>
      <w:r w:rsidRPr="005352D8">
        <w:rPr>
          <w:rFonts w:ascii="Arial" w:hAnsi="Arial" w:cs="Arial"/>
          <w:sz w:val="24"/>
          <w:szCs w:val="24"/>
        </w:rPr>
        <w:t xml:space="preserve">here appropriate, flexibility for variation in the policy principles </w:t>
      </w:r>
      <w:r w:rsidR="006F6E2C" w:rsidRPr="005352D8">
        <w:rPr>
          <w:rFonts w:ascii="Arial" w:hAnsi="Arial" w:cs="Arial"/>
          <w:sz w:val="24"/>
          <w:szCs w:val="24"/>
        </w:rPr>
        <w:t>is</w:t>
      </w:r>
      <w:r w:rsidRPr="005352D8">
        <w:rPr>
          <w:rFonts w:ascii="Arial" w:hAnsi="Arial" w:cs="Arial"/>
          <w:sz w:val="24"/>
          <w:szCs w:val="24"/>
        </w:rPr>
        <w:t xml:space="preserve"> accommodated within </w:t>
      </w:r>
      <w:r w:rsidR="00DF6A26" w:rsidRPr="005352D8">
        <w:rPr>
          <w:rFonts w:ascii="Arial" w:hAnsi="Arial" w:cs="Arial"/>
          <w:sz w:val="24"/>
          <w:szCs w:val="24"/>
        </w:rPr>
        <w:t>each</w:t>
      </w:r>
      <w:r w:rsidRPr="005352D8">
        <w:rPr>
          <w:rFonts w:ascii="Arial" w:hAnsi="Arial" w:cs="Arial"/>
          <w:sz w:val="24"/>
          <w:szCs w:val="24"/>
        </w:rPr>
        <w:t xml:space="preserve"> measure</w:t>
      </w:r>
      <w:r w:rsidR="00B874E1" w:rsidRPr="005352D8">
        <w:rPr>
          <w:rFonts w:ascii="Arial" w:hAnsi="Arial" w:cs="Arial"/>
          <w:sz w:val="24"/>
          <w:szCs w:val="24"/>
        </w:rPr>
        <w:t xml:space="preserve">, including </w:t>
      </w:r>
      <w:r w:rsidR="00A15DF5" w:rsidRPr="005352D8">
        <w:rPr>
          <w:rFonts w:ascii="Arial" w:hAnsi="Arial" w:cs="Arial"/>
          <w:sz w:val="24"/>
          <w:szCs w:val="24"/>
        </w:rPr>
        <w:t>the</w:t>
      </w:r>
      <w:r w:rsidR="00B874E1" w:rsidRPr="005352D8">
        <w:rPr>
          <w:rFonts w:ascii="Arial" w:hAnsi="Arial" w:cs="Arial"/>
          <w:sz w:val="24"/>
          <w:szCs w:val="24"/>
        </w:rPr>
        <w:t xml:space="preserve"> method of delivery to consumers</w:t>
      </w:r>
      <w:r w:rsidR="003E6479" w:rsidRPr="005352D8">
        <w:rPr>
          <w:rFonts w:ascii="Arial" w:hAnsi="Arial" w:cs="Arial"/>
          <w:sz w:val="24"/>
          <w:szCs w:val="24"/>
        </w:rPr>
        <w:t>. This</w:t>
      </w:r>
      <w:r w:rsidR="00B874E1" w:rsidRPr="005352D8">
        <w:rPr>
          <w:rFonts w:ascii="Arial" w:hAnsi="Arial" w:cs="Arial"/>
          <w:sz w:val="24"/>
          <w:szCs w:val="24"/>
        </w:rPr>
        <w:t xml:space="preserve"> flexibility</w:t>
      </w:r>
      <w:r w:rsidR="003E6479" w:rsidRPr="005352D8">
        <w:rPr>
          <w:rFonts w:ascii="Arial" w:hAnsi="Arial" w:cs="Arial"/>
          <w:sz w:val="24"/>
          <w:szCs w:val="24"/>
        </w:rPr>
        <w:t xml:space="preserve"> is particularly important </w:t>
      </w:r>
      <w:r w:rsidR="00A15DF5" w:rsidRPr="005352D8">
        <w:rPr>
          <w:rFonts w:ascii="Arial" w:hAnsi="Arial" w:cs="Arial"/>
          <w:sz w:val="24"/>
          <w:szCs w:val="24"/>
        </w:rPr>
        <w:t>when</w:t>
      </w:r>
      <w:r w:rsidR="003E6479" w:rsidRPr="005352D8">
        <w:rPr>
          <w:rFonts w:ascii="Arial" w:hAnsi="Arial" w:cs="Arial"/>
          <w:sz w:val="24"/>
          <w:szCs w:val="24"/>
        </w:rPr>
        <w:t xml:space="preserve"> </w:t>
      </w:r>
      <w:r w:rsidR="007935B2" w:rsidRPr="005352D8">
        <w:rPr>
          <w:rFonts w:ascii="Arial" w:hAnsi="Arial" w:cs="Arial"/>
          <w:sz w:val="24"/>
          <w:szCs w:val="24"/>
        </w:rPr>
        <w:t xml:space="preserve">taking into account </w:t>
      </w:r>
      <w:r w:rsidR="003E6479" w:rsidRPr="005352D8">
        <w:rPr>
          <w:rFonts w:ascii="Arial" w:hAnsi="Arial" w:cs="Arial"/>
          <w:sz w:val="24"/>
          <w:szCs w:val="24"/>
        </w:rPr>
        <w:t>differences</w:t>
      </w:r>
      <w:r w:rsidR="005352D8">
        <w:rPr>
          <w:rFonts w:ascii="Arial" w:hAnsi="Arial" w:cs="Arial"/>
          <w:sz w:val="24"/>
          <w:szCs w:val="24"/>
        </w:rPr>
        <w:t xml:space="preserve"> in wagering business operations,</w:t>
      </w:r>
      <w:r w:rsidR="003E6479" w:rsidRPr="005352D8">
        <w:rPr>
          <w:rFonts w:ascii="Arial" w:hAnsi="Arial" w:cs="Arial"/>
          <w:sz w:val="24"/>
          <w:szCs w:val="24"/>
        </w:rPr>
        <w:t xml:space="preserve"> such as that between large online corporate bookmakers who operate </w:t>
      </w:r>
      <w:r w:rsidR="00A43F31" w:rsidRPr="005352D8">
        <w:rPr>
          <w:rFonts w:ascii="Arial" w:hAnsi="Arial" w:cs="Arial"/>
          <w:sz w:val="24"/>
          <w:szCs w:val="24"/>
        </w:rPr>
        <w:t>largely</w:t>
      </w:r>
      <w:r w:rsidR="007935B2" w:rsidRPr="005352D8">
        <w:rPr>
          <w:rFonts w:ascii="Arial" w:hAnsi="Arial" w:cs="Arial"/>
          <w:sz w:val="24"/>
          <w:szCs w:val="24"/>
        </w:rPr>
        <w:t xml:space="preserve"> </w:t>
      </w:r>
      <w:r w:rsidR="003E6479" w:rsidRPr="005352D8">
        <w:rPr>
          <w:rFonts w:ascii="Arial" w:hAnsi="Arial" w:cs="Arial"/>
          <w:sz w:val="24"/>
          <w:szCs w:val="24"/>
        </w:rPr>
        <w:t>online compared to that of small on</w:t>
      </w:r>
      <w:r w:rsidR="003E6479" w:rsidRPr="005352D8">
        <w:rPr>
          <w:rFonts w:ascii="Arial" w:hAnsi="Arial" w:cs="Arial"/>
          <w:sz w:val="24"/>
          <w:szCs w:val="24"/>
        </w:rPr>
        <w:noBreakHyphen/>
        <w:t>course bookmakers who may only offer telephone services.</w:t>
      </w:r>
    </w:p>
    <w:p w14:paraId="60DB289E" w14:textId="77777777" w:rsidR="00C23E64" w:rsidRDefault="00C23E64">
      <w:pPr>
        <w:spacing w:after="0" w:line="240" w:lineRule="auto"/>
        <w:rPr>
          <w:rFonts w:ascii="Arial" w:hAnsi="Arial"/>
          <w:color w:val="C00000"/>
          <w:sz w:val="32"/>
        </w:rPr>
      </w:pPr>
      <w:r>
        <w:rPr>
          <w:rFonts w:ascii="Arial" w:hAnsi="Arial"/>
          <w:color w:val="C00000"/>
          <w:sz w:val="32"/>
        </w:rPr>
        <w:br w:type="page"/>
      </w:r>
    </w:p>
    <w:p w14:paraId="52B21CA6" w14:textId="77777777" w:rsidR="00EA3C6F" w:rsidRPr="00831298" w:rsidRDefault="00EA3C6F" w:rsidP="00831298">
      <w:pPr>
        <w:pStyle w:val="Heading3"/>
        <w:rPr>
          <w:rFonts w:ascii="Arial" w:hAnsi="Arial" w:cs="Arial"/>
          <w:b w:val="0"/>
          <w:color w:val="C00000"/>
          <w:sz w:val="32"/>
          <w:szCs w:val="32"/>
        </w:rPr>
      </w:pPr>
      <w:r w:rsidRPr="00831298">
        <w:rPr>
          <w:rFonts w:ascii="Arial" w:hAnsi="Arial" w:cs="Arial"/>
          <w:b w:val="0"/>
          <w:color w:val="C00000"/>
          <w:sz w:val="32"/>
          <w:szCs w:val="32"/>
        </w:rPr>
        <w:lastRenderedPageBreak/>
        <w:t>Timeframes</w:t>
      </w:r>
    </w:p>
    <w:p w14:paraId="1601F1B0" w14:textId="77777777" w:rsidR="00EA3C6F" w:rsidRPr="003D51E4" w:rsidRDefault="001E3FB3" w:rsidP="00940768">
      <w:pPr>
        <w:tabs>
          <w:tab w:val="left" w:pos="3600"/>
        </w:tabs>
        <w:textAlignment w:val="baseline"/>
        <w:rPr>
          <w:rFonts w:ascii="Arial" w:hAnsi="Arial"/>
          <w:sz w:val="24"/>
        </w:rPr>
      </w:pPr>
      <w:r w:rsidRPr="003D51E4">
        <w:rPr>
          <w:rFonts w:ascii="Arial" w:hAnsi="Arial"/>
          <w:sz w:val="24"/>
        </w:rPr>
        <w:t>T</w:t>
      </w:r>
      <w:r w:rsidR="00EA3C6F" w:rsidRPr="003D51E4">
        <w:rPr>
          <w:rFonts w:ascii="Arial" w:hAnsi="Arial"/>
          <w:sz w:val="24"/>
        </w:rPr>
        <w:t xml:space="preserve">he </w:t>
      </w:r>
      <w:r w:rsidR="00035F0F" w:rsidRPr="003D51E4">
        <w:rPr>
          <w:rFonts w:ascii="Arial" w:hAnsi="Arial"/>
          <w:sz w:val="24"/>
        </w:rPr>
        <w:t xml:space="preserve">National </w:t>
      </w:r>
      <w:r w:rsidR="00EA3C6F" w:rsidRPr="003D51E4">
        <w:rPr>
          <w:rFonts w:ascii="Arial" w:hAnsi="Arial"/>
          <w:sz w:val="24"/>
        </w:rPr>
        <w:t xml:space="preserve">Framework will be progressively </w:t>
      </w:r>
      <w:r w:rsidR="007215D5">
        <w:rPr>
          <w:rFonts w:ascii="Arial" w:hAnsi="Arial"/>
          <w:sz w:val="24"/>
        </w:rPr>
        <w:t>introduced o</w:t>
      </w:r>
      <w:r w:rsidR="00EA3C6F" w:rsidRPr="003D51E4">
        <w:rPr>
          <w:rFonts w:ascii="Arial" w:hAnsi="Arial"/>
          <w:sz w:val="24"/>
        </w:rPr>
        <w:t xml:space="preserve">ver the course of </w:t>
      </w:r>
      <w:r w:rsidR="00A15DF5" w:rsidRPr="003D51E4">
        <w:rPr>
          <w:rFonts w:ascii="Arial" w:hAnsi="Arial"/>
          <w:sz w:val="24"/>
        </w:rPr>
        <w:t>1</w:t>
      </w:r>
      <w:r w:rsidR="00891C8F" w:rsidRPr="003D51E4">
        <w:rPr>
          <w:rFonts w:ascii="Arial" w:hAnsi="Arial"/>
          <w:sz w:val="24"/>
        </w:rPr>
        <w:t>8</w:t>
      </w:r>
      <w:r w:rsidR="00A43F31" w:rsidRPr="003D51E4">
        <w:rPr>
          <w:rFonts w:ascii="Arial" w:hAnsi="Arial"/>
          <w:sz w:val="24"/>
        </w:rPr>
        <w:t xml:space="preserve"> </w:t>
      </w:r>
      <w:r w:rsidR="00EA3C6F" w:rsidRPr="003D51E4">
        <w:rPr>
          <w:rFonts w:ascii="Arial" w:hAnsi="Arial"/>
          <w:sz w:val="24"/>
        </w:rPr>
        <w:t>month</w:t>
      </w:r>
      <w:r w:rsidRPr="003D51E4">
        <w:rPr>
          <w:rFonts w:ascii="Arial" w:hAnsi="Arial"/>
          <w:sz w:val="24"/>
        </w:rPr>
        <w:t>s</w:t>
      </w:r>
      <w:r w:rsidR="00FD2E4D" w:rsidRPr="003D51E4">
        <w:rPr>
          <w:rFonts w:ascii="Arial" w:hAnsi="Arial"/>
          <w:sz w:val="24"/>
        </w:rPr>
        <w:t xml:space="preserve"> </w:t>
      </w:r>
      <w:r w:rsidR="00EA3C6F" w:rsidRPr="003D51E4">
        <w:rPr>
          <w:rFonts w:ascii="Arial" w:hAnsi="Arial"/>
          <w:sz w:val="24"/>
        </w:rPr>
        <w:t xml:space="preserve">from the </w:t>
      </w:r>
      <w:r w:rsidR="00035F0F" w:rsidRPr="003D51E4">
        <w:rPr>
          <w:rFonts w:ascii="Arial" w:hAnsi="Arial"/>
          <w:sz w:val="24"/>
        </w:rPr>
        <w:t xml:space="preserve">National </w:t>
      </w:r>
      <w:r w:rsidR="00EA3C6F" w:rsidRPr="003D51E4">
        <w:rPr>
          <w:rFonts w:ascii="Arial" w:hAnsi="Arial"/>
          <w:sz w:val="24"/>
        </w:rPr>
        <w:t>Framework’s commencement</w:t>
      </w:r>
      <w:r w:rsidR="00A43F31" w:rsidRPr="003D51E4">
        <w:rPr>
          <w:rFonts w:ascii="Arial" w:hAnsi="Arial"/>
          <w:sz w:val="24"/>
        </w:rPr>
        <w:t xml:space="preserve">. </w:t>
      </w:r>
    </w:p>
    <w:p w14:paraId="63A19732" w14:textId="77777777" w:rsidR="00B0003A" w:rsidRPr="003D51E4" w:rsidRDefault="00B0003A" w:rsidP="00940768">
      <w:pPr>
        <w:tabs>
          <w:tab w:val="left" w:pos="3600"/>
        </w:tabs>
        <w:textAlignment w:val="baseline"/>
        <w:rPr>
          <w:rFonts w:ascii="Arial" w:hAnsi="Arial"/>
          <w:sz w:val="24"/>
        </w:rPr>
      </w:pPr>
      <w:r w:rsidRPr="003D51E4">
        <w:rPr>
          <w:rFonts w:ascii="Arial" w:hAnsi="Arial"/>
          <w:sz w:val="24"/>
        </w:rPr>
        <w:t xml:space="preserve">The </w:t>
      </w:r>
      <w:r w:rsidR="00933F8A">
        <w:rPr>
          <w:rFonts w:ascii="Arial" w:hAnsi="Arial"/>
          <w:sz w:val="24"/>
        </w:rPr>
        <w:t xml:space="preserve">commencement date for the </w:t>
      </w:r>
      <w:r w:rsidR="009126FE" w:rsidRPr="003D51E4">
        <w:rPr>
          <w:rFonts w:ascii="Arial" w:hAnsi="Arial"/>
          <w:sz w:val="24"/>
        </w:rPr>
        <w:t xml:space="preserve">National </w:t>
      </w:r>
      <w:r w:rsidRPr="003D51E4">
        <w:rPr>
          <w:rFonts w:ascii="Arial" w:hAnsi="Arial"/>
          <w:sz w:val="24"/>
        </w:rPr>
        <w:t xml:space="preserve">Framework </w:t>
      </w:r>
      <w:r w:rsidR="00933F8A">
        <w:rPr>
          <w:rFonts w:ascii="Arial" w:hAnsi="Arial"/>
          <w:sz w:val="24"/>
        </w:rPr>
        <w:t>is</w:t>
      </w:r>
      <w:r w:rsidR="002D3517">
        <w:rPr>
          <w:rFonts w:ascii="Arial" w:hAnsi="Arial"/>
          <w:sz w:val="24"/>
        </w:rPr>
        <w:t xml:space="preserve"> 26 November 2018</w:t>
      </w:r>
      <w:r w:rsidRPr="003D51E4">
        <w:rPr>
          <w:rFonts w:ascii="Arial" w:hAnsi="Arial"/>
          <w:sz w:val="24"/>
        </w:rPr>
        <w:t xml:space="preserve">. </w:t>
      </w:r>
    </w:p>
    <w:p w14:paraId="49324416" w14:textId="77777777" w:rsidR="00EE4F6F" w:rsidRDefault="00CE68EF" w:rsidP="00940768">
      <w:pPr>
        <w:tabs>
          <w:tab w:val="left" w:pos="3600"/>
        </w:tabs>
        <w:textAlignment w:val="baseline"/>
        <w:rPr>
          <w:rFonts w:ascii="Arial" w:hAnsi="Arial" w:cs="Arial"/>
          <w:sz w:val="24"/>
          <w:szCs w:val="24"/>
        </w:rPr>
      </w:pPr>
      <w:r w:rsidRPr="003D51E4">
        <w:rPr>
          <w:rFonts w:ascii="Arial" w:hAnsi="Arial" w:cs="Arial"/>
          <w:sz w:val="24"/>
          <w:szCs w:val="24"/>
        </w:rPr>
        <w:t>T</w:t>
      </w:r>
      <w:r w:rsidR="001F7ADC" w:rsidRPr="003D51E4">
        <w:rPr>
          <w:rFonts w:ascii="Arial" w:hAnsi="Arial" w:cs="Arial"/>
          <w:sz w:val="24"/>
          <w:szCs w:val="24"/>
        </w:rPr>
        <w:t xml:space="preserve">he following table </w:t>
      </w:r>
      <w:r w:rsidRPr="003D51E4">
        <w:rPr>
          <w:rFonts w:ascii="Arial" w:hAnsi="Arial" w:cs="Arial"/>
          <w:sz w:val="24"/>
          <w:szCs w:val="24"/>
        </w:rPr>
        <w:t xml:space="preserve">sets out the </w:t>
      </w:r>
      <w:r w:rsidR="00EF2D48" w:rsidRPr="003D51E4">
        <w:rPr>
          <w:rFonts w:ascii="Arial" w:hAnsi="Arial" w:cs="Arial"/>
          <w:sz w:val="24"/>
          <w:szCs w:val="24"/>
        </w:rPr>
        <w:t>agreed</w:t>
      </w:r>
      <w:r w:rsidR="008713D5">
        <w:rPr>
          <w:rFonts w:ascii="Arial" w:hAnsi="Arial" w:cs="Arial"/>
          <w:sz w:val="24"/>
          <w:szCs w:val="24"/>
        </w:rPr>
        <w:t xml:space="preserve"> </w:t>
      </w:r>
      <w:r w:rsidR="00652D6F">
        <w:rPr>
          <w:rFonts w:ascii="Arial" w:hAnsi="Arial" w:cs="Arial"/>
          <w:sz w:val="24"/>
          <w:szCs w:val="24"/>
        </w:rPr>
        <w:t xml:space="preserve">strong, </w:t>
      </w:r>
      <w:r w:rsidR="008713D5">
        <w:rPr>
          <w:rFonts w:ascii="Arial" w:hAnsi="Arial" w:cs="Arial"/>
          <w:sz w:val="24"/>
          <w:szCs w:val="24"/>
        </w:rPr>
        <w:t>nationally consistent,</w:t>
      </w:r>
      <w:r w:rsidR="00EF2D48" w:rsidRPr="003D51E4">
        <w:rPr>
          <w:rFonts w:ascii="Arial" w:hAnsi="Arial" w:cs="Arial"/>
          <w:sz w:val="24"/>
          <w:szCs w:val="24"/>
        </w:rPr>
        <w:t xml:space="preserve"> </w:t>
      </w:r>
      <w:r w:rsidR="00FD2E4D">
        <w:rPr>
          <w:rFonts w:ascii="Arial" w:hAnsi="Arial" w:cs="Arial"/>
          <w:sz w:val="24"/>
          <w:szCs w:val="24"/>
        </w:rPr>
        <w:t xml:space="preserve">minimum </w:t>
      </w:r>
      <w:r w:rsidR="001F7ADC" w:rsidRPr="003D51E4">
        <w:rPr>
          <w:rFonts w:ascii="Arial" w:hAnsi="Arial" w:cs="Arial"/>
          <w:sz w:val="24"/>
          <w:szCs w:val="24"/>
        </w:rPr>
        <w:t>consumer protection</w:t>
      </w:r>
      <w:r w:rsidRPr="003D51E4">
        <w:rPr>
          <w:rFonts w:ascii="Arial" w:hAnsi="Arial" w:cs="Arial"/>
          <w:sz w:val="24"/>
          <w:szCs w:val="24"/>
        </w:rPr>
        <w:t xml:space="preserve"> measures and the date each measure</w:t>
      </w:r>
      <w:r w:rsidR="007215D5">
        <w:rPr>
          <w:rFonts w:ascii="Arial" w:hAnsi="Arial" w:cs="Arial"/>
          <w:sz w:val="24"/>
          <w:szCs w:val="24"/>
        </w:rPr>
        <w:t xml:space="preserve"> is introduced</w:t>
      </w:r>
      <w:r w:rsidR="00290D2B">
        <w:rPr>
          <w:rFonts w:ascii="Arial" w:hAnsi="Arial" w:cs="Arial"/>
          <w:sz w:val="24"/>
          <w:szCs w:val="24"/>
        </w:rPr>
        <w:t>, and</w:t>
      </w:r>
      <w:r w:rsidR="007215D5">
        <w:rPr>
          <w:rFonts w:ascii="Arial" w:hAnsi="Arial" w:cs="Arial"/>
          <w:sz w:val="24"/>
          <w:szCs w:val="24"/>
        </w:rPr>
        <w:t xml:space="preserve"> </w:t>
      </w:r>
      <w:r w:rsidRPr="003D51E4">
        <w:rPr>
          <w:rFonts w:ascii="Arial" w:hAnsi="Arial" w:cs="Arial"/>
          <w:sz w:val="24"/>
          <w:szCs w:val="24"/>
        </w:rPr>
        <w:t>comes into effect</w:t>
      </w:r>
      <w:r w:rsidR="00F90EB0" w:rsidRPr="003D51E4">
        <w:rPr>
          <w:rFonts w:ascii="Arial" w:hAnsi="Arial" w:cs="Arial"/>
          <w:sz w:val="24"/>
          <w:szCs w:val="24"/>
        </w:rPr>
        <w:t xml:space="preserve"> by reference to the commencement date</w:t>
      </w:r>
      <w:r w:rsidR="00B064A1">
        <w:rPr>
          <w:rFonts w:ascii="Arial" w:hAnsi="Arial" w:cs="Arial"/>
          <w:sz w:val="24"/>
          <w:szCs w:val="24"/>
        </w:rPr>
        <w:t xml:space="preserve"> for the National Framework</w:t>
      </w:r>
      <w:r w:rsidR="00947469" w:rsidRPr="003D51E4">
        <w:rPr>
          <w:rFonts w:ascii="Arial" w:hAnsi="Arial" w:cs="Arial"/>
          <w:sz w:val="24"/>
          <w:szCs w:val="24"/>
        </w:rPr>
        <w:t>.</w:t>
      </w:r>
    </w:p>
    <w:p w14:paraId="286AE18D" w14:textId="77777777" w:rsidR="00172A00" w:rsidRDefault="00172A00" w:rsidP="00172A00">
      <w:pPr>
        <w:tabs>
          <w:tab w:val="left" w:pos="3600"/>
        </w:tabs>
        <w:textAlignment w:val="baseline"/>
        <w:rPr>
          <w:rFonts w:ascii="Arial" w:hAnsi="Arial" w:cs="Arial"/>
          <w:sz w:val="24"/>
          <w:szCs w:val="24"/>
        </w:rPr>
      </w:pPr>
      <w:r>
        <w:rPr>
          <w:rFonts w:ascii="Arial" w:hAnsi="Arial" w:cs="Arial"/>
          <w:sz w:val="24"/>
          <w:szCs w:val="24"/>
        </w:rPr>
        <w:t>Trialling and research will further inform the implementation requirements and timing for the relevant measures below.</w:t>
      </w:r>
      <w:r w:rsidRPr="003D51E4" w:rsidDel="00F90EB0">
        <w:rPr>
          <w:rFonts w:ascii="Arial" w:hAnsi="Arial" w:cs="Arial"/>
          <w:sz w:val="24"/>
          <w:szCs w:val="24"/>
        </w:rPr>
        <w:t xml:space="preserve"> </w:t>
      </w:r>
    </w:p>
    <w:p w14:paraId="275BA4BB" w14:textId="77777777" w:rsidR="00172A00" w:rsidRDefault="00035A77" w:rsidP="00EE4F6F">
      <w:pPr>
        <w:tabs>
          <w:tab w:val="left" w:pos="3600"/>
        </w:tabs>
        <w:textAlignment w:val="baseline"/>
        <w:rPr>
          <w:rFonts w:ascii="Arial" w:hAnsi="Arial" w:cs="Arial"/>
          <w:sz w:val="24"/>
          <w:szCs w:val="24"/>
        </w:rPr>
      </w:pPr>
      <w:r>
        <w:rPr>
          <w:rFonts w:ascii="Arial" w:hAnsi="Arial" w:cs="Arial"/>
          <w:sz w:val="24"/>
          <w:szCs w:val="24"/>
        </w:rPr>
        <w:t xml:space="preserve">It should be noted that the commencement and timing of all measures introduced </w:t>
      </w:r>
      <w:r w:rsidRPr="00C67C4E">
        <w:rPr>
          <w:rFonts w:ascii="Arial" w:hAnsi="Arial"/>
          <w:i/>
          <w:sz w:val="24"/>
        </w:rPr>
        <w:t>after</w:t>
      </w:r>
      <w:r>
        <w:rPr>
          <w:rFonts w:ascii="Arial" w:hAnsi="Arial" w:cs="Arial"/>
          <w:sz w:val="24"/>
          <w:szCs w:val="24"/>
        </w:rPr>
        <w:t xml:space="preserve"> the commencement date for the National Framework, are subject to the enactment of the relevant enabling laws, regulations or licensing requirements.</w:t>
      </w:r>
    </w:p>
    <w:p w14:paraId="01CB70DB" w14:textId="77777777" w:rsidR="00AA46CD" w:rsidRDefault="00AA46CD" w:rsidP="00D0310F">
      <w:pPr>
        <w:rPr>
          <w:rFonts w:ascii="Arial" w:hAnsi="Arial" w:cs="Arial"/>
          <w:sz w:val="24"/>
          <w:szCs w:val="24"/>
        </w:rPr>
      </w:pPr>
    </w:p>
    <w:p w14:paraId="74B529A4" w14:textId="77777777" w:rsidR="00172A00" w:rsidRPr="003D51E4" w:rsidRDefault="00172A00" w:rsidP="00D0310F">
      <w:pPr>
        <w:rPr>
          <w:rFonts w:ascii="Arial" w:hAnsi="Arial" w:cs="Arial"/>
          <w:sz w:val="24"/>
          <w:szCs w:val="24"/>
        </w:rPr>
        <w:sectPr w:rsidR="00172A00" w:rsidRPr="003D51E4" w:rsidSect="00DC78EF">
          <w:pgSz w:w="11906" w:h="16838"/>
          <w:pgMar w:top="567" w:right="964" w:bottom="284" w:left="964" w:header="709" w:footer="709" w:gutter="0"/>
          <w:pgBorders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08"/>
          <w:docGrid w:linePitch="360"/>
        </w:sectPr>
      </w:pPr>
    </w:p>
    <w:p w14:paraId="650B7F99" w14:textId="77777777" w:rsidR="006C6D4A" w:rsidRPr="00831298" w:rsidRDefault="002C7615" w:rsidP="00831298">
      <w:pPr>
        <w:pStyle w:val="Heading3"/>
        <w:jc w:val="center"/>
        <w:rPr>
          <w:rFonts w:ascii="Arial" w:hAnsi="Arial" w:cs="Arial"/>
          <w:sz w:val="32"/>
          <w:szCs w:val="32"/>
        </w:rPr>
      </w:pPr>
      <w:r w:rsidRPr="00831298">
        <w:rPr>
          <w:rFonts w:ascii="Arial" w:hAnsi="Arial" w:cs="Arial"/>
          <w:color w:val="auto"/>
          <w:sz w:val="32"/>
          <w:szCs w:val="32"/>
        </w:rPr>
        <w:lastRenderedPageBreak/>
        <w:t>Table of Agreed National</w:t>
      </w:r>
      <w:r w:rsidR="00553850" w:rsidRPr="00831298">
        <w:rPr>
          <w:rFonts w:ascii="Arial" w:hAnsi="Arial" w:cs="Arial"/>
          <w:color w:val="auto"/>
          <w:sz w:val="32"/>
          <w:szCs w:val="32"/>
        </w:rPr>
        <w:t>ly Consistent, Minimum</w:t>
      </w:r>
      <w:r w:rsidRPr="00831298">
        <w:rPr>
          <w:rFonts w:ascii="Arial" w:hAnsi="Arial" w:cs="Arial"/>
          <w:color w:val="auto"/>
          <w:sz w:val="32"/>
          <w:szCs w:val="32"/>
        </w:rPr>
        <w:t xml:space="preserve"> Consumer Protection Measures</w:t>
      </w:r>
    </w:p>
    <w:tbl>
      <w:tblPr>
        <w:tblW w:w="153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797"/>
        <w:gridCol w:w="4536"/>
      </w:tblGrid>
      <w:tr w:rsidR="001329B9" w:rsidRPr="003D51E4" w14:paraId="4C476F02" w14:textId="77777777" w:rsidTr="001329B9">
        <w:trPr>
          <w:cantSplit/>
          <w:trHeight w:val="571"/>
          <w:tblHeader/>
        </w:trPr>
        <w:tc>
          <w:tcPr>
            <w:tcW w:w="2978" w:type="dxa"/>
            <w:tcBorders>
              <w:top w:val="single" w:sz="4" w:space="0" w:color="auto"/>
              <w:left w:val="single" w:sz="4" w:space="0" w:color="auto"/>
              <w:bottom w:val="single" w:sz="4" w:space="0" w:color="FFFFFF" w:themeColor="background1"/>
              <w:right w:val="single" w:sz="4" w:space="0" w:color="FFFFFF" w:themeColor="background1"/>
            </w:tcBorders>
            <w:shd w:val="clear" w:color="auto" w:fill="1F3864" w:themeFill="accent1" w:themeFillShade="80"/>
          </w:tcPr>
          <w:p w14:paraId="052B0DA4" w14:textId="77777777" w:rsidR="00B15DD1" w:rsidRPr="00940768" w:rsidRDefault="00B15DD1" w:rsidP="00940768">
            <w:pPr>
              <w:spacing w:before="120" w:after="120"/>
              <w:jc w:val="center"/>
              <w:rPr>
                <w:rFonts w:ascii="Arial" w:hAnsi="Arial"/>
                <w:b/>
                <w:color w:val="FFFFFF" w:themeColor="background1"/>
                <w:sz w:val="24"/>
              </w:rPr>
            </w:pPr>
            <w:r w:rsidRPr="00940768">
              <w:rPr>
                <w:rFonts w:ascii="Arial" w:hAnsi="Arial"/>
                <w:b/>
                <w:color w:val="FFFFFF" w:themeColor="background1"/>
                <w:sz w:val="24"/>
              </w:rPr>
              <w:t>Measure</w:t>
            </w:r>
          </w:p>
        </w:tc>
        <w:tc>
          <w:tcPr>
            <w:tcW w:w="779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tcPr>
          <w:p w14:paraId="5FB7061F" w14:textId="77777777" w:rsidR="00B15DD1" w:rsidRPr="00940768" w:rsidRDefault="00A626D9" w:rsidP="00940768">
            <w:pPr>
              <w:spacing w:before="120" w:after="120"/>
              <w:jc w:val="center"/>
              <w:rPr>
                <w:rFonts w:ascii="Arial" w:hAnsi="Arial"/>
                <w:b/>
                <w:color w:val="FFFFFF" w:themeColor="background1"/>
                <w:sz w:val="24"/>
              </w:rPr>
            </w:pPr>
            <w:r w:rsidRPr="00940768">
              <w:rPr>
                <w:rFonts w:ascii="Arial" w:hAnsi="Arial"/>
                <w:b/>
                <w:color w:val="FFFFFF" w:themeColor="background1"/>
                <w:sz w:val="24"/>
              </w:rPr>
              <w:t xml:space="preserve">Agreed </w:t>
            </w:r>
            <w:r w:rsidR="00A15DF5" w:rsidRPr="00940768">
              <w:rPr>
                <w:rFonts w:ascii="Arial" w:hAnsi="Arial"/>
                <w:b/>
                <w:color w:val="FFFFFF" w:themeColor="background1"/>
                <w:sz w:val="24"/>
              </w:rPr>
              <w:t>p</w:t>
            </w:r>
            <w:r w:rsidR="00B15DD1" w:rsidRPr="00940768">
              <w:rPr>
                <w:rFonts w:ascii="Arial" w:hAnsi="Arial"/>
                <w:b/>
                <w:color w:val="FFFFFF" w:themeColor="background1"/>
                <w:sz w:val="24"/>
              </w:rPr>
              <w:t>rinciples</w:t>
            </w:r>
          </w:p>
        </w:tc>
        <w:tc>
          <w:tcPr>
            <w:tcW w:w="4536" w:type="dxa"/>
            <w:tcBorders>
              <w:top w:val="single" w:sz="4" w:space="0" w:color="auto"/>
              <w:left w:val="single" w:sz="4" w:space="0" w:color="FFFFFF" w:themeColor="background1"/>
              <w:bottom w:val="single" w:sz="4" w:space="0" w:color="FFFFFF" w:themeColor="background1"/>
              <w:right w:val="single" w:sz="4" w:space="0" w:color="auto"/>
            </w:tcBorders>
            <w:shd w:val="clear" w:color="auto" w:fill="1F3864" w:themeFill="accent1" w:themeFillShade="80"/>
          </w:tcPr>
          <w:p w14:paraId="0B72C049" w14:textId="77777777" w:rsidR="00B15DD1" w:rsidRPr="00940768" w:rsidRDefault="00B15DD1" w:rsidP="00940768">
            <w:pPr>
              <w:spacing w:before="120" w:after="120"/>
              <w:jc w:val="center"/>
              <w:rPr>
                <w:rFonts w:ascii="Arial" w:hAnsi="Arial"/>
                <w:b/>
                <w:color w:val="FFFFFF" w:themeColor="background1"/>
                <w:sz w:val="24"/>
              </w:rPr>
            </w:pPr>
            <w:r w:rsidRPr="00940768">
              <w:rPr>
                <w:rFonts w:ascii="Arial" w:hAnsi="Arial"/>
                <w:b/>
                <w:color w:val="FFFFFF" w:themeColor="background1"/>
                <w:sz w:val="24"/>
              </w:rPr>
              <w:t>Implementation timeframes</w:t>
            </w:r>
          </w:p>
        </w:tc>
      </w:tr>
      <w:tr w:rsidR="001329B9" w:rsidRPr="003D51E4" w14:paraId="5594361F" w14:textId="77777777" w:rsidTr="001329B9">
        <w:trPr>
          <w:cantSplit/>
          <w:trHeight w:val="457"/>
        </w:trPr>
        <w:tc>
          <w:tcPr>
            <w:tcW w:w="2978" w:type="dxa"/>
            <w:tcBorders>
              <w:top w:val="single" w:sz="4" w:space="0" w:color="FFFFFF" w:themeColor="background1"/>
              <w:right w:val="nil"/>
            </w:tcBorders>
            <w:shd w:val="clear" w:color="auto" w:fill="D9E2F3" w:themeFill="accent1" w:themeFillTint="33"/>
          </w:tcPr>
          <w:p w14:paraId="6B7A8C4C" w14:textId="77777777" w:rsidR="00D839E9" w:rsidRPr="00940768" w:rsidDel="00DB3D10" w:rsidRDefault="00D839E9" w:rsidP="00940768">
            <w:pPr>
              <w:spacing w:before="120" w:after="120"/>
              <w:rPr>
                <w:rStyle w:val="BookTitle"/>
                <w:rFonts w:ascii="Arial" w:hAnsi="Arial"/>
                <w:i w:val="0"/>
                <w:smallCaps w:val="0"/>
                <w:sz w:val="20"/>
              </w:rPr>
            </w:pPr>
          </w:p>
        </w:tc>
        <w:tc>
          <w:tcPr>
            <w:tcW w:w="7797" w:type="dxa"/>
            <w:tcBorders>
              <w:top w:val="single" w:sz="4" w:space="0" w:color="FFFFFF" w:themeColor="background1"/>
              <w:left w:val="nil"/>
              <w:right w:val="nil"/>
            </w:tcBorders>
            <w:shd w:val="clear" w:color="auto" w:fill="D9E2F3" w:themeFill="accent1" w:themeFillTint="33"/>
          </w:tcPr>
          <w:p w14:paraId="57652104" w14:textId="77777777" w:rsidR="00D839E9" w:rsidRPr="00940768" w:rsidDel="00DB3D10" w:rsidRDefault="004C61EA" w:rsidP="00940768">
            <w:pPr>
              <w:spacing w:before="120" w:after="120"/>
              <w:jc w:val="center"/>
              <w:rPr>
                <w:sz w:val="20"/>
              </w:rPr>
            </w:pPr>
            <w:r>
              <w:rPr>
                <w:rStyle w:val="BookTitle"/>
                <w:rFonts w:ascii="Arial" w:hAnsi="Arial" w:cs="Arial"/>
                <w:i w:val="0"/>
                <w:iCs w:val="0"/>
                <w:smallCaps w:val="0"/>
                <w:sz w:val="24"/>
                <w:szCs w:val="24"/>
              </w:rPr>
              <w:t>Introduced b</w:t>
            </w:r>
            <w:r w:rsidR="00D839E9" w:rsidRPr="003D51E4">
              <w:rPr>
                <w:rStyle w:val="BookTitle"/>
                <w:rFonts w:ascii="Arial" w:hAnsi="Arial" w:cs="Arial"/>
                <w:i w:val="0"/>
                <w:iCs w:val="0"/>
                <w:smallCaps w:val="0"/>
                <w:sz w:val="24"/>
                <w:szCs w:val="24"/>
              </w:rPr>
              <w:t xml:space="preserve">efore </w:t>
            </w:r>
            <w:r>
              <w:rPr>
                <w:rStyle w:val="BookTitle"/>
                <w:rFonts w:ascii="Arial" w:hAnsi="Arial" w:cs="Arial"/>
                <w:i w:val="0"/>
                <w:iCs w:val="0"/>
                <w:smallCaps w:val="0"/>
                <w:sz w:val="24"/>
                <w:szCs w:val="24"/>
              </w:rPr>
              <w:t>commencement date</w:t>
            </w:r>
          </w:p>
        </w:tc>
        <w:tc>
          <w:tcPr>
            <w:tcW w:w="4536" w:type="dxa"/>
            <w:tcBorders>
              <w:top w:val="single" w:sz="4" w:space="0" w:color="FFFFFF" w:themeColor="background1"/>
              <w:left w:val="nil"/>
            </w:tcBorders>
            <w:shd w:val="clear" w:color="auto" w:fill="D9E2F3" w:themeFill="accent1" w:themeFillTint="33"/>
          </w:tcPr>
          <w:p w14:paraId="5DB07563" w14:textId="77777777" w:rsidR="00D839E9" w:rsidRPr="00940768" w:rsidRDefault="00D839E9" w:rsidP="00940768">
            <w:pPr>
              <w:spacing w:before="120" w:after="120"/>
              <w:rPr>
                <w:rStyle w:val="BookTitle"/>
                <w:rFonts w:ascii="Arial" w:hAnsi="Arial"/>
                <w:i w:val="0"/>
                <w:smallCaps w:val="0"/>
                <w:sz w:val="24"/>
              </w:rPr>
            </w:pPr>
          </w:p>
        </w:tc>
      </w:tr>
      <w:tr w:rsidR="001329B9" w:rsidRPr="003D51E4" w14:paraId="2E70F2D1" w14:textId="77777777" w:rsidTr="001329B9">
        <w:trPr>
          <w:cantSplit/>
          <w:trHeight w:val="2777"/>
        </w:trPr>
        <w:tc>
          <w:tcPr>
            <w:tcW w:w="2978" w:type="dxa"/>
            <w:tcBorders>
              <w:bottom w:val="single" w:sz="4" w:space="0" w:color="auto"/>
            </w:tcBorders>
            <w:shd w:val="clear" w:color="auto" w:fill="auto"/>
          </w:tcPr>
          <w:p w14:paraId="31ED3754" w14:textId="77777777" w:rsidR="00B15DD1" w:rsidRPr="003D51E4" w:rsidRDefault="00A2752B" w:rsidP="00940768">
            <w:pPr>
              <w:spacing w:before="120" w:after="120"/>
              <w:rPr>
                <w:rFonts w:ascii="Arial" w:hAnsi="Arial" w:cs="Arial"/>
                <w:b/>
                <w:sz w:val="24"/>
                <w:szCs w:val="24"/>
              </w:rPr>
            </w:pPr>
            <w:r w:rsidRPr="003D51E4">
              <w:rPr>
                <w:rFonts w:ascii="Arial" w:hAnsi="Arial" w:cs="Arial"/>
                <w:b/>
                <w:sz w:val="24"/>
                <w:szCs w:val="24"/>
              </w:rPr>
              <w:t xml:space="preserve">1: </w:t>
            </w:r>
            <w:r w:rsidR="00B15DD1" w:rsidRPr="003D51E4">
              <w:rPr>
                <w:rFonts w:ascii="Arial" w:hAnsi="Arial" w:cs="Arial"/>
                <w:b/>
                <w:sz w:val="24"/>
                <w:szCs w:val="24"/>
              </w:rPr>
              <w:t xml:space="preserve">Prohibition of lines of credit </w:t>
            </w:r>
          </w:p>
          <w:p w14:paraId="747052DA" w14:textId="77777777" w:rsidR="00B15DD1" w:rsidRPr="003D51E4" w:rsidRDefault="00B15DD1" w:rsidP="00940768">
            <w:pPr>
              <w:spacing w:before="120" w:after="120"/>
              <w:rPr>
                <w:rFonts w:ascii="Arial" w:hAnsi="Arial" w:cs="Arial"/>
                <w:b/>
                <w:sz w:val="24"/>
                <w:szCs w:val="24"/>
                <w:u w:val="single"/>
              </w:rPr>
            </w:pPr>
            <w:r w:rsidRPr="003D51E4">
              <w:rPr>
                <w:rFonts w:ascii="Arial" w:hAnsi="Arial" w:cs="Arial"/>
                <w:sz w:val="24"/>
                <w:szCs w:val="24"/>
              </w:rPr>
              <w:t>This measure prohibits the offer</w:t>
            </w:r>
            <w:r w:rsidR="00A626D9" w:rsidRPr="003D51E4">
              <w:rPr>
                <w:rFonts w:ascii="Arial" w:hAnsi="Arial" w:cs="Arial"/>
                <w:sz w:val="24"/>
                <w:szCs w:val="24"/>
              </w:rPr>
              <w:t>ing</w:t>
            </w:r>
            <w:r w:rsidRPr="003D51E4">
              <w:rPr>
                <w:rFonts w:ascii="Arial" w:hAnsi="Arial" w:cs="Arial"/>
                <w:sz w:val="24"/>
                <w:szCs w:val="24"/>
              </w:rPr>
              <w:t xml:space="preserve"> or provision of credit by </w:t>
            </w:r>
            <w:r w:rsidR="00AF6DE0" w:rsidRPr="003D51E4">
              <w:rPr>
                <w:rFonts w:ascii="Arial" w:hAnsi="Arial" w:cs="Arial"/>
                <w:sz w:val="24"/>
                <w:szCs w:val="24"/>
              </w:rPr>
              <w:t>interactive wagering service provider</w:t>
            </w:r>
            <w:r w:rsidR="007C28F4" w:rsidRPr="003D51E4">
              <w:rPr>
                <w:rFonts w:ascii="Arial" w:hAnsi="Arial" w:cs="Arial"/>
                <w:sz w:val="24"/>
                <w:szCs w:val="24"/>
              </w:rPr>
              <w:t xml:space="preserve">s </w:t>
            </w:r>
            <w:r w:rsidRPr="003D51E4">
              <w:rPr>
                <w:rFonts w:ascii="Arial" w:hAnsi="Arial" w:cs="Arial"/>
                <w:sz w:val="24"/>
                <w:szCs w:val="24"/>
              </w:rPr>
              <w:t>for wagering purposes, with the exception of</w:t>
            </w:r>
            <w:r w:rsidR="00B2288C">
              <w:rPr>
                <w:rFonts w:ascii="Arial" w:hAnsi="Arial" w:cs="Arial"/>
                <w:sz w:val="24"/>
                <w:szCs w:val="24"/>
              </w:rPr>
              <w:t xml:space="preserve"> certain</w:t>
            </w:r>
            <w:r w:rsidRPr="003D51E4">
              <w:rPr>
                <w:rFonts w:ascii="Arial" w:hAnsi="Arial" w:cs="Arial"/>
                <w:sz w:val="24"/>
                <w:szCs w:val="24"/>
              </w:rPr>
              <w:t xml:space="preserve"> on</w:t>
            </w:r>
            <w:r w:rsidRPr="003D51E4">
              <w:rPr>
                <w:rFonts w:ascii="Arial" w:hAnsi="Arial" w:cs="Arial"/>
                <w:sz w:val="24"/>
                <w:szCs w:val="24"/>
              </w:rPr>
              <w:noBreakHyphen/>
              <w:t xml:space="preserve">course bookmakers. </w:t>
            </w:r>
          </w:p>
        </w:tc>
        <w:tc>
          <w:tcPr>
            <w:tcW w:w="7797" w:type="dxa"/>
            <w:shd w:val="clear" w:color="auto" w:fill="auto"/>
          </w:tcPr>
          <w:p w14:paraId="14275E06" w14:textId="77777777" w:rsidR="00B15DD1" w:rsidRPr="00AC48A5" w:rsidRDefault="00884E34" w:rsidP="00940768">
            <w:pPr>
              <w:pStyle w:val="ListParagraph"/>
              <w:numPr>
                <w:ilvl w:val="0"/>
                <w:numId w:val="9"/>
              </w:numPr>
              <w:tabs>
                <w:tab w:val="num" w:pos="348"/>
              </w:tabs>
              <w:spacing w:before="120" w:after="120"/>
              <w:ind w:left="346" w:right="-108" w:hanging="284"/>
              <w:contextualSpacing w:val="0"/>
              <w:rPr>
                <w:rFonts w:ascii="Arial" w:hAnsi="Arial" w:cs="Arial"/>
                <w:spacing w:val="5"/>
                <w:sz w:val="24"/>
                <w:szCs w:val="24"/>
              </w:rPr>
            </w:pPr>
            <w:r w:rsidRPr="00AC48A5">
              <w:rPr>
                <w:rFonts w:ascii="Arial" w:hAnsi="Arial" w:cs="Arial"/>
                <w:spacing w:val="5"/>
                <w:sz w:val="24"/>
                <w:szCs w:val="24"/>
              </w:rPr>
              <w:t>C</w:t>
            </w:r>
            <w:r w:rsidR="00B15DD1" w:rsidRPr="00AC48A5">
              <w:rPr>
                <w:rFonts w:ascii="Arial" w:hAnsi="Arial" w:cs="Arial"/>
                <w:spacing w:val="5"/>
                <w:sz w:val="24"/>
                <w:szCs w:val="24"/>
              </w:rPr>
              <w:t>redit</w:t>
            </w:r>
            <w:r w:rsidR="00A626D9" w:rsidRPr="00AC48A5">
              <w:rPr>
                <w:rFonts w:ascii="Arial" w:hAnsi="Arial" w:cs="Arial"/>
                <w:spacing w:val="5"/>
                <w:sz w:val="24"/>
                <w:szCs w:val="24"/>
              </w:rPr>
              <w:t xml:space="preserve"> must not be</w:t>
            </w:r>
            <w:r w:rsidR="00B15DD1" w:rsidRPr="00AC48A5">
              <w:rPr>
                <w:rFonts w:ascii="Arial" w:hAnsi="Arial" w:cs="Arial"/>
                <w:spacing w:val="5"/>
                <w:sz w:val="24"/>
                <w:szCs w:val="24"/>
              </w:rPr>
              <w:t xml:space="preserve"> offered</w:t>
            </w:r>
            <w:r w:rsidR="00B2288C">
              <w:rPr>
                <w:rFonts w:ascii="Arial" w:hAnsi="Arial" w:cs="Arial"/>
                <w:spacing w:val="5"/>
                <w:sz w:val="24"/>
                <w:szCs w:val="24"/>
              </w:rPr>
              <w:t xml:space="preserve"> or provided</w:t>
            </w:r>
            <w:r w:rsidR="00B15DD1" w:rsidRPr="00AC48A5">
              <w:rPr>
                <w:rFonts w:ascii="Arial" w:hAnsi="Arial" w:cs="Arial"/>
                <w:spacing w:val="5"/>
                <w:sz w:val="24"/>
                <w:szCs w:val="24"/>
              </w:rPr>
              <w:t xml:space="preserve"> by </w:t>
            </w:r>
            <w:r w:rsidR="00AF6DE0" w:rsidRPr="00AC48A5">
              <w:rPr>
                <w:rFonts w:ascii="Arial" w:hAnsi="Arial" w:cs="Arial"/>
                <w:spacing w:val="5"/>
                <w:sz w:val="24"/>
                <w:szCs w:val="24"/>
              </w:rPr>
              <w:t>an interactive wagering service provider</w:t>
            </w:r>
            <w:r w:rsidR="00B15DD1" w:rsidRPr="00AC48A5">
              <w:rPr>
                <w:rFonts w:ascii="Arial" w:hAnsi="Arial" w:cs="Arial"/>
                <w:spacing w:val="5"/>
                <w:sz w:val="24"/>
                <w:szCs w:val="24"/>
              </w:rPr>
              <w:t xml:space="preserve"> to their </w:t>
            </w:r>
            <w:r w:rsidR="005B6739" w:rsidRPr="00AC48A5">
              <w:rPr>
                <w:rFonts w:ascii="Arial" w:hAnsi="Arial" w:cs="Arial"/>
                <w:spacing w:val="5"/>
                <w:sz w:val="24"/>
                <w:szCs w:val="24"/>
              </w:rPr>
              <w:t>c</w:t>
            </w:r>
            <w:r w:rsidR="00B2288C">
              <w:rPr>
                <w:rFonts w:ascii="Arial" w:hAnsi="Arial" w:cs="Arial"/>
                <w:spacing w:val="5"/>
                <w:sz w:val="24"/>
                <w:szCs w:val="24"/>
              </w:rPr>
              <w:t>ustom</w:t>
            </w:r>
            <w:r w:rsidR="005B6739" w:rsidRPr="00AC48A5">
              <w:rPr>
                <w:rFonts w:ascii="Arial" w:hAnsi="Arial" w:cs="Arial"/>
                <w:spacing w:val="5"/>
                <w:sz w:val="24"/>
                <w:szCs w:val="24"/>
              </w:rPr>
              <w:t>er</w:t>
            </w:r>
            <w:r w:rsidR="00B15DD1" w:rsidRPr="00AC48A5">
              <w:rPr>
                <w:rFonts w:ascii="Arial" w:hAnsi="Arial" w:cs="Arial"/>
                <w:spacing w:val="5"/>
                <w:sz w:val="24"/>
                <w:szCs w:val="24"/>
              </w:rPr>
              <w:t>.</w:t>
            </w:r>
          </w:p>
          <w:p w14:paraId="454EC427" w14:textId="77777777" w:rsidR="00FB32C1" w:rsidRPr="00AC48A5" w:rsidRDefault="00AF6DE0" w:rsidP="00940768">
            <w:pPr>
              <w:pStyle w:val="ListParagraph"/>
              <w:numPr>
                <w:ilvl w:val="0"/>
                <w:numId w:val="9"/>
              </w:numPr>
              <w:tabs>
                <w:tab w:val="num" w:pos="348"/>
              </w:tabs>
              <w:spacing w:before="120" w:after="120"/>
              <w:ind w:left="346" w:right="-108" w:hanging="284"/>
              <w:contextualSpacing w:val="0"/>
              <w:rPr>
                <w:rFonts w:ascii="Arial" w:hAnsi="Arial" w:cs="Arial"/>
                <w:spacing w:val="5"/>
                <w:sz w:val="24"/>
                <w:szCs w:val="24"/>
              </w:rPr>
            </w:pPr>
            <w:r w:rsidRPr="00AC48A5">
              <w:rPr>
                <w:rFonts w:ascii="Arial" w:hAnsi="Arial" w:cs="Arial"/>
                <w:spacing w:val="5"/>
                <w:sz w:val="24"/>
                <w:szCs w:val="24"/>
              </w:rPr>
              <w:t>An o</w:t>
            </w:r>
            <w:r w:rsidR="00B15DD1" w:rsidRPr="00AC48A5">
              <w:rPr>
                <w:rFonts w:ascii="Arial" w:hAnsi="Arial" w:cs="Arial"/>
                <w:spacing w:val="5"/>
                <w:sz w:val="24"/>
                <w:szCs w:val="24"/>
              </w:rPr>
              <w:t>n-course bookmaker</w:t>
            </w:r>
            <w:r w:rsidRPr="00AC48A5">
              <w:rPr>
                <w:rFonts w:ascii="Arial" w:hAnsi="Arial" w:cs="Arial"/>
                <w:spacing w:val="5"/>
                <w:sz w:val="24"/>
                <w:szCs w:val="24"/>
              </w:rPr>
              <w:t>, who is an interactive wagering service provider,</w:t>
            </w:r>
            <w:r w:rsidR="00FB32C1" w:rsidRPr="00AC48A5">
              <w:rPr>
                <w:rFonts w:ascii="Arial" w:hAnsi="Arial" w:cs="Arial"/>
                <w:spacing w:val="5"/>
                <w:sz w:val="24"/>
                <w:szCs w:val="24"/>
              </w:rPr>
              <w:t xml:space="preserve"> </w:t>
            </w:r>
            <w:r w:rsidRPr="00AC48A5">
              <w:rPr>
                <w:rFonts w:ascii="Arial" w:hAnsi="Arial" w:cs="Arial"/>
                <w:spacing w:val="5"/>
                <w:sz w:val="24"/>
                <w:szCs w:val="24"/>
              </w:rPr>
              <w:t>is</w:t>
            </w:r>
            <w:r w:rsidR="00FB32C1" w:rsidRPr="00AC48A5">
              <w:rPr>
                <w:rFonts w:ascii="Arial" w:hAnsi="Arial" w:cs="Arial"/>
                <w:spacing w:val="5"/>
                <w:sz w:val="24"/>
                <w:szCs w:val="24"/>
              </w:rPr>
              <w:t xml:space="preserve"> exempt from this measure, but only </w:t>
            </w:r>
            <w:r w:rsidR="00A626D9" w:rsidRPr="00AC48A5">
              <w:rPr>
                <w:rFonts w:ascii="Arial" w:hAnsi="Arial" w:cs="Arial"/>
                <w:spacing w:val="5"/>
                <w:sz w:val="24"/>
                <w:szCs w:val="24"/>
              </w:rPr>
              <w:t xml:space="preserve">for </w:t>
            </w:r>
            <w:r w:rsidRPr="00AC48A5">
              <w:rPr>
                <w:rFonts w:ascii="Arial" w:hAnsi="Arial" w:cs="Arial"/>
                <w:spacing w:val="5"/>
                <w:sz w:val="24"/>
                <w:szCs w:val="24"/>
              </w:rPr>
              <w:t xml:space="preserve">that bookmaker’s </w:t>
            </w:r>
            <w:r w:rsidR="00B2288C">
              <w:rPr>
                <w:rFonts w:ascii="Arial" w:hAnsi="Arial" w:cs="Arial"/>
                <w:spacing w:val="5"/>
                <w:sz w:val="24"/>
                <w:szCs w:val="24"/>
              </w:rPr>
              <w:t>tele</w:t>
            </w:r>
            <w:r w:rsidR="00B15DD1" w:rsidRPr="00AC48A5">
              <w:rPr>
                <w:rFonts w:ascii="Arial" w:hAnsi="Arial" w:cs="Arial"/>
                <w:spacing w:val="5"/>
                <w:sz w:val="24"/>
                <w:szCs w:val="24"/>
              </w:rPr>
              <w:t>phone</w:t>
            </w:r>
            <w:r w:rsidR="00507EA7" w:rsidRPr="00AC48A5">
              <w:rPr>
                <w:rFonts w:ascii="Arial" w:hAnsi="Arial" w:cs="Arial"/>
                <w:spacing w:val="5"/>
                <w:sz w:val="24"/>
                <w:szCs w:val="24"/>
              </w:rPr>
              <w:t>-</w:t>
            </w:r>
            <w:r w:rsidR="00B15DD1" w:rsidRPr="00AC48A5">
              <w:rPr>
                <w:rFonts w:ascii="Arial" w:hAnsi="Arial" w:cs="Arial"/>
                <w:spacing w:val="5"/>
                <w:sz w:val="24"/>
                <w:szCs w:val="24"/>
              </w:rPr>
              <w:t xml:space="preserve">based betting </w:t>
            </w:r>
            <w:r w:rsidR="00A626D9" w:rsidRPr="00AC48A5">
              <w:rPr>
                <w:rFonts w:ascii="Arial" w:hAnsi="Arial" w:cs="Arial"/>
                <w:spacing w:val="5"/>
                <w:sz w:val="24"/>
                <w:szCs w:val="24"/>
              </w:rPr>
              <w:t>service</w:t>
            </w:r>
            <w:r w:rsidR="00092C95" w:rsidRPr="00AC48A5">
              <w:rPr>
                <w:rFonts w:ascii="Arial" w:hAnsi="Arial" w:cs="Arial"/>
                <w:spacing w:val="5"/>
                <w:sz w:val="24"/>
                <w:szCs w:val="24"/>
              </w:rPr>
              <w:t>.</w:t>
            </w:r>
            <w:r w:rsidR="00A626D9" w:rsidRPr="00AC48A5">
              <w:rPr>
                <w:rFonts w:ascii="Arial" w:hAnsi="Arial" w:cs="Arial"/>
                <w:spacing w:val="5"/>
                <w:sz w:val="24"/>
                <w:szCs w:val="24"/>
              </w:rPr>
              <w:t xml:space="preserve"> </w:t>
            </w:r>
          </w:p>
          <w:p w14:paraId="79C7D9F1" w14:textId="77777777" w:rsidR="002C1128" w:rsidRPr="003D51E4" w:rsidRDefault="002C1128" w:rsidP="001329B9">
            <w:pPr>
              <w:pStyle w:val="ListParagraph"/>
              <w:numPr>
                <w:ilvl w:val="0"/>
                <w:numId w:val="9"/>
              </w:numPr>
              <w:tabs>
                <w:tab w:val="num" w:pos="348"/>
              </w:tabs>
              <w:spacing w:before="120" w:after="120"/>
              <w:ind w:left="346" w:right="-108" w:hanging="284"/>
              <w:contextualSpacing w:val="0"/>
              <w:rPr>
                <w:rFonts w:ascii="Arial" w:hAnsi="Arial" w:cs="Arial"/>
                <w:spacing w:val="5"/>
                <w:sz w:val="24"/>
                <w:szCs w:val="24"/>
              </w:rPr>
            </w:pPr>
            <w:r w:rsidRPr="00AC48A5">
              <w:rPr>
                <w:rFonts w:ascii="Arial" w:hAnsi="Arial" w:cs="Arial"/>
                <w:spacing w:val="5"/>
                <w:sz w:val="24"/>
                <w:szCs w:val="24"/>
              </w:rPr>
              <w:t>A</w:t>
            </w:r>
            <w:r w:rsidRPr="00AC48A5">
              <w:t xml:space="preserve"> </w:t>
            </w:r>
            <w:r w:rsidRPr="000B36B2">
              <w:rPr>
                <w:rFonts w:ascii="Arial" w:hAnsi="Arial"/>
                <w:sz w:val="24"/>
              </w:rPr>
              <w:t>review of the</w:t>
            </w:r>
            <w:r w:rsidR="00E11C18" w:rsidRPr="000B36B2">
              <w:rPr>
                <w:rFonts w:ascii="Arial" w:hAnsi="Arial"/>
                <w:sz w:val="24"/>
              </w:rPr>
              <w:t xml:space="preserve"> operation of the</w:t>
            </w:r>
            <w:r w:rsidRPr="000B36B2">
              <w:rPr>
                <w:rFonts w:ascii="Arial" w:hAnsi="Arial"/>
                <w:sz w:val="24"/>
              </w:rPr>
              <w:t xml:space="preserve"> credit betting prohibition </w:t>
            </w:r>
            <w:r w:rsidR="00E11C18" w:rsidRPr="000B36B2">
              <w:rPr>
                <w:rFonts w:ascii="Arial" w:hAnsi="Arial"/>
                <w:sz w:val="24"/>
              </w:rPr>
              <w:t>(including</w:t>
            </w:r>
            <w:r w:rsidR="00E11C18" w:rsidRPr="00C22C79">
              <w:rPr>
                <w:rStyle w:val="BookTitle"/>
                <w:rFonts w:ascii="Arial" w:hAnsi="Arial" w:cs="Arial"/>
                <w:i w:val="0"/>
                <w:iCs w:val="0"/>
                <w:smallCaps w:val="0"/>
                <w:sz w:val="24"/>
                <w:szCs w:val="24"/>
              </w:rPr>
              <w:t xml:space="preserve"> its</w:t>
            </w:r>
            <w:r w:rsidR="00E11C18" w:rsidRPr="003D51E4">
              <w:rPr>
                <w:rStyle w:val="BookTitle"/>
                <w:rFonts w:ascii="Arial" w:hAnsi="Arial" w:cs="Arial"/>
                <w:i w:val="0"/>
                <w:iCs w:val="0"/>
                <w:smallCaps w:val="0"/>
                <w:sz w:val="24"/>
                <w:szCs w:val="24"/>
              </w:rPr>
              <w:t xml:space="preserve"> exemption) </w:t>
            </w:r>
            <w:r w:rsidR="003D51E4">
              <w:rPr>
                <w:rStyle w:val="BookTitle"/>
                <w:rFonts w:ascii="Arial" w:hAnsi="Arial" w:cs="Arial"/>
                <w:i w:val="0"/>
                <w:iCs w:val="0"/>
                <w:smallCaps w:val="0"/>
                <w:sz w:val="24"/>
                <w:szCs w:val="24"/>
              </w:rPr>
              <w:t>is to be conducted</w:t>
            </w:r>
            <w:r w:rsidR="00E11C18" w:rsidRPr="003D51E4">
              <w:rPr>
                <w:rStyle w:val="BookTitle"/>
                <w:rFonts w:ascii="Arial" w:hAnsi="Arial" w:cs="Arial"/>
                <w:i w:val="0"/>
                <w:iCs w:val="0"/>
                <w:smallCaps w:val="0"/>
                <w:sz w:val="24"/>
                <w:szCs w:val="24"/>
              </w:rPr>
              <w:t>.</w:t>
            </w:r>
          </w:p>
          <w:p w14:paraId="0300E139" w14:textId="77777777" w:rsidR="00B0003A" w:rsidRPr="003D51E4" w:rsidRDefault="00B0003A" w:rsidP="00940768">
            <w:pPr>
              <w:tabs>
                <w:tab w:val="num" w:pos="348"/>
              </w:tabs>
              <w:spacing w:before="120" w:after="120"/>
              <w:ind w:left="348" w:hanging="283"/>
            </w:pPr>
          </w:p>
        </w:tc>
        <w:tc>
          <w:tcPr>
            <w:tcW w:w="4536" w:type="dxa"/>
            <w:tcBorders>
              <w:bottom w:val="single" w:sz="4" w:space="0" w:color="auto"/>
            </w:tcBorders>
            <w:shd w:val="clear" w:color="auto" w:fill="auto"/>
          </w:tcPr>
          <w:p w14:paraId="53CD061F" w14:textId="77777777" w:rsidR="00B15DD1" w:rsidRPr="003D51E4" w:rsidRDefault="00B15DD1" w:rsidP="00940768">
            <w:pPr>
              <w:spacing w:before="120" w:after="120"/>
              <w:rPr>
                <w:rStyle w:val="BookTitle"/>
                <w:rFonts w:ascii="Arial" w:hAnsi="Arial" w:cs="Arial"/>
                <w:i w:val="0"/>
                <w:iCs w:val="0"/>
                <w:smallCaps w:val="0"/>
                <w:sz w:val="24"/>
                <w:szCs w:val="24"/>
              </w:rPr>
            </w:pPr>
            <w:r w:rsidRPr="003D51E4">
              <w:rPr>
                <w:rStyle w:val="BookTitle"/>
                <w:rFonts w:ascii="Arial" w:hAnsi="Arial" w:cs="Arial"/>
                <w:i w:val="0"/>
                <w:iCs w:val="0"/>
                <w:smallCaps w:val="0"/>
                <w:sz w:val="24"/>
                <w:szCs w:val="24"/>
              </w:rPr>
              <w:t xml:space="preserve">Under the Commonwealth’s </w:t>
            </w:r>
            <w:r w:rsidRPr="003D51E4">
              <w:rPr>
                <w:rStyle w:val="BookTitle"/>
                <w:rFonts w:ascii="Arial" w:hAnsi="Arial" w:cs="Arial"/>
                <w:iCs w:val="0"/>
                <w:smallCaps w:val="0"/>
                <w:sz w:val="24"/>
                <w:szCs w:val="24"/>
              </w:rPr>
              <w:t>Interactive Gambling Amendment Act 2017</w:t>
            </w:r>
            <w:r w:rsidRPr="003D51E4">
              <w:rPr>
                <w:rStyle w:val="BookTitle"/>
                <w:rFonts w:ascii="Arial" w:hAnsi="Arial" w:cs="Arial"/>
                <w:i w:val="0"/>
                <w:iCs w:val="0"/>
                <w:smallCaps w:val="0"/>
                <w:sz w:val="24"/>
                <w:szCs w:val="24"/>
              </w:rPr>
              <w:t>, this</w:t>
            </w:r>
            <w:r w:rsidR="004B73A2">
              <w:rPr>
                <w:rStyle w:val="BookTitle"/>
                <w:rFonts w:ascii="Arial" w:hAnsi="Arial" w:cs="Arial"/>
                <w:i w:val="0"/>
                <w:iCs w:val="0"/>
                <w:smallCaps w:val="0"/>
                <w:sz w:val="24"/>
                <w:szCs w:val="24"/>
              </w:rPr>
              <w:t> </w:t>
            </w:r>
            <w:r w:rsidRPr="003D51E4">
              <w:rPr>
                <w:rStyle w:val="BookTitle"/>
                <w:rFonts w:ascii="Arial" w:hAnsi="Arial" w:cs="Arial"/>
                <w:i w:val="0"/>
                <w:iCs w:val="0"/>
                <w:smallCaps w:val="0"/>
                <w:sz w:val="24"/>
                <w:szCs w:val="24"/>
              </w:rPr>
              <w:t xml:space="preserve">measure </w:t>
            </w:r>
            <w:r w:rsidR="00DC78EF">
              <w:rPr>
                <w:rStyle w:val="BookTitle"/>
                <w:rFonts w:ascii="Arial" w:hAnsi="Arial" w:cs="Arial"/>
                <w:i w:val="0"/>
                <w:iCs w:val="0"/>
                <w:smallCaps w:val="0"/>
                <w:sz w:val="24"/>
                <w:szCs w:val="24"/>
              </w:rPr>
              <w:t>took effect</w:t>
            </w:r>
            <w:r w:rsidR="00CE2FBB" w:rsidRPr="003D51E4">
              <w:rPr>
                <w:rStyle w:val="BookTitle"/>
                <w:rFonts w:ascii="Arial" w:hAnsi="Arial" w:cs="Arial"/>
                <w:i w:val="0"/>
                <w:iCs w:val="0"/>
                <w:smallCaps w:val="0"/>
                <w:sz w:val="24"/>
                <w:szCs w:val="24"/>
              </w:rPr>
              <w:t xml:space="preserve"> </w:t>
            </w:r>
            <w:r w:rsidRPr="003D51E4">
              <w:rPr>
                <w:rStyle w:val="BookTitle"/>
                <w:rFonts w:ascii="Arial" w:hAnsi="Arial" w:cs="Arial"/>
                <w:i w:val="0"/>
                <w:iCs w:val="0"/>
                <w:smallCaps w:val="0"/>
                <w:sz w:val="24"/>
                <w:szCs w:val="24"/>
              </w:rPr>
              <w:t xml:space="preserve">on </w:t>
            </w:r>
            <w:r w:rsidRPr="003D51E4">
              <w:rPr>
                <w:rStyle w:val="BookTitle"/>
                <w:rFonts w:ascii="Arial" w:hAnsi="Arial" w:cs="Arial"/>
                <w:b/>
                <w:i w:val="0"/>
                <w:iCs w:val="0"/>
                <w:smallCaps w:val="0"/>
                <w:sz w:val="24"/>
                <w:szCs w:val="24"/>
              </w:rPr>
              <w:t>1</w:t>
            </w:r>
            <w:r w:rsidR="00AC0EE0" w:rsidRPr="003D51E4">
              <w:rPr>
                <w:rStyle w:val="BookTitle"/>
                <w:rFonts w:ascii="Arial" w:hAnsi="Arial" w:cs="Arial"/>
                <w:b/>
                <w:i w:val="0"/>
                <w:iCs w:val="0"/>
                <w:smallCaps w:val="0"/>
                <w:sz w:val="24"/>
                <w:szCs w:val="24"/>
              </w:rPr>
              <w:t>7</w:t>
            </w:r>
            <w:r w:rsidR="00092C95" w:rsidRPr="003D51E4">
              <w:rPr>
                <w:rStyle w:val="BookTitle"/>
                <w:rFonts w:ascii="Arial" w:hAnsi="Arial" w:cs="Arial"/>
                <w:b/>
                <w:i w:val="0"/>
                <w:iCs w:val="0"/>
                <w:smallCaps w:val="0"/>
                <w:sz w:val="24"/>
                <w:szCs w:val="24"/>
              </w:rPr>
              <w:t> </w:t>
            </w:r>
            <w:r w:rsidR="00AC0EE0" w:rsidRPr="003D51E4">
              <w:rPr>
                <w:rStyle w:val="BookTitle"/>
                <w:rFonts w:ascii="Arial" w:hAnsi="Arial" w:cs="Arial"/>
                <w:b/>
                <w:i w:val="0"/>
                <w:iCs w:val="0"/>
                <w:smallCaps w:val="0"/>
                <w:sz w:val="24"/>
                <w:szCs w:val="24"/>
              </w:rPr>
              <w:t>February</w:t>
            </w:r>
            <w:r w:rsidR="00CE2FBB">
              <w:rPr>
                <w:rStyle w:val="BookTitle"/>
                <w:rFonts w:ascii="Arial" w:hAnsi="Arial" w:cs="Arial"/>
                <w:b/>
                <w:i w:val="0"/>
                <w:iCs w:val="0"/>
                <w:smallCaps w:val="0"/>
                <w:sz w:val="24"/>
                <w:szCs w:val="24"/>
              </w:rPr>
              <w:t> </w:t>
            </w:r>
            <w:r w:rsidRPr="003D51E4">
              <w:rPr>
                <w:rStyle w:val="BookTitle"/>
                <w:rFonts w:ascii="Arial" w:hAnsi="Arial" w:cs="Arial"/>
                <w:b/>
                <w:i w:val="0"/>
                <w:iCs w:val="0"/>
                <w:smallCaps w:val="0"/>
                <w:sz w:val="24"/>
                <w:szCs w:val="24"/>
              </w:rPr>
              <w:t>2018</w:t>
            </w:r>
            <w:r w:rsidRPr="002F3197">
              <w:rPr>
                <w:rStyle w:val="BookTitle"/>
                <w:rFonts w:ascii="Arial" w:hAnsi="Arial"/>
                <w:i w:val="0"/>
                <w:smallCaps w:val="0"/>
                <w:sz w:val="24"/>
              </w:rPr>
              <w:t>.</w:t>
            </w:r>
            <w:r w:rsidRPr="002F3197">
              <w:rPr>
                <w:rStyle w:val="BookTitle"/>
                <w:rFonts w:ascii="Arial" w:hAnsi="Arial" w:cs="Arial"/>
                <w:i w:val="0"/>
                <w:iCs w:val="0"/>
                <w:smallCaps w:val="0"/>
                <w:sz w:val="24"/>
                <w:szCs w:val="24"/>
              </w:rPr>
              <w:t xml:space="preserve"> </w:t>
            </w:r>
          </w:p>
          <w:p w14:paraId="7B70B8DD" w14:textId="77777777" w:rsidR="000B4E85" w:rsidRPr="003D51E4" w:rsidRDefault="00E11C18" w:rsidP="007B72FD">
            <w:pPr>
              <w:spacing w:before="120" w:after="120"/>
              <w:rPr>
                <w:rStyle w:val="BookTitle"/>
                <w:rFonts w:ascii="Arial" w:hAnsi="Arial" w:cs="Arial"/>
                <w:i w:val="0"/>
                <w:iCs w:val="0"/>
                <w:smallCaps w:val="0"/>
                <w:sz w:val="24"/>
                <w:szCs w:val="24"/>
              </w:rPr>
            </w:pPr>
            <w:r w:rsidRPr="003D51E4">
              <w:rPr>
                <w:rStyle w:val="BookTitle"/>
                <w:rFonts w:ascii="Arial" w:hAnsi="Arial" w:cs="Arial"/>
                <w:i w:val="0"/>
                <w:iCs w:val="0"/>
                <w:smallCaps w:val="0"/>
                <w:sz w:val="24"/>
                <w:szCs w:val="24"/>
              </w:rPr>
              <w:t xml:space="preserve">The Commonwealth will </w:t>
            </w:r>
            <w:r w:rsidR="003D51E4">
              <w:rPr>
                <w:rStyle w:val="BookTitle"/>
                <w:rFonts w:ascii="Arial" w:hAnsi="Arial" w:cs="Arial"/>
                <w:i w:val="0"/>
                <w:iCs w:val="0"/>
                <w:smallCaps w:val="0"/>
                <w:sz w:val="24"/>
                <w:szCs w:val="24"/>
              </w:rPr>
              <w:t>conduct a</w:t>
            </w:r>
            <w:r w:rsidRPr="003D51E4">
              <w:rPr>
                <w:rStyle w:val="BookTitle"/>
                <w:rFonts w:ascii="Arial" w:hAnsi="Arial" w:cs="Arial"/>
                <w:i w:val="0"/>
                <w:iCs w:val="0"/>
                <w:smallCaps w:val="0"/>
                <w:sz w:val="24"/>
                <w:szCs w:val="24"/>
              </w:rPr>
              <w:t xml:space="preserve"> review of the prohibition </w:t>
            </w:r>
            <w:r w:rsidR="00CE2FBB">
              <w:rPr>
                <w:rStyle w:val="BookTitle"/>
                <w:rFonts w:ascii="Arial" w:hAnsi="Arial" w:cs="Arial"/>
                <w:i w:val="0"/>
                <w:iCs w:val="0"/>
                <w:smallCaps w:val="0"/>
                <w:sz w:val="24"/>
                <w:szCs w:val="24"/>
              </w:rPr>
              <w:t xml:space="preserve">at </w:t>
            </w:r>
            <w:r w:rsidR="002C1128" w:rsidRPr="003D51E4">
              <w:rPr>
                <w:rStyle w:val="BookTitle"/>
                <w:rFonts w:ascii="Arial" w:hAnsi="Arial" w:cs="Arial"/>
                <w:i w:val="0"/>
                <w:iCs w:val="0"/>
                <w:smallCaps w:val="0"/>
                <w:sz w:val="24"/>
                <w:szCs w:val="24"/>
              </w:rPr>
              <w:t>the</w:t>
            </w:r>
            <w:r w:rsidRPr="003D51E4">
              <w:rPr>
                <w:rStyle w:val="BookTitle"/>
                <w:rFonts w:ascii="Arial" w:hAnsi="Arial" w:cs="Arial"/>
                <w:i w:val="0"/>
                <w:iCs w:val="0"/>
                <w:smallCaps w:val="0"/>
                <w:sz w:val="24"/>
                <w:szCs w:val="24"/>
              </w:rPr>
              <w:t xml:space="preserve"> end of the</w:t>
            </w:r>
            <w:r w:rsidR="002C1128" w:rsidRPr="003D51E4">
              <w:rPr>
                <w:rStyle w:val="BookTitle"/>
                <w:rFonts w:ascii="Arial" w:hAnsi="Arial" w:cs="Arial"/>
                <w:i w:val="0"/>
                <w:iCs w:val="0"/>
                <w:smallCaps w:val="0"/>
                <w:sz w:val="24"/>
                <w:szCs w:val="24"/>
              </w:rPr>
              <w:t xml:space="preserve"> </w:t>
            </w:r>
            <w:r w:rsidR="002C1128" w:rsidRPr="00212DFC">
              <w:rPr>
                <w:rStyle w:val="BookTitle"/>
                <w:rFonts w:ascii="Arial" w:hAnsi="Arial"/>
                <w:b/>
                <w:i w:val="0"/>
                <w:smallCaps w:val="0"/>
                <w:sz w:val="24"/>
              </w:rPr>
              <w:t>3 year</w:t>
            </w:r>
            <w:r w:rsidR="002C1128" w:rsidRPr="003D51E4">
              <w:rPr>
                <w:rStyle w:val="BookTitle"/>
                <w:rFonts w:ascii="Arial" w:hAnsi="Arial" w:cs="Arial"/>
                <w:i w:val="0"/>
                <w:iCs w:val="0"/>
                <w:smallCaps w:val="0"/>
                <w:sz w:val="24"/>
                <w:szCs w:val="24"/>
              </w:rPr>
              <w:t xml:space="preserve"> period </w:t>
            </w:r>
            <w:r w:rsidR="004C61EA">
              <w:rPr>
                <w:rStyle w:val="BookTitle"/>
                <w:rFonts w:ascii="Arial" w:hAnsi="Arial" w:cs="Arial"/>
                <w:i w:val="0"/>
                <w:iCs w:val="0"/>
                <w:smallCaps w:val="0"/>
                <w:sz w:val="24"/>
                <w:szCs w:val="24"/>
              </w:rPr>
              <w:t xml:space="preserve">from the </w:t>
            </w:r>
            <w:r w:rsidR="007B72FD">
              <w:rPr>
                <w:rStyle w:val="BookTitle"/>
                <w:rFonts w:ascii="Arial" w:hAnsi="Arial" w:cs="Arial"/>
                <w:i w:val="0"/>
                <w:iCs w:val="0"/>
                <w:smallCaps w:val="0"/>
                <w:sz w:val="24"/>
                <w:szCs w:val="24"/>
              </w:rPr>
              <w:t xml:space="preserve">date </w:t>
            </w:r>
            <w:r w:rsidR="004C61EA">
              <w:rPr>
                <w:rStyle w:val="BookTitle"/>
                <w:rFonts w:ascii="Arial" w:hAnsi="Arial" w:cs="Arial"/>
                <w:i w:val="0"/>
                <w:iCs w:val="0"/>
                <w:smallCaps w:val="0"/>
                <w:sz w:val="24"/>
                <w:szCs w:val="24"/>
              </w:rPr>
              <w:t>this measure</w:t>
            </w:r>
            <w:r w:rsidR="007B72FD">
              <w:rPr>
                <w:rStyle w:val="BookTitle"/>
                <w:rFonts w:ascii="Arial" w:hAnsi="Arial" w:cs="Arial"/>
                <w:i w:val="0"/>
                <w:iCs w:val="0"/>
                <w:smallCaps w:val="0"/>
                <w:sz w:val="24"/>
                <w:szCs w:val="24"/>
              </w:rPr>
              <w:t xml:space="preserve"> took effect</w:t>
            </w:r>
            <w:r w:rsidR="002C1128" w:rsidRPr="003D51E4">
              <w:rPr>
                <w:rStyle w:val="BookTitle"/>
                <w:rFonts w:ascii="Arial" w:hAnsi="Arial" w:cs="Arial"/>
                <w:i w:val="0"/>
                <w:iCs w:val="0"/>
                <w:smallCaps w:val="0"/>
                <w:sz w:val="24"/>
                <w:szCs w:val="24"/>
              </w:rPr>
              <w:t xml:space="preserve">. </w:t>
            </w:r>
          </w:p>
        </w:tc>
      </w:tr>
      <w:tr w:rsidR="00197D31" w:rsidRPr="003D51E4" w14:paraId="1A215AEA" w14:textId="77777777" w:rsidTr="00940768">
        <w:trPr>
          <w:cantSplit/>
          <w:trHeight w:val="2743"/>
        </w:trPr>
        <w:tc>
          <w:tcPr>
            <w:tcW w:w="2978" w:type="dxa"/>
            <w:shd w:val="clear" w:color="auto" w:fill="auto"/>
          </w:tcPr>
          <w:p w14:paraId="3E201192" w14:textId="77777777" w:rsidR="00B15DD1" w:rsidRPr="003D51E4" w:rsidRDefault="00A2752B" w:rsidP="00940768">
            <w:pPr>
              <w:spacing w:before="120" w:after="120"/>
              <w:rPr>
                <w:rFonts w:ascii="Arial" w:hAnsi="Arial" w:cs="Arial"/>
                <w:b/>
                <w:sz w:val="24"/>
                <w:szCs w:val="24"/>
              </w:rPr>
            </w:pPr>
            <w:r w:rsidRPr="003D51E4">
              <w:rPr>
                <w:rFonts w:ascii="Arial" w:hAnsi="Arial" w:cs="Arial"/>
                <w:b/>
                <w:sz w:val="24"/>
                <w:szCs w:val="24"/>
              </w:rPr>
              <w:t>2:</w:t>
            </w:r>
            <w:r w:rsidR="00B15DD1" w:rsidRPr="003D51E4">
              <w:rPr>
                <w:rFonts w:ascii="Arial" w:hAnsi="Arial" w:cs="Arial"/>
                <w:b/>
                <w:sz w:val="24"/>
                <w:szCs w:val="24"/>
              </w:rPr>
              <w:t xml:space="preserve"> Payday lenders </w:t>
            </w:r>
          </w:p>
          <w:p w14:paraId="6F4ED91D" w14:textId="77777777" w:rsidR="00B15DD1" w:rsidRPr="003D51E4" w:rsidRDefault="00B15DD1" w:rsidP="00940768">
            <w:pPr>
              <w:spacing w:before="120" w:after="120"/>
              <w:rPr>
                <w:rFonts w:ascii="Arial" w:hAnsi="Arial" w:cs="Arial"/>
                <w:sz w:val="24"/>
                <w:szCs w:val="24"/>
              </w:rPr>
            </w:pPr>
            <w:r w:rsidRPr="003D51E4">
              <w:rPr>
                <w:rFonts w:ascii="Arial" w:hAnsi="Arial" w:cs="Arial"/>
                <w:sz w:val="24"/>
                <w:szCs w:val="24"/>
              </w:rPr>
              <w:t>This measure discourages the use of small amount credit contracts (payday lending) for online wagering.</w:t>
            </w:r>
          </w:p>
          <w:p w14:paraId="3EEC2DE3" w14:textId="77777777" w:rsidR="00B15DD1" w:rsidRPr="003D51E4" w:rsidRDefault="00B15DD1" w:rsidP="00940768">
            <w:pPr>
              <w:spacing w:before="120" w:after="120"/>
              <w:rPr>
                <w:rFonts w:ascii="Arial" w:hAnsi="Arial" w:cs="Arial"/>
                <w:sz w:val="24"/>
                <w:szCs w:val="24"/>
              </w:rPr>
            </w:pPr>
          </w:p>
        </w:tc>
        <w:tc>
          <w:tcPr>
            <w:tcW w:w="7797" w:type="dxa"/>
            <w:shd w:val="clear" w:color="auto" w:fill="auto"/>
          </w:tcPr>
          <w:p w14:paraId="05A93D27" w14:textId="77777777" w:rsidR="00B15DD1" w:rsidRPr="003D51E4" w:rsidRDefault="00A626D9" w:rsidP="001329B9">
            <w:pPr>
              <w:pStyle w:val="ListParagraph"/>
              <w:numPr>
                <w:ilvl w:val="0"/>
                <w:numId w:val="9"/>
              </w:numPr>
              <w:tabs>
                <w:tab w:val="num" w:pos="348"/>
              </w:tabs>
              <w:spacing w:before="120" w:after="120"/>
              <w:ind w:left="346" w:right="-108" w:hanging="284"/>
              <w:contextualSpacing w:val="0"/>
              <w:rPr>
                <w:rFonts w:ascii="Arial" w:hAnsi="Arial" w:cs="Arial"/>
                <w:spacing w:val="5"/>
                <w:sz w:val="24"/>
                <w:szCs w:val="24"/>
              </w:rPr>
            </w:pPr>
            <w:r w:rsidRPr="003D51E4">
              <w:rPr>
                <w:rFonts w:ascii="Arial" w:hAnsi="Arial" w:cs="Arial"/>
                <w:spacing w:val="5"/>
                <w:sz w:val="24"/>
                <w:szCs w:val="24"/>
              </w:rPr>
              <w:t>S</w:t>
            </w:r>
            <w:r w:rsidR="00B15DD1" w:rsidRPr="003D51E4">
              <w:rPr>
                <w:rFonts w:ascii="Arial" w:hAnsi="Arial" w:cs="Arial"/>
                <w:spacing w:val="5"/>
                <w:sz w:val="24"/>
                <w:szCs w:val="24"/>
              </w:rPr>
              <w:t>mall amount credit contract</w:t>
            </w:r>
            <w:r w:rsidR="00B0003A" w:rsidRPr="003D51E4">
              <w:rPr>
                <w:rFonts w:ascii="Arial" w:hAnsi="Arial" w:cs="Arial"/>
                <w:spacing w:val="5"/>
                <w:sz w:val="24"/>
                <w:szCs w:val="24"/>
              </w:rPr>
              <w:t>s</w:t>
            </w:r>
            <w:r w:rsidR="00B15DD1" w:rsidRPr="003D51E4">
              <w:rPr>
                <w:rFonts w:ascii="Arial" w:hAnsi="Arial" w:cs="Arial"/>
                <w:spacing w:val="5"/>
                <w:sz w:val="24"/>
                <w:szCs w:val="24"/>
              </w:rPr>
              <w:t xml:space="preserve"> </w:t>
            </w:r>
            <w:r w:rsidRPr="003D51E4">
              <w:rPr>
                <w:rFonts w:ascii="Arial" w:hAnsi="Arial" w:cs="Arial"/>
                <w:spacing w:val="5"/>
                <w:sz w:val="24"/>
                <w:szCs w:val="24"/>
              </w:rPr>
              <w:t>must</w:t>
            </w:r>
            <w:r w:rsidR="00D31C89" w:rsidRPr="003D51E4">
              <w:rPr>
                <w:rFonts w:ascii="Arial" w:hAnsi="Arial" w:cs="Arial"/>
                <w:spacing w:val="5"/>
                <w:sz w:val="24"/>
                <w:szCs w:val="24"/>
              </w:rPr>
              <w:t xml:space="preserve"> </w:t>
            </w:r>
            <w:r w:rsidR="00A2752B" w:rsidRPr="003D51E4">
              <w:rPr>
                <w:rFonts w:ascii="Arial" w:hAnsi="Arial" w:cs="Arial"/>
                <w:spacing w:val="5"/>
                <w:sz w:val="24"/>
                <w:szCs w:val="24"/>
              </w:rPr>
              <w:t>n</w:t>
            </w:r>
            <w:r w:rsidR="00D31C89" w:rsidRPr="003D51E4">
              <w:rPr>
                <w:rFonts w:ascii="Arial" w:hAnsi="Arial" w:cs="Arial"/>
                <w:spacing w:val="5"/>
                <w:sz w:val="24"/>
                <w:szCs w:val="24"/>
              </w:rPr>
              <w:t>o</w:t>
            </w:r>
            <w:r w:rsidR="00A2752B" w:rsidRPr="003D51E4">
              <w:rPr>
                <w:rFonts w:ascii="Arial" w:hAnsi="Arial" w:cs="Arial"/>
                <w:spacing w:val="5"/>
                <w:sz w:val="24"/>
                <w:szCs w:val="24"/>
              </w:rPr>
              <w:t>t</w:t>
            </w:r>
            <w:r w:rsidRPr="003D51E4">
              <w:rPr>
                <w:rFonts w:ascii="Arial" w:hAnsi="Arial" w:cs="Arial"/>
                <w:spacing w:val="5"/>
                <w:sz w:val="24"/>
                <w:szCs w:val="24"/>
              </w:rPr>
              <w:t xml:space="preserve"> be advertised or marketed </w:t>
            </w:r>
            <w:r w:rsidR="00B15DD1" w:rsidRPr="003D51E4">
              <w:rPr>
                <w:rFonts w:ascii="Arial" w:hAnsi="Arial" w:cs="Arial"/>
                <w:spacing w:val="5"/>
                <w:sz w:val="24"/>
                <w:szCs w:val="24"/>
              </w:rPr>
              <w:t>on</w:t>
            </w:r>
            <w:r w:rsidR="00294DF5" w:rsidRPr="003D51E4">
              <w:rPr>
                <w:rFonts w:ascii="Arial" w:hAnsi="Arial" w:cs="Arial"/>
                <w:spacing w:val="5"/>
                <w:sz w:val="24"/>
                <w:szCs w:val="24"/>
              </w:rPr>
              <w:t xml:space="preserve"> a</w:t>
            </w:r>
            <w:r w:rsidR="00F90EB0" w:rsidRPr="003D51E4">
              <w:rPr>
                <w:rFonts w:ascii="Arial" w:hAnsi="Arial" w:cs="Arial"/>
                <w:spacing w:val="5"/>
                <w:sz w:val="24"/>
                <w:szCs w:val="24"/>
              </w:rPr>
              <w:t>n</w:t>
            </w:r>
            <w:r w:rsidR="009762F7" w:rsidRPr="003D51E4">
              <w:rPr>
                <w:rFonts w:ascii="Arial" w:hAnsi="Arial" w:cs="Arial"/>
                <w:spacing w:val="5"/>
                <w:sz w:val="24"/>
                <w:szCs w:val="24"/>
              </w:rPr>
              <w:t xml:space="preserve"> </w:t>
            </w:r>
            <w:r w:rsidR="00AF6DE0" w:rsidRPr="003D51E4">
              <w:rPr>
                <w:rFonts w:ascii="Arial" w:hAnsi="Arial" w:cs="Arial"/>
                <w:spacing w:val="5"/>
                <w:sz w:val="24"/>
                <w:szCs w:val="24"/>
              </w:rPr>
              <w:t>interactive wagering service provider</w:t>
            </w:r>
            <w:r w:rsidR="009762F7" w:rsidRPr="003D51E4">
              <w:rPr>
                <w:rFonts w:ascii="Arial" w:hAnsi="Arial" w:cs="Arial"/>
                <w:spacing w:val="5"/>
                <w:sz w:val="24"/>
                <w:szCs w:val="24"/>
              </w:rPr>
              <w:t>’s</w:t>
            </w:r>
            <w:r w:rsidR="00B15DD1" w:rsidRPr="003D51E4">
              <w:rPr>
                <w:rFonts w:ascii="Arial" w:hAnsi="Arial" w:cs="Arial"/>
                <w:spacing w:val="5"/>
                <w:sz w:val="24"/>
                <w:szCs w:val="24"/>
              </w:rPr>
              <w:t xml:space="preserve"> website</w:t>
            </w:r>
            <w:r w:rsidR="002A7884" w:rsidRPr="003D51E4">
              <w:rPr>
                <w:rFonts w:ascii="Arial" w:hAnsi="Arial" w:cs="Arial"/>
                <w:spacing w:val="5"/>
                <w:sz w:val="24"/>
                <w:szCs w:val="24"/>
              </w:rPr>
              <w:t>.</w:t>
            </w:r>
          </w:p>
          <w:p w14:paraId="489BB2EC" w14:textId="77777777" w:rsidR="00676070" w:rsidRPr="003D51E4" w:rsidRDefault="00B2288C" w:rsidP="00940768">
            <w:pPr>
              <w:pStyle w:val="ListParagraph"/>
              <w:numPr>
                <w:ilvl w:val="0"/>
                <w:numId w:val="9"/>
              </w:numPr>
              <w:tabs>
                <w:tab w:val="num" w:pos="348"/>
              </w:tabs>
              <w:spacing w:before="120" w:after="120"/>
              <w:ind w:left="346" w:hanging="284"/>
              <w:contextualSpacing w:val="0"/>
              <w:rPr>
                <w:rFonts w:ascii="Arial" w:hAnsi="Arial" w:cs="Arial"/>
                <w:spacing w:val="5"/>
                <w:sz w:val="24"/>
                <w:szCs w:val="24"/>
              </w:rPr>
            </w:pPr>
            <w:r>
              <w:rPr>
                <w:rFonts w:ascii="Arial" w:hAnsi="Arial" w:cs="Arial"/>
                <w:spacing w:val="5"/>
                <w:sz w:val="24"/>
                <w:szCs w:val="24"/>
              </w:rPr>
              <w:t>An online wagering consumer</w:t>
            </w:r>
            <w:r w:rsidR="002A7884" w:rsidRPr="003D51E4">
              <w:rPr>
                <w:rFonts w:ascii="Arial" w:hAnsi="Arial" w:cs="Arial"/>
                <w:spacing w:val="5"/>
                <w:sz w:val="24"/>
                <w:szCs w:val="24"/>
              </w:rPr>
              <w:t xml:space="preserve"> must not be referred </w:t>
            </w:r>
            <w:r w:rsidR="00B15DD1" w:rsidRPr="003D51E4">
              <w:rPr>
                <w:rFonts w:ascii="Arial" w:hAnsi="Arial" w:cs="Arial"/>
                <w:spacing w:val="5"/>
                <w:sz w:val="24"/>
                <w:szCs w:val="24"/>
              </w:rPr>
              <w:t xml:space="preserve">to </w:t>
            </w:r>
            <w:r>
              <w:rPr>
                <w:rFonts w:ascii="Arial" w:hAnsi="Arial" w:cs="Arial"/>
                <w:spacing w:val="5"/>
                <w:sz w:val="24"/>
                <w:szCs w:val="24"/>
              </w:rPr>
              <w:t>a</w:t>
            </w:r>
            <w:r w:rsidR="00FB32C1" w:rsidRPr="003D51E4">
              <w:rPr>
                <w:rFonts w:ascii="Arial" w:hAnsi="Arial" w:cs="Arial"/>
                <w:spacing w:val="5"/>
                <w:sz w:val="24"/>
                <w:szCs w:val="24"/>
              </w:rPr>
              <w:t xml:space="preserve"> </w:t>
            </w:r>
            <w:r w:rsidR="00B15DD1" w:rsidRPr="003D51E4">
              <w:rPr>
                <w:rFonts w:ascii="Arial" w:hAnsi="Arial" w:cs="Arial"/>
                <w:spacing w:val="5"/>
                <w:sz w:val="24"/>
                <w:szCs w:val="24"/>
              </w:rPr>
              <w:t>credit</w:t>
            </w:r>
            <w:r w:rsidR="00FB32C1" w:rsidRPr="003D51E4">
              <w:rPr>
                <w:rFonts w:ascii="Arial" w:hAnsi="Arial" w:cs="Arial"/>
                <w:spacing w:val="5"/>
                <w:sz w:val="24"/>
                <w:szCs w:val="24"/>
              </w:rPr>
              <w:t xml:space="preserve"> provider to </w:t>
            </w:r>
            <w:r w:rsidR="00B15DD1" w:rsidRPr="003D51E4">
              <w:rPr>
                <w:rFonts w:ascii="Arial" w:hAnsi="Arial" w:cs="Arial"/>
                <w:spacing w:val="5"/>
                <w:sz w:val="24"/>
                <w:szCs w:val="24"/>
              </w:rPr>
              <w:t>finance</w:t>
            </w:r>
            <w:r w:rsidR="002A7884" w:rsidRPr="003D51E4">
              <w:rPr>
                <w:rFonts w:ascii="Arial" w:hAnsi="Arial" w:cs="Arial"/>
                <w:spacing w:val="5"/>
                <w:sz w:val="24"/>
                <w:szCs w:val="24"/>
              </w:rPr>
              <w:t xml:space="preserve"> their</w:t>
            </w:r>
            <w:r w:rsidR="00B15DD1" w:rsidRPr="003D51E4">
              <w:rPr>
                <w:rFonts w:ascii="Arial" w:hAnsi="Arial" w:cs="Arial"/>
                <w:spacing w:val="5"/>
                <w:sz w:val="24"/>
                <w:szCs w:val="24"/>
              </w:rPr>
              <w:t xml:space="preserve"> wagering activit</w:t>
            </w:r>
            <w:r w:rsidR="002A7884" w:rsidRPr="003D51E4">
              <w:rPr>
                <w:rFonts w:ascii="Arial" w:hAnsi="Arial" w:cs="Arial"/>
                <w:spacing w:val="5"/>
                <w:sz w:val="24"/>
                <w:szCs w:val="24"/>
              </w:rPr>
              <w:t>y</w:t>
            </w:r>
            <w:r w:rsidR="00676070" w:rsidRPr="003D51E4">
              <w:rPr>
                <w:rFonts w:ascii="Arial" w:hAnsi="Arial" w:cs="Arial"/>
                <w:spacing w:val="5"/>
                <w:sz w:val="24"/>
                <w:szCs w:val="24"/>
              </w:rPr>
              <w:t>.</w:t>
            </w:r>
          </w:p>
          <w:p w14:paraId="182BD297" w14:textId="77777777" w:rsidR="002A7884" w:rsidRPr="003D51E4" w:rsidRDefault="00FB32C1" w:rsidP="00940768">
            <w:pPr>
              <w:pStyle w:val="ListParagraph"/>
              <w:numPr>
                <w:ilvl w:val="0"/>
                <w:numId w:val="9"/>
              </w:numPr>
              <w:tabs>
                <w:tab w:val="num" w:pos="348"/>
              </w:tabs>
              <w:spacing w:before="120" w:after="120"/>
              <w:ind w:left="346" w:hanging="284"/>
              <w:contextualSpacing w:val="0"/>
              <w:rPr>
                <w:rStyle w:val="BookTitle"/>
                <w:rFonts w:ascii="Arial" w:hAnsi="Arial" w:cs="Arial"/>
                <w:b/>
                <w:i w:val="0"/>
                <w:iCs w:val="0"/>
                <w:smallCaps w:val="0"/>
                <w:spacing w:val="0"/>
                <w:sz w:val="24"/>
                <w:szCs w:val="24"/>
                <w:u w:val="single"/>
              </w:rPr>
            </w:pPr>
            <w:r w:rsidRPr="003D51E4">
              <w:rPr>
                <w:rFonts w:ascii="Arial" w:hAnsi="Arial" w:cs="Arial"/>
                <w:spacing w:val="5"/>
                <w:sz w:val="24"/>
                <w:szCs w:val="24"/>
              </w:rPr>
              <w:t xml:space="preserve">Information </w:t>
            </w:r>
            <w:r w:rsidR="00792E7A" w:rsidRPr="003D51E4">
              <w:rPr>
                <w:rFonts w:ascii="Arial" w:hAnsi="Arial" w:cs="Arial"/>
                <w:spacing w:val="5"/>
                <w:sz w:val="24"/>
                <w:szCs w:val="24"/>
              </w:rPr>
              <w:t xml:space="preserve">related </w:t>
            </w:r>
            <w:r w:rsidR="00507EA7" w:rsidRPr="003D51E4">
              <w:rPr>
                <w:rFonts w:ascii="Arial" w:hAnsi="Arial" w:cs="Arial"/>
                <w:spacing w:val="5"/>
                <w:sz w:val="24"/>
                <w:szCs w:val="24"/>
              </w:rPr>
              <w:t>to</w:t>
            </w:r>
            <w:r w:rsidRPr="003D51E4">
              <w:rPr>
                <w:rFonts w:ascii="Arial" w:hAnsi="Arial" w:cs="Arial"/>
                <w:spacing w:val="5"/>
                <w:sz w:val="24"/>
                <w:szCs w:val="24"/>
              </w:rPr>
              <w:t xml:space="preserve"> an online wagering consumer </w:t>
            </w:r>
            <w:r w:rsidR="00676070" w:rsidRPr="003D51E4">
              <w:rPr>
                <w:rFonts w:ascii="Arial" w:hAnsi="Arial" w:cs="Arial"/>
                <w:spacing w:val="5"/>
                <w:sz w:val="24"/>
                <w:szCs w:val="24"/>
              </w:rPr>
              <w:t>must not be provided</w:t>
            </w:r>
            <w:r w:rsidR="00B15DD1" w:rsidRPr="003D51E4">
              <w:rPr>
                <w:rFonts w:ascii="Arial" w:hAnsi="Arial" w:cs="Arial"/>
                <w:spacing w:val="5"/>
                <w:sz w:val="24"/>
                <w:szCs w:val="24"/>
              </w:rPr>
              <w:t xml:space="preserve"> </w:t>
            </w:r>
            <w:r w:rsidR="00676070" w:rsidRPr="003D51E4">
              <w:rPr>
                <w:rFonts w:ascii="Arial" w:hAnsi="Arial" w:cs="Arial"/>
                <w:spacing w:val="5"/>
                <w:sz w:val="24"/>
                <w:szCs w:val="24"/>
              </w:rPr>
              <w:t>to</w:t>
            </w:r>
            <w:r w:rsidRPr="003D51E4">
              <w:rPr>
                <w:rFonts w:ascii="Arial" w:hAnsi="Arial" w:cs="Arial"/>
                <w:spacing w:val="5"/>
                <w:sz w:val="24"/>
                <w:szCs w:val="24"/>
              </w:rPr>
              <w:t xml:space="preserve"> any credit provider.</w:t>
            </w:r>
          </w:p>
          <w:p w14:paraId="643AAFF0" w14:textId="77777777" w:rsidR="00645C70" w:rsidRPr="009A4D7F" w:rsidRDefault="00B15DD1" w:rsidP="00940768">
            <w:pPr>
              <w:pStyle w:val="ListParagraph"/>
              <w:numPr>
                <w:ilvl w:val="0"/>
                <w:numId w:val="9"/>
              </w:numPr>
              <w:tabs>
                <w:tab w:val="num" w:pos="348"/>
              </w:tabs>
              <w:spacing w:before="120" w:after="120"/>
              <w:ind w:left="346" w:hanging="284"/>
              <w:contextualSpacing w:val="0"/>
              <w:rPr>
                <w:rFonts w:ascii="Arial" w:hAnsi="Arial" w:cs="Arial"/>
                <w:b/>
                <w:sz w:val="24"/>
                <w:szCs w:val="24"/>
                <w:u w:val="single"/>
              </w:rPr>
            </w:pPr>
            <w:r w:rsidRPr="003D51E4">
              <w:rPr>
                <w:rStyle w:val="BookTitle"/>
                <w:rFonts w:ascii="Arial" w:hAnsi="Arial" w:cs="Arial"/>
                <w:i w:val="0"/>
                <w:iCs w:val="0"/>
                <w:smallCaps w:val="0"/>
                <w:sz w:val="24"/>
                <w:szCs w:val="24"/>
              </w:rPr>
              <w:t>The above</w:t>
            </w:r>
            <w:r w:rsidR="00676070" w:rsidRPr="003D51E4">
              <w:rPr>
                <w:rStyle w:val="BookTitle"/>
                <w:rFonts w:ascii="Arial" w:hAnsi="Arial" w:cs="Arial"/>
                <w:i w:val="0"/>
                <w:iCs w:val="0"/>
                <w:smallCaps w:val="0"/>
                <w:sz w:val="24"/>
                <w:szCs w:val="24"/>
              </w:rPr>
              <w:t xml:space="preserve"> applies to</w:t>
            </w:r>
            <w:r w:rsidR="00FB32C1" w:rsidRPr="003D51E4">
              <w:rPr>
                <w:rStyle w:val="BookTitle"/>
                <w:rFonts w:ascii="Arial" w:hAnsi="Arial" w:cs="Arial"/>
                <w:i w:val="0"/>
                <w:iCs w:val="0"/>
                <w:smallCaps w:val="0"/>
                <w:sz w:val="24"/>
                <w:szCs w:val="24"/>
              </w:rPr>
              <w:t xml:space="preserve"> the affiliated organisations of</w:t>
            </w:r>
            <w:r w:rsidR="00AF6DE0" w:rsidRPr="003D51E4">
              <w:rPr>
                <w:rStyle w:val="BookTitle"/>
                <w:rFonts w:ascii="Arial" w:hAnsi="Arial" w:cs="Arial"/>
                <w:i w:val="0"/>
                <w:iCs w:val="0"/>
                <w:smallCaps w:val="0"/>
                <w:sz w:val="24"/>
                <w:szCs w:val="24"/>
              </w:rPr>
              <w:t xml:space="preserve"> an interactive wagering service provider</w:t>
            </w:r>
            <w:r w:rsidR="00676070" w:rsidRPr="003D51E4">
              <w:rPr>
                <w:rStyle w:val="BookTitle"/>
                <w:rFonts w:ascii="Arial" w:hAnsi="Arial" w:cs="Arial"/>
                <w:i w:val="0"/>
                <w:iCs w:val="0"/>
                <w:smallCaps w:val="0"/>
                <w:sz w:val="24"/>
                <w:szCs w:val="24"/>
              </w:rPr>
              <w:t xml:space="preserve">, </w:t>
            </w:r>
            <w:r w:rsidR="00FB32C1" w:rsidRPr="003D51E4">
              <w:rPr>
                <w:rStyle w:val="BookTitle"/>
                <w:rFonts w:ascii="Arial" w:hAnsi="Arial" w:cs="Arial"/>
                <w:i w:val="0"/>
                <w:iCs w:val="0"/>
                <w:smallCaps w:val="0"/>
                <w:sz w:val="24"/>
                <w:szCs w:val="24"/>
              </w:rPr>
              <w:t xml:space="preserve">as well as </w:t>
            </w:r>
            <w:r w:rsidR="00676070" w:rsidRPr="003D51E4">
              <w:rPr>
                <w:rStyle w:val="BookTitle"/>
                <w:rFonts w:ascii="Arial" w:hAnsi="Arial" w:cs="Arial"/>
                <w:i w:val="0"/>
                <w:iCs w:val="0"/>
                <w:smallCaps w:val="0"/>
                <w:sz w:val="24"/>
                <w:szCs w:val="24"/>
              </w:rPr>
              <w:t>their</w:t>
            </w:r>
            <w:r w:rsidR="00FB32C1" w:rsidRPr="003D51E4">
              <w:rPr>
                <w:rStyle w:val="BookTitle"/>
                <w:rFonts w:ascii="Arial" w:hAnsi="Arial" w:cs="Arial"/>
                <w:i w:val="0"/>
                <w:iCs w:val="0"/>
                <w:smallCaps w:val="0"/>
                <w:sz w:val="24"/>
                <w:szCs w:val="24"/>
              </w:rPr>
              <w:t xml:space="preserve"> related body corporate</w:t>
            </w:r>
            <w:r w:rsidR="00AF6DE0" w:rsidRPr="003D51E4">
              <w:rPr>
                <w:rStyle w:val="BookTitle"/>
                <w:rFonts w:ascii="Arial" w:hAnsi="Arial" w:cs="Arial"/>
                <w:i w:val="0"/>
                <w:iCs w:val="0"/>
                <w:smallCaps w:val="0"/>
                <w:sz w:val="24"/>
                <w:szCs w:val="24"/>
              </w:rPr>
              <w:t>(</w:t>
            </w:r>
            <w:r w:rsidR="00FB32C1" w:rsidRPr="003D51E4">
              <w:rPr>
                <w:rStyle w:val="BookTitle"/>
                <w:rFonts w:ascii="Arial" w:hAnsi="Arial" w:cs="Arial"/>
                <w:i w:val="0"/>
                <w:iCs w:val="0"/>
                <w:smallCaps w:val="0"/>
                <w:sz w:val="24"/>
                <w:szCs w:val="24"/>
              </w:rPr>
              <w:t>s</w:t>
            </w:r>
            <w:r w:rsidR="00AF6DE0" w:rsidRPr="003D51E4">
              <w:rPr>
                <w:rStyle w:val="BookTitle"/>
                <w:rFonts w:ascii="Arial" w:hAnsi="Arial" w:cs="Arial"/>
                <w:i w:val="0"/>
                <w:iCs w:val="0"/>
                <w:smallCaps w:val="0"/>
                <w:sz w:val="24"/>
                <w:szCs w:val="24"/>
              </w:rPr>
              <w:t>)</w:t>
            </w:r>
            <w:r w:rsidR="00FB32C1" w:rsidRPr="003D51E4">
              <w:rPr>
                <w:rStyle w:val="BookTitle"/>
                <w:rFonts w:ascii="Arial" w:hAnsi="Arial" w:cs="Arial"/>
                <w:i w:val="0"/>
                <w:iCs w:val="0"/>
                <w:smallCaps w:val="0"/>
                <w:sz w:val="24"/>
                <w:szCs w:val="24"/>
              </w:rPr>
              <w:t>.</w:t>
            </w:r>
          </w:p>
        </w:tc>
        <w:tc>
          <w:tcPr>
            <w:tcW w:w="4536" w:type="dxa"/>
            <w:shd w:val="clear" w:color="auto" w:fill="auto"/>
          </w:tcPr>
          <w:p w14:paraId="3A7C7629" w14:textId="77777777" w:rsidR="00B15DD1" w:rsidRPr="003D51E4" w:rsidRDefault="00B15DD1" w:rsidP="00940768">
            <w:pPr>
              <w:spacing w:before="120" w:after="120"/>
              <w:rPr>
                <w:rStyle w:val="BookTitle"/>
                <w:rFonts w:ascii="Arial" w:hAnsi="Arial" w:cs="Arial"/>
                <w:b/>
                <w:i w:val="0"/>
                <w:iCs w:val="0"/>
                <w:smallCaps w:val="0"/>
                <w:sz w:val="24"/>
                <w:szCs w:val="24"/>
              </w:rPr>
            </w:pPr>
            <w:r w:rsidRPr="003D51E4">
              <w:rPr>
                <w:rStyle w:val="BookTitle"/>
                <w:rFonts w:ascii="Arial" w:hAnsi="Arial" w:cs="Arial"/>
                <w:i w:val="0"/>
                <w:iCs w:val="0"/>
                <w:smallCaps w:val="0"/>
                <w:sz w:val="24"/>
                <w:szCs w:val="24"/>
              </w:rPr>
              <w:t xml:space="preserve">Under the Commonwealth’s </w:t>
            </w:r>
            <w:r w:rsidRPr="003D51E4">
              <w:rPr>
                <w:rStyle w:val="BookTitle"/>
                <w:rFonts w:ascii="Arial" w:hAnsi="Arial" w:cs="Arial"/>
                <w:iCs w:val="0"/>
                <w:smallCaps w:val="0"/>
                <w:sz w:val="24"/>
                <w:szCs w:val="24"/>
              </w:rPr>
              <w:t>Interactive Gambling Amendment Act 2017</w:t>
            </w:r>
            <w:r w:rsidRPr="003D51E4">
              <w:rPr>
                <w:rStyle w:val="BookTitle"/>
                <w:rFonts w:ascii="Arial" w:hAnsi="Arial" w:cs="Arial"/>
                <w:i w:val="0"/>
                <w:iCs w:val="0"/>
                <w:smallCaps w:val="0"/>
                <w:sz w:val="24"/>
                <w:szCs w:val="24"/>
              </w:rPr>
              <w:t>, this</w:t>
            </w:r>
            <w:r w:rsidR="004B73A2">
              <w:rPr>
                <w:rStyle w:val="BookTitle"/>
                <w:rFonts w:ascii="Arial" w:hAnsi="Arial" w:cs="Arial"/>
                <w:i w:val="0"/>
                <w:iCs w:val="0"/>
                <w:smallCaps w:val="0"/>
                <w:sz w:val="24"/>
                <w:szCs w:val="24"/>
              </w:rPr>
              <w:t> </w:t>
            </w:r>
            <w:r w:rsidRPr="003D51E4">
              <w:rPr>
                <w:rStyle w:val="BookTitle"/>
                <w:rFonts w:ascii="Arial" w:hAnsi="Arial" w:cs="Arial"/>
                <w:i w:val="0"/>
                <w:iCs w:val="0"/>
                <w:smallCaps w:val="0"/>
                <w:sz w:val="24"/>
                <w:szCs w:val="24"/>
              </w:rPr>
              <w:t xml:space="preserve">measure </w:t>
            </w:r>
            <w:r w:rsidR="00DC78EF">
              <w:rPr>
                <w:rStyle w:val="BookTitle"/>
                <w:rFonts w:ascii="Arial" w:hAnsi="Arial" w:cs="Arial"/>
                <w:i w:val="0"/>
                <w:iCs w:val="0"/>
                <w:smallCaps w:val="0"/>
                <w:sz w:val="24"/>
                <w:szCs w:val="24"/>
              </w:rPr>
              <w:t>took effect</w:t>
            </w:r>
            <w:r w:rsidR="00CE2FBB" w:rsidRPr="003D51E4">
              <w:rPr>
                <w:rStyle w:val="BookTitle"/>
                <w:rFonts w:ascii="Arial" w:hAnsi="Arial" w:cs="Arial"/>
                <w:i w:val="0"/>
                <w:iCs w:val="0"/>
                <w:smallCaps w:val="0"/>
                <w:sz w:val="24"/>
                <w:szCs w:val="24"/>
              </w:rPr>
              <w:t xml:space="preserve"> </w:t>
            </w:r>
            <w:r w:rsidRPr="003D51E4">
              <w:rPr>
                <w:rStyle w:val="BookTitle"/>
                <w:rFonts w:ascii="Arial" w:hAnsi="Arial" w:cs="Arial"/>
                <w:i w:val="0"/>
                <w:iCs w:val="0"/>
                <w:smallCaps w:val="0"/>
                <w:sz w:val="24"/>
                <w:szCs w:val="24"/>
              </w:rPr>
              <w:t xml:space="preserve">on </w:t>
            </w:r>
            <w:r w:rsidR="00AC0EE0" w:rsidRPr="003D51E4">
              <w:rPr>
                <w:rStyle w:val="BookTitle"/>
                <w:rFonts w:ascii="Arial" w:hAnsi="Arial" w:cs="Arial"/>
                <w:b/>
                <w:i w:val="0"/>
                <w:iCs w:val="0"/>
                <w:smallCaps w:val="0"/>
                <w:sz w:val="24"/>
                <w:szCs w:val="24"/>
              </w:rPr>
              <w:t>17</w:t>
            </w:r>
            <w:r w:rsidR="00092C95" w:rsidRPr="003D51E4">
              <w:rPr>
                <w:rStyle w:val="BookTitle"/>
                <w:rFonts w:ascii="Arial" w:hAnsi="Arial" w:cs="Arial"/>
                <w:b/>
                <w:i w:val="0"/>
                <w:iCs w:val="0"/>
                <w:smallCaps w:val="0"/>
                <w:sz w:val="24"/>
                <w:szCs w:val="24"/>
              </w:rPr>
              <w:t> </w:t>
            </w:r>
            <w:r w:rsidR="00AC0EE0" w:rsidRPr="003D51E4">
              <w:rPr>
                <w:rStyle w:val="BookTitle"/>
                <w:rFonts w:ascii="Arial" w:hAnsi="Arial" w:cs="Arial"/>
                <w:b/>
                <w:i w:val="0"/>
                <w:iCs w:val="0"/>
                <w:smallCaps w:val="0"/>
                <w:sz w:val="24"/>
                <w:szCs w:val="24"/>
              </w:rPr>
              <w:t>February</w:t>
            </w:r>
            <w:r w:rsidR="004B73A2">
              <w:rPr>
                <w:rStyle w:val="BookTitle"/>
                <w:rFonts w:ascii="Arial" w:hAnsi="Arial" w:cs="Arial"/>
                <w:b/>
                <w:i w:val="0"/>
                <w:iCs w:val="0"/>
                <w:smallCaps w:val="0"/>
                <w:sz w:val="24"/>
                <w:szCs w:val="24"/>
              </w:rPr>
              <w:t> </w:t>
            </w:r>
            <w:r w:rsidRPr="003D51E4">
              <w:rPr>
                <w:rStyle w:val="BookTitle"/>
                <w:rFonts w:ascii="Arial" w:hAnsi="Arial" w:cs="Arial"/>
                <w:b/>
                <w:i w:val="0"/>
                <w:iCs w:val="0"/>
                <w:smallCaps w:val="0"/>
                <w:sz w:val="24"/>
                <w:szCs w:val="24"/>
              </w:rPr>
              <w:t>2018</w:t>
            </w:r>
            <w:r w:rsidRPr="002F3197">
              <w:rPr>
                <w:rStyle w:val="BookTitle"/>
                <w:rFonts w:ascii="Arial" w:hAnsi="Arial"/>
                <w:i w:val="0"/>
                <w:smallCaps w:val="0"/>
                <w:sz w:val="24"/>
              </w:rPr>
              <w:t>.</w:t>
            </w:r>
          </w:p>
          <w:p w14:paraId="53CDD2EB" w14:textId="77777777" w:rsidR="00C35256" w:rsidRPr="003D51E4" w:rsidRDefault="00C35256" w:rsidP="00940768">
            <w:pPr>
              <w:spacing w:before="120" w:after="120"/>
              <w:rPr>
                <w:rStyle w:val="BookTitle"/>
                <w:rFonts w:ascii="Arial" w:hAnsi="Arial" w:cs="Arial"/>
                <w:i w:val="0"/>
                <w:iCs w:val="0"/>
                <w:smallCaps w:val="0"/>
                <w:sz w:val="24"/>
                <w:szCs w:val="24"/>
              </w:rPr>
            </w:pPr>
          </w:p>
        </w:tc>
      </w:tr>
    </w:tbl>
    <w:p w14:paraId="0CA978CF" w14:textId="77777777" w:rsidR="009A4D7F" w:rsidRDefault="009A4D7F"/>
    <w:p w14:paraId="5C8C60B5" w14:textId="77777777" w:rsidR="009A4D7F" w:rsidRDefault="009A4D7F" w:rsidP="00940768">
      <w:pPr>
        <w:spacing w:after="0" w:line="240" w:lineRule="auto"/>
      </w:pPr>
      <w:r>
        <w:br w:type="page"/>
      </w:r>
    </w:p>
    <w:tbl>
      <w:tblPr>
        <w:tblW w:w="153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797"/>
        <w:gridCol w:w="4536"/>
      </w:tblGrid>
      <w:tr w:rsidR="001329B9" w:rsidRPr="003D51E4" w14:paraId="51EBCFE7" w14:textId="77777777" w:rsidTr="001329B9">
        <w:trPr>
          <w:cantSplit/>
          <w:trHeight w:val="571"/>
          <w:tblHeader/>
        </w:trPr>
        <w:tc>
          <w:tcPr>
            <w:tcW w:w="2978" w:type="dxa"/>
            <w:tcBorders>
              <w:top w:val="single" w:sz="4" w:space="0" w:color="auto"/>
              <w:left w:val="single" w:sz="4" w:space="0" w:color="auto"/>
              <w:bottom w:val="single" w:sz="4" w:space="0" w:color="FFFFFF" w:themeColor="background1"/>
              <w:right w:val="single" w:sz="4" w:space="0" w:color="FFFFFF" w:themeColor="background1"/>
            </w:tcBorders>
            <w:shd w:val="clear" w:color="auto" w:fill="1F3864" w:themeFill="accent1" w:themeFillShade="80"/>
          </w:tcPr>
          <w:p w14:paraId="1066F2D9" w14:textId="77777777" w:rsidR="009A4D7F" w:rsidRPr="00940768" w:rsidRDefault="009A4D7F" w:rsidP="000B36B2">
            <w:pPr>
              <w:spacing w:before="120" w:after="120"/>
              <w:jc w:val="center"/>
              <w:rPr>
                <w:rFonts w:ascii="Arial" w:hAnsi="Arial"/>
                <w:b/>
                <w:color w:val="FFFFFF" w:themeColor="background1"/>
                <w:sz w:val="24"/>
              </w:rPr>
            </w:pPr>
            <w:r w:rsidRPr="00940768">
              <w:rPr>
                <w:rFonts w:ascii="Arial" w:hAnsi="Arial"/>
                <w:b/>
                <w:color w:val="FFFFFF" w:themeColor="background1"/>
                <w:sz w:val="24"/>
              </w:rPr>
              <w:lastRenderedPageBreak/>
              <w:t>Measure</w:t>
            </w:r>
          </w:p>
        </w:tc>
        <w:tc>
          <w:tcPr>
            <w:tcW w:w="779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tcPr>
          <w:p w14:paraId="587F224E" w14:textId="77777777" w:rsidR="009A4D7F" w:rsidRPr="00940768" w:rsidRDefault="009A4D7F" w:rsidP="000B36B2">
            <w:pPr>
              <w:spacing w:before="120" w:after="120"/>
              <w:jc w:val="center"/>
              <w:rPr>
                <w:rFonts w:ascii="Arial" w:hAnsi="Arial"/>
                <w:b/>
                <w:color w:val="FFFFFF" w:themeColor="background1"/>
                <w:sz w:val="24"/>
              </w:rPr>
            </w:pPr>
            <w:r w:rsidRPr="00940768">
              <w:rPr>
                <w:rFonts w:ascii="Arial" w:hAnsi="Arial"/>
                <w:b/>
                <w:color w:val="FFFFFF" w:themeColor="background1"/>
                <w:sz w:val="24"/>
              </w:rPr>
              <w:t>Agreed principles</w:t>
            </w:r>
          </w:p>
        </w:tc>
        <w:tc>
          <w:tcPr>
            <w:tcW w:w="4536" w:type="dxa"/>
            <w:tcBorders>
              <w:top w:val="single" w:sz="4" w:space="0" w:color="auto"/>
              <w:left w:val="single" w:sz="4" w:space="0" w:color="FFFFFF" w:themeColor="background1"/>
              <w:bottom w:val="single" w:sz="4" w:space="0" w:color="FFFFFF" w:themeColor="background1"/>
              <w:right w:val="single" w:sz="4" w:space="0" w:color="auto"/>
            </w:tcBorders>
            <w:shd w:val="clear" w:color="auto" w:fill="1F3864" w:themeFill="accent1" w:themeFillShade="80"/>
          </w:tcPr>
          <w:p w14:paraId="20540260" w14:textId="77777777" w:rsidR="009A4D7F" w:rsidRPr="00940768" w:rsidRDefault="009A4D7F" w:rsidP="000B36B2">
            <w:pPr>
              <w:spacing w:before="120" w:after="120"/>
              <w:jc w:val="center"/>
              <w:rPr>
                <w:rFonts w:ascii="Arial" w:hAnsi="Arial"/>
                <w:b/>
                <w:color w:val="FFFFFF" w:themeColor="background1"/>
                <w:sz w:val="24"/>
              </w:rPr>
            </w:pPr>
            <w:r w:rsidRPr="00940768">
              <w:rPr>
                <w:rFonts w:ascii="Arial" w:hAnsi="Arial"/>
                <w:b/>
                <w:color w:val="FFFFFF" w:themeColor="background1"/>
                <w:sz w:val="24"/>
              </w:rPr>
              <w:t>Implementation timeframes</w:t>
            </w:r>
          </w:p>
        </w:tc>
      </w:tr>
      <w:tr w:rsidR="001329B9" w:rsidRPr="003D51E4" w14:paraId="632891F5" w14:textId="77777777" w:rsidTr="001329B9">
        <w:trPr>
          <w:cantSplit/>
          <w:trHeight w:val="403"/>
        </w:trPr>
        <w:tc>
          <w:tcPr>
            <w:tcW w:w="2978" w:type="dxa"/>
            <w:tcBorders>
              <w:right w:val="nil"/>
            </w:tcBorders>
            <w:shd w:val="clear" w:color="auto" w:fill="D9E2F3" w:themeFill="accent1" w:themeFillTint="33"/>
          </w:tcPr>
          <w:p w14:paraId="5E939F24" w14:textId="77777777" w:rsidR="009A4D7F" w:rsidRPr="003D51E4" w:rsidRDefault="009A4D7F" w:rsidP="001329B9">
            <w:pPr>
              <w:spacing w:before="120" w:after="120"/>
              <w:rPr>
                <w:rFonts w:ascii="Arial" w:hAnsi="Arial"/>
                <w:b/>
                <w:sz w:val="24"/>
              </w:rPr>
            </w:pPr>
          </w:p>
        </w:tc>
        <w:tc>
          <w:tcPr>
            <w:tcW w:w="7797" w:type="dxa"/>
            <w:tcBorders>
              <w:left w:val="nil"/>
              <w:right w:val="nil"/>
            </w:tcBorders>
            <w:shd w:val="clear" w:color="auto" w:fill="D9E2F3" w:themeFill="accent1" w:themeFillTint="33"/>
          </w:tcPr>
          <w:p w14:paraId="604D1A31" w14:textId="77777777" w:rsidR="009A4D7F" w:rsidRPr="003D51E4" w:rsidRDefault="009A4D7F" w:rsidP="001329B9">
            <w:pPr>
              <w:spacing w:before="120" w:after="120"/>
              <w:jc w:val="center"/>
              <w:rPr>
                <w:rFonts w:ascii="Arial" w:hAnsi="Arial"/>
                <w:sz w:val="24"/>
              </w:rPr>
            </w:pPr>
            <w:r>
              <w:rPr>
                <w:rStyle w:val="BookTitle"/>
                <w:rFonts w:ascii="Arial" w:hAnsi="Arial" w:cs="Arial"/>
                <w:i w:val="0"/>
                <w:iCs w:val="0"/>
                <w:smallCaps w:val="0"/>
                <w:sz w:val="24"/>
                <w:szCs w:val="24"/>
              </w:rPr>
              <w:t>Introduced 3 months from commencement date</w:t>
            </w:r>
            <w:r w:rsidRPr="003D51E4" w:rsidDel="004C61EA">
              <w:rPr>
                <w:rFonts w:ascii="Arial" w:hAnsi="Arial" w:cs="Arial"/>
                <w:sz w:val="24"/>
                <w:szCs w:val="24"/>
              </w:rPr>
              <w:t xml:space="preserve"> </w:t>
            </w:r>
          </w:p>
        </w:tc>
        <w:tc>
          <w:tcPr>
            <w:tcW w:w="4536" w:type="dxa"/>
            <w:tcBorders>
              <w:left w:val="nil"/>
            </w:tcBorders>
            <w:shd w:val="clear" w:color="auto" w:fill="D9E2F3" w:themeFill="accent1" w:themeFillTint="33"/>
          </w:tcPr>
          <w:p w14:paraId="08F2BC25" w14:textId="77777777" w:rsidR="009A4D7F" w:rsidRPr="003D51E4" w:rsidRDefault="009A4D7F" w:rsidP="001329B9">
            <w:pPr>
              <w:spacing w:before="120" w:after="120"/>
              <w:rPr>
                <w:b/>
              </w:rPr>
            </w:pPr>
          </w:p>
        </w:tc>
      </w:tr>
      <w:tr w:rsidR="001329B9" w:rsidRPr="003D51E4" w14:paraId="02224F3A" w14:textId="77777777" w:rsidTr="001329B9">
        <w:trPr>
          <w:cantSplit/>
          <w:trHeight w:val="571"/>
        </w:trPr>
        <w:tc>
          <w:tcPr>
            <w:tcW w:w="2978" w:type="dxa"/>
            <w:shd w:val="clear" w:color="auto" w:fill="auto"/>
          </w:tcPr>
          <w:p w14:paraId="26745EE3" w14:textId="77777777" w:rsidR="00A2752B" w:rsidRPr="003D51E4" w:rsidRDefault="00A2752B" w:rsidP="00940768">
            <w:pPr>
              <w:spacing w:before="120" w:after="120"/>
              <w:rPr>
                <w:rFonts w:ascii="Arial" w:hAnsi="Arial" w:cs="Arial"/>
                <w:b/>
                <w:sz w:val="24"/>
                <w:szCs w:val="24"/>
              </w:rPr>
            </w:pPr>
            <w:r w:rsidRPr="003D51E4">
              <w:br w:type="page"/>
            </w:r>
            <w:r w:rsidRPr="003D51E4">
              <w:rPr>
                <w:rFonts w:ascii="Arial" w:hAnsi="Arial" w:cs="Arial"/>
                <w:b/>
                <w:sz w:val="24"/>
                <w:szCs w:val="24"/>
              </w:rPr>
              <w:t xml:space="preserve">3: </w:t>
            </w:r>
            <w:r w:rsidR="005B6739" w:rsidRPr="003D51E4">
              <w:rPr>
                <w:rFonts w:ascii="Arial" w:hAnsi="Arial" w:cs="Arial"/>
                <w:b/>
                <w:sz w:val="24"/>
                <w:szCs w:val="24"/>
              </w:rPr>
              <w:t>C</w:t>
            </w:r>
            <w:r w:rsidR="00EC6C8C" w:rsidRPr="003D51E4">
              <w:rPr>
                <w:rFonts w:ascii="Arial" w:hAnsi="Arial" w:cs="Arial"/>
                <w:b/>
                <w:sz w:val="24"/>
                <w:szCs w:val="24"/>
              </w:rPr>
              <w:t xml:space="preserve">ustomer </w:t>
            </w:r>
            <w:r w:rsidRPr="003D51E4">
              <w:rPr>
                <w:rFonts w:ascii="Arial" w:hAnsi="Arial" w:cs="Arial"/>
                <w:b/>
                <w:sz w:val="24"/>
                <w:szCs w:val="24"/>
              </w:rPr>
              <w:t xml:space="preserve">verification </w:t>
            </w:r>
          </w:p>
          <w:p w14:paraId="5969001B" w14:textId="77777777" w:rsidR="00A2752B" w:rsidRPr="003D51E4" w:rsidRDefault="00A2752B" w:rsidP="00940768">
            <w:pPr>
              <w:spacing w:before="120" w:after="120"/>
              <w:rPr>
                <w:rFonts w:ascii="Arial" w:hAnsi="Arial" w:cs="Arial"/>
                <w:sz w:val="24"/>
                <w:szCs w:val="24"/>
              </w:rPr>
            </w:pPr>
            <w:r w:rsidRPr="003D51E4">
              <w:rPr>
                <w:rFonts w:ascii="Arial" w:hAnsi="Arial" w:cs="Arial"/>
                <w:sz w:val="24"/>
                <w:szCs w:val="24"/>
              </w:rPr>
              <w:t xml:space="preserve">This measure reduces the </w:t>
            </w:r>
            <w:r w:rsidR="00212DFC">
              <w:rPr>
                <w:rFonts w:ascii="Arial" w:hAnsi="Arial" w:cs="Arial"/>
                <w:sz w:val="24"/>
                <w:szCs w:val="24"/>
              </w:rPr>
              <w:t>customer</w:t>
            </w:r>
            <w:r w:rsidRPr="003D51E4">
              <w:rPr>
                <w:rFonts w:ascii="Arial" w:hAnsi="Arial" w:cs="Arial"/>
                <w:sz w:val="24"/>
                <w:szCs w:val="24"/>
              </w:rPr>
              <w:t xml:space="preserve"> verification period to</w:t>
            </w:r>
            <w:r w:rsidR="006C5391" w:rsidRPr="003D51E4">
              <w:rPr>
                <w:rFonts w:ascii="Arial" w:hAnsi="Arial" w:cs="Arial"/>
                <w:sz w:val="24"/>
                <w:szCs w:val="24"/>
              </w:rPr>
              <w:t xml:space="preserve"> a maximum</w:t>
            </w:r>
            <w:r w:rsidRPr="003D51E4">
              <w:rPr>
                <w:rFonts w:ascii="Arial" w:hAnsi="Arial" w:cs="Arial"/>
                <w:sz w:val="24"/>
                <w:szCs w:val="24"/>
              </w:rPr>
              <w:t xml:space="preserve"> 14 days</w:t>
            </w:r>
            <w:r w:rsidR="00D730DA">
              <w:rPr>
                <w:rFonts w:ascii="Arial" w:hAnsi="Arial" w:cs="Arial"/>
                <w:sz w:val="24"/>
                <w:szCs w:val="24"/>
              </w:rPr>
              <w:t xml:space="preserve"> (or less)</w:t>
            </w:r>
            <w:r w:rsidRPr="003D51E4">
              <w:rPr>
                <w:rFonts w:ascii="Arial" w:hAnsi="Arial" w:cs="Arial"/>
                <w:sz w:val="24"/>
                <w:szCs w:val="24"/>
              </w:rPr>
              <w:t xml:space="preserve"> for online wagering across all jurisdictions. </w:t>
            </w:r>
          </w:p>
          <w:p w14:paraId="2C35FD40" w14:textId="77777777" w:rsidR="00A2752B" w:rsidRPr="007A4265" w:rsidRDefault="00A2752B" w:rsidP="001329B9">
            <w:pPr>
              <w:spacing w:before="120" w:after="120"/>
              <w:rPr>
                <w:rFonts w:ascii="Arial" w:hAnsi="Arial"/>
                <w:b/>
                <w:sz w:val="24"/>
                <w:u w:val="single"/>
              </w:rPr>
            </w:pPr>
          </w:p>
        </w:tc>
        <w:tc>
          <w:tcPr>
            <w:tcW w:w="7797" w:type="dxa"/>
            <w:tcBorders>
              <w:bottom w:val="single" w:sz="4" w:space="0" w:color="auto"/>
            </w:tcBorders>
            <w:shd w:val="clear" w:color="auto" w:fill="auto"/>
          </w:tcPr>
          <w:p w14:paraId="2E415A3E" w14:textId="17448C36" w:rsidR="00A2752B" w:rsidRPr="003D51E4" w:rsidRDefault="005B6739" w:rsidP="00940768">
            <w:pPr>
              <w:pStyle w:val="ListParagraph"/>
              <w:numPr>
                <w:ilvl w:val="0"/>
                <w:numId w:val="6"/>
              </w:numPr>
              <w:spacing w:before="120" w:after="120"/>
              <w:ind w:left="317" w:hanging="283"/>
              <w:contextualSpacing w:val="0"/>
              <w:rPr>
                <w:rStyle w:val="BookTitle"/>
                <w:rFonts w:ascii="Arial" w:hAnsi="Arial" w:cs="Arial"/>
                <w:i w:val="0"/>
                <w:iCs w:val="0"/>
                <w:smallCaps w:val="0"/>
                <w:sz w:val="24"/>
                <w:szCs w:val="24"/>
              </w:rPr>
            </w:pPr>
            <w:r w:rsidRPr="003D51E4">
              <w:rPr>
                <w:rStyle w:val="BookTitle"/>
                <w:rFonts w:ascii="Arial" w:hAnsi="Arial" w:cs="Arial"/>
                <w:i w:val="0"/>
                <w:iCs w:val="0"/>
                <w:smallCaps w:val="0"/>
                <w:sz w:val="24"/>
                <w:szCs w:val="24"/>
              </w:rPr>
              <w:t>C</w:t>
            </w:r>
            <w:r w:rsidR="00EC6C8C" w:rsidRPr="003D51E4">
              <w:rPr>
                <w:rStyle w:val="BookTitle"/>
                <w:rFonts w:ascii="Arial" w:hAnsi="Arial" w:cs="Arial"/>
                <w:i w:val="0"/>
                <w:iCs w:val="0"/>
                <w:smallCaps w:val="0"/>
                <w:sz w:val="24"/>
                <w:szCs w:val="24"/>
              </w:rPr>
              <w:t>ustomers</w:t>
            </w:r>
            <w:r w:rsidR="00A2752B" w:rsidRPr="003D51E4">
              <w:rPr>
                <w:rStyle w:val="BookTitle"/>
                <w:rFonts w:ascii="Arial" w:hAnsi="Arial" w:cs="Arial"/>
                <w:i w:val="0"/>
                <w:iCs w:val="0"/>
                <w:smallCaps w:val="0"/>
                <w:sz w:val="24"/>
                <w:szCs w:val="24"/>
              </w:rPr>
              <w:t xml:space="preserve"> must be verified within a maximum </w:t>
            </w:r>
            <w:r w:rsidR="00D730DA">
              <w:rPr>
                <w:rStyle w:val="BookTitle"/>
                <w:rFonts w:ascii="Arial" w:hAnsi="Arial" w:cs="Arial"/>
                <w:i w:val="0"/>
                <w:iCs w:val="0"/>
                <w:smallCaps w:val="0"/>
                <w:sz w:val="24"/>
                <w:szCs w:val="24"/>
              </w:rPr>
              <w:t>72 hour</w:t>
            </w:r>
            <w:r w:rsidR="00A2752B" w:rsidRPr="003D51E4">
              <w:rPr>
                <w:rStyle w:val="BookTitle"/>
                <w:rFonts w:ascii="Arial" w:hAnsi="Arial" w:cs="Arial"/>
                <w:i w:val="0"/>
                <w:iCs w:val="0"/>
                <w:smallCaps w:val="0"/>
                <w:sz w:val="24"/>
                <w:szCs w:val="24"/>
              </w:rPr>
              <w:t xml:space="preserve"> period </w:t>
            </w:r>
            <w:r w:rsidR="00D730DA">
              <w:rPr>
                <w:rStyle w:val="BookTitle"/>
                <w:rFonts w:ascii="Arial" w:hAnsi="Arial" w:cs="Arial"/>
                <w:i w:val="0"/>
                <w:iCs w:val="0"/>
                <w:smallCaps w:val="0"/>
                <w:sz w:val="24"/>
                <w:szCs w:val="24"/>
              </w:rPr>
              <w:t>prior to continue using an online wagering account. This verification period will change to a customer pre-verification measure after the National Self Exclusion Register (NSER) is operational.</w:t>
            </w:r>
            <w:r w:rsidR="00A2752B" w:rsidRPr="003D51E4">
              <w:rPr>
                <w:rStyle w:val="BookTitle"/>
                <w:rFonts w:ascii="Arial" w:hAnsi="Arial" w:cs="Arial"/>
                <w:i w:val="0"/>
                <w:iCs w:val="0"/>
                <w:smallCaps w:val="0"/>
                <w:sz w:val="24"/>
                <w:szCs w:val="24"/>
              </w:rPr>
              <w:t xml:space="preserve"> </w:t>
            </w:r>
          </w:p>
          <w:p w14:paraId="1C2FB5C5" w14:textId="77777777" w:rsidR="00A2752B" w:rsidRPr="003D51E4" w:rsidRDefault="00AF6DE0" w:rsidP="00940768">
            <w:pPr>
              <w:pStyle w:val="ListParagraph"/>
              <w:numPr>
                <w:ilvl w:val="0"/>
                <w:numId w:val="6"/>
              </w:numPr>
              <w:spacing w:before="120" w:after="120"/>
              <w:ind w:left="317" w:hanging="283"/>
              <w:contextualSpacing w:val="0"/>
              <w:rPr>
                <w:rStyle w:val="BookTitle"/>
                <w:rFonts w:ascii="Arial" w:hAnsi="Arial" w:cs="Arial"/>
                <w:i w:val="0"/>
                <w:iCs w:val="0"/>
                <w:smallCaps w:val="0"/>
                <w:sz w:val="24"/>
                <w:szCs w:val="24"/>
              </w:rPr>
            </w:pPr>
            <w:r w:rsidRPr="003D51E4">
              <w:rPr>
                <w:rStyle w:val="BookTitle"/>
                <w:rFonts w:ascii="Arial" w:hAnsi="Arial" w:cs="Arial"/>
                <w:i w:val="0"/>
                <w:iCs w:val="0"/>
                <w:smallCaps w:val="0"/>
                <w:sz w:val="24"/>
                <w:szCs w:val="24"/>
              </w:rPr>
              <w:t>Interactive wagering service provider</w:t>
            </w:r>
            <w:r w:rsidR="00A2752B" w:rsidRPr="003D51E4">
              <w:rPr>
                <w:rStyle w:val="BookTitle"/>
                <w:rFonts w:ascii="Arial" w:hAnsi="Arial" w:cs="Arial"/>
                <w:i w:val="0"/>
                <w:iCs w:val="0"/>
                <w:smallCaps w:val="0"/>
                <w:sz w:val="24"/>
                <w:szCs w:val="24"/>
              </w:rPr>
              <w:t xml:space="preserve">s must return all </w:t>
            </w:r>
            <w:r w:rsidR="00F07668" w:rsidRPr="003D51E4">
              <w:rPr>
                <w:rStyle w:val="BookTitle"/>
                <w:rFonts w:ascii="Arial" w:hAnsi="Arial" w:cs="Arial"/>
                <w:i w:val="0"/>
                <w:iCs w:val="0"/>
                <w:smallCaps w:val="0"/>
                <w:sz w:val="24"/>
                <w:szCs w:val="24"/>
              </w:rPr>
              <w:t xml:space="preserve">deposited </w:t>
            </w:r>
            <w:r w:rsidR="00A2752B" w:rsidRPr="003D51E4">
              <w:rPr>
                <w:rStyle w:val="BookTitle"/>
                <w:rFonts w:ascii="Arial" w:hAnsi="Arial" w:cs="Arial"/>
                <w:i w:val="0"/>
                <w:iCs w:val="0"/>
                <w:smallCaps w:val="0"/>
                <w:sz w:val="24"/>
                <w:szCs w:val="24"/>
              </w:rPr>
              <w:t xml:space="preserve">funds and close an account immediately if a </w:t>
            </w:r>
            <w:r w:rsidR="00EC6C8C" w:rsidRPr="003D51E4">
              <w:rPr>
                <w:rStyle w:val="BookTitle"/>
                <w:rFonts w:ascii="Arial" w:hAnsi="Arial" w:cs="Arial"/>
                <w:i w:val="0"/>
                <w:iCs w:val="0"/>
                <w:smallCaps w:val="0"/>
                <w:sz w:val="24"/>
                <w:szCs w:val="24"/>
              </w:rPr>
              <w:t>person</w:t>
            </w:r>
            <w:r w:rsidR="00A2752B" w:rsidRPr="003D51E4">
              <w:rPr>
                <w:rStyle w:val="BookTitle"/>
                <w:rFonts w:ascii="Arial" w:hAnsi="Arial" w:cs="Arial"/>
                <w:i w:val="0"/>
                <w:iCs w:val="0"/>
                <w:smallCaps w:val="0"/>
                <w:sz w:val="24"/>
                <w:szCs w:val="24"/>
              </w:rPr>
              <w:t xml:space="preserve"> is verified as a person under 18 years of age.</w:t>
            </w:r>
          </w:p>
          <w:p w14:paraId="6D5D17B6" w14:textId="77777777" w:rsidR="005B0537" w:rsidRPr="005B0537" w:rsidRDefault="005B6739" w:rsidP="001329B9">
            <w:pPr>
              <w:pStyle w:val="ListParagraph"/>
              <w:numPr>
                <w:ilvl w:val="0"/>
                <w:numId w:val="6"/>
              </w:numPr>
              <w:spacing w:before="120" w:after="120"/>
              <w:ind w:left="317" w:hanging="283"/>
              <w:contextualSpacing w:val="0"/>
              <w:rPr>
                <w:rStyle w:val="BookTitle"/>
                <w:i w:val="0"/>
                <w:iCs w:val="0"/>
                <w:smallCaps w:val="0"/>
                <w:spacing w:val="0"/>
                <w:sz w:val="24"/>
              </w:rPr>
            </w:pPr>
            <w:r w:rsidRPr="003D51E4">
              <w:rPr>
                <w:rStyle w:val="BookTitle"/>
                <w:rFonts w:ascii="Arial" w:hAnsi="Arial" w:cs="Arial"/>
                <w:i w:val="0"/>
                <w:iCs w:val="0"/>
                <w:smallCaps w:val="0"/>
                <w:sz w:val="24"/>
                <w:szCs w:val="24"/>
              </w:rPr>
              <w:t>C</w:t>
            </w:r>
            <w:r w:rsidR="00EC6C8C" w:rsidRPr="003D51E4">
              <w:rPr>
                <w:rStyle w:val="BookTitle"/>
                <w:rFonts w:ascii="Arial" w:hAnsi="Arial" w:cs="Arial"/>
                <w:i w:val="0"/>
                <w:iCs w:val="0"/>
                <w:smallCaps w:val="0"/>
                <w:sz w:val="24"/>
                <w:szCs w:val="24"/>
              </w:rPr>
              <w:t>ustomers</w:t>
            </w:r>
            <w:r w:rsidR="00A2752B" w:rsidRPr="003D51E4">
              <w:rPr>
                <w:rStyle w:val="BookTitle"/>
                <w:rFonts w:ascii="Arial" w:hAnsi="Arial" w:cs="Arial"/>
                <w:i w:val="0"/>
                <w:iCs w:val="0"/>
                <w:smallCaps w:val="0"/>
                <w:sz w:val="24"/>
                <w:szCs w:val="24"/>
              </w:rPr>
              <w:t xml:space="preserve"> are not able to withdraw winnings prior to </w:t>
            </w:r>
            <w:r w:rsidR="00507EA7" w:rsidRPr="003D51E4">
              <w:rPr>
                <w:rStyle w:val="BookTitle"/>
                <w:rFonts w:ascii="Arial" w:hAnsi="Arial" w:cs="Arial"/>
                <w:i w:val="0"/>
                <w:iCs w:val="0"/>
                <w:smallCaps w:val="0"/>
                <w:sz w:val="24"/>
                <w:szCs w:val="24"/>
              </w:rPr>
              <w:t xml:space="preserve">positive </w:t>
            </w:r>
            <w:r w:rsidR="00A2752B" w:rsidRPr="003D51E4">
              <w:rPr>
                <w:rStyle w:val="BookTitle"/>
                <w:rFonts w:ascii="Arial" w:hAnsi="Arial" w:cs="Arial"/>
                <w:i w:val="0"/>
                <w:iCs w:val="0"/>
                <w:smallCaps w:val="0"/>
                <w:sz w:val="24"/>
                <w:szCs w:val="24"/>
              </w:rPr>
              <w:t>verification</w:t>
            </w:r>
            <w:r w:rsidR="00507EA7" w:rsidRPr="003D51E4">
              <w:rPr>
                <w:rStyle w:val="BookTitle"/>
                <w:rFonts w:ascii="Arial" w:hAnsi="Arial" w:cs="Arial"/>
                <w:i w:val="0"/>
                <w:iCs w:val="0"/>
                <w:smallCaps w:val="0"/>
                <w:sz w:val="24"/>
                <w:szCs w:val="24"/>
              </w:rPr>
              <w:t xml:space="preserve"> of their identity</w:t>
            </w:r>
            <w:r w:rsidR="00A2752B" w:rsidRPr="003D51E4">
              <w:rPr>
                <w:rStyle w:val="BookTitle"/>
                <w:rFonts w:ascii="Arial" w:hAnsi="Arial" w:cs="Arial"/>
                <w:i w:val="0"/>
                <w:iCs w:val="0"/>
                <w:smallCaps w:val="0"/>
                <w:sz w:val="24"/>
                <w:szCs w:val="24"/>
              </w:rPr>
              <w:t>.</w:t>
            </w:r>
            <w:r w:rsidR="00D839E9" w:rsidRPr="003D51E4">
              <w:rPr>
                <w:rStyle w:val="BookTitle"/>
                <w:rFonts w:ascii="Arial" w:hAnsi="Arial" w:cs="Arial"/>
                <w:i w:val="0"/>
                <w:iCs w:val="0"/>
                <w:smallCaps w:val="0"/>
                <w:sz w:val="24"/>
                <w:szCs w:val="24"/>
              </w:rPr>
              <w:t xml:space="preserve"> </w:t>
            </w:r>
          </w:p>
          <w:p w14:paraId="27639675" w14:textId="2365D962" w:rsidR="0004209A" w:rsidRPr="00645C70" w:rsidRDefault="001C3CC6" w:rsidP="001329B9">
            <w:pPr>
              <w:pStyle w:val="ListParagraph"/>
              <w:numPr>
                <w:ilvl w:val="0"/>
                <w:numId w:val="6"/>
              </w:numPr>
              <w:spacing w:before="120" w:after="120"/>
              <w:ind w:left="317" w:hanging="283"/>
              <w:contextualSpacing w:val="0"/>
              <w:rPr>
                <w:sz w:val="24"/>
              </w:rPr>
            </w:pPr>
            <w:r>
              <w:rPr>
                <w:rStyle w:val="BookTitle"/>
                <w:rFonts w:ascii="Arial" w:hAnsi="Arial" w:cs="Arial"/>
                <w:i w:val="0"/>
                <w:iCs w:val="0"/>
                <w:smallCaps w:val="0"/>
                <w:sz w:val="24"/>
                <w:szCs w:val="24"/>
              </w:rPr>
              <w:t>Evidence must be provided that customer verification measures adhere to the ‘know your customer’ requirements.</w:t>
            </w:r>
          </w:p>
        </w:tc>
        <w:tc>
          <w:tcPr>
            <w:tcW w:w="4536" w:type="dxa"/>
            <w:tcBorders>
              <w:bottom w:val="single" w:sz="4" w:space="0" w:color="auto"/>
            </w:tcBorders>
            <w:shd w:val="clear" w:color="auto" w:fill="auto"/>
          </w:tcPr>
          <w:p w14:paraId="328FCB5D" w14:textId="77777777" w:rsidR="00A2752B" w:rsidRPr="003D51E4" w:rsidRDefault="00A2752B" w:rsidP="00940768">
            <w:pPr>
              <w:spacing w:before="120" w:after="120"/>
              <w:rPr>
                <w:rFonts w:ascii="Arial" w:hAnsi="Arial" w:cs="Arial"/>
                <w:spacing w:val="5"/>
                <w:sz w:val="24"/>
                <w:szCs w:val="24"/>
              </w:rPr>
            </w:pPr>
            <w:r w:rsidRPr="003D51E4">
              <w:rPr>
                <w:rFonts w:ascii="Arial" w:hAnsi="Arial" w:cs="Arial"/>
                <w:spacing w:val="5"/>
                <w:sz w:val="24"/>
                <w:szCs w:val="24"/>
              </w:rPr>
              <w:t xml:space="preserve">The Commonwealth will amend the </w:t>
            </w:r>
            <w:r w:rsidRPr="00035A77">
              <w:rPr>
                <w:rFonts w:ascii="Arial" w:hAnsi="Arial" w:cs="Arial"/>
                <w:spacing w:val="5"/>
                <w:sz w:val="24"/>
                <w:szCs w:val="24"/>
              </w:rPr>
              <w:t>Anti-Money Laundering and Counter</w:t>
            </w:r>
            <w:r w:rsidR="004B73A2">
              <w:rPr>
                <w:rFonts w:ascii="Arial" w:hAnsi="Arial" w:cs="Arial"/>
                <w:spacing w:val="5"/>
                <w:sz w:val="24"/>
                <w:szCs w:val="24"/>
              </w:rPr>
              <w:noBreakHyphen/>
            </w:r>
            <w:r w:rsidRPr="00035A77">
              <w:rPr>
                <w:rFonts w:ascii="Arial" w:hAnsi="Arial" w:cs="Arial"/>
                <w:spacing w:val="5"/>
                <w:sz w:val="24"/>
                <w:szCs w:val="24"/>
              </w:rPr>
              <w:t xml:space="preserve">Terrorism Financing Rules </w:t>
            </w:r>
            <w:r w:rsidR="00035A77">
              <w:rPr>
                <w:rFonts w:ascii="Arial" w:hAnsi="Arial" w:cs="Arial"/>
                <w:spacing w:val="5"/>
                <w:sz w:val="24"/>
                <w:szCs w:val="24"/>
              </w:rPr>
              <w:t xml:space="preserve">Instrument </w:t>
            </w:r>
            <w:r w:rsidRPr="00035A77">
              <w:rPr>
                <w:rFonts w:ascii="Arial" w:hAnsi="Arial" w:cs="Arial"/>
                <w:spacing w:val="5"/>
                <w:sz w:val="24"/>
                <w:szCs w:val="24"/>
              </w:rPr>
              <w:t>2007</w:t>
            </w:r>
            <w:r w:rsidR="00035A77">
              <w:rPr>
                <w:rFonts w:ascii="Arial" w:hAnsi="Arial" w:cs="Arial"/>
                <w:spacing w:val="5"/>
                <w:sz w:val="24"/>
                <w:szCs w:val="24"/>
              </w:rPr>
              <w:t xml:space="preserve"> (No.1)</w:t>
            </w:r>
            <w:r w:rsidRPr="003D51E4">
              <w:rPr>
                <w:rFonts w:ascii="Arial" w:hAnsi="Arial" w:cs="Arial"/>
                <w:spacing w:val="5"/>
                <w:sz w:val="24"/>
                <w:szCs w:val="24"/>
              </w:rPr>
              <w:t xml:space="preserve"> to reduce the </w:t>
            </w:r>
            <w:r w:rsidR="005B6739" w:rsidRPr="003D51E4">
              <w:rPr>
                <w:rFonts w:ascii="Arial" w:hAnsi="Arial" w:cs="Arial"/>
                <w:spacing w:val="5"/>
                <w:sz w:val="24"/>
                <w:szCs w:val="24"/>
              </w:rPr>
              <w:t>c</w:t>
            </w:r>
            <w:r w:rsidR="00EC6C8C" w:rsidRPr="003D51E4">
              <w:rPr>
                <w:rFonts w:ascii="Arial" w:hAnsi="Arial" w:cs="Arial"/>
                <w:spacing w:val="5"/>
                <w:sz w:val="24"/>
                <w:szCs w:val="24"/>
              </w:rPr>
              <w:t>ustomer</w:t>
            </w:r>
            <w:r w:rsidRPr="003D51E4">
              <w:rPr>
                <w:rFonts w:ascii="Arial" w:hAnsi="Arial" w:cs="Arial"/>
                <w:spacing w:val="5"/>
                <w:sz w:val="24"/>
                <w:szCs w:val="24"/>
              </w:rPr>
              <w:t xml:space="preserve"> verification period. </w:t>
            </w:r>
          </w:p>
          <w:p w14:paraId="517985DA" w14:textId="09BEB4E7" w:rsidR="00661C6D" w:rsidRPr="001C3CC6" w:rsidRDefault="001B5CBB" w:rsidP="00940768">
            <w:pPr>
              <w:spacing w:before="120" w:after="120"/>
              <w:rPr>
                <w:rFonts w:ascii="Arial" w:hAnsi="Arial" w:cs="Arial"/>
                <w:spacing w:val="5"/>
                <w:sz w:val="24"/>
                <w:szCs w:val="24"/>
              </w:rPr>
            </w:pPr>
            <w:r w:rsidRPr="003D51E4">
              <w:rPr>
                <w:rFonts w:ascii="Arial" w:hAnsi="Arial" w:cs="Arial"/>
                <w:spacing w:val="5"/>
                <w:sz w:val="24"/>
                <w:szCs w:val="24"/>
              </w:rPr>
              <w:t xml:space="preserve">This measure </w:t>
            </w:r>
            <w:r w:rsidR="00661C6D" w:rsidRPr="003D51E4">
              <w:rPr>
                <w:rFonts w:ascii="Arial" w:hAnsi="Arial" w:cs="Arial"/>
                <w:spacing w:val="5"/>
                <w:sz w:val="24"/>
                <w:szCs w:val="24"/>
              </w:rPr>
              <w:t xml:space="preserve">takes effect </w:t>
            </w:r>
            <w:r w:rsidR="001C3CC6">
              <w:rPr>
                <w:rFonts w:ascii="Arial" w:hAnsi="Arial" w:cs="Arial"/>
                <w:spacing w:val="5"/>
                <w:sz w:val="24"/>
                <w:szCs w:val="24"/>
              </w:rPr>
              <w:t>following a 12 month review of the commencement of the customer verification period reduction to 14 days, which commenced 3 months from the commencement date for the National Framework.</w:t>
            </w:r>
          </w:p>
          <w:p w14:paraId="2751A48C" w14:textId="379D1053" w:rsidR="00645C70" w:rsidRPr="001329B9" w:rsidRDefault="00645C70" w:rsidP="001329B9">
            <w:pPr>
              <w:spacing w:before="120" w:after="120"/>
              <w:rPr>
                <w:rStyle w:val="BookTitle"/>
                <w:rFonts w:ascii="Arial" w:hAnsi="Arial"/>
                <w:i w:val="0"/>
                <w:smallCaps w:val="0"/>
                <w:sz w:val="24"/>
              </w:rPr>
            </w:pPr>
          </w:p>
        </w:tc>
      </w:tr>
      <w:tr w:rsidR="001329B9" w:rsidRPr="003D51E4" w14:paraId="24403CAD" w14:textId="77777777" w:rsidTr="001329B9">
        <w:trPr>
          <w:trHeight w:val="403"/>
        </w:trPr>
        <w:tc>
          <w:tcPr>
            <w:tcW w:w="2978" w:type="dxa"/>
            <w:tcBorders>
              <w:right w:val="nil"/>
            </w:tcBorders>
            <w:shd w:val="clear" w:color="auto" w:fill="D9E2F3" w:themeFill="accent1" w:themeFillTint="33"/>
          </w:tcPr>
          <w:p w14:paraId="794618AB" w14:textId="77777777" w:rsidR="009A4D7F" w:rsidRPr="001329B9" w:rsidRDefault="009A4D7F" w:rsidP="001329B9">
            <w:pPr>
              <w:spacing w:before="120" w:after="120"/>
              <w:rPr>
                <w:rFonts w:ascii="Arial" w:hAnsi="Arial"/>
                <w:b/>
                <w:sz w:val="24"/>
              </w:rPr>
            </w:pPr>
          </w:p>
        </w:tc>
        <w:tc>
          <w:tcPr>
            <w:tcW w:w="7797" w:type="dxa"/>
            <w:tcBorders>
              <w:left w:val="nil"/>
              <w:right w:val="nil"/>
            </w:tcBorders>
            <w:shd w:val="clear" w:color="auto" w:fill="D9E2F3" w:themeFill="accent1" w:themeFillTint="33"/>
          </w:tcPr>
          <w:p w14:paraId="112D4599" w14:textId="77777777" w:rsidR="009A4D7F" w:rsidRPr="001329B9" w:rsidRDefault="009A4D7F" w:rsidP="001329B9">
            <w:pPr>
              <w:spacing w:before="120" w:after="120"/>
              <w:jc w:val="center"/>
            </w:pPr>
            <w:r>
              <w:rPr>
                <w:rStyle w:val="BookTitle"/>
                <w:rFonts w:ascii="Arial" w:hAnsi="Arial" w:cs="Arial"/>
                <w:i w:val="0"/>
                <w:iCs w:val="0"/>
                <w:smallCaps w:val="0"/>
                <w:sz w:val="24"/>
                <w:szCs w:val="24"/>
              </w:rPr>
              <w:t>Introduced 6 months from commencement date</w:t>
            </w:r>
          </w:p>
        </w:tc>
        <w:tc>
          <w:tcPr>
            <w:tcW w:w="4536" w:type="dxa"/>
            <w:tcBorders>
              <w:left w:val="nil"/>
            </w:tcBorders>
            <w:shd w:val="clear" w:color="auto" w:fill="D9E2F3" w:themeFill="accent1" w:themeFillTint="33"/>
          </w:tcPr>
          <w:p w14:paraId="10D3B129" w14:textId="77777777" w:rsidR="009A4D7F" w:rsidRPr="001329B9" w:rsidRDefault="009A4D7F" w:rsidP="001329B9">
            <w:pPr>
              <w:spacing w:before="120" w:after="120"/>
              <w:rPr>
                <w:b/>
              </w:rPr>
            </w:pPr>
          </w:p>
        </w:tc>
      </w:tr>
      <w:tr w:rsidR="004C61EA" w:rsidRPr="003D51E4" w14:paraId="726E834E" w14:textId="77777777" w:rsidTr="00940768">
        <w:trPr>
          <w:trHeight w:val="403"/>
        </w:trPr>
        <w:tc>
          <w:tcPr>
            <w:tcW w:w="2978" w:type="dxa"/>
            <w:tcBorders>
              <w:bottom w:val="single" w:sz="4" w:space="0" w:color="auto"/>
            </w:tcBorders>
            <w:shd w:val="clear" w:color="auto" w:fill="auto"/>
          </w:tcPr>
          <w:p w14:paraId="4F6476F6" w14:textId="77777777" w:rsidR="004C61EA" w:rsidRPr="003D51E4" w:rsidRDefault="004C61EA" w:rsidP="00940768">
            <w:pPr>
              <w:spacing w:before="120" w:after="120"/>
              <w:rPr>
                <w:rFonts w:ascii="Arial" w:hAnsi="Arial" w:cs="Arial"/>
                <w:b/>
                <w:sz w:val="24"/>
                <w:szCs w:val="24"/>
              </w:rPr>
            </w:pPr>
            <w:r w:rsidRPr="003D51E4">
              <w:rPr>
                <w:rFonts w:ascii="Arial" w:hAnsi="Arial" w:cs="Arial"/>
                <w:b/>
                <w:sz w:val="24"/>
                <w:szCs w:val="24"/>
              </w:rPr>
              <w:t xml:space="preserve">4: </w:t>
            </w:r>
            <w:r w:rsidR="007D683D">
              <w:rPr>
                <w:rFonts w:ascii="Arial" w:hAnsi="Arial" w:cs="Arial"/>
                <w:b/>
                <w:sz w:val="24"/>
                <w:szCs w:val="24"/>
              </w:rPr>
              <w:t>Restrictions on</w:t>
            </w:r>
            <w:r w:rsidRPr="003D51E4">
              <w:rPr>
                <w:rFonts w:ascii="Arial" w:hAnsi="Arial" w:cs="Arial"/>
                <w:b/>
                <w:sz w:val="24"/>
                <w:szCs w:val="24"/>
              </w:rPr>
              <w:t xml:space="preserve"> inducements </w:t>
            </w:r>
          </w:p>
          <w:p w14:paraId="5C34AB75" w14:textId="77777777" w:rsidR="004C61EA" w:rsidRPr="00940768" w:rsidDel="00DB3D10" w:rsidRDefault="004C61EA" w:rsidP="00940768">
            <w:pPr>
              <w:spacing w:before="120" w:after="120"/>
              <w:rPr>
                <w:rFonts w:ascii="Arial" w:hAnsi="Arial"/>
                <w:b/>
                <w:sz w:val="24"/>
              </w:rPr>
            </w:pPr>
            <w:r w:rsidRPr="003D51E4">
              <w:rPr>
                <w:rFonts w:ascii="Arial" w:hAnsi="Arial" w:cs="Arial"/>
                <w:sz w:val="24"/>
                <w:szCs w:val="24"/>
              </w:rPr>
              <w:t>This measure prohibits all specified inducements in the applicable jurisdictions.</w:t>
            </w:r>
          </w:p>
        </w:tc>
        <w:tc>
          <w:tcPr>
            <w:tcW w:w="7797" w:type="dxa"/>
            <w:tcBorders>
              <w:bottom w:val="single" w:sz="4" w:space="0" w:color="auto"/>
            </w:tcBorders>
            <w:shd w:val="clear" w:color="auto" w:fill="auto"/>
          </w:tcPr>
          <w:p w14:paraId="6BA29D83"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iCs w:val="0"/>
                <w:smallCaps w:val="0"/>
                <w:sz w:val="24"/>
                <w:szCs w:val="24"/>
              </w:rPr>
            </w:pPr>
            <w:r w:rsidRPr="003D51E4">
              <w:rPr>
                <w:rStyle w:val="BookTitle"/>
                <w:rFonts w:ascii="Arial" w:hAnsi="Arial" w:cs="Arial"/>
                <w:i w:val="0"/>
                <w:iCs w:val="0"/>
                <w:smallCaps w:val="0"/>
                <w:sz w:val="24"/>
                <w:szCs w:val="24"/>
              </w:rPr>
              <w:t>The offer of any credit, voucher, reward, or other benefit as an incentive to open an account or refer another person to open an account is prohibited.</w:t>
            </w:r>
          </w:p>
          <w:p w14:paraId="5881AE03"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iCs w:val="0"/>
                <w:smallCaps w:val="0"/>
                <w:sz w:val="24"/>
                <w:szCs w:val="24"/>
              </w:rPr>
            </w:pPr>
            <w:r w:rsidRPr="003D51E4">
              <w:rPr>
                <w:rStyle w:val="BookTitle"/>
                <w:rFonts w:ascii="Arial" w:hAnsi="Arial" w:cs="Arial"/>
                <w:i w:val="0"/>
                <w:iCs w:val="0"/>
                <w:smallCaps w:val="0"/>
                <w:sz w:val="24"/>
                <w:szCs w:val="24"/>
              </w:rPr>
              <w:t xml:space="preserve">Any credit, voucher, reward, or other benefit (that is directed at </w:t>
            </w:r>
            <w:r w:rsidR="00DB2CEC">
              <w:rPr>
                <w:rStyle w:val="BookTitle"/>
                <w:rFonts w:ascii="Arial" w:hAnsi="Arial" w:cs="Arial"/>
                <w:i w:val="0"/>
                <w:iCs w:val="0"/>
                <w:smallCaps w:val="0"/>
                <w:sz w:val="24"/>
                <w:szCs w:val="24"/>
              </w:rPr>
              <w:t>encouraging</w:t>
            </w:r>
            <w:r w:rsidRPr="00940768">
              <w:rPr>
                <w:i/>
                <w:smallCaps/>
              </w:rPr>
              <w:t xml:space="preserve"> </w:t>
            </w:r>
            <w:r w:rsidRPr="003D51E4">
              <w:rPr>
                <w:rStyle w:val="BookTitle"/>
                <w:rFonts w:ascii="Arial" w:hAnsi="Arial" w:cs="Arial"/>
                <w:i w:val="0"/>
                <w:iCs w:val="0"/>
                <w:smallCaps w:val="0"/>
                <w:sz w:val="24"/>
                <w:szCs w:val="24"/>
              </w:rPr>
              <w:t>customers to gamble) that is not part of an approved loyalty program must not be offered in a jurisdiction that only permits such inducements as part of an approved loyalty program.</w:t>
            </w:r>
          </w:p>
          <w:p w14:paraId="01FD9A03"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iCs w:val="0"/>
                <w:smallCaps w:val="0"/>
                <w:sz w:val="24"/>
                <w:szCs w:val="24"/>
              </w:rPr>
            </w:pPr>
            <w:r w:rsidRPr="003D51E4">
              <w:rPr>
                <w:rStyle w:val="BookTitle"/>
                <w:rFonts w:ascii="Arial" w:hAnsi="Arial" w:cs="Arial"/>
                <w:i w:val="0"/>
                <w:iCs w:val="0"/>
                <w:smallCaps w:val="0"/>
                <w:sz w:val="24"/>
                <w:szCs w:val="24"/>
              </w:rPr>
              <w:t>Winnings from a complementary betting credit or token (i</w:t>
            </w:r>
            <w:r w:rsidR="00DB2CEC">
              <w:rPr>
                <w:rStyle w:val="BookTitle"/>
                <w:rFonts w:ascii="Arial" w:hAnsi="Arial" w:cs="Arial"/>
                <w:i w:val="0"/>
                <w:iCs w:val="0"/>
                <w:smallCaps w:val="0"/>
                <w:sz w:val="24"/>
                <w:szCs w:val="24"/>
              </w:rPr>
              <w:t>.</w:t>
            </w:r>
            <w:r w:rsidRPr="003D51E4">
              <w:rPr>
                <w:rStyle w:val="BookTitle"/>
                <w:rFonts w:ascii="Arial" w:hAnsi="Arial" w:cs="Arial"/>
                <w:i w:val="0"/>
                <w:iCs w:val="0"/>
                <w:smallCaps w:val="0"/>
                <w:sz w:val="24"/>
                <w:szCs w:val="24"/>
              </w:rPr>
              <w:t>e</w:t>
            </w:r>
            <w:r w:rsidR="001E69FC">
              <w:rPr>
                <w:rStyle w:val="BookTitle"/>
                <w:rFonts w:ascii="Arial" w:hAnsi="Arial" w:cs="Arial"/>
                <w:i w:val="0"/>
                <w:iCs w:val="0"/>
                <w:smallCaps w:val="0"/>
                <w:sz w:val="24"/>
                <w:szCs w:val="24"/>
              </w:rPr>
              <w:t>. </w:t>
            </w:r>
            <w:r w:rsidRPr="003D51E4">
              <w:rPr>
                <w:rStyle w:val="BookTitle"/>
                <w:rFonts w:ascii="Arial" w:hAnsi="Arial" w:cs="Arial"/>
                <w:i w:val="0"/>
                <w:iCs w:val="0"/>
                <w:smallCaps w:val="0"/>
                <w:sz w:val="24"/>
                <w:szCs w:val="24"/>
              </w:rPr>
              <w:t>bonus bet) must be able to be withdrawn without being subject to any turnover requirements.</w:t>
            </w:r>
          </w:p>
          <w:p w14:paraId="790A0E4C"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iCs w:val="0"/>
                <w:smallCaps w:val="0"/>
                <w:sz w:val="24"/>
                <w:szCs w:val="24"/>
              </w:rPr>
            </w:pPr>
            <w:r w:rsidRPr="003D51E4">
              <w:rPr>
                <w:rStyle w:val="BookTitle"/>
                <w:rFonts w:ascii="Arial" w:hAnsi="Arial" w:cs="Arial"/>
                <w:i w:val="0"/>
                <w:iCs w:val="0"/>
                <w:smallCaps w:val="0"/>
                <w:sz w:val="24"/>
                <w:szCs w:val="24"/>
              </w:rPr>
              <w:t>All direct marketing to</w:t>
            </w:r>
            <w:r w:rsidRPr="00940768">
              <w:rPr>
                <w:i/>
                <w:smallCaps/>
              </w:rPr>
              <w:t xml:space="preserve"> </w:t>
            </w:r>
            <w:r w:rsidRPr="003D51E4">
              <w:rPr>
                <w:rStyle w:val="BookTitle"/>
                <w:rFonts w:ascii="Arial" w:hAnsi="Arial" w:cs="Arial"/>
                <w:i w:val="0"/>
                <w:iCs w:val="0"/>
                <w:smallCaps w:val="0"/>
                <w:sz w:val="24"/>
                <w:szCs w:val="24"/>
              </w:rPr>
              <w:t>customers may only be sent to</w:t>
            </w:r>
            <w:r w:rsidRPr="00940768">
              <w:rPr>
                <w:i/>
                <w:smallCaps/>
              </w:rPr>
              <w:t xml:space="preserve"> </w:t>
            </w:r>
            <w:r w:rsidRPr="003D51E4">
              <w:rPr>
                <w:rStyle w:val="BookTitle"/>
                <w:rFonts w:ascii="Arial" w:hAnsi="Arial" w:cs="Arial"/>
                <w:i w:val="0"/>
                <w:iCs w:val="0"/>
                <w:smallCaps w:val="0"/>
                <w:sz w:val="24"/>
                <w:szCs w:val="24"/>
              </w:rPr>
              <w:t>customers who provide their express consent to receive this material.</w:t>
            </w:r>
          </w:p>
          <w:p w14:paraId="11D37612"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iCs w:val="0"/>
                <w:smallCaps w:val="0"/>
                <w:sz w:val="24"/>
                <w:szCs w:val="24"/>
              </w:rPr>
            </w:pPr>
            <w:r w:rsidRPr="003D51E4">
              <w:rPr>
                <w:rStyle w:val="BookTitle"/>
                <w:rFonts w:ascii="Arial" w:hAnsi="Arial" w:cs="Arial"/>
                <w:i w:val="0"/>
                <w:iCs w:val="0"/>
                <w:smallCaps w:val="0"/>
                <w:sz w:val="24"/>
                <w:szCs w:val="24"/>
              </w:rPr>
              <w:lastRenderedPageBreak/>
              <w:t>A</w:t>
            </w:r>
            <w:r w:rsidRPr="00940768">
              <w:rPr>
                <w:i/>
                <w:smallCaps/>
              </w:rPr>
              <w:t xml:space="preserve"> </w:t>
            </w:r>
            <w:r w:rsidRPr="003D51E4">
              <w:rPr>
                <w:rStyle w:val="BookTitle"/>
                <w:rFonts w:ascii="Arial" w:hAnsi="Arial" w:cs="Arial"/>
                <w:i w:val="0"/>
                <w:iCs w:val="0"/>
                <w:smallCaps w:val="0"/>
                <w:sz w:val="24"/>
                <w:szCs w:val="24"/>
              </w:rPr>
              <w:t xml:space="preserve">customer must be able to unsubscribe from receiving direct marketing materials. For direct marketing materials sent electronically, the link to unsubscribe must be functional and easily accessible.  </w:t>
            </w:r>
          </w:p>
          <w:p w14:paraId="78654FB3" w14:textId="77777777" w:rsidR="004C61EA" w:rsidRPr="003D51E4" w:rsidRDefault="004C61EA" w:rsidP="00940768">
            <w:pPr>
              <w:pStyle w:val="ListParagraph"/>
              <w:numPr>
                <w:ilvl w:val="0"/>
                <w:numId w:val="7"/>
              </w:numPr>
              <w:spacing w:before="120" w:after="120"/>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 xml:space="preserve">No further direct marketing materials may be sent to a consumer from the time their unsubscribe request is received. </w:t>
            </w:r>
          </w:p>
          <w:p w14:paraId="61AF8AF3" w14:textId="77777777" w:rsidR="004C61EA" w:rsidRPr="00940768" w:rsidDel="00DB3D10" w:rsidRDefault="004C61EA" w:rsidP="00940768">
            <w:pPr>
              <w:spacing w:before="120" w:after="120"/>
              <w:rPr>
                <w:rFonts w:ascii="Arial" w:hAnsi="Arial"/>
                <w:b/>
                <w:sz w:val="24"/>
              </w:rPr>
            </w:pPr>
            <w:r w:rsidRPr="003D51E4">
              <w:rPr>
                <w:rStyle w:val="BookTitle"/>
                <w:rFonts w:ascii="Arial" w:hAnsi="Arial" w:cs="Arial"/>
                <w:i w:val="0"/>
                <w:iCs w:val="0"/>
                <w:smallCaps w:val="0"/>
                <w:sz w:val="24"/>
                <w:szCs w:val="24"/>
              </w:rPr>
              <w:t>The above principles for this measure apply as minimum requirements only. Additional restrictions on inducements may continue to apply</w:t>
            </w:r>
            <w:r w:rsidR="00D0310F">
              <w:rPr>
                <w:rStyle w:val="BookTitle"/>
                <w:rFonts w:ascii="Arial" w:hAnsi="Arial" w:cs="Arial"/>
                <w:i w:val="0"/>
                <w:iCs w:val="0"/>
                <w:smallCaps w:val="0"/>
                <w:sz w:val="24"/>
                <w:szCs w:val="24"/>
              </w:rPr>
              <w:t>,</w:t>
            </w:r>
            <w:r w:rsidRPr="003D51E4">
              <w:rPr>
                <w:rStyle w:val="BookTitle"/>
                <w:rFonts w:ascii="Arial" w:hAnsi="Arial" w:cs="Arial"/>
                <w:i w:val="0"/>
                <w:iCs w:val="0"/>
                <w:smallCaps w:val="0"/>
                <w:sz w:val="24"/>
                <w:szCs w:val="24"/>
              </w:rPr>
              <w:t xml:space="preserve"> or be enacted, including in relation to its advertisement, by individual jurisdictions.</w:t>
            </w:r>
          </w:p>
        </w:tc>
        <w:tc>
          <w:tcPr>
            <w:tcW w:w="4536" w:type="dxa"/>
            <w:shd w:val="clear" w:color="auto" w:fill="auto"/>
          </w:tcPr>
          <w:p w14:paraId="26726F1C" w14:textId="77777777" w:rsidR="004C61EA" w:rsidRPr="003D51E4" w:rsidRDefault="004C61EA" w:rsidP="00940768">
            <w:pPr>
              <w:spacing w:before="120" w:after="120"/>
              <w:rPr>
                <w:rFonts w:ascii="Arial" w:hAnsi="Arial" w:cs="Arial"/>
                <w:spacing w:val="5"/>
                <w:sz w:val="24"/>
                <w:szCs w:val="24"/>
              </w:rPr>
            </w:pPr>
            <w:r w:rsidRPr="003D51E4">
              <w:rPr>
                <w:rFonts w:ascii="Arial" w:hAnsi="Arial" w:cs="Arial"/>
                <w:spacing w:val="5"/>
                <w:sz w:val="24"/>
                <w:szCs w:val="24"/>
              </w:rPr>
              <w:lastRenderedPageBreak/>
              <w:t>State and territory governments will enact this measure through existing laws, regulations, and licenses.</w:t>
            </w:r>
          </w:p>
          <w:p w14:paraId="0F1D4F0E" w14:textId="77777777" w:rsidR="004C61EA" w:rsidRPr="00940768" w:rsidDel="00DB3D10" w:rsidRDefault="004C61EA" w:rsidP="00940768">
            <w:pPr>
              <w:spacing w:before="120" w:after="120"/>
              <w:rPr>
                <w:b/>
              </w:rPr>
            </w:pPr>
            <w:r w:rsidRPr="003D51E4">
              <w:rPr>
                <w:rFonts w:ascii="Arial" w:hAnsi="Arial" w:cs="Arial"/>
                <w:spacing w:val="5"/>
                <w:sz w:val="24"/>
                <w:szCs w:val="24"/>
              </w:rPr>
              <w:t xml:space="preserve">This measure takes effect </w:t>
            </w:r>
            <w:r w:rsidRPr="003D51E4">
              <w:rPr>
                <w:rFonts w:ascii="Arial" w:hAnsi="Arial" w:cs="Arial"/>
                <w:b/>
                <w:spacing w:val="5"/>
                <w:sz w:val="24"/>
                <w:szCs w:val="24"/>
              </w:rPr>
              <w:t>6 months</w:t>
            </w:r>
            <w:r w:rsidRPr="003D51E4">
              <w:rPr>
                <w:rFonts w:ascii="Arial" w:hAnsi="Arial" w:cs="Arial"/>
                <w:spacing w:val="5"/>
                <w:sz w:val="24"/>
                <w:szCs w:val="24"/>
              </w:rPr>
              <w:t xml:space="preserve"> from the commencement date</w:t>
            </w:r>
            <w:r>
              <w:rPr>
                <w:rFonts w:ascii="Arial" w:hAnsi="Arial" w:cs="Arial"/>
                <w:spacing w:val="5"/>
                <w:sz w:val="24"/>
                <w:szCs w:val="24"/>
              </w:rPr>
              <w:t xml:space="preserve"> for the National Framework</w:t>
            </w:r>
            <w:r w:rsidRPr="003D51E4">
              <w:rPr>
                <w:rFonts w:ascii="Arial" w:hAnsi="Arial" w:cs="Arial"/>
                <w:spacing w:val="5"/>
                <w:sz w:val="24"/>
                <w:szCs w:val="24"/>
              </w:rPr>
              <w:t>.</w:t>
            </w:r>
          </w:p>
        </w:tc>
      </w:tr>
      <w:tr w:rsidR="004C61EA" w:rsidRPr="003D51E4" w14:paraId="056D152F" w14:textId="77777777" w:rsidTr="00160B84">
        <w:tc>
          <w:tcPr>
            <w:tcW w:w="2978" w:type="dxa"/>
            <w:shd w:val="clear" w:color="auto" w:fill="auto"/>
          </w:tcPr>
          <w:p w14:paraId="14B04285" w14:textId="77777777" w:rsidR="004C61EA" w:rsidRPr="003D51E4" w:rsidRDefault="004C61EA" w:rsidP="00940768">
            <w:pPr>
              <w:spacing w:before="120" w:after="120"/>
              <w:rPr>
                <w:rFonts w:ascii="Arial" w:hAnsi="Arial" w:cs="Arial"/>
                <w:b/>
                <w:sz w:val="24"/>
                <w:szCs w:val="24"/>
              </w:rPr>
            </w:pPr>
            <w:r w:rsidRPr="003D51E4">
              <w:rPr>
                <w:rFonts w:ascii="Arial" w:hAnsi="Arial" w:cs="Arial"/>
                <w:b/>
                <w:sz w:val="24"/>
                <w:szCs w:val="24"/>
              </w:rPr>
              <w:t xml:space="preserve">5: Account closure </w:t>
            </w:r>
          </w:p>
          <w:p w14:paraId="48F4B378" w14:textId="77777777" w:rsidR="004C61EA" w:rsidRPr="003D51E4" w:rsidRDefault="004C61EA" w:rsidP="001329B9">
            <w:pPr>
              <w:spacing w:before="120" w:after="120"/>
              <w:rPr>
                <w:rFonts w:ascii="Arial" w:hAnsi="Arial" w:cs="Arial"/>
                <w:sz w:val="24"/>
                <w:szCs w:val="24"/>
              </w:rPr>
            </w:pPr>
            <w:r w:rsidRPr="003D51E4">
              <w:rPr>
                <w:rFonts w:ascii="Arial" w:hAnsi="Arial" w:cs="Arial"/>
                <w:sz w:val="24"/>
                <w:szCs w:val="24"/>
              </w:rPr>
              <w:t xml:space="preserve">This measure ensures that closing/cancelling an online wagering account is readily available, and accessible by all </w:t>
            </w:r>
            <w:r w:rsidRPr="003D51E4">
              <w:rPr>
                <w:rStyle w:val="BookTitle"/>
                <w:rFonts w:ascii="Arial" w:hAnsi="Arial" w:cs="Arial"/>
                <w:i w:val="0"/>
                <w:iCs w:val="0"/>
                <w:smallCaps w:val="0"/>
                <w:sz w:val="24"/>
                <w:szCs w:val="24"/>
              </w:rPr>
              <w:t>customers</w:t>
            </w:r>
            <w:r w:rsidR="00DB2CEC">
              <w:rPr>
                <w:rStyle w:val="BookTitle"/>
                <w:rFonts w:ascii="Arial" w:hAnsi="Arial" w:cs="Arial"/>
                <w:i w:val="0"/>
                <w:iCs w:val="0"/>
                <w:smallCaps w:val="0"/>
                <w:sz w:val="24"/>
                <w:szCs w:val="24"/>
              </w:rPr>
              <w:t>.</w:t>
            </w:r>
          </w:p>
        </w:tc>
        <w:tc>
          <w:tcPr>
            <w:tcW w:w="7797" w:type="dxa"/>
            <w:shd w:val="clear" w:color="auto" w:fill="auto"/>
          </w:tcPr>
          <w:p w14:paraId="6E95E38C"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The process for account closure must be prominent and clearly articulated on the interactive wagering service provider’s website and within each</w:t>
            </w:r>
            <w:r w:rsidRPr="00212DFC">
              <w:rPr>
                <w:rFonts w:ascii="Arial" w:hAnsi="Arial"/>
                <w:i/>
                <w:smallCaps/>
                <w:sz w:val="24"/>
              </w:rPr>
              <w:t xml:space="preserve"> </w:t>
            </w:r>
            <w:r w:rsidRPr="003D51E4">
              <w:rPr>
                <w:rStyle w:val="BookTitle"/>
                <w:rFonts w:ascii="Arial" w:hAnsi="Arial" w:cs="Arial"/>
                <w:i w:val="0"/>
                <w:iCs w:val="0"/>
                <w:smallCaps w:val="0"/>
                <w:sz w:val="24"/>
                <w:szCs w:val="24"/>
              </w:rPr>
              <w:t>customer</w:t>
            </w:r>
            <w:r w:rsidRPr="003D51E4">
              <w:rPr>
                <w:rStyle w:val="BookTitle"/>
                <w:rFonts w:ascii="Arial" w:hAnsi="Arial" w:cs="Arial"/>
                <w:i w:val="0"/>
                <w:smallCaps w:val="0"/>
                <w:sz w:val="24"/>
                <w:szCs w:val="24"/>
              </w:rPr>
              <w:t>’s ‘My Account’ window</w:t>
            </w:r>
            <w:r w:rsidR="001012AC">
              <w:rPr>
                <w:rStyle w:val="BookTitle"/>
                <w:rFonts w:ascii="Arial" w:hAnsi="Arial" w:cs="Arial"/>
                <w:i w:val="0"/>
                <w:smallCaps w:val="0"/>
                <w:sz w:val="24"/>
                <w:szCs w:val="24"/>
              </w:rPr>
              <w:t>.</w:t>
            </w:r>
          </w:p>
          <w:p w14:paraId="074773B7"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 xml:space="preserve">The process for account closure must be simple.  </w:t>
            </w:r>
          </w:p>
          <w:p w14:paraId="5B2EDEB6"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A</w:t>
            </w:r>
            <w:r w:rsidRPr="00940768">
              <w:rPr>
                <w:i/>
                <w:smallCaps/>
              </w:rPr>
              <w:t xml:space="preserve"> </w:t>
            </w:r>
            <w:r w:rsidRPr="003D51E4">
              <w:rPr>
                <w:rStyle w:val="BookTitle"/>
                <w:rFonts w:ascii="Arial" w:hAnsi="Arial" w:cs="Arial"/>
                <w:i w:val="0"/>
                <w:iCs w:val="0"/>
                <w:smallCaps w:val="0"/>
                <w:sz w:val="24"/>
                <w:szCs w:val="24"/>
              </w:rPr>
              <w:t xml:space="preserve">customer </w:t>
            </w:r>
            <w:r w:rsidRPr="003D51E4">
              <w:rPr>
                <w:rStyle w:val="BookTitle"/>
                <w:rFonts w:ascii="Arial" w:hAnsi="Arial" w:cs="Arial"/>
                <w:i w:val="0"/>
                <w:smallCaps w:val="0"/>
                <w:sz w:val="24"/>
                <w:szCs w:val="24"/>
              </w:rPr>
              <w:t xml:space="preserve">must be able to request the closure of their account via the same channels available to them to place a bet, in addition to via email and telephone. </w:t>
            </w:r>
          </w:p>
          <w:p w14:paraId="3022E4E7"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The</w:t>
            </w:r>
            <w:r w:rsidR="00D0310F">
              <w:rPr>
                <w:rStyle w:val="BookTitle"/>
                <w:rFonts w:ascii="Arial" w:hAnsi="Arial" w:cs="Arial"/>
                <w:i w:val="0"/>
                <w:smallCaps w:val="0"/>
                <w:sz w:val="24"/>
                <w:szCs w:val="24"/>
              </w:rPr>
              <w:t xml:space="preserve"> account closure process must commence</w:t>
            </w:r>
            <w:r w:rsidRPr="003D51E4">
              <w:rPr>
                <w:rStyle w:val="BookTitle"/>
                <w:rFonts w:ascii="Arial" w:hAnsi="Arial" w:cs="Arial"/>
                <w:i w:val="0"/>
                <w:smallCaps w:val="0"/>
                <w:sz w:val="24"/>
                <w:szCs w:val="24"/>
              </w:rPr>
              <w:t xml:space="preserve"> immediately upon receipt of the account closure request and result in the account being closed after all bets have been settled.</w:t>
            </w:r>
          </w:p>
          <w:p w14:paraId="45B44444" w14:textId="77777777" w:rsidR="00914138" w:rsidRPr="00FD2E4D" w:rsidRDefault="004C61EA" w:rsidP="00914138">
            <w:pPr>
              <w:pStyle w:val="ListParagraph"/>
              <w:numPr>
                <w:ilvl w:val="0"/>
                <w:numId w:val="7"/>
              </w:numPr>
              <w:spacing w:before="120" w:after="120" w:line="240" w:lineRule="auto"/>
              <w:ind w:left="351" w:hanging="357"/>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A customer must not be encouraged or induced to keep their account open following their request</w:t>
            </w:r>
            <w:r w:rsidR="00D0310F">
              <w:rPr>
                <w:rStyle w:val="BookTitle"/>
                <w:rFonts w:ascii="Arial" w:hAnsi="Arial" w:cs="Arial"/>
                <w:i w:val="0"/>
                <w:smallCaps w:val="0"/>
                <w:sz w:val="24"/>
                <w:szCs w:val="24"/>
              </w:rPr>
              <w:t xml:space="preserve"> to close</w:t>
            </w:r>
            <w:r w:rsidRPr="003D51E4">
              <w:rPr>
                <w:rStyle w:val="BookTitle"/>
                <w:rFonts w:ascii="Arial" w:hAnsi="Arial" w:cs="Arial"/>
                <w:i w:val="0"/>
                <w:smallCaps w:val="0"/>
                <w:sz w:val="24"/>
                <w:szCs w:val="24"/>
              </w:rPr>
              <w:t xml:space="preserve"> their account</w:t>
            </w:r>
            <w:r w:rsidR="00DB2CEC">
              <w:rPr>
                <w:rStyle w:val="BookTitle"/>
                <w:rFonts w:ascii="Arial" w:hAnsi="Arial" w:cs="Arial"/>
                <w:i w:val="0"/>
                <w:smallCaps w:val="0"/>
                <w:sz w:val="24"/>
                <w:szCs w:val="24"/>
              </w:rPr>
              <w:t>.</w:t>
            </w:r>
            <w:r w:rsidRPr="003D51E4">
              <w:rPr>
                <w:rStyle w:val="BookTitle"/>
                <w:rFonts w:ascii="Arial" w:hAnsi="Arial" w:cs="Arial"/>
                <w:i w:val="0"/>
                <w:smallCaps w:val="0"/>
                <w:sz w:val="24"/>
                <w:szCs w:val="24"/>
              </w:rPr>
              <w:t xml:space="preserve"> However, an interactive wagering service provider may explain the effects of an account clo</w:t>
            </w:r>
            <w:r w:rsidR="00A0601B">
              <w:rPr>
                <w:rStyle w:val="BookTitle"/>
                <w:rFonts w:ascii="Arial" w:hAnsi="Arial" w:cs="Arial"/>
                <w:i w:val="0"/>
                <w:smallCaps w:val="0"/>
                <w:sz w:val="24"/>
                <w:szCs w:val="24"/>
              </w:rPr>
              <w:t>sure and ask the customer if the customer</w:t>
            </w:r>
            <w:r w:rsidRPr="003D51E4">
              <w:rPr>
                <w:rStyle w:val="BookTitle"/>
                <w:rFonts w:ascii="Arial" w:hAnsi="Arial" w:cs="Arial"/>
                <w:i w:val="0"/>
                <w:smallCaps w:val="0"/>
                <w:sz w:val="24"/>
                <w:szCs w:val="24"/>
              </w:rPr>
              <w:t xml:space="preserve"> wish</w:t>
            </w:r>
            <w:r w:rsidR="00A0601B">
              <w:rPr>
                <w:rStyle w:val="BookTitle"/>
                <w:rFonts w:ascii="Arial" w:hAnsi="Arial" w:cs="Arial"/>
                <w:i w:val="0"/>
                <w:smallCaps w:val="0"/>
                <w:sz w:val="24"/>
                <w:szCs w:val="24"/>
              </w:rPr>
              <w:t>es</w:t>
            </w:r>
            <w:r w:rsidRPr="003D51E4">
              <w:rPr>
                <w:rStyle w:val="BookTitle"/>
                <w:rFonts w:ascii="Arial" w:hAnsi="Arial" w:cs="Arial"/>
                <w:i w:val="0"/>
                <w:smallCaps w:val="0"/>
                <w:sz w:val="24"/>
                <w:szCs w:val="24"/>
              </w:rPr>
              <w:t xml:space="preserve"> to proceed. </w:t>
            </w:r>
          </w:p>
          <w:p w14:paraId="2FABB015" w14:textId="77777777" w:rsidR="004C61EA" w:rsidRPr="00DB2CEC" w:rsidRDefault="00914138" w:rsidP="00940768">
            <w:pPr>
              <w:pStyle w:val="ListParagraph"/>
              <w:numPr>
                <w:ilvl w:val="0"/>
                <w:numId w:val="7"/>
              </w:numPr>
              <w:spacing w:before="120" w:after="120"/>
              <w:ind w:left="351" w:hanging="357"/>
              <w:contextualSpacing w:val="0"/>
              <w:rPr>
                <w:rFonts w:ascii="Arial" w:hAnsi="Arial" w:cs="Arial"/>
                <w:iCs/>
                <w:spacing w:val="5"/>
                <w:sz w:val="24"/>
                <w:szCs w:val="24"/>
              </w:rPr>
            </w:pPr>
            <w:r w:rsidRPr="00FD2E4D">
              <w:rPr>
                <w:rStyle w:val="BookTitle"/>
                <w:rFonts w:ascii="Arial" w:hAnsi="Arial" w:cs="Arial"/>
                <w:i w:val="0"/>
                <w:smallCaps w:val="0"/>
                <w:sz w:val="24"/>
                <w:szCs w:val="24"/>
              </w:rPr>
              <w:t>An interactive wagering service provider must not directly promote or market to a customer following the closure of the customer’s account.</w:t>
            </w:r>
          </w:p>
        </w:tc>
        <w:tc>
          <w:tcPr>
            <w:tcW w:w="4536" w:type="dxa"/>
            <w:shd w:val="clear" w:color="auto" w:fill="auto"/>
          </w:tcPr>
          <w:p w14:paraId="688EE520" w14:textId="77777777" w:rsidR="004C61EA" w:rsidRPr="003D51E4" w:rsidRDefault="004C61EA" w:rsidP="00940768">
            <w:pPr>
              <w:spacing w:before="120" w:after="120"/>
              <w:rPr>
                <w:rFonts w:ascii="Arial" w:hAnsi="Arial" w:cs="Arial"/>
                <w:spacing w:val="5"/>
                <w:sz w:val="24"/>
                <w:szCs w:val="24"/>
              </w:rPr>
            </w:pPr>
            <w:r w:rsidRPr="003D51E4">
              <w:rPr>
                <w:rFonts w:ascii="Arial" w:hAnsi="Arial" w:cs="Arial"/>
                <w:spacing w:val="5"/>
                <w:sz w:val="24"/>
                <w:szCs w:val="24"/>
              </w:rPr>
              <w:t>State and territory governments will enact this measure through existing laws, regulations, and licences.</w:t>
            </w:r>
          </w:p>
          <w:p w14:paraId="4CF8F21D" w14:textId="77777777" w:rsidR="004C61EA" w:rsidRPr="003D51E4" w:rsidRDefault="004C61EA" w:rsidP="001329B9">
            <w:pPr>
              <w:spacing w:before="120" w:after="120"/>
              <w:rPr>
                <w:rStyle w:val="BookTitle"/>
                <w:rFonts w:ascii="Arial" w:hAnsi="Arial" w:cs="Arial"/>
                <w:i w:val="0"/>
                <w:iCs w:val="0"/>
                <w:smallCaps w:val="0"/>
                <w:sz w:val="24"/>
                <w:szCs w:val="24"/>
              </w:rPr>
            </w:pPr>
            <w:r w:rsidRPr="003D51E4">
              <w:rPr>
                <w:rFonts w:ascii="Arial" w:hAnsi="Arial" w:cs="Arial"/>
                <w:spacing w:val="5"/>
                <w:sz w:val="24"/>
                <w:szCs w:val="24"/>
              </w:rPr>
              <w:t xml:space="preserve">This measure takes effect </w:t>
            </w:r>
            <w:r w:rsidRPr="003D51E4">
              <w:rPr>
                <w:rFonts w:ascii="Arial" w:hAnsi="Arial" w:cs="Arial"/>
                <w:b/>
                <w:spacing w:val="5"/>
                <w:sz w:val="24"/>
                <w:szCs w:val="24"/>
              </w:rPr>
              <w:t>6 months</w:t>
            </w:r>
            <w:r w:rsidRPr="003D51E4">
              <w:rPr>
                <w:rFonts w:ascii="Arial" w:hAnsi="Arial" w:cs="Arial"/>
                <w:spacing w:val="5"/>
                <w:sz w:val="24"/>
                <w:szCs w:val="24"/>
              </w:rPr>
              <w:t xml:space="preserve"> from the commencement date</w:t>
            </w:r>
            <w:r>
              <w:rPr>
                <w:rFonts w:ascii="Arial" w:hAnsi="Arial" w:cs="Arial"/>
                <w:spacing w:val="5"/>
                <w:sz w:val="24"/>
                <w:szCs w:val="24"/>
              </w:rPr>
              <w:t xml:space="preserve"> for the National Framework</w:t>
            </w:r>
            <w:r w:rsidRPr="003D51E4">
              <w:rPr>
                <w:rFonts w:ascii="Arial" w:hAnsi="Arial" w:cs="Arial"/>
                <w:spacing w:val="5"/>
                <w:sz w:val="24"/>
                <w:szCs w:val="24"/>
              </w:rPr>
              <w:t>.</w:t>
            </w:r>
          </w:p>
        </w:tc>
      </w:tr>
      <w:tr w:rsidR="004C61EA" w:rsidRPr="003D51E4" w14:paraId="15BF5769" w14:textId="77777777" w:rsidTr="009A4D7F">
        <w:tc>
          <w:tcPr>
            <w:tcW w:w="2978" w:type="dxa"/>
            <w:shd w:val="clear" w:color="auto" w:fill="auto"/>
          </w:tcPr>
          <w:p w14:paraId="44D26CF6" w14:textId="77777777" w:rsidR="004C61EA" w:rsidRPr="003D51E4" w:rsidRDefault="004C61EA" w:rsidP="00940768">
            <w:pPr>
              <w:spacing w:before="120" w:after="120"/>
              <w:rPr>
                <w:rFonts w:ascii="Arial" w:hAnsi="Arial" w:cs="Arial"/>
                <w:b/>
                <w:sz w:val="24"/>
                <w:szCs w:val="24"/>
              </w:rPr>
            </w:pPr>
            <w:r w:rsidRPr="003D51E4">
              <w:rPr>
                <w:rFonts w:ascii="Arial" w:hAnsi="Arial" w:cs="Arial"/>
                <w:b/>
                <w:sz w:val="24"/>
                <w:szCs w:val="24"/>
              </w:rPr>
              <w:lastRenderedPageBreak/>
              <w:t xml:space="preserve">6: Voluntary opt-out pre-commitment scheme </w:t>
            </w:r>
          </w:p>
          <w:p w14:paraId="57AAFEBE" w14:textId="77777777" w:rsidR="00EA6B1C" w:rsidRPr="004E7418" w:rsidRDefault="004C61EA" w:rsidP="001329B9">
            <w:pPr>
              <w:spacing w:before="120" w:after="120"/>
              <w:rPr>
                <w:rFonts w:ascii="Arial" w:hAnsi="Arial" w:cs="Arial"/>
                <w:sz w:val="24"/>
                <w:szCs w:val="24"/>
              </w:rPr>
            </w:pPr>
            <w:r w:rsidRPr="003D51E4">
              <w:rPr>
                <w:rFonts w:ascii="Arial" w:hAnsi="Arial" w:cs="Arial"/>
                <w:sz w:val="24"/>
                <w:szCs w:val="24"/>
              </w:rPr>
              <w:t>This measure provides consumers with a tool to help them monitor and manage their gambling by pre-committing to deposit limits. These limits would apply on an operator basis.</w:t>
            </w:r>
          </w:p>
        </w:tc>
        <w:tc>
          <w:tcPr>
            <w:tcW w:w="7797" w:type="dxa"/>
            <w:shd w:val="clear" w:color="auto" w:fill="auto"/>
          </w:tcPr>
          <w:p w14:paraId="55FBB602"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3D51E4">
              <w:rPr>
                <w:rStyle w:val="BookTitle"/>
                <w:rFonts w:ascii="Arial" w:hAnsi="Arial" w:cs="Arial"/>
                <w:i w:val="0"/>
                <w:iCs w:val="0"/>
                <w:smallCaps w:val="0"/>
                <w:sz w:val="24"/>
                <w:szCs w:val="24"/>
              </w:rPr>
              <w:t xml:space="preserve">A </w:t>
            </w:r>
            <w:r w:rsidRPr="003D51E4">
              <w:rPr>
                <w:rStyle w:val="BookTitle"/>
                <w:rFonts w:ascii="Arial" w:hAnsi="Arial" w:cs="Arial"/>
                <w:i w:val="0"/>
                <w:smallCaps w:val="0"/>
                <w:sz w:val="24"/>
                <w:szCs w:val="24"/>
              </w:rPr>
              <w:t>voluntary pre-commitment scheme must be easily accessible and effectively promoted to consumers.</w:t>
            </w:r>
          </w:p>
          <w:p w14:paraId="348255A6"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A customer must be prompted to set a deposit limit during the account sign-up process.</w:t>
            </w:r>
          </w:p>
          <w:p w14:paraId="071CA2DD" w14:textId="77777777" w:rsidR="004C61EA" w:rsidRPr="003D51E4" w:rsidRDefault="004C61EA" w:rsidP="001329B9">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Limits must be binding.</w:t>
            </w:r>
          </w:p>
          <w:p w14:paraId="70A0BECA"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3D51E4">
              <w:rPr>
                <w:rStyle w:val="BookTitle"/>
                <w:rFonts w:ascii="Arial" w:hAnsi="Arial" w:cs="Arial"/>
                <w:i w:val="0"/>
                <w:iCs w:val="0"/>
                <w:smallCaps w:val="0"/>
                <w:sz w:val="24"/>
                <w:szCs w:val="24"/>
              </w:rPr>
              <w:t>An interactive wagering service provider must at least offer deposit limits, with other types of limits (e</w:t>
            </w:r>
            <w:r w:rsidR="00DB2CEC">
              <w:rPr>
                <w:rStyle w:val="BookTitle"/>
                <w:rFonts w:ascii="Arial" w:hAnsi="Arial" w:cs="Arial"/>
                <w:i w:val="0"/>
                <w:iCs w:val="0"/>
                <w:smallCaps w:val="0"/>
                <w:sz w:val="24"/>
                <w:szCs w:val="24"/>
              </w:rPr>
              <w:t>.</w:t>
            </w:r>
            <w:r w:rsidRPr="003D51E4">
              <w:rPr>
                <w:rStyle w:val="BookTitle"/>
                <w:rFonts w:ascii="Arial" w:hAnsi="Arial" w:cs="Arial"/>
                <w:i w:val="0"/>
                <w:iCs w:val="0"/>
                <w:smallCaps w:val="0"/>
                <w:sz w:val="24"/>
                <w:szCs w:val="24"/>
              </w:rPr>
              <w:t>g. spend limit) optional.</w:t>
            </w:r>
          </w:p>
          <w:p w14:paraId="61C448A9"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An interactive wagering service provider must not accept further deposits from a customer above the deposit limit set by the customer.</w:t>
            </w:r>
          </w:p>
          <w:p w14:paraId="42247035"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 xml:space="preserve">A request by a customer to decrease their deposit limit must be applied immediately. </w:t>
            </w:r>
          </w:p>
          <w:p w14:paraId="0AF181EA"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A request by a customer to increase their deposit limit must not be applied until 7 days after the day the request was received.</w:t>
            </w:r>
          </w:p>
          <w:p w14:paraId="6E11AD9F"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 xml:space="preserve">All customers must be prompted to set and review their deposit limit yearly at a minimum, including </w:t>
            </w:r>
            <w:r w:rsidR="00AF775A">
              <w:rPr>
                <w:rStyle w:val="BookTitle"/>
                <w:rFonts w:ascii="Arial" w:hAnsi="Arial" w:cs="Arial"/>
                <w:i w:val="0"/>
                <w:smallCaps w:val="0"/>
                <w:sz w:val="24"/>
                <w:szCs w:val="24"/>
              </w:rPr>
              <w:t>customers</w:t>
            </w:r>
            <w:r w:rsidRPr="003D51E4">
              <w:rPr>
                <w:rStyle w:val="BookTitle"/>
                <w:rFonts w:ascii="Arial" w:hAnsi="Arial" w:cs="Arial"/>
                <w:i w:val="0"/>
                <w:smallCaps w:val="0"/>
                <w:sz w:val="24"/>
                <w:szCs w:val="24"/>
              </w:rPr>
              <w:t xml:space="preserve"> who have chosen not to set a limit</w:t>
            </w:r>
            <w:r w:rsidRPr="003D51E4">
              <w:rPr>
                <w:rStyle w:val="BookTitle"/>
                <w:rFonts w:ascii="Arial" w:hAnsi="Arial" w:cs="Arial"/>
                <w:i w:val="0"/>
                <w:iCs w:val="0"/>
                <w:smallCaps w:val="0"/>
                <w:sz w:val="24"/>
                <w:szCs w:val="24"/>
              </w:rPr>
              <w:t xml:space="preserve"> (</w:t>
            </w:r>
            <w:r w:rsidR="002454A9">
              <w:rPr>
                <w:rStyle w:val="BookTitle"/>
                <w:rFonts w:ascii="Arial" w:hAnsi="Arial" w:cs="Arial"/>
                <w:i w:val="0"/>
                <w:iCs w:val="0"/>
                <w:smallCaps w:val="0"/>
                <w:sz w:val="24"/>
                <w:szCs w:val="24"/>
              </w:rPr>
              <w:t>with</w:t>
            </w:r>
            <w:r w:rsidR="009E3A00">
              <w:rPr>
                <w:rStyle w:val="BookTitle"/>
                <w:rFonts w:ascii="Arial" w:hAnsi="Arial" w:cs="Arial"/>
                <w:i w:val="0"/>
                <w:iCs w:val="0"/>
                <w:smallCaps w:val="0"/>
                <w:sz w:val="24"/>
                <w:szCs w:val="24"/>
              </w:rPr>
              <w:t xml:space="preserve"> further enhancement considered after trialling and testing</w:t>
            </w:r>
            <w:r w:rsidRPr="003D51E4">
              <w:rPr>
                <w:rStyle w:val="BookTitle"/>
                <w:rFonts w:ascii="Arial" w:hAnsi="Arial" w:cs="Arial"/>
                <w:i w:val="0"/>
                <w:iCs w:val="0"/>
                <w:smallCaps w:val="0"/>
                <w:sz w:val="24"/>
                <w:szCs w:val="24"/>
              </w:rPr>
              <w:t>).</w:t>
            </w:r>
          </w:p>
          <w:p w14:paraId="373E8EC5" w14:textId="77777777" w:rsidR="004C61EA" w:rsidRPr="00940768" w:rsidRDefault="004C61EA" w:rsidP="00940768">
            <w:pPr>
              <w:pStyle w:val="ListParagraph"/>
              <w:numPr>
                <w:ilvl w:val="0"/>
                <w:numId w:val="7"/>
              </w:numPr>
              <w:spacing w:before="120" w:after="120"/>
              <w:ind w:left="351" w:hanging="357"/>
              <w:contextualSpacing w:val="0"/>
              <w:rPr>
                <w:rStyle w:val="BookTitle"/>
                <w:rFonts w:ascii="Arial" w:hAnsi="Arial"/>
                <w:i w:val="0"/>
                <w:smallCaps w:val="0"/>
                <w:color w:val="000000" w:themeColor="text1"/>
                <w:sz w:val="24"/>
              </w:rPr>
            </w:pPr>
            <w:r w:rsidRPr="00940768">
              <w:rPr>
                <w:rStyle w:val="BookTitle"/>
                <w:rFonts w:ascii="Arial" w:hAnsi="Arial"/>
                <w:i w:val="0"/>
                <w:smallCaps w:val="0"/>
                <w:color w:val="000000" w:themeColor="text1"/>
                <w:sz w:val="24"/>
              </w:rPr>
              <w:t>The prompt must occur at the time of a customer’s next bet following each anniversary of the customer’s first bet</w:t>
            </w:r>
            <w:r w:rsidR="001012AC">
              <w:rPr>
                <w:rStyle w:val="BookTitle"/>
                <w:rFonts w:ascii="Arial" w:hAnsi="Arial"/>
                <w:i w:val="0"/>
                <w:smallCaps w:val="0"/>
                <w:color w:val="000000" w:themeColor="text1"/>
                <w:sz w:val="24"/>
              </w:rPr>
              <w:t>,</w:t>
            </w:r>
            <w:r w:rsidRPr="00940768">
              <w:rPr>
                <w:rStyle w:val="BookTitle"/>
                <w:rFonts w:ascii="Arial" w:hAnsi="Arial"/>
                <w:i w:val="0"/>
                <w:smallCaps w:val="0"/>
                <w:color w:val="000000" w:themeColor="text1"/>
                <w:sz w:val="24"/>
              </w:rPr>
              <w:t xml:space="preserve"> except where the customer does not have an active betting accou</w:t>
            </w:r>
            <w:r w:rsidR="00DB2CEC" w:rsidRPr="00940768">
              <w:rPr>
                <w:rStyle w:val="BookTitle"/>
                <w:rFonts w:ascii="Arial" w:hAnsi="Arial"/>
                <w:i w:val="0"/>
                <w:smallCaps w:val="0"/>
                <w:color w:val="000000" w:themeColor="text1"/>
                <w:sz w:val="24"/>
              </w:rPr>
              <w:t>nt on that date.</w:t>
            </w:r>
            <w:r w:rsidRPr="00940768">
              <w:rPr>
                <w:rStyle w:val="BookTitle"/>
                <w:rFonts w:ascii="Arial" w:hAnsi="Arial"/>
                <w:i w:val="0"/>
                <w:smallCaps w:val="0"/>
                <w:color w:val="000000" w:themeColor="text1"/>
                <w:sz w:val="24"/>
              </w:rPr>
              <w:t xml:space="preserve"> </w:t>
            </w:r>
            <w:r w:rsidR="00DB2CEC" w:rsidRPr="00B36239">
              <w:rPr>
                <w:rStyle w:val="BookTitle"/>
                <w:rFonts w:ascii="Arial" w:hAnsi="Arial" w:cs="Arial"/>
                <w:i w:val="0"/>
                <w:smallCaps w:val="0"/>
                <w:sz w:val="24"/>
                <w:szCs w:val="24"/>
              </w:rPr>
              <w:t>A customer is deemed to have an</w:t>
            </w:r>
            <w:r w:rsidR="00DB2CEC" w:rsidRPr="000B36B2">
              <w:rPr>
                <w:rStyle w:val="BookTitle"/>
                <w:rFonts w:ascii="Arial" w:hAnsi="Arial"/>
                <w:i w:val="0"/>
                <w:smallCaps w:val="0"/>
                <w:sz w:val="24"/>
              </w:rPr>
              <w:t xml:space="preserve"> active betting account </w:t>
            </w:r>
            <w:r w:rsidR="00DB2CEC" w:rsidRPr="00B36239">
              <w:rPr>
                <w:rStyle w:val="BookTitle"/>
                <w:rFonts w:ascii="Arial" w:hAnsi="Arial" w:cs="Arial"/>
                <w:i w:val="0"/>
                <w:smallCaps w:val="0"/>
                <w:sz w:val="24"/>
                <w:szCs w:val="24"/>
              </w:rPr>
              <w:t>if the customer</w:t>
            </w:r>
            <w:r w:rsidR="00DB2CEC" w:rsidRPr="000B36B2">
              <w:rPr>
                <w:rStyle w:val="BookTitle"/>
                <w:rFonts w:ascii="Arial" w:hAnsi="Arial"/>
                <w:i w:val="0"/>
                <w:smallCaps w:val="0"/>
                <w:sz w:val="24"/>
              </w:rPr>
              <w:t xml:space="preserve"> has </w:t>
            </w:r>
            <w:r w:rsidR="00DB2CEC" w:rsidRPr="00B36239">
              <w:rPr>
                <w:rStyle w:val="BookTitle"/>
                <w:rFonts w:ascii="Arial" w:hAnsi="Arial" w:cs="Arial"/>
                <w:i w:val="0"/>
                <w:smallCaps w:val="0"/>
                <w:sz w:val="24"/>
                <w:szCs w:val="24"/>
              </w:rPr>
              <w:t>made</w:t>
            </w:r>
            <w:r w:rsidR="00DB2CEC" w:rsidRPr="000B36B2">
              <w:rPr>
                <w:rStyle w:val="BookTitle"/>
                <w:rFonts w:ascii="Arial" w:hAnsi="Arial"/>
                <w:i w:val="0"/>
                <w:smallCaps w:val="0"/>
                <w:sz w:val="24"/>
              </w:rPr>
              <w:t xml:space="preserve"> a </w:t>
            </w:r>
            <w:r w:rsidR="00DB2CEC" w:rsidRPr="00B36239">
              <w:rPr>
                <w:rStyle w:val="BookTitle"/>
                <w:rFonts w:ascii="Arial" w:hAnsi="Arial" w:cs="Arial"/>
                <w:i w:val="0"/>
                <w:smallCaps w:val="0"/>
                <w:sz w:val="24"/>
                <w:szCs w:val="24"/>
              </w:rPr>
              <w:t xml:space="preserve">transaction on their </w:t>
            </w:r>
            <w:r w:rsidR="00DB2CEC" w:rsidRPr="000B36B2">
              <w:rPr>
                <w:rStyle w:val="BookTitle"/>
                <w:rFonts w:ascii="Arial" w:hAnsi="Arial"/>
                <w:i w:val="0"/>
                <w:smallCaps w:val="0"/>
                <w:sz w:val="24"/>
              </w:rPr>
              <w:t xml:space="preserve">betting </w:t>
            </w:r>
            <w:r w:rsidR="00DB2CEC" w:rsidRPr="00B36239">
              <w:rPr>
                <w:rStyle w:val="BookTitle"/>
                <w:rFonts w:ascii="Arial" w:hAnsi="Arial" w:cs="Arial"/>
                <w:i w:val="0"/>
                <w:smallCaps w:val="0"/>
                <w:sz w:val="24"/>
                <w:szCs w:val="24"/>
              </w:rPr>
              <w:t>account within</w:t>
            </w:r>
            <w:r w:rsidR="00DB2CEC" w:rsidRPr="000B36B2">
              <w:rPr>
                <w:rStyle w:val="BookTitle"/>
                <w:rFonts w:ascii="Arial" w:hAnsi="Arial"/>
                <w:i w:val="0"/>
                <w:smallCaps w:val="0"/>
                <w:sz w:val="24"/>
              </w:rPr>
              <w:t xml:space="preserve"> the preceding 12 months</w:t>
            </w:r>
            <w:r w:rsidRPr="00940768">
              <w:rPr>
                <w:rStyle w:val="BookTitle"/>
                <w:rFonts w:ascii="Arial" w:hAnsi="Arial"/>
                <w:i w:val="0"/>
                <w:smallCaps w:val="0"/>
                <w:color w:val="000000" w:themeColor="text1"/>
                <w:sz w:val="24"/>
              </w:rPr>
              <w:t xml:space="preserve">.  </w:t>
            </w:r>
          </w:p>
          <w:p w14:paraId="75F7E585" w14:textId="77777777" w:rsidR="004C61EA" w:rsidRPr="00940768" w:rsidRDefault="004C61EA" w:rsidP="00940768">
            <w:pPr>
              <w:pStyle w:val="ListParagraph"/>
              <w:numPr>
                <w:ilvl w:val="0"/>
                <w:numId w:val="7"/>
              </w:numPr>
              <w:spacing w:before="120" w:after="120"/>
              <w:ind w:left="351" w:hanging="357"/>
              <w:contextualSpacing w:val="0"/>
              <w:rPr>
                <w:rStyle w:val="BookTitle"/>
                <w:rFonts w:ascii="Arial" w:hAnsi="Arial"/>
                <w:i w:val="0"/>
                <w:smallCaps w:val="0"/>
                <w:color w:val="000000" w:themeColor="text1"/>
                <w:sz w:val="24"/>
              </w:rPr>
            </w:pPr>
            <w:r w:rsidRPr="00940768">
              <w:rPr>
                <w:rStyle w:val="BookTitle"/>
                <w:rFonts w:ascii="Arial" w:hAnsi="Arial"/>
                <w:i w:val="0"/>
                <w:smallCaps w:val="0"/>
                <w:color w:val="000000" w:themeColor="text1"/>
                <w:sz w:val="24"/>
              </w:rPr>
              <w:t>The prompt must be made via the same channel being used by the customer for placing their bet at the time the prompt is due.</w:t>
            </w:r>
          </w:p>
          <w:p w14:paraId="422D03DF"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lastRenderedPageBreak/>
              <w:t>Customers must be able to choose the time period for their deposit limit from a range of periods, including daily, weekly, fortnightly and monthly.</w:t>
            </w:r>
          </w:p>
          <w:p w14:paraId="53FA52DC"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A customer must be able to set and change their deposit limit via the same channels available to them to place a bet, in addition to being able to set or change their deposit limit in writing.</w:t>
            </w:r>
          </w:p>
          <w:p w14:paraId="45499B63" w14:textId="77777777" w:rsidR="004C61EA" w:rsidRPr="003D51E4" w:rsidRDefault="004C61EA"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The availability of the pre-commitment scheme should be promoted beyond initial account sign-up, with education and awareness of the scheme shown on an</w:t>
            </w:r>
            <w:r w:rsidRPr="003D51E4">
              <w:rPr>
                <w:rStyle w:val="BookTitle"/>
                <w:rFonts w:ascii="Arial" w:hAnsi="Arial" w:cs="Arial"/>
                <w:i w:val="0"/>
                <w:iCs w:val="0"/>
                <w:smallCaps w:val="0"/>
                <w:sz w:val="24"/>
                <w:szCs w:val="24"/>
              </w:rPr>
              <w:t xml:space="preserve"> interactive wagering service </w:t>
            </w:r>
            <w:r w:rsidRPr="003D51E4">
              <w:rPr>
                <w:rStyle w:val="BookTitle"/>
                <w:rFonts w:ascii="Arial" w:hAnsi="Arial" w:cs="Arial"/>
                <w:i w:val="0"/>
                <w:smallCaps w:val="0"/>
                <w:sz w:val="24"/>
                <w:szCs w:val="24"/>
              </w:rPr>
              <w:t>provider’s website and its promotional material.</w:t>
            </w:r>
          </w:p>
          <w:p w14:paraId="33DAFA29" w14:textId="77777777" w:rsidR="004C61EA" w:rsidRPr="003D51E4" w:rsidRDefault="004C61EA" w:rsidP="001329B9">
            <w:pPr>
              <w:spacing w:before="120" w:after="120"/>
              <w:rPr>
                <w:rFonts w:ascii="Arial" w:hAnsi="Arial" w:cs="Arial"/>
                <w:spacing w:val="5"/>
                <w:sz w:val="24"/>
                <w:szCs w:val="24"/>
              </w:rPr>
            </w:pPr>
            <w:r w:rsidRPr="003D51E4">
              <w:rPr>
                <w:rFonts w:ascii="Arial" w:hAnsi="Arial" w:cs="Arial"/>
                <w:spacing w:val="5"/>
                <w:sz w:val="24"/>
                <w:szCs w:val="24"/>
              </w:rPr>
              <w:t>Governments will assess the feasibility and costs of a centralised pre</w:t>
            </w:r>
            <w:r w:rsidRPr="003D51E4">
              <w:rPr>
                <w:rFonts w:ascii="Arial" w:hAnsi="Arial" w:cs="Arial"/>
                <w:spacing w:val="5"/>
                <w:sz w:val="24"/>
                <w:szCs w:val="24"/>
              </w:rPr>
              <w:noBreakHyphen/>
              <w:t xml:space="preserve">commitment system, taking into account the costs and benefits for consumers (feasibility study). </w:t>
            </w:r>
          </w:p>
        </w:tc>
        <w:tc>
          <w:tcPr>
            <w:tcW w:w="4536" w:type="dxa"/>
            <w:shd w:val="clear" w:color="auto" w:fill="auto"/>
          </w:tcPr>
          <w:p w14:paraId="72BBBE86" w14:textId="77777777" w:rsidR="004C61EA" w:rsidRPr="003D51E4" w:rsidRDefault="004C61EA" w:rsidP="00940768">
            <w:pPr>
              <w:spacing w:before="120" w:after="120"/>
              <w:rPr>
                <w:rFonts w:ascii="Arial" w:hAnsi="Arial" w:cs="Arial"/>
                <w:spacing w:val="5"/>
                <w:sz w:val="24"/>
                <w:szCs w:val="24"/>
              </w:rPr>
            </w:pPr>
            <w:r w:rsidRPr="003D51E4">
              <w:rPr>
                <w:rFonts w:ascii="Arial" w:hAnsi="Arial" w:cs="Arial"/>
                <w:spacing w:val="5"/>
                <w:sz w:val="24"/>
                <w:szCs w:val="24"/>
              </w:rPr>
              <w:lastRenderedPageBreak/>
              <w:t>State and territory governments will enact this measure through existing laws, regulations, and licences.</w:t>
            </w:r>
          </w:p>
          <w:p w14:paraId="27890D66" w14:textId="77777777" w:rsidR="004C61EA" w:rsidRPr="003D51E4" w:rsidRDefault="004C61EA" w:rsidP="00940768">
            <w:pPr>
              <w:spacing w:before="120" w:after="120"/>
              <w:rPr>
                <w:rFonts w:ascii="Arial" w:hAnsi="Arial" w:cs="Arial"/>
                <w:spacing w:val="5"/>
                <w:sz w:val="24"/>
                <w:szCs w:val="24"/>
              </w:rPr>
            </w:pPr>
            <w:r w:rsidRPr="003D51E4">
              <w:rPr>
                <w:rFonts w:ascii="Arial" w:hAnsi="Arial" w:cs="Arial"/>
                <w:spacing w:val="5"/>
                <w:sz w:val="24"/>
                <w:szCs w:val="24"/>
              </w:rPr>
              <w:t xml:space="preserve">This measure takes effect </w:t>
            </w:r>
            <w:r w:rsidRPr="003D51E4">
              <w:rPr>
                <w:rFonts w:ascii="Arial" w:hAnsi="Arial" w:cs="Arial"/>
                <w:b/>
                <w:spacing w:val="5"/>
                <w:sz w:val="24"/>
                <w:szCs w:val="24"/>
              </w:rPr>
              <w:t>6 months</w:t>
            </w:r>
            <w:r w:rsidRPr="003D51E4">
              <w:rPr>
                <w:rFonts w:ascii="Arial" w:hAnsi="Arial" w:cs="Arial"/>
                <w:spacing w:val="5"/>
                <w:sz w:val="24"/>
                <w:szCs w:val="24"/>
              </w:rPr>
              <w:t xml:space="preserve"> from the commencement date</w:t>
            </w:r>
            <w:r>
              <w:rPr>
                <w:rFonts w:ascii="Arial" w:hAnsi="Arial" w:cs="Arial"/>
                <w:spacing w:val="5"/>
                <w:sz w:val="24"/>
                <w:szCs w:val="24"/>
              </w:rPr>
              <w:t xml:space="preserve"> for the National Framework</w:t>
            </w:r>
            <w:r w:rsidRPr="003D51E4">
              <w:rPr>
                <w:rFonts w:ascii="Arial" w:hAnsi="Arial" w:cs="Arial"/>
                <w:spacing w:val="5"/>
                <w:sz w:val="24"/>
                <w:szCs w:val="24"/>
              </w:rPr>
              <w:t>.</w:t>
            </w:r>
          </w:p>
          <w:p w14:paraId="4FD3B920" w14:textId="77777777" w:rsidR="004C61EA" w:rsidRPr="003D51E4" w:rsidRDefault="004C61EA" w:rsidP="00940768">
            <w:pPr>
              <w:spacing w:before="120" w:after="120"/>
              <w:rPr>
                <w:rFonts w:ascii="Arial" w:hAnsi="Arial" w:cs="Arial"/>
                <w:spacing w:val="5"/>
                <w:sz w:val="24"/>
                <w:szCs w:val="24"/>
              </w:rPr>
            </w:pPr>
            <w:r w:rsidRPr="003D51E4">
              <w:rPr>
                <w:rFonts w:ascii="Arial" w:hAnsi="Arial" w:cs="Arial"/>
                <w:spacing w:val="5"/>
                <w:sz w:val="24"/>
                <w:szCs w:val="24"/>
              </w:rPr>
              <w:t>The</w:t>
            </w:r>
            <w:r w:rsidR="00711FDB">
              <w:rPr>
                <w:rFonts w:ascii="Arial" w:hAnsi="Arial" w:cs="Arial"/>
                <w:spacing w:val="5"/>
                <w:sz w:val="24"/>
                <w:szCs w:val="24"/>
              </w:rPr>
              <w:t xml:space="preserve"> </w:t>
            </w:r>
            <w:r w:rsidR="00D15A9E">
              <w:rPr>
                <w:rFonts w:ascii="Arial" w:hAnsi="Arial" w:cs="Arial"/>
                <w:spacing w:val="5"/>
                <w:sz w:val="24"/>
                <w:szCs w:val="24"/>
              </w:rPr>
              <w:t>need to assess the</w:t>
            </w:r>
            <w:r w:rsidR="00711FDB">
              <w:rPr>
                <w:rFonts w:ascii="Arial" w:hAnsi="Arial" w:cs="Arial"/>
                <w:spacing w:val="5"/>
                <w:sz w:val="24"/>
                <w:szCs w:val="24"/>
              </w:rPr>
              <w:t xml:space="preserve"> </w:t>
            </w:r>
            <w:r w:rsidRPr="003D51E4">
              <w:rPr>
                <w:rFonts w:ascii="Arial" w:hAnsi="Arial" w:cs="Arial"/>
                <w:spacing w:val="5"/>
                <w:sz w:val="24"/>
                <w:szCs w:val="24"/>
              </w:rPr>
              <w:t>feasibilit</w:t>
            </w:r>
            <w:r w:rsidR="00D15A9E">
              <w:rPr>
                <w:rFonts w:ascii="Arial" w:hAnsi="Arial" w:cs="Arial"/>
                <w:spacing w:val="5"/>
                <w:sz w:val="24"/>
                <w:szCs w:val="24"/>
              </w:rPr>
              <w:t xml:space="preserve">y </w:t>
            </w:r>
            <w:r w:rsidR="00FD5A74">
              <w:rPr>
                <w:rFonts w:ascii="Arial" w:hAnsi="Arial" w:cs="Arial"/>
                <w:spacing w:val="5"/>
                <w:sz w:val="24"/>
                <w:szCs w:val="24"/>
              </w:rPr>
              <w:t xml:space="preserve">of </w:t>
            </w:r>
            <w:r w:rsidR="001A6634">
              <w:rPr>
                <w:rFonts w:ascii="Arial" w:hAnsi="Arial" w:cs="Arial"/>
                <w:spacing w:val="5"/>
                <w:sz w:val="24"/>
                <w:szCs w:val="24"/>
              </w:rPr>
              <w:t xml:space="preserve">a </w:t>
            </w:r>
            <w:r w:rsidR="00FD5A74">
              <w:rPr>
                <w:rFonts w:ascii="Arial" w:hAnsi="Arial" w:cs="Arial"/>
                <w:spacing w:val="5"/>
                <w:sz w:val="24"/>
                <w:szCs w:val="24"/>
              </w:rPr>
              <w:t>multi</w:t>
            </w:r>
            <w:r w:rsidR="001012AC">
              <w:rPr>
                <w:rFonts w:ascii="Arial" w:hAnsi="Arial" w:cs="Arial"/>
                <w:spacing w:val="5"/>
                <w:sz w:val="24"/>
                <w:szCs w:val="24"/>
              </w:rPr>
              <w:noBreakHyphen/>
            </w:r>
            <w:r w:rsidR="00FD5A74">
              <w:rPr>
                <w:rFonts w:ascii="Arial" w:hAnsi="Arial" w:cs="Arial"/>
                <w:spacing w:val="5"/>
                <w:sz w:val="24"/>
                <w:szCs w:val="24"/>
              </w:rPr>
              <w:t xml:space="preserve">operator pre-commitment scheme will be considered </w:t>
            </w:r>
            <w:r w:rsidR="00AE6CFB" w:rsidRPr="00BC4FE7">
              <w:rPr>
                <w:rFonts w:ascii="Arial" w:hAnsi="Arial" w:cs="Arial"/>
                <w:spacing w:val="5"/>
                <w:sz w:val="24"/>
                <w:szCs w:val="24"/>
              </w:rPr>
              <w:t>by the Governance Committee,</w:t>
            </w:r>
            <w:r w:rsidR="00AE6CFB">
              <w:rPr>
                <w:rFonts w:ascii="Arial" w:hAnsi="Arial" w:cs="Arial"/>
                <w:spacing w:val="5"/>
                <w:sz w:val="24"/>
                <w:szCs w:val="24"/>
              </w:rPr>
              <w:t xml:space="preserve"> </w:t>
            </w:r>
            <w:r w:rsidR="00FD5A74">
              <w:rPr>
                <w:rFonts w:ascii="Arial" w:hAnsi="Arial" w:cs="Arial"/>
                <w:spacing w:val="5"/>
                <w:sz w:val="24"/>
                <w:szCs w:val="24"/>
              </w:rPr>
              <w:t xml:space="preserve">at the end of the </w:t>
            </w:r>
            <w:r w:rsidR="00FD5A74" w:rsidRPr="004B73A2">
              <w:rPr>
                <w:rFonts w:ascii="Arial" w:hAnsi="Arial" w:cs="Arial"/>
                <w:b/>
                <w:spacing w:val="5"/>
                <w:sz w:val="24"/>
                <w:szCs w:val="24"/>
              </w:rPr>
              <w:t>12</w:t>
            </w:r>
            <w:r w:rsidR="001012AC" w:rsidRPr="004B73A2">
              <w:rPr>
                <w:rFonts w:ascii="Arial" w:hAnsi="Arial" w:cs="Arial"/>
                <w:b/>
                <w:spacing w:val="5"/>
                <w:sz w:val="24"/>
                <w:szCs w:val="24"/>
              </w:rPr>
              <w:t> </w:t>
            </w:r>
            <w:r w:rsidR="00FD5A74" w:rsidRPr="004B73A2">
              <w:rPr>
                <w:rFonts w:ascii="Arial" w:hAnsi="Arial" w:cs="Arial"/>
                <w:b/>
                <w:spacing w:val="5"/>
                <w:sz w:val="24"/>
                <w:szCs w:val="24"/>
              </w:rPr>
              <w:t>month</w:t>
            </w:r>
            <w:r w:rsidR="00FD5A74">
              <w:rPr>
                <w:rFonts w:ascii="Arial" w:hAnsi="Arial" w:cs="Arial"/>
                <w:spacing w:val="5"/>
                <w:sz w:val="24"/>
                <w:szCs w:val="24"/>
              </w:rPr>
              <w:t xml:space="preserve"> period from the </w:t>
            </w:r>
            <w:r w:rsidR="007B72FD">
              <w:rPr>
                <w:rFonts w:ascii="Arial" w:hAnsi="Arial" w:cs="Arial"/>
                <w:spacing w:val="5"/>
                <w:sz w:val="24"/>
                <w:szCs w:val="24"/>
              </w:rPr>
              <w:t xml:space="preserve">date </w:t>
            </w:r>
            <w:r w:rsidR="00FD5A74">
              <w:rPr>
                <w:rFonts w:ascii="Arial" w:hAnsi="Arial" w:cs="Arial"/>
                <w:spacing w:val="5"/>
                <w:sz w:val="24"/>
                <w:szCs w:val="24"/>
              </w:rPr>
              <w:t>this measure</w:t>
            </w:r>
            <w:r w:rsidR="007B72FD">
              <w:rPr>
                <w:rFonts w:ascii="Arial" w:hAnsi="Arial" w:cs="Arial"/>
                <w:spacing w:val="5"/>
                <w:sz w:val="24"/>
                <w:szCs w:val="24"/>
              </w:rPr>
              <w:t xml:space="preserve"> takes effect</w:t>
            </w:r>
            <w:r w:rsidR="00FD5A74">
              <w:rPr>
                <w:rFonts w:ascii="Arial" w:hAnsi="Arial" w:cs="Arial"/>
                <w:spacing w:val="5"/>
                <w:sz w:val="24"/>
                <w:szCs w:val="24"/>
              </w:rPr>
              <w:t xml:space="preserve">. </w:t>
            </w:r>
          </w:p>
          <w:p w14:paraId="0871EDE0" w14:textId="77777777" w:rsidR="004C61EA" w:rsidRPr="003D51E4" w:rsidRDefault="004C61EA" w:rsidP="001329B9">
            <w:pPr>
              <w:spacing w:before="120" w:after="120"/>
              <w:rPr>
                <w:rStyle w:val="BookTitle"/>
                <w:rFonts w:ascii="Arial" w:hAnsi="Arial" w:cs="Arial"/>
                <w:i w:val="0"/>
                <w:iCs w:val="0"/>
                <w:smallCaps w:val="0"/>
                <w:sz w:val="24"/>
                <w:szCs w:val="24"/>
              </w:rPr>
            </w:pPr>
          </w:p>
        </w:tc>
      </w:tr>
      <w:tr w:rsidR="001329B9" w:rsidRPr="003D51E4" w14:paraId="3E8A4A17" w14:textId="77777777" w:rsidTr="001329B9">
        <w:trPr>
          <w:cantSplit/>
          <w:trHeight w:val="403"/>
        </w:trPr>
        <w:tc>
          <w:tcPr>
            <w:tcW w:w="2978" w:type="dxa"/>
            <w:tcBorders>
              <w:right w:val="nil"/>
            </w:tcBorders>
            <w:shd w:val="clear" w:color="auto" w:fill="D9E2F3" w:themeFill="accent1" w:themeFillTint="33"/>
          </w:tcPr>
          <w:p w14:paraId="688910FD" w14:textId="77777777" w:rsidR="009A4D7F" w:rsidRPr="001329B9" w:rsidRDefault="009A4D7F" w:rsidP="001329B9">
            <w:pPr>
              <w:spacing w:before="120" w:after="120"/>
              <w:rPr>
                <w:rFonts w:ascii="Arial" w:hAnsi="Arial"/>
                <w:b/>
                <w:sz w:val="24"/>
              </w:rPr>
            </w:pPr>
          </w:p>
        </w:tc>
        <w:tc>
          <w:tcPr>
            <w:tcW w:w="7797" w:type="dxa"/>
            <w:tcBorders>
              <w:left w:val="nil"/>
              <w:right w:val="nil"/>
            </w:tcBorders>
            <w:shd w:val="clear" w:color="auto" w:fill="D9E2F3" w:themeFill="accent1" w:themeFillTint="33"/>
          </w:tcPr>
          <w:p w14:paraId="6D5D9C70" w14:textId="77777777" w:rsidR="009A4D7F" w:rsidRPr="001329B9" w:rsidRDefault="009A4D7F" w:rsidP="00212DFC">
            <w:pPr>
              <w:spacing w:before="120" w:after="120"/>
              <w:jc w:val="center"/>
            </w:pPr>
            <w:r>
              <w:rPr>
                <w:rStyle w:val="BookTitle"/>
                <w:rFonts w:ascii="Arial" w:hAnsi="Arial" w:cs="Arial"/>
                <w:i w:val="0"/>
                <w:iCs w:val="0"/>
                <w:smallCaps w:val="0"/>
                <w:sz w:val="24"/>
                <w:szCs w:val="24"/>
              </w:rPr>
              <w:t xml:space="preserve">Introduced </w:t>
            </w:r>
            <w:r w:rsidR="00EA6B1C">
              <w:rPr>
                <w:rStyle w:val="BookTitle"/>
                <w:rFonts w:ascii="Arial" w:hAnsi="Arial" w:cs="Arial"/>
                <w:i w:val="0"/>
                <w:iCs w:val="0"/>
                <w:smallCaps w:val="0"/>
                <w:sz w:val="24"/>
                <w:szCs w:val="24"/>
              </w:rPr>
              <w:t xml:space="preserve">18 </w:t>
            </w:r>
            <w:r>
              <w:rPr>
                <w:rStyle w:val="BookTitle"/>
                <w:rFonts w:ascii="Arial" w:hAnsi="Arial" w:cs="Arial"/>
                <w:i w:val="0"/>
                <w:iCs w:val="0"/>
                <w:smallCaps w:val="0"/>
                <w:sz w:val="24"/>
                <w:szCs w:val="24"/>
              </w:rPr>
              <w:t>months from commencement date</w:t>
            </w:r>
            <w:r w:rsidRPr="003D51E4" w:rsidDel="004C61EA">
              <w:rPr>
                <w:rFonts w:ascii="Arial" w:hAnsi="Arial" w:cs="Arial"/>
                <w:sz w:val="24"/>
                <w:szCs w:val="24"/>
              </w:rPr>
              <w:t xml:space="preserve"> </w:t>
            </w:r>
          </w:p>
        </w:tc>
        <w:tc>
          <w:tcPr>
            <w:tcW w:w="4536" w:type="dxa"/>
            <w:tcBorders>
              <w:left w:val="nil"/>
            </w:tcBorders>
            <w:shd w:val="clear" w:color="auto" w:fill="D9E2F3" w:themeFill="accent1" w:themeFillTint="33"/>
          </w:tcPr>
          <w:p w14:paraId="3B476F6C" w14:textId="77777777" w:rsidR="009A4D7F" w:rsidRPr="001329B9" w:rsidRDefault="009A4D7F" w:rsidP="001329B9">
            <w:pPr>
              <w:spacing w:before="120" w:after="120"/>
              <w:rPr>
                <w:b/>
              </w:rPr>
            </w:pPr>
          </w:p>
        </w:tc>
      </w:tr>
      <w:tr w:rsidR="00DE2A3A" w:rsidRPr="003D51E4" w14:paraId="29339BDA" w14:textId="77777777" w:rsidTr="00A60C70">
        <w:trPr>
          <w:trHeight w:val="1626"/>
        </w:trPr>
        <w:tc>
          <w:tcPr>
            <w:tcW w:w="2978" w:type="dxa"/>
            <w:shd w:val="clear" w:color="auto" w:fill="auto"/>
          </w:tcPr>
          <w:p w14:paraId="5A49359C" w14:textId="77777777" w:rsidR="00DE2A3A" w:rsidRPr="003D51E4" w:rsidRDefault="00A15DF5" w:rsidP="00940768">
            <w:pPr>
              <w:spacing w:before="120" w:after="120"/>
              <w:rPr>
                <w:rFonts w:ascii="Arial" w:hAnsi="Arial" w:cs="Arial"/>
                <w:b/>
                <w:sz w:val="24"/>
                <w:szCs w:val="24"/>
              </w:rPr>
            </w:pPr>
            <w:r w:rsidRPr="003D51E4">
              <w:rPr>
                <w:rFonts w:ascii="Arial" w:hAnsi="Arial" w:cs="Arial"/>
                <w:b/>
                <w:sz w:val="24"/>
                <w:szCs w:val="24"/>
              </w:rPr>
              <w:t>7</w:t>
            </w:r>
            <w:r w:rsidR="00DE2A3A" w:rsidRPr="003D51E4">
              <w:rPr>
                <w:rFonts w:ascii="Arial" w:hAnsi="Arial" w:cs="Arial"/>
                <w:b/>
                <w:sz w:val="24"/>
                <w:szCs w:val="24"/>
              </w:rPr>
              <w:t xml:space="preserve">: Activity statements </w:t>
            </w:r>
          </w:p>
          <w:p w14:paraId="459A9908" w14:textId="77777777" w:rsidR="00DE2A3A" w:rsidRPr="003D51E4" w:rsidRDefault="00DE2A3A" w:rsidP="001329B9">
            <w:pPr>
              <w:spacing w:before="120" w:after="120"/>
              <w:rPr>
                <w:rFonts w:ascii="Arial" w:hAnsi="Arial" w:cs="Arial"/>
                <w:b/>
                <w:sz w:val="24"/>
                <w:szCs w:val="24"/>
                <w:u w:val="single"/>
              </w:rPr>
            </w:pPr>
            <w:r w:rsidRPr="003D51E4">
              <w:rPr>
                <w:rFonts w:ascii="Arial" w:hAnsi="Arial" w:cs="Arial"/>
                <w:sz w:val="24"/>
                <w:szCs w:val="24"/>
              </w:rPr>
              <w:t>This measure ensures c</w:t>
            </w:r>
            <w:r w:rsidR="00EC6C8C" w:rsidRPr="003D51E4">
              <w:rPr>
                <w:rStyle w:val="BookTitle"/>
                <w:rFonts w:ascii="Arial" w:hAnsi="Arial" w:cs="Arial"/>
                <w:i w:val="0"/>
                <w:smallCaps w:val="0"/>
                <w:sz w:val="24"/>
                <w:szCs w:val="24"/>
              </w:rPr>
              <w:t>usto</w:t>
            </w:r>
            <w:r w:rsidRPr="003D51E4">
              <w:rPr>
                <w:rFonts w:ascii="Arial" w:hAnsi="Arial" w:cs="Arial"/>
                <w:sz w:val="24"/>
                <w:szCs w:val="24"/>
              </w:rPr>
              <w:t xml:space="preserve">mers receive meaningful statements on their wagering activity </w:t>
            </w:r>
            <w:r w:rsidR="00B2288C">
              <w:rPr>
                <w:rFonts w:ascii="Arial" w:hAnsi="Arial" w:cs="Arial"/>
                <w:sz w:val="24"/>
                <w:szCs w:val="24"/>
              </w:rPr>
              <w:t>from</w:t>
            </w:r>
            <w:r w:rsidRPr="003D51E4">
              <w:rPr>
                <w:rFonts w:ascii="Arial" w:hAnsi="Arial" w:cs="Arial"/>
                <w:sz w:val="24"/>
                <w:szCs w:val="24"/>
              </w:rPr>
              <w:t xml:space="preserve"> each</w:t>
            </w:r>
            <w:r w:rsidR="0057598F" w:rsidRPr="003D51E4">
              <w:rPr>
                <w:rFonts w:ascii="Arial" w:hAnsi="Arial" w:cs="Arial"/>
                <w:sz w:val="24"/>
                <w:szCs w:val="24"/>
              </w:rPr>
              <w:t xml:space="preserve"> </w:t>
            </w:r>
            <w:r w:rsidR="00AF6DE0" w:rsidRPr="003D51E4">
              <w:rPr>
                <w:rFonts w:ascii="Arial" w:hAnsi="Arial" w:cs="Arial"/>
                <w:sz w:val="24"/>
                <w:szCs w:val="24"/>
              </w:rPr>
              <w:t>interactive wagering service provider</w:t>
            </w:r>
            <w:r w:rsidRPr="003D51E4">
              <w:rPr>
                <w:rFonts w:ascii="Arial" w:hAnsi="Arial" w:cs="Arial"/>
                <w:sz w:val="24"/>
                <w:szCs w:val="24"/>
              </w:rPr>
              <w:t xml:space="preserve">. </w:t>
            </w:r>
          </w:p>
        </w:tc>
        <w:tc>
          <w:tcPr>
            <w:tcW w:w="7797" w:type="dxa"/>
            <w:shd w:val="clear" w:color="auto" w:fill="auto"/>
          </w:tcPr>
          <w:p w14:paraId="56EDAF4E" w14:textId="410B3D2E" w:rsidR="0031430F" w:rsidRPr="001F4DFB" w:rsidRDefault="001F4DFB" w:rsidP="001F4DFB">
            <w:pPr>
              <w:pStyle w:val="ListParagraph"/>
              <w:numPr>
                <w:ilvl w:val="0"/>
                <w:numId w:val="7"/>
              </w:numPr>
              <w:spacing w:before="120" w:after="120"/>
              <w:contextualSpacing w:val="0"/>
              <w:rPr>
                <w:rFonts w:ascii="Arial" w:hAnsi="Arial" w:cs="Arial"/>
                <w:iCs/>
                <w:spacing w:val="5"/>
                <w:sz w:val="24"/>
                <w:szCs w:val="24"/>
              </w:rPr>
            </w:pPr>
            <w:r>
              <w:rPr>
                <w:rFonts w:ascii="Arial" w:hAnsi="Arial" w:cs="Arial"/>
                <w:spacing w:val="5"/>
                <w:sz w:val="24"/>
                <w:szCs w:val="24"/>
              </w:rPr>
              <w:t>While a customer has an active betting account, an interactive wagering service provider must provide an activity statement to the customer via email, on a monthly basis.</w:t>
            </w:r>
          </w:p>
          <w:p w14:paraId="2B0FCFA8" w14:textId="1343BDC7" w:rsidR="001F4DFB" w:rsidRPr="00535CB7" w:rsidRDefault="001F4DFB" w:rsidP="001F4DFB">
            <w:pPr>
              <w:pStyle w:val="ListParagraph"/>
              <w:numPr>
                <w:ilvl w:val="1"/>
                <w:numId w:val="7"/>
              </w:numPr>
              <w:spacing w:before="120" w:after="120"/>
              <w:contextualSpacing w:val="0"/>
              <w:rPr>
                <w:rFonts w:ascii="Arial" w:hAnsi="Arial" w:cs="Arial"/>
                <w:iCs/>
                <w:spacing w:val="5"/>
                <w:sz w:val="24"/>
                <w:szCs w:val="24"/>
              </w:rPr>
            </w:pPr>
            <w:r>
              <w:rPr>
                <w:rFonts w:ascii="Arial" w:hAnsi="Arial" w:cs="Arial"/>
                <w:spacing w:val="5"/>
                <w:sz w:val="24"/>
                <w:szCs w:val="24"/>
              </w:rPr>
              <w:t>A customer is deemed to have an active betting account if the customer has made a transaction on their betting account within the statement period.</w:t>
            </w:r>
          </w:p>
          <w:p w14:paraId="4890512E" w14:textId="70A5FC53" w:rsidR="00EB4597" w:rsidRPr="00FC171F" w:rsidRDefault="00EB4597" w:rsidP="00740FF4">
            <w:pPr>
              <w:pStyle w:val="ListParagraph"/>
              <w:numPr>
                <w:ilvl w:val="0"/>
                <w:numId w:val="7"/>
              </w:numPr>
              <w:spacing w:before="120" w:after="120"/>
              <w:contextualSpacing w:val="0"/>
              <w:rPr>
                <w:rStyle w:val="BookTitle"/>
                <w:rFonts w:ascii="Arial" w:hAnsi="Arial" w:cs="Arial"/>
                <w:i w:val="0"/>
                <w:smallCaps w:val="0"/>
                <w:sz w:val="24"/>
                <w:szCs w:val="24"/>
              </w:rPr>
            </w:pPr>
            <w:r w:rsidRPr="000523EA">
              <w:rPr>
                <w:rStyle w:val="BookTitle"/>
                <w:rFonts w:ascii="Arial" w:hAnsi="Arial" w:cs="Arial"/>
                <w:i w:val="0"/>
                <w:smallCaps w:val="0"/>
                <w:sz w:val="24"/>
                <w:szCs w:val="24"/>
              </w:rPr>
              <w:t>Activity statements must prov</w:t>
            </w:r>
            <w:r w:rsidRPr="003D51E4">
              <w:rPr>
                <w:rStyle w:val="BookTitle"/>
                <w:rFonts w:ascii="Arial" w:hAnsi="Arial" w:cs="Arial"/>
                <w:i w:val="0"/>
                <w:smallCaps w:val="0"/>
                <w:sz w:val="24"/>
                <w:szCs w:val="24"/>
              </w:rPr>
              <w:t xml:space="preserve">ide information </w:t>
            </w:r>
            <w:r w:rsidRPr="00BC31E7">
              <w:rPr>
                <w:rStyle w:val="BookTitle"/>
                <w:rFonts w:ascii="Arial" w:hAnsi="Arial" w:cs="Arial"/>
                <w:i w:val="0"/>
                <w:smallCaps w:val="0"/>
                <w:sz w:val="24"/>
                <w:szCs w:val="24"/>
              </w:rPr>
              <w:t xml:space="preserve">that is clear and easily understood </w:t>
            </w:r>
            <w:r w:rsidR="00B17CAB">
              <w:rPr>
                <w:rStyle w:val="BookTitle"/>
                <w:rFonts w:ascii="Arial" w:hAnsi="Arial" w:cs="Arial"/>
                <w:i w:val="0"/>
                <w:smallCaps w:val="0"/>
                <w:sz w:val="24"/>
                <w:szCs w:val="24"/>
              </w:rPr>
              <w:t>using common terms that customers are familiar with.</w:t>
            </w:r>
          </w:p>
          <w:p w14:paraId="74783722" w14:textId="44F92FB1" w:rsidR="004A2FB7" w:rsidRDefault="004A2FB7" w:rsidP="004A2FB7">
            <w:pPr>
              <w:pStyle w:val="ListParagraph"/>
              <w:numPr>
                <w:ilvl w:val="0"/>
                <w:numId w:val="7"/>
              </w:numPr>
              <w:spacing w:before="120" w:after="120" w:line="240" w:lineRule="auto"/>
              <w:contextualSpacing w:val="0"/>
              <w:rPr>
                <w:rStyle w:val="BookTitle"/>
                <w:rFonts w:ascii="Arial" w:hAnsi="Arial" w:cs="Arial"/>
                <w:i w:val="0"/>
                <w:smallCaps w:val="0"/>
                <w:sz w:val="24"/>
                <w:szCs w:val="24"/>
              </w:rPr>
            </w:pPr>
            <w:r w:rsidRPr="000523EA">
              <w:rPr>
                <w:rStyle w:val="BookTitle"/>
                <w:rFonts w:ascii="Arial" w:hAnsi="Arial" w:cs="Arial"/>
                <w:i w:val="0"/>
                <w:smallCaps w:val="0"/>
                <w:sz w:val="24"/>
                <w:szCs w:val="24"/>
              </w:rPr>
              <w:t xml:space="preserve">Activity statements must </w:t>
            </w:r>
            <w:r w:rsidR="00B17CAB">
              <w:rPr>
                <w:rStyle w:val="BookTitle"/>
                <w:rFonts w:ascii="Arial" w:hAnsi="Arial" w:cs="Arial"/>
                <w:i w:val="0"/>
                <w:smallCaps w:val="0"/>
                <w:sz w:val="24"/>
                <w:szCs w:val="24"/>
              </w:rPr>
              <w:t>include segmented information clearly showing monthly information on betting activity and account transactions about:</w:t>
            </w:r>
          </w:p>
          <w:p w14:paraId="3B860B91" w14:textId="0F872D31" w:rsidR="00B17CAB" w:rsidRDefault="00B17CAB" w:rsidP="00B17CAB">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Pr>
                <w:rStyle w:val="BookTitle"/>
                <w:rFonts w:ascii="Arial" w:hAnsi="Arial" w:cs="Arial"/>
                <w:i w:val="0"/>
                <w:smallCaps w:val="0"/>
                <w:sz w:val="24"/>
                <w:szCs w:val="24"/>
              </w:rPr>
              <w:t>amount spent</w:t>
            </w:r>
          </w:p>
          <w:p w14:paraId="508B1EF5" w14:textId="37DE6CA2" w:rsidR="00B17CAB" w:rsidRDefault="00B17CAB" w:rsidP="00B17CAB">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Pr>
                <w:rStyle w:val="BookTitle"/>
                <w:rFonts w:ascii="Arial" w:hAnsi="Arial" w:cs="Arial"/>
                <w:i w:val="0"/>
                <w:smallCaps w:val="0"/>
                <w:sz w:val="24"/>
                <w:szCs w:val="24"/>
              </w:rPr>
              <w:t>wins and losses</w:t>
            </w:r>
          </w:p>
          <w:p w14:paraId="6AFA5798" w14:textId="48462D83" w:rsidR="00B17CAB" w:rsidRDefault="00B17CAB" w:rsidP="00B17CAB">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Pr>
                <w:rStyle w:val="BookTitle"/>
                <w:rFonts w:ascii="Arial" w:hAnsi="Arial" w:cs="Arial"/>
                <w:i w:val="0"/>
                <w:smallCaps w:val="0"/>
                <w:sz w:val="24"/>
                <w:szCs w:val="24"/>
              </w:rPr>
              <w:lastRenderedPageBreak/>
              <w:t>number of bets placed</w:t>
            </w:r>
          </w:p>
          <w:p w14:paraId="474CD075" w14:textId="7BD61553" w:rsidR="00B17CAB" w:rsidRDefault="00B17CAB" w:rsidP="00B17CAB">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Pr>
                <w:rStyle w:val="BookTitle"/>
                <w:rFonts w:ascii="Arial" w:hAnsi="Arial" w:cs="Arial"/>
                <w:i w:val="0"/>
                <w:smallCaps w:val="0"/>
                <w:sz w:val="24"/>
                <w:szCs w:val="24"/>
              </w:rPr>
              <w:t>overall net win/loss for the specified period of the activity statement</w:t>
            </w:r>
          </w:p>
          <w:p w14:paraId="5EFD0E5B" w14:textId="16D59793" w:rsidR="00B17CAB" w:rsidRDefault="00B17CAB" w:rsidP="00B17CAB">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Pr>
                <w:rStyle w:val="BookTitle"/>
                <w:rFonts w:ascii="Arial" w:hAnsi="Arial" w:cs="Arial"/>
                <w:i w:val="0"/>
                <w:smallCaps w:val="0"/>
                <w:sz w:val="24"/>
                <w:szCs w:val="24"/>
              </w:rPr>
              <w:t>opening and closing balances</w:t>
            </w:r>
          </w:p>
          <w:p w14:paraId="1B248D1D" w14:textId="0306586B" w:rsidR="00B17CAB" w:rsidRDefault="00B17CAB" w:rsidP="00B17CAB">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Pr>
                <w:rStyle w:val="BookTitle"/>
                <w:rFonts w:ascii="Arial" w:hAnsi="Arial" w:cs="Arial"/>
                <w:i w:val="0"/>
                <w:smallCaps w:val="0"/>
                <w:sz w:val="24"/>
                <w:szCs w:val="24"/>
              </w:rPr>
              <w:t>deposits and withdrawals</w:t>
            </w:r>
          </w:p>
          <w:p w14:paraId="257AA7D6" w14:textId="1C1A5719" w:rsidR="00B17CAB" w:rsidRDefault="00B17CAB" w:rsidP="00B17CAB">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Pr>
                <w:rStyle w:val="BookTitle"/>
                <w:rFonts w:ascii="Arial" w:hAnsi="Arial" w:cs="Arial"/>
                <w:i w:val="0"/>
                <w:smallCaps w:val="0"/>
                <w:sz w:val="24"/>
                <w:szCs w:val="24"/>
              </w:rPr>
              <w:t>the account balance</w:t>
            </w:r>
          </w:p>
          <w:p w14:paraId="398C204A" w14:textId="15F0338C" w:rsidR="00B17CAB" w:rsidRDefault="00B17CAB" w:rsidP="00B17CAB">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Pr>
                <w:rStyle w:val="BookTitle"/>
                <w:rFonts w:ascii="Arial" w:hAnsi="Arial" w:cs="Arial"/>
                <w:i w:val="0"/>
                <w:smallCaps w:val="0"/>
                <w:sz w:val="24"/>
                <w:szCs w:val="24"/>
              </w:rPr>
              <w:t>a column graph to illustrate wagering activity comparing amount spent against net result over time for the last 6 months (cumulative), and shows a clear comparison tracking to the same time from the last year</w:t>
            </w:r>
          </w:p>
          <w:p w14:paraId="3AF6449F" w14:textId="5B4B4921" w:rsidR="00B17CAB" w:rsidRDefault="00B17CAB" w:rsidP="00B17CAB">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Pr>
                <w:rStyle w:val="BookTitle"/>
                <w:rFonts w:ascii="Arial" w:hAnsi="Arial" w:cs="Arial"/>
                <w:i w:val="0"/>
                <w:smallCaps w:val="0"/>
                <w:sz w:val="24"/>
                <w:szCs w:val="24"/>
              </w:rPr>
              <w:t>links and information on support services and safe gambling messaging that promotes available consumer protection tools.</w:t>
            </w:r>
          </w:p>
          <w:p w14:paraId="72416C66" w14:textId="4289AD04" w:rsidR="00B17CAB" w:rsidRDefault="00B17CAB" w:rsidP="00B17CAB">
            <w:pPr>
              <w:pStyle w:val="ListParagraph"/>
              <w:numPr>
                <w:ilvl w:val="0"/>
                <w:numId w:val="7"/>
              </w:numPr>
              <w:spacing w:before="120" w:after="120" w:line="240" w:lineRule="auto"/>
              <w:contextualSpacing w:val="0"/>
              <w:rPr>
                <w:rStyle w:val="BookTitle"/>
                <w:rFonts w:ascii="Arial" w:hAnsi="Arial" w:cs="Arial"/>
                <w:i w:val="0"/>
                <w:smallCaps w:val="0"/>
                <w:sz w:val="24"/>
                <w:szCs w:val="24"/>
              </w:rPr>
            </w:pPr>
            <w:r>
              <w:rPr>
                <w:rStyle w:val="BookTitle"/>
                <w:rFonts w:ascii="Arial" w:hAnsi="Arial" w:cs="Arial"/>
                <w:i w:val="0"/>
                <w:smallCaps w:val="0"/>
                <w:sz w:val="24"/>
                <w:szCs w:val="24"/>
              </w:rPr>
              <w:t>Activity statements must be accompanied by a link to a customer’s transaction list.</w:t>
            </w:r>
          </w:p>
          <w:p w14:paraId="36BF3FA2" w14:textId="5212BEF4" w:rsidR="00B17CAB" w:rsidRPr="000523EA" w:rsidRDefault="00B17CAB" w:rsidP="00B17CAB">
            <w:pPr>
              <w:pStyle w:val="ListParagraph"/>
              <w:numPr>
                <w:ilvl w:val="0"/>
                <w:numId w:val="7"/>
              </w:numPr>
              <w:spacing w:before="120" w:after="120" w:line="240" w:lineRule="auto"/>
              <w:contextualSpacing w:val="0"/>
              <w:rPr>
                <w:rStyle w:val="BookTitle"/>
                <w:rFonts w:ascii="Arial" w:hAnsi="Arial" w:cs="Arial"/>
                <w:i w:val="0"/>
                <w:smallCaps w:val="0"/>
                <w:sz w:val="24"/>
                <w:szCs w:val="24"/>
              </w:rPr>
            </w:pPr>
            <w:r>
              <w:rPr>
                <w:rStyle w:val="BookTitle"/>
                <w:rFonts w:ascii="Arial" w:hAnsi="Arial" w:cs="Arial"/>
                <w:i w:val="0"/>
                <w:smallCaps w:val="0"/>
                <w:sz w:val="24"/>
                <w:szCs w:val="24"/>
              </w:rPr>
              <w:t>Activity statements must be accessible by a customer:</w:t>
            </w:r>
          </w:p>
          <w:p w14:paraId="42E7FAFA" w14:textId="77777777" w:rsidR="004A2FB7" w:rsidRPr="000523EA" w:rsidRDefault="004A2FB7" w:rsidP="004A2FB7">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sidRPr="000523EA">
              <w:rPr>
                <w:rStyle w:val="BookTitle"/>
                <w:rFonts w:ascii="Arial" w:hAnsi="Arial" w:cs="Arial"/>
                <w:i w:val="0"/>
                <w:smallCaps w:val="0"/>
                <w:sz w:val="24"/>
                <w:szCs w:val="24"/>
              </w:rPr>
              <w:t>on request at any time by email or telephone and in a format of the customer’s choosing (ie. e-statement or paper statement)</w:t>
            </w:r>
          </w:p>
          <w:p w14:paraId="58942AC0" w14:textId="77777777" w:rsidR="004A2FB7" w:rsidRPr="000523EA" w:rsidRDefault="004A2FB7" w:rsidP="004A2FB7">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sidRPr="000523EA">
              <w:rPr>
                <w:rStyle w:val="BookTitle"/>
                <w:rFonts w:ascii="Arial" w:hAnsi="Arial" w:cs="Arial"/>
                <w:i w:val="0"/>
                <w:smallCaps w:val="0"/>
                <w:sz w:val="24"/>
                <w:szCs w:val="24"/>
              </w:rPr>
              <w:t>online via their account at any time (only for those customers who are able to place a bet online).</w:t>
            </w:r>
          </w:p>
          <w:p w14:paraId="4738F119" w14:textId="26A763C8" w:rsidR="004A2FB7" w:rsidRPr="000523EA" w:rsidRDefault="004A2FB7" w:rsidP="00740FF4">
            <w:pPr>
              <w:pStyle w:val="ListParagraph"/>
              <w:numPr>
                <w:ilvl w:val="0"/>
                <w:numId w:val="7"/>
              </w:numPr>
              <w:spacing w:before="120" w:after="120"/>
              <w:contextualSpacing w:val="0"/>
              <w:rPr>
                <w:rStyle w:val="BookTitle"/>
                <w:rFonts w:ascii="Arial" w:hAnsi="Arial" w:cs="Arial"/>
                <w:i w:val="0"/>
                <w:smallCaps w:val="0"/>
                <w:sz w:val="24"/>
                <w:szCs w:val="24"/>
              </w:rPr>
            </w:pPr>
            <w:r w:rsidRPr="000523EA">
              <w:rPr>
                <w:rStyle w:val="BookTitle"/>
                <w:rFonts w:ascii="Arial" w:hAnsi="Arial" w:cs="Arial"/>
                <w:i w:val="0"/>
                <w:smallCaps w:val="0"/>
                <w:sz w:val="24"/>
                <w:szCs w:val="24"/>
              </w:rPr>
              <w:t>Activity statements must not be sent to inactive accounts.  An</w:t>
            </w:r>
            <w:r w:rsidR="00015A06">
              <w:rPr>
                <w:rStyle w:val="BookTitle"/>
                <w:rFonts w:ascii="Arial" w:hAnsi="Arial" w:cs="Arial"/>
                <w:i w:val="0"/>
                <w:smallCaps w:val="0"/>
                <w:sz w:val="24"/>
                <w:szCs w:val="24"/>
              </w:rPr>
              <w:t> </w:t>
            </w:r>
            <w:r w:rsidRPr="000523EA">
              <w:rPr>
                <w:rStyle w:val="BookTitle"/>
                <w:rFonts w:ascii="Arial" w:hAnsi="Arial" w:cs="Arial"/>
                <w:i w:val="0"/>
                <w:smallCaps w:val="0"/>
                <w:sz w:val="24"/>
                <w:szCs w:val="24"/>
              </w:rPr>
              <w:t xml:space="preserve">inactive account is an account that has not had a betting activity for more than 12 months. </w:t>
            </w:r>
          </w:p>
          <w:p w14:paraId="6E8634C1" w14:textId="77777777" w:rsidR="004A2FB7" w:rsidRPr="000523EA" w:rsidRDefault="004A2FB7" w:rsidP="00740FF4">
            <w:pPr>
              <w:pStyle w:val="ListParagraph"/>
              <w:numPr>
                <w:ilvl w:val="0"/>
                <w:numId w:val="7"/>
              </w:numPr>
              <w:spacing w:before="120" w:after="120"/>
              <w:contextualSpacing w:val="0"/>
              <w:rPr>
                <w:rStyle w:val="BookTitle"/>
                <w:rFonts w:ascii="Arial" w:hAnsi="Arial" w:cs="Arial"/>
                <w:i w:val="0"/>
                <w:smallCaps w:val="0"/>
                <w:sz w:val="24"/>
                <w:szCs w:val="24"/>
              </w:rPr>
            </w:pPr>
            <w:r w:rsidRPr="000523EA">
              <w:rPr>
                <w:rStyle w:val="BookTitle"/>
                <w:rFonts w:ascii="Arial" w:hAnsi="Arial" w:cs="Arial"/>
                <w:i w:val="0"/>
                <w:smallCaps w:val="0"/>
                <w:sz w:val="24"/>
                <w:szCs w:val="24"/>
              </w:rPr>
              <w:t>Activity statements must be provided free of charge, except where a customer elects for delivery by mail, in which case the costs purely associated with this may be recovered from the customer.</w:t>
            </w:r>
          </w:p>
          <w:p w14:paraId="2DA2C6CD" w14:textId="77777777" w:rsidR="00914138" w:rsidRPr="00BC31E7" w:rsidRDefault="00914138" w:rsidP="004909DA">
            <w:pPr>
              <w:pStyle w:val="ListParagraph"/>
              <w:numPr>
                <w:ilvl w:val="0"/>
                <w:numId w:val="7"/>
              </w:numPr>
              <w:spacing w:before="120" w:after="120" w:line="240" w:lineRule="auto"/>
              <w:contextualSpacing w:val="0"/>
              <w:rPr>
                <w:rStyle w:val="BookTitle"/>
                <w:rFonts w:ascii="Arial" w:hAnsi="Arial" w:cs="Arial"/>
                <w:i w:val="0"/>
                <w:smallCaps w:val="0"/>
                <w:sz w:val="24"/>
                <w:szCs w:val="24"/>
              </w:rPr>
            </w:pPr>
            <w:r w:rsidRPr="00BC31E7">
              <w:rPr>
                <w:rStyle w:val="BookTitle"/>
                <w:rFonts w:ascii="Arial" w:hAnsi="Arial" w:cs="Arial"/>
                <w:i w:val="0"/>
                <w:smallCaps w:val="0"/>
                <w:sz w:val="24"/>
                <w:szCs w:val="24"/>
              </w:rPr>
              <w:lastRenderedPageBreak/>
              <w:t xml:space="preserve">In addition to </w:t>
            </w:r>
            <w:r w:rsidRPr="00212DFC">
              <w:rPr>
                <w:rStyle w:val="BookTitle"/>
                <w:rFonts w:ascii="Arial" w:hAnsi="Arial"/>
                <w:i w:val="0"/>
                <w:smallCaps w:val="0"/>
                <w:sz w:val="24"/>
              </w:rPr>
              <w:t xml:space="preserve">activity statements, </w:t>
            </w:r>
            <w:r w:rsidRPr="00BC31E7">
              <w:rPr>
                <w:rStyle w:val="BookTitle"/>
                <w:rFonts w:ascii="Arial" w:hAnsi="Arial" w:cs="Arial"/>
                <w:i w:val="0"/>
                <w:smallCaps w:val="0"/>
                <w:sz w:val="24"/>
                <w:szCs w:val="24"/>
              </w:rPr>
              <w:t>a record of betting account transactions must also</w:t>
            </w:r>
            <w:r w:rsidRPr="00212DFC">
              <w:rPr>
                <w:rStyle w:val="BookTitle"/>
                <w:rFonts w:ascii="Arial" w:hAnsi="Arial"/>
                <w:i w:val="0"/>
                <w:smallCaps w:val="0"/>
                <w:sz w:val="24"/>
              </w:rPr>
              <w:t xml:space="preserve"> be </w:t>
            </w:r>
            <w:r w:rsidRPr="00BC31E7">
              <w:rPr>
                <w:rStyle w:val="BookTitle"/>
                <w:rFonts w:ascii="Arial" w:hAnsi="Arial" w:cs="Arial"/>
                <w:i w:val="0"/>
                <w:smallCaps w:val="0"/>
                <w:sz w:val="24"/>
                <w:szCs w:val="24"/>
              </w:rPr>
              <w:t>available:</w:t>
            </w:r>
          </w:p>
          <w:p w14:paraId="58B17585" w14:textId="77777777" w:rsidR="00914138" w:rsidRPr="00BC31E7" w:rsidRDefault="00914138" w:rsidP="00FC171F">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sidRPr="00BC31E7">
              <w:rPr>
                <w:rStyle w:val="BookTitle"/>
                <w:rFonts w:ascii="Arial" w:hAnsi="Arial" w:cs="Arial"/>
                <w:i w:val="0"/>
                <w:smallCaps w:val="0"/>
                <w:sz w:val="24"/>
                <w:szCs w:val="24"/>
              </w:rPr>
              <w:t>immediately at all times via a customer’s ‘My Account’ window for customers who bet online</w:t>
            </w:r>
          </w:p>
          <w:p w14:paraId="2AF6615C" w14:textId="77777777" w:rsidR="00914138" w:rsidRPr="00BC31E7" w:rsidRDefault="00914138" w:rsidP="00FC171F">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sidRPr="00BC31E7">
              <w:rPr>
                <w:rStyle w:val="BookTitle"/>
                <w:rFonts w:ascii="Arial" w:hAnsi="Arial" w:cs="Arial"/>
                <w:i w:val="0"/>
                <w:smallCaps w:val="0"/>
                <w:sz w:val="24"/>
                <w:szCs w:val="24"/>
              </w:rPr>
              <w:t>by email or post for customers who bet through other means (eg. via telephone) within 14 days of the customer’s request for a copy of their account transactions.</w:t>
            </w:r>
          </w:p>
          <w:p w14:paraId="6E0B87A1" w14:textId="20D6084F" w:rsidR="00914138" w:rsidRPr="00BC31E7" w:rsidRDefault="00B17CAB" w:rsidP="00B17CAB">
            <w:pPr>
              <w:pStyle w:val="ListParagraph"/>
              <w:numPr>
                <w:ilvl w:val="0"/>
                <w:numId w:val="7"/>
              </w:numPr>
              <w:spacing w:before="120" w:after="120" w:line="240" w:lineRule="auto"/>
              <w:contextualSpacing w:val="0"/>
              <w:rPr>
                <w:rStyle w:val="BookTitle"/>
                <w:rFonts w:ascii="Arial" w:hAnsi="Arial" w:cs="Arial"/>
                <w:i w:val="0"/>
                <w:smallCaps w:val="0"/>
                <w:sz w:val="24"/>
                <w:szCs w:val="24"/>
              </w:rPr>
            </w:pPr>
            <w:r>
              <w:rPr>
                <w:rStyle w:val="BookTitle"/>
                <w:rFonts w:ascii="Arial" w:hAnsi="Arial" w:cs="Arial"/>
                <w:i w:val="0"/>
                <w:smallCaps w:val="0"/>
                <w:sz w:val="24"/>
                <w:szCs w:val="24"/>
              </w:rPr>
              <w:t>Activity</w:t>
            </w:r>
            <w:r w:rsidR="00CE1BDB">
              <w:rPr>
                <w:rStyle w:val="BookTitle"/>
                <w:rFonts w:ascii="Arial" w:hAnsi="Arial" w:cs="Arial"/>
                <w:i w:val="0"/>
                <w:smallCaps w:val="0"/>
                <w:sz w:val="24"/>
                <w:szCs w:val="24"/>
              </w:rPr>
              <w:t xml:space="preserve"> must not include any promotional or direct marketing information. They should use red text to show losses and black to show wins (no use of green text).</w:t>
            </w:r>
          </w:p>
          <w:p w14:paraId="4B5F17AF" w14:textId="77777777" w:rsidR="00DE2A3A" w:rsidRPr="001B474F" w:rsidRDefault="00914138" w:rsidP="00212DFC">
            <w:pPr>
              <w:pStyle w:val="ListParagraph"/>
              <w:numPr>
                <w:ilvl w:val="0"/>
                <w:numId w:val="7"/>
              </w:numPr>
              <w:spacing w:before="120" w:after="120" w:line="240" w:lineRule="auto"/>
              <w:contextualSpacing w:val="0"/>
              <w:rPr>
                <w:rFonts w:ascii="Arial" w:hAnsi="Arial" w:cs="Arial"/>
                <w:spacing w:val="5"/>
                <w:sz w:val="24"/>
                <w:szCs w:val="24"/>
              </w:rPr>
            </w:pPr>
            <w:r w:rsidRPr="00BC31E7">
              <w:rPr>
                <w:rStyle w:val="BookTitle"/>
                <w:rFonts w:ascii="Arial" w:hAnsi="Arial" w:cs="Arial"/>
                <w:i w:val="0"/>
                <w:smallCaps w:val="0"/>
                <w:sz w:val="24"/>
                <w:szCs w:val="24"/>
              </w:rPr>
              <w:t>At a minimum, customers (including a person whose betting account has been closed) should be able to access a record of their account transactions for the preceding 7 years</w:t>
            </w:r>
            <w:r w:rsidRPr="00212DFC">
              <w:rPr>
                <w:rStyle w:val="BookTitle"/>
                <w:rFonts w:ascii="Arial" w:hAnsi="Arial"/>
                <w:i w:val="0"/>
                <w:smallCaps w:val="0"/>
                <w:sz w:val="24"/>
              </w:rPr>
              <w:t>.</w:t>
            </w:r>
          </w:p>
        </w:tc>
        <w:tc>
          <w:tcPr>
            <w:tcW w:w="4536" w:type="dxa"/>
            <w:shd w:val="clear" w:color="auto" w:fill="auto"/>
          </w:tcPr>
          <w:p w14:paraId="1A1C7981" w14:textId="77777777" w:rsidR="000A7C4C" w:rsidRDefault="00DE2A3A" w:rsidP="00940768">
            <w:pPr>
              <w:spacing w:before="120" w:after="120"/>
              <w:rPr>
                <w:rFonts w:ascii="Arial" w:hAnsi="Arial" w:cs="Arial"/>
                <w:spacing w:val="5"/>
                <w:sz w:val="24"/>
                <w:szCs w:val="24"/>
              </w:rPr>
            </w:pPr>
            <w:r w:rsidRPr="003D51E4">
              <w:rPr>
                <w:rFonts w:ascii="Arial" w:hAnsi="Arial" w:cs="Arial"/>
                <w:spacing w:val="5"/>
                <w:sz w:val="24"/>
                <w:szCs w:val="24"/>
              </w:rPr>
              <w:lastRenderedPageBreak/>
              <w:t>State and territory governments will enact this measure through existing laws, regulations</w:t>
            </w:r>
            <w:r w:rsidR="00B562B9" w:rsidRPr="003D51E4">
              <w:rPr>
                <w:rFonts w:ascii="Arial" w:hAnsi="Arial" w:cs="Arial"/>
                <w:spacing w:val="5"/>
                <w:sz w:val="24"/>
                <w:szCs w:val="24"/>
              </w:rPr>
              <w:t>,</w:t>
            </w:r>
            <w:r w:rsidRPr="003D51E4">
              <w:rPr>
                <w:rFonts w:ascii="Arial" w:hAnsi="Arial" w:cs="Arial"/>
                <w:spacing w:val="5"/>
                <w:sz w:val="24"/>
                <w:szCs w:val="24"/>
              </w:rPr>
              <w:t xml:space="preserve"> and licens</w:t>
            </w:r>
            <w:r w:rsidR="00304CE2" w:rsidRPr="003D51E4">
              <w:rPr>
                <w:rFonts w:ascii="Arial" w:hAnsi="Arial" w:cs="Arial"/>
                <w:spacing w:val="5"/>
                <w:sz w:val="24"/>
                <w:szCs w:val="24"/>
              </w:rPr>
              <w:t>es</w:t>
            </w:r>
            <w:r w:rsidRPr="003D51E4">
              <w:rPr>
                <w:rFonts w:ascii="Arial" w:hAnsi="Arial" w:cs="Arial"/>
                <w:spacing w:val="5"/>
                <w:sz w:val="24"/>
                <w:szCs w:val="24"/>
              </w:rPr>
              <w:t>.</w:t>
            </w:r>
            <w:r w:rsidR="000A7C4C" w:rsidRPr="003D51E4">
              <w:rPr>
                <w:rFonts w:ascii="Arial" w:hAnsi="Arial" w:cs="Arial"/>
                <w:spacing w:val="5"/>
                <w:sz w:val="24"/>
                <w:szCs w:val="24"/>
              </w:rPr>
              <w:t xml:space="preserve"> </w:t>
            </w:r>
          </w:p>
          <w:p w14:paraId="516E170A" w14:textId="7B140638" w:rsidR="007B72FD" w:rsidRPr="003D51E4" w:rsidRDefault="00CE1BDB" w:rsidP="007B72FD">
            <w:pPr>
              <w:spacing w:before="120" w:after="120"/>
              <w:rPr>
                <w:rFonts w:ascii="Arial" w:hAnsi="Arial" w:cs="Arial"/>
                <w:spacing w:val="5"/>
                <w:sz w:val="24"/>
                <w:szCs w:val="24"/>
              </w:rPr>
            </w:pPr>
            <w:r>
              <w:rPr>
                <w:rFonts w:ascii="Arial" w:hAnsi="Arial" w:cs="Arial"/>
                <w:spacing w:val="5"/>
                <w:sz w:val="24"/>
                <w:szCs w:val="24"/>
              </w:rPr>
              <w:t>Consultations with</w:t>
            </w:r>
            <w:r w:rsidR="007B72FD">
              <w:rPr>
                <w:rFonts w:ascii="Arial" w:hAnsi="Arial" w:cs="Arial"/>
                <w:spacing w:val="5"/>
                <w:sz w:val="24"/>
                <w:szCs w:val="24"/>
              </w:rPr>
              <w:t xml:space="preserve"> </w:t>
            </w:r>
            <w:r>
              <w:rPr>
                <w:rFonts w:ascii="Arial" w:hAnsi="Arial" w:cs="Arial"/>
                <w:spacing w:val="5"/>
                <w:sz w:val="24"/>
                <w:szCs w:val="24"/>
              </w:rPr>
              <w:t>with industry and other key stakeholders on any proposed amendments to the principles for this measure took place in early-2021.</w:t>
            </w:r>
          </w:p>
          <w:p w14:paraId="0776B7EC" w14:textId="77777777" w:rsidR="004E7418" w:rsidRPr="003D51E4" w:rsidRDefault="000A7C4C" w:rsidP="004E7418">
            <w:pPr>
              <w:spacing w:before="120" w:after="120"/>
              <w:rPr>
                <w:rStyle w:val="BookTitle"/>
                <w:rFonts w:ascii="Arial" w:hAnsi="Arial" w:cs="Arial"/>
                <w:i w:val="0"/>
                <w:iCs w:val="0"/>
                <w:smallCaps w:val="0"/>
                <w:sz w:val="24"/>
                <w:szCs w:val="24"/>
              </w:rPr>
            </w:pPr>
            <w:r w:rsidRPr="003D51E4">
              <w:rPr>
                <w:rFonts w:ascii="Arial" w:hAnsi="Arial" w:cs="Arial"/>
                <w:spacing w:val="5"/>
                <w:sz w:val="24"/>
                <w:szCs w:val="24"/>
              </w:rPr>
              <w:t>This measure takes effect</w:t>
            </w:r>
            <w:r w:rsidR="00483FE7" w:rsidRPr="003D51E4">
              <w:rPr>
                <w:rFonts w:ascii="Arial" w:hAnsi="Arial" w:cs="Arial"/>
                <w:spacing w:val="5"/>
                <w:sz w:val="24"/>
                <w:szCs w:val="24"/>
              </w:rPr>
              <w:t xml:space="preserve"> </w:t>
            </w:r>
            <w:r w:rsidR="002A7878" w:rsidRPr="008104F9">
              <w:rPr>
                <w:rFonts w:ascii="Arial" w:hAnsi="Arial" w:cs="Arial"/>
                <w:b/>
                <w:spacing w:val="5"/>
                <w:sz w:val="24"/>
                <w:szCs w:val="24"/>
              </w:rPr>
              <w:t>6 months</w:t>
            </w:r>
            <w:r w:rsidR="002A7878">
              <w:rPr>
                <w:rFonts w:ascii="Arial" w:hAnsi="Arial" w:cs="Arial"/>
                <w:spacing w:val="5"/>
                <w:sz w:val="24"/>
                <w:szCs w:val="24"/>
              </w:rPr>
              <w:t xml:space="preserve"> from </w:t>
            </w:r>
            <w:r w:rsidR="00483FE7" w:rsidRPr="003D51E4">
              <w:rPr>
                <w:rFonts w:ascii="Arial" w:hAnsi="Arial" w:cs="Arial"/>
                <w:spacing w:val="5"/>
                <w:sz w:val="24"/>
                <w:szCs w:val="24"/>
              </w:rPr>
              <w:t xml:space="preserve">the </w:t>
            </w:r>
            <w:r w:rsidR="002A7878">
              <w:rPr>
                <w:rFonts w:ascii="Arial" w:hAnsi="Arial" w:cs="Arial"/>
                <w:spacing w:val="5"/>
                <w:sz w:val="24"/>
                <w:szCs w:val="24"/>
              </w:rPr>
              <w:t>completion of</w:t>
            </w:r>
            <w:r w:rsidRPr="003D51E4">
              <w:rPr>
                <w:rFonts w:ascii="Arial" w:hAnsi="Arial" w:cs="Arial"/>
                <w:spacing w:val="5"/>
                <w:sz w:val="24"/>
                <w:szCs w:val="24"/>
              </w:rPr>
              <w:t xml:space="preserve"> trialling and testing of its features. </w:t>
            </w:r>
            <w:r w:rsidR="009E3A00">
              <w:rPr>
                <w:rFonts w:ascii="Arial" w:hAnsi="Arial" w:cs="Arial"/>
                <w:spacing w:val="5"/>
                <w:sz w:val="24"/>
                <w:szCs w:val="24"/>
              </w:rPr>
              <w:t>In the interim, state and territory requirements apply.</w:t>
            </w:r>
          </w:p>
          <w:p w14:paraId="707A91AD" w14:textId="77777777" w:rsidR="00DE2A3A" w:rsidRPr="003D51E4" w:rsidRDefault="00DE2A3A" w:rsidP="007860F5">
            <w:pPr>
              <w:tabs>
                <w:tab w:val="left" w:pos="1340"/>
                <w:tab w:val="right" w:pos="4320"/>
              </w:tabs>
              <w:spacing w:before="120" w:after="120"/>
              <w:rPr>
                <w:rStyle w:val="BookTitle"/>
                <w:rFonts w:ascii="Arial" w:hAnsi="Arial" w:cs="Arial"/>
                <w:i w:val="0"/>
                <w:iCs w:val="0"/>
                <w:smallCaps w:val="0"/>
                <w:sz w:val="24"/>
                <w:szCs w:val="24"/>
              </w:rPr>
            </w:pPr>
          </w:p>
        </w:tc>
      </w:tr>
    </w:tbl>
    <w:p w14:paraId="36205DFA" w14:textId="77777777" w:rsidR="00D07F51" w:rsidRDefault="00D07F51">
      <w:r>
        <w:lastRenderedPageBreak/>
        <w:br w:type="page"/>
      </w:r>
    </w:p>
    <w:tbl>
      <w:tblPr>
        <w:tblW w:w="153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797"/>
        <w:gridCol w:w="4536"/>
      </w:tblGrid>
      <w:tr w:rsidR="00DE2A3A" w:rsidRPr="003D51E4" w14:paraId="6BC2B908" w14:textId="77777777" w:rsidTr="001329B9">
        <w:trPr>
          <w:trHeight w:val="1626"/>
        </w:trPr>
        <w:tc>
          <w:tcPr>
            <w:tcW w:w="2978" w:type="dxa"/>
            <w:tcBorders>
              <w:bottom w:val="single" w:sz="4" w:space="0" w:color="auto"/>
            </w:tcBorders>
            <w:shd w:val="clear" w:color="auto" w:fill="auto"/>
          </w:tcPr>
          <w:p w14:paraId="3BEEB35E" w14:textId="608053EC" w:rsidR="00DE2A3A" w:rsidRPr="003D51E4" w:rsidRDefault="00A15DF5" w:rsidP="00940768">
            <w:pPr>
              <w:spacing w:before="120" w:after="120"/>
              <w:rPr>
                <w:rFonts w:ascii="Arial" w:hAnsi="Arial" w:cs="Arial"/>
                <w:b/>
                <w:sz w:val="24"/>
                <w:szCs w:val="24"/>
              </w:rPr>
            </w:pPr>
            <w:r w:rsidRPr="003D51E4">
              <w:rPr>
                <w:rFonts w:ascii="Arial" w:hAnsi="Arial" w:cs="Arial"/>
                <w:b/>
                <w:sz w:val="24"/>
                <w:szCs w:val="24"/>
              </w:rPr>
              <w:lastRenderedPageBreak/>
              <w:t>8</w:t>
            </w:r>
            <w:r w:rsidR="00DE2A3A" w:rsidRPr="003D51E4">
              <w:rPr>
                <w:rFonts w:ascii="Arial" w:hAnsi="Arial" w:cs="Arial"/>
                <w:b/>
                <w:sz w:val="24"/>
                <w:szCs w:val="24"/>
              </w:rPr>
              <w:t xml:space="preserve">: Consistent </w:t>
            </w:r>
            <w:r w:rsidRPr="003D51E4">
              <w:rPr>
                <w:rFonts w:ascii="Arial" w:hAnsi="Arial" w:cs="Arial"/>
                <w:b/>
                <w:sz w:val="24"/>
                <w:szCs w:val="24"/>
              </w:rPr>
              <w:t>g</w:t>
            </w:r>
            <w:r w:rsidR="00DE2A3A" w:rsidRPr="003D51E4">
              <w:rPr>
                <w:rFonts w:ascii="Arial" w:hAnsi="Arial" w:cs="Arial"/>
                <w:b/>
                <w:sz w:val="24"/>
                <w:szCs w:val="24"/>
              </w:rPr>
              <w:t xml:space="preserve">ambling </w:t>
            </w:r>
            <w:r w:rsidRPr="003D51E4">
              <w:rPr>
                <w:rFonts w:ascii="Arial" w:hAnsi="Arial" w:cs="Arial"/>
                <w:b/>
                <w:sz w:val="24"/>
                <w:szCs w:val="24"/>
              </w:rPr>
              <w:t>m</w:t>
            </w:r>
            <w:r w:rsidR="00DE2A3A" w:rsidRPr="003D51E4">
              <w:rPr>
                <w:rFonts w:ascii="Arial" w:hAnsi="Arial" w:cs="Arial"/>
                <w:b/>
                <w:sz w:val="24"/>
                <w:szCs w:val="24"/>
              </w:rPr>
              <w:t xml:space="preserve">essaging </w:t>
            </w:r>
          </w:p>
          <w:p w14:paraId="4F63E754" w14:textId="77777777" w:rsidR="00DE2A3A" w:rsidRPr="003D51E4" w:rsidRDefault="00DE2A3A" w:rsidP="00940768">
            <w:pPr>
              <w:spacing w:before="120" w:after="120"/>
              <w:rPr>
                <w:rFonts w:ascii="Arial" w:hAnsi="Arial" w:cs="Arial"/>
                <w:sz w:val="24"/>
                <w:szCs w:val="24"/>
              </w:rPr>
            </w:pPr>
            <w:r w:rsidRPr="003D51E4">
              <w:rPr>
                <w:rFonts w:ascii="Arial" w:hAnsi="Arial" w:cs="Arial"/>
                <w:sz w:val="24"/>
                <w:szCs w:val="24"/>
              </w:rPr>
              <w:t>This measure provides for evidence</w:t>
            </w:r>
            <w:r w:rsidR="00E857A4" w:rsidRPr="003D51E4">
              <w:rPr>
                <w:rFonts w:ascii="Arial" w:hAnsi="Arial" w:cs="Arial"/>
                <w:sz w:val="24"/>
                <w:szCs w:val="24"/>
              </w:rPr>
              <w:t>-</w:t>
            </w:r>
            <w:r w:rsidRPr="003D51E4">
              <w:rPr>
                <w:rFonts w:ascii="Arial" w:hAnsi="Arial" w:cs="Arial"/>
                <w:sz w:val="24"/>
                <w:szCs w:val="24"/>
              </w:rPr>
              <w:t>based, consistent gambling messaging.</w:t>
            </w:r>
          </w:p>
          <w:p w14:paraId="46AE549C" w14:textId="77777777" w:rsidR="00DE2A3A" w:rsidRPr="003D51E4" w:rsidRDefault="00DE2A3A" w:rsidP="001329B9">
            <w:pPr>
              <w:spacing w:before="120" w:after="120"/>
              <w:rPr>
                <w:rFonts w:ascii="Arial" w:hAnsi="Arial" w:cs="Arial"/>
                <w:b/>
                <w:sz w:val="24"/>
                <w:szCs w:val="24"/>
              </w:rPr>
            </w:pPr>
          </w:p>
          <w:p w14:paraId="28F0CF5F" w14:textId="77777777" w:rsidR="00DE2A3A" w:rsidRPr="003D51E4" w:rsidRDefault="00DE2A3A" w:rsidP="001329B9">
            <w:pPr>
              <w:spacing w:before="120" w:after="120"/>
              <w:rPr>
                <w:rFonts w:ascii="Arial" w:hAnsi="Arial" w:cs="Arial"/>
                <w:b/>
                <w:sz w:val="24"/>
                <w:szCs w:val="24"/>
                <w:u w:val="single"/>
              </w:rPr>
            </w:pPr>
          </w:p>
        </w:tc>
        <w:tc>
          <w:tcPr>
            <w:tcW w:w="7797" w:type="dxa"/>
            <w:tcBorders>
              <w:bottom w:val="single" w:sz="4" w:space="0" w:color="auto"/>
            </w:tcBorders>
            <w:shd w:val="clear" w:color="auto" w:fill="auto"/>
          </w:tcPr>
          <w:p w14:paraId="39503C2A" w14:textId="77777777" w:rsidR="00374C5E" w:rsidRPr="003D51E4" w:rsidRDefault="008F3B6B" w:rsidP="001329B9">
            <w:pPr>
              <w:pStyle w:val="ListParagraph"/>
              <w:numPr>
                <w:ilvl w:val="0"/>
                <w:numId w:val="6"/>
              </w:numPr>
              <w:spacing w:before="120" w:after="120"/>
              <w:ind w:left="318" w:hanging="284"/>
              <w:contextualSpacing w:val="0"/>
              <w:rPr>
                <w:rFonts w:ascii="Arial" w:hAnsi="Arial" w:cs="Arial"/>
                <w:spacing w:val="5"/>
                <w:sz w:val="24"/>
                <w:szCs w:val="24"/>
              </w:rPr>
            </w:pPr>
            <w:r>
              <w:rPr>
                <w:rStyle w:val="BookTitle"/>
                <w:rFonts w:ascii="Arial" w:hAnsi="Arial" w:cs="Arial"/>
                <w:i w:val="0"/>
                <w:iCs w:val="0"/>
                <w:smallCaps w:val="0"/>
                <w:sz w:val="24"/>
                <w:szCs w:val="24"/>
              </w:rPr>
              <w:t xml:space="preserve">Interactive wagering </w:t>
            </w:r>
            <w:r w:rsidR="001D04FC">
              <w:rPr>
                <w:rStyle w:val="BookTitle"/>
                <w:rFonts w:ascii="Arial" w:hAnsi="Arial" w:cs="Arial"/>
                <w:i w:val="0"/>
                <w:iCs w:val="0"/>
                <w:smallCaps w:val="0"/>
                <w:sz w:val="24"/>
                <w:szCs w:val="24"/>
              </w:rPr>
              <w:t xml:space="preserve">service </w:t>
            </w:r>
            <w:r>
              <w:rPr>
                <w:rStyle w:val="BookTitle"/>
                <w:rFonts w:ascii="Arial" w:hAnsi="Arial" w:cs="Arial"/>
                <w:i w:val="0"/>
                <w:iCs w:val="0"/>
                <w:smallCaps w:val="0"/>
                <w:sz w:val="24"/>
                <w:szCs w:val="24"/>
              </w:rPr>
              <w:t xml:space="preserve">providers </w:t>
            </w:r>
            <w:r w:rsidR="00374C5E" w:rsidRPr="003D51E4">
              <w:rPr>
                <w:rStyle w:val="BookTitle"/>
                <w:rFonts w:ascii="Arial" w:hAnsi="Arial" w:cs="Arial"/>
                <w:i w:val="0"/>
                <w:iCs w:val="0"/>
                <w:smallCaps w:val="0"/>
                <w:sz w:val="24"/>
                <w:szCs w:val="24"/>
              </w:rPr>
              <w:t xml:space="preserve">must provide </w:t>
            </w:r>
            <w:r w:rsidR="00374C5E" w:rsidRPr="003D51E4">
              <w:rPr>
                <w:rFonts w:ascii="Arial" w:hAnsi="Arial" w:cs="Arial"/>
                <w:spacing w:val="5"/>
                <w:sz w:val="24"/>
                <w:szCs w:val="24"/>
              </w:rPr>
              <w:t xml:space="preserve">a set of gambling messages </w:t>
            </w:r>
            <w:r w:rsidR="004B7D10">
              <w:rPr>
                <w:rFonts w:ascii="Arial" w:hAnsi="Arial" w:cs="Arial"/>
                <w:spacing w:val="5"/>
                <w:sz w:val="24"/>
                <w:szCs w:val="24"/>
              </w:rPr>
              <w:t>for</w:t>
            </w:r>
            <w:r w:rsidR="00374C5E" w:rsidRPr="003D51E4">
              <w:rPr>
                <w:rFonts w:ascii="Arial" w:hAnsi="Arial" w:cs="Arial"/>
                <w:spacing w:val="5"/>
                <w:sz w:val="24"/>
                <w:szCs w:val="24"/>
              </w:rPr>
              <w:t xml:space="preserve"> industry </w:t>
            </w:r>
            <w:r w:rsidR="004B7D10">
              <w:rPr>
                <w:rFonts w:ascii="Arial" w:hAnsi="Arial" w:cs="Arial"/>
                <w:spacing w:val="5"/>
                <w:sz w:val="24"/>
                <w:szCs w:val="24"/>
              </w:rPr>
              <w:t>to</w:t>
            </w:r>
            <w:r>
              <w:rPr>
                <w:rFonts w:ascii="Arial" w:hAnsi="Arial" w:cs="Arial"/>
                <w:spacing w:val="5"/>
                <w:sz w:val="24"/>
                <w:szCs w:val="24"/>
              </w:rPr>
              <w:t xml:space="preserve"> </w:t>
            </w:r>
            <w:r w:rsidRPr="00212DFC">
              <w:rPr>
                <w:rFonts w:ascii="Arial" w:hAnsi="Arial"/>
                <w:spacing w:val="5"/>
                <w:sz w:val="24"/>
              </w:rPr>
              <w:t>use</w:t>
            </w:r>
            <w:r w:rsidR="004B7D10" w:rsidRPr="00940768">
              <w:t xml:space="preserve"> </w:t>
            </w:r>
            <w:r w:rsidR="00374C5E" w:rsidRPr="003D51E4">
              <w:rPr>
                <w:rFonts w:ascii="Arial" w:hAnsi="Arial" w:cs="Arial"/>
                <w:spacing w:val="5"/>
                <w:sz w:val="24"/>
                <w:szCs w:val="24"/>
              </w:rPr>
              <w:t>in its advertising nation</w:t>
            </w:r>
            <w:r w:rsidR="008F4856">
              <w:rPr>
                <w:rFonts w:ascii="Arial" w:hAnsi="Arial" w:cs="Arial"/>
                <w:spacing w:val="5"/>
                <w:sz w:val="24"/>
                <w:szCs w:val="24"/>
              </w:rPr>
              <w:noBreakHyphen/>
            </w:r>
            <w:r w:rsidR="00374C5E" w:rsidRPr="003D51E4">
              <w:rPr>
                <w:rFonts w:ascii="Arial" w:hAnsi="Arial" w:cs="Arial"/>
                <w:spacing w:val="5"/>
                <w:sz w:val="24"/>
                <w:szCs w:val="24"/>
              </w:rPr>
              <w:t>wide.</w:t>
            </w:r>
          </w:p>
          <w:p w14:paraId="5620EA21" w14:textId="77777777" w:rsidR="0033470F" w:rsidRPr="003D51E4" w:rsidRDefault="009C471A"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Pr>
                <w:rStyle w:val="BookTitle"/>
                <w:rFonts w:ascii="Arial" w:hAnsi="Arial" w:cs="Arial"/>
                <w:i w:val="0"/>
                <w:smallCaps w:val="0"/>
                <w:sz w:val="24"/>
                <w:szCs w:val="24"/>
              </w:rPr>
              <w:t>T</w:t>
            </w:r>
            <w:r w:rsidR="0033470F" w:rsidRPr="003D51E4">
              <w:rPr>
                <w:rStyle w:val="BookTitle"/>
                <w:rFonts w:ascii="Arial" w:hAnsi="Arial" w:cs="Arial"/>
                <w:i w:val="0"/>
                <w:smallCaps w:val="0"/>
                <w:sz w:val="24"/>
                <w:szCs w:val="24"/>
              </w:rPr>
              <w:t>he same approved gambling message</w:t>
            </w:r>
            <w:r>
              <w:rPr>
                <w:rStyle w:val="BookTitle"/>
                <w:rFonts w:ascii="Arial" w:hAnsi="Arial" w:cs="Arial"/>
                <w:i w:val="0"/>
                <w:smallCaps w:val="0"/>
                <w:sz w:val="24"/>
                <w:szCs w:val="24"/>
              </w:rPr>
              <w:t>(</w:t>
            </w:r>
            <w:r w:rsidR="0033470F" w:rsidRPr="003D51E4">
              <w:rPr>
                <w:rStyle w:val="BookTitle"/>
                <w:rFonts w:ascii="Arial" w:hAnsi="Arial" w:cs="Arial"/>
                <w:i w:val="0"/>
                <w:smallCaps w:val="0"/>
                <w:sz w:val="24"/>
                <w:szCs w:val="24"/>
              </w:rPr>
              <w:t>s</w:t>
            </w:r>
            <w:r>
              <w:rPr>
                <w:rStyle w:val="BookTitle"/>
                <w:rFonts w:ascii="Arial" w:hAnsi="Arial" w:cs="Arial"/>
                <w:i w:val="0"/>
                <w:smallCaps w:val="0"/>
                <w:sz w:val="24"/>
                <w:szCs w:val="24"/>
              </w:rPr>
              <w:t>) must be used in connection with any interactive wagering service, including as it relates to the following</w:t>
            </w:r>
            <w:r w:rsidR="0033470F" w:rsidRPr="003D51E4">
              <w:rPr>
                <w:rStyle w:val="BookTitle"/>
                <w:rFonts w:ascii="Arial" w:hAnsi="Arial" w:cs="Arial"/>
                <w:i w:val="0"/>
                <w:smallCaps w:val="0"/>
                <w:sz w:val="24"/>
                <w:szCs w:val="24"/>
              </w:rPr>
              <w:t>:</w:t>
            </w:r>
          </w:p>
          <w:p w14:paraId="47C2C9C8" w14:textId="77777777" w:rsidR="0033470F" w:rsidRPr="003D51E4" w:rsidRDefault="0033470F" w:rsidP="00212DFC">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 xml:space="preserve">within their </w:t>
            </w:r>
            <w:r w:rsidR="005B6739" w:rsidRPr="003D51E4">
              <w:rPr>
                <w:rStyle w:val="BookTitle"/>
                <w:rFonts w:ascii="Arial" w:hAnsi="Arial" w:cs="Arial"/>
                <w:i w:val="0"/>
                <w:smallCaps w:val="0"/>
                <w:sz w:val="24"/>
                <w:szCs w:val="24"/>
              </w:rPr>
              <w:t>c</w:t>
            </w:r>
            <w:r w:rsidR="00EC6C8C" w:rsidRPr="003D51E4">
              <w:rPr>
                <w:rStyle w:val="BookTitle"/>
                <w:rFonts w:ascii="Arial" w:hAnsi="Arial" w:cs="Arial"/>
                <w:i w:val="0"/>
                <w:smallCaps w:val="0"/>
                <w:sz w:val="24"/>
                <w:szCs w:val="24"/>
              </w:rPr>
              <w:t>usto</w:t>
            </w:r>
            <w:r w:rsidR="005B6739" w:rsidRPr="003D51E4">
              <w:rPr>
                <w:rStyle w:val="BookTitle"/>
                <w:rFonts w:ascii="Arial" w:hAnsi="Arial" w:cs="Arial"/>
                <w:i w:val="0"/>
                <w:smallCaps w:val="0"/>
                <w:sz w:val="24"/>
                <w:szCs w:val="24"/>
              </w:rPr>
              <w:t>mer</w:t>
            </w:r>
            <w:r w:rsidRPr="003D51E4">
              <w:rPr>
                <w:rStyle w:val="BookTitle"/>
                <w:rFonts w:ascii="Arial" w:hAnsi="Arial" w:cs="Arial"/>
                <w:i w:val="0"/>
                <w:smallCaps w:val="0"/>
                <w:sz w:val="24"/>
                <w:szCs w:val="24"/>
              </w:rPr>
              <w:t>s</w:t>
            </w:r>
            <w:r w:rsidR="0027422B">
              <w:rPr>
                <w:rStyle w:val="BookTitle"/>
                <w:rFonts w:ascii="Arial" w:hAnsi="Arial" w:cs="Arial"/>
                <w:i w:val="0"/>
                <w:smallCaps w:val="0"/>
                <w:sz w:val="24"/>
                <w:szCs w:val="24"/>
              </w:rPr>
              <w:t>’</w:t>
            </w:r>
            <w:r w:rsidRPr="003D51E4">
              <w:rPr>
                <w:rStyle w:val="BookTitle"/>
                <w:rFonts w:ascii="Arial" w:hAnsi="Arial" w:cs="Arial"/>
                <w:i w:val="0"/>
                <w:smallCaps w:val="0"/>
                <w:sz w:val="24"/>
                <w:szCs w:val="24"/>
              </w:rPr>
              <w:t xml:space="preserve"> ‘My Account’ window</w:t>
            </w:r>
          </w:p>
          <w:p w14:paraId="16C3D6AD" w14:textId="77777777" w:rsidR="0033470F" w:rsidRPr="003D51E4" w:rsidRDefault="0033470F" w:rsidP="00212DFC">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on their websites and internet applications</w:t>
            </w:r>
          </w:p>
          <w:p w14:paraId="720F563A" w14:textId="77777777" w:rsidR="0033470F" w:rsidRPr="003D51E4" w:rsidRDefault="0033470F" w:rsidP="00212DFC">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 xml:space="preserve">on direct marketing materials </w:t>
            </w:r>
          </w:p>
          <w:p w14:paraId="516BF5CA" w14:textId="77777777" w:rsidR="009C471A" w:rsidRDefault="0033470F" w:rsidP="00212DFC">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on print and broadcast advertising</w:t>
            </w:r>
          </w:p>
          <w:p w14:paraId="35C13700" w14:textId="77777777" w:rsidR="0033470F" w:rsidRPr="003D51E4" w:rsidRDefault="009C471A" w:rsidP="00212DFC">
            <w:pPr>
              <w:pStyle w:val="ListParagraph"/>
              <w:numPr>
                <w:ilvl w:val="1"/>
                <w:numId w:val="7"/>
              </w:numPr>
              <w:spacing w:before="120" w:after="120" w:line="240" w:lineRule="auto"/>
              <w:contextualSpacing w:val="0"/>
              <w:rPr>
                <w:rStyle w:val="BookTitle"/>
                <w:rFonts w:ascii="Arial" w:hAnsi="Arial" w:cs="Arial"/>
                <w:i w:val="0"/>
                <w:smallCaps w:val="0"/>
                <w:sz w:val="24"/>
                <w:szCs w:val="24"/>
              </w:rPr>
            </w:pPr>
            <w:r>
              <w:rPr>
                <w:rStyle w:val="BookTitle"/>
                <w:rFonts w:ascii="Arial" w:hAnsi="Arial" w:cs="Arial"/>
                <w:i w:val="0"/>
                <w:smallCaps w:val="0"/>
                <w:sz w:val="24"/>
                <w:szCs w:val="24"/>
              </w:rPr>
              <w:t>on any sponsorships and promotional activities.</w:t>
            </w:r>
          </w:p>
          <w:p w14:paraId="5067D510" w14:textId="77777777" w:rsidR="0033470F" w:rsidRPr="003D51E4" w:rsidRDefault="0033470F"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State and territory governments will be able to tailor the gambling message</w:t>
            </w:r>
            <w:r w:rsidR="001A0B4E" w:rsidRPr="003D51E4">
              <w:rPr>
                <w:rStyle w:val="BookTitle"/>
                <w:rFonts w:ascii="Arial" w:hAnsi="Arial" w:cs="Arial"/>
                <w:i w:val="0"/>
                <w:smallCaps w:val="0"/>
                <w:sz w:val="24"/>
                <w:szCs w:val="24"/>
              </w:rPr>
              <w:t>(</w:t>
            </w:r>
            <w:r w:rsidRPr="003D51E4">
              <w:rPr>
                <w:rStyle w:val="BookTitle"/>
                <w:rFonts w:ascii="Arial" w:hAnsi="Arial" w:cs="Arial"/>
                <w:i w:val="0"/>
                <w:smallCaps w:val="0"/>
                <w:sz w:val="24"/>
                <w:szCs w:val="24"/>
              </w:rPr>
              <w:t>s</w:t>
            </w:r>
            <w:r w:rsidR="001A0B4E" w:rsidRPr="003D51E4">
              <w:rPr>
                <w:rStyle w:val="BookTitle"/>
                <w:rFonts w:ascii="Arial" w:hAnsi="Arial" w:cs="Arial"/>
                <w:i w:val="0"/>
                <w:smallCaps w:val="0"/>
                <w:sz w:val="24"/>
                <w:szCs w:val="24"/>
              </w:rPr>
              <w:t>)</w:t>
            </w:r>
            <w:r w:rsidRPr="003D51E4">
              <w:rPr>
                <w:rStyle w:val="BookTitle"/>
                <w:rFonts w:ascii="Arial" w:hAnsi="Arial" w:cs="Arial"/>
                <w:i w:val="0"/>
                <w:smallCaps w:val="0"/>
                <w:sz w:val="24"/>
                <w:szCs w:val="24"/>
              </w:rPr>
              <w:t xml:space="preserve"> to their own campaigns.</w:t>
            </w:r>
          </w:p>
          <w:p w14:paraId="3A65AD64" w14:textId="77777777" w:rsidR="0033470F" w:rsidRPr="003D51E4" w:rsidRDefault="0033470F"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Recognising that terminology of messaging is crucial as a consumer protection measure; the approved gambling message</w:t>
            </w:r>
            <w:r w:rsidR="001A0B4E" w:rsidRPr="003D51E4">
              <w:rPr>
                <w:rStyle w:val="BookTitle"/>
                <w:rFonts w:ascii="Arial" w:hAnsi="Arial" w:cs="Arial"/>
                <w:i w:val="0"/>
                <w:smallCaps w:val="0"/>
                <w:sz w:val="24"/>
                <w:szCs w:val="24"/>
              </w:rPr>
              <w:t>(</w:t>
            </w:r>
            <w:r w:rsidRPr="003D51E4">
              <w:rPr>
                <w:rStyle w:val="BookTitle"/>
                <w:rFonts w:ascii="Arial" w:hAnsi="Arial" w:cs="Arial"/>
                <w:i w:val="0"/>
                <w:smallCaps w:val="0"/>
                <w:sz w:val="24"/>
                <w:szCs w:val="24"/>
              </w:rPr>
              <w:t>s</w:t>
            </w:r>
            <w:r w:rsidR="001A0B4E" w:rsidRPr="003D51E4">
              <w:rPr>
                <w:rStyle w:val="BookTitle"/>
                <w:rFonts w:ascii="Arial" w:hAnsi="Arial" w:cs="Arial"/>
                <w:i w:val="0"/>
                <w:smallCaps w:val="0"/>
                <w:sz w:val="24"/>
                <w:szCs w:val="24"/>
              </w:rPr>
              <w:t>)</w:t>
            </w:r>
            <w:r w:rsidRPr="003D51E4">
              <w:rPr>
                <w:rStyle w:val="BookTitle"/>
                <w:rFonts w:ascii="Arial" w:hAnsi="Arial" w:cs="Arial"/>
                <w:i w:val="0"/>
                <w:smallCaps w:val="0"/>
                <w:sz w:val="24"/>
                <w:szCs w:val="24"/>
              </w:rPr>
              <w:t xml:space="preserve"> will be designed:</w:t>
            </w:r>
          </w:p>
          <w:p w14:paraId="69B9A25A" w14:textId="77777777" w:rsidR="0033470F" w:rsidRPr="003D51E4" w:rsidRDefault="0033470F" w:rsidP="00940768">
            <w:pPr>
              <w:pStyle w:val="ListParagraph"/>
              <w:numPr>
                <w:ilvl w:val="0"/>
                <w:numId w:val="29"/>
              </w:numPr>
              <w:spacing w:before="120" w:after="120"/>
              <w:ind w:left="771"/>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in collaboration with experts (harnessing new and existing research</w:t>
            </w:r>
            <w:r w:rsidR="00035A77">
              <w:rPr>
                <w:rStyle w:val="BookTitle"/>
                <w:rFonts w:ascii="Arial" w:hAnsi="Arial" w:cs="Arial"/>
                <w:i w:val="0"/>
                <w:smallCaps w:val="0"/>
                <w:sz w:val="24"/>
                <w:szCs w:val="24"/>
              </w:rPr>
              <w:t>)</w:t>
            </w:r>
            <w:r w:rsidR="001A0B4E" w:rsidRPr="003D51E4">
              <w:rPr>
                <w:rStyle w:val="BookTitle"/>
                <w:rFonts w:ascii="Arial" w:hAnsi="Arial" w:cs="Arial"/>
                <w:sz w:val="24"/>
                <w:szCs w:val="24"/>
              </w:rPr>
              <w:t xml:space="preserve"> </w:t>
            </w:r>
          </w:p>
          <w:p w14:paraId="11964C69" w14:textId="77777777" w:rsidR="0033470F" w:rsidRPr="003D51E4" w:rsidRDefault="0033470F" w:rsidP="00940768">
            <w:pPr>
              <w:pStyle w:val="ListParagraph"/>
              <w:numPr>
                <w:ilvl w:val="0"/>
                <w:numId w:val="29"/>
              </w:numPr>
              <w:spacing w:before="120" w:after="120"/>
              <w:ind w:left="771"/>
              <w:contextualSpacing w:val="0"/>
              <w:rPr>
                <w:rStyle w:val="BookTitle"/>
                <w:rFonts w:ascii="Arial" w:hAnsi="Arial" w:cs="Arial"/>
                <w:i w:val="0"/>
                <w:smallCaps w:val="0"/>
                <w:sz w:val="24"/>
                <w:szCs w:val="24"/>
              </w:rPr>
            </w:pPr>
            <w:r w:rsidRPr="003D51E4">
              <w:rPr>
                <w:rStyle w:val="BookTitle"/>
                <w:rFonts w:ascii="Arial" w:hAnsi="Arial" w:cs="Arial"/>
                <w:i w:val="0"/>
                <w:smallCaps w:val="0"/>
                <w:sz w:val="24"/>
                <w:szCs w:val="24"/>
              </w:rPr>
              <w:t>in consideration of the jurisdictions in which they will be displayed</w:t>
            </w:r>
          </w:p>
          <w:p w14:paraId="4DFE1955" w14:textId="77777777" w:rsidR="00DE2A3A" w:rsidRPr="003D51E4" w:rsidRDefault="0033470F" w:rsidP="001329B9">
            <w:pPr>
              <w:pStyle w:val="ListParagraph"/>
              <w:numPr>
                <w:ilvl w:val="0"/>
                <w:numId w:val="29"/>
              </w:numPr>
              <w:spacing w:before="120" w:after="120"/>
              <w:ind w:left="771"/>
              <w:contextualSpacing w:val="0"/>
            </w:pPr>
            <w:r w:rsidRPr="003D51E4">
              <w:rPr>
                <w:rStyle w:val="BookTitle"/>
                <w:rFonts w:ascii="Arial" w:hAnsi="Arial" w:cs="Arial"/>
                <w:i w:val="0"/>
                <w:smallCaps w:val="0"/>
                <w:sz w:val="24"/>
                <w:szCs w:val="24"/>
              </w:rPr>
              <w:t>in consideration of the</w:t>
            </w:r>
            <w:r w:rsidR="001A0B4E" w:rsidRPr="003D51E4">
              <w:rPr>
                <w:rStyle w:val="BookTitle"/>
                <w:rFonts w:ascii="Arial" w:hAnsi="Arial" w:cs="Arial"/>
                <w:i w:val="0"/>
                <w:smallCaps w:val="0"/>
                <w:sz w:val="24"/>
                <w:szCs w:val="24"/>
              </w:rPr>
              <w:t xml:space="preserve"> messages being easily understood by the wide range of</w:t>
            </w:r>
            <w:r w:rsidR="00EC6C8C" w:rsidRPr="003D51E4">
              <w:rPr>
                <w:rStyle w:val="BookTitle"/>
                <w:rFonts w:ascii="Arial" w:hAnsi="Arial" w:cs="Arial"/>
                <w:i w:val="0"/>
                <w:smallCaps w:val="0"/>
                <w:sz w:val="24"/>
                <w:szCs w:val="24"/>
              </w:rPr>
              <w:t xml:space="preserve"> consumer</w:t>
            </w:r>
            <w:r w:rsidR="001A0B4E" w:rsidRPr="003D51E4">
              <w:rPr>
                <w:rStyle w:val="BookTitle"/>
                <w:rFonts w:ascii="Arial" w:hAnsi="Arial" w:cs="Arial"/>
                <w:i w:val="0"/>
                <w:smallCaps w:val="0"/>
                <w:sz w:val="24"/>
                <w:szCs w:val="24"/>
              </w:rPr>
              <w:t xml:space="preserve"> groups who make up the</w:t>
            </w:r>
            <w:r w:rsidRPr="003D51E4">
              <w:rPr>
                <w:rStyle w:val="BookTitle"/>
                <w:rFonts w:ascii="Arial" w:hAnsi="Arial" w:cs="Arial"/>
                <w:i w:val="0"/>
                <w:smallCaps w:val="0"/>
                <w:sz w:val="24"/>
                <w:szCs w:val="24"/>
              </w:rPr>
              <w:t xml:space="preserve"> intended audience. </w:t>
            </w:r>
          </w:p>
        </w:tc>
        <w:tc>
          <w:tcPr>
            <w:tcW w:w="4536" w:type="dxa"/>
            <w:tcBorders>
              <w:bottom w:val="single" w:sz="4" w:space="0" w:color="auto"/>
            </w:tcBorders>
            <w:shd w:val="clear" w:color="auto" w:fill="auto"/>
          </w:tcPr>
          <w:p w14:paraId="281EACC5" w14:textId="77777777" w:rsidR="00DE2A3A" w:rsidRPr="003D51E4" w:rsidRDefault="00DE2A3A" w:rsidP="00940768">
            <w:pPr>
              <w:spacing w:before="120" w:after="120"/>
              <w:rPr>
                <w:rFonts w:ascii="Arial" w:hAnsi="Arial" w:cs="Arial"/>
                <w:spacing w:val="5"/>
                <w:sz w:val="24"/>
                <w:szCs w:val="24"/>
              </w:rPr>
            </w:pPr>
            <w:r w:rsidRPr="003D51E4">
              <w:rPr>
                <w:rFonts w:ascii="Arial" w:hAnsi="Arial" w:cs="Arial"/>
                <w:spacing w:val="5"/>
                <w:sz w:val="24"/>
                <w:szCs w:val="24"/>
              </w:rPr>
              <w:t>State and territory governments will enact this measure through existing laws, regulations</w:t>
            </w:r>
            <w:r w:rsidR="00274996" w:rsidRPr="003D51E4">
              <w:rPr>
                <w:rFonts w:ascii="Arial" w:hAnsi="Arial" w:cs="Arial"/>
                <w:spacing w:val="5"/>
                <w:sz w:val="24"/>
                <w:szCs w:val="24"/>
              </w:rPr>
              <w:t>,</w:t>
            </w:r>
            <w:r w:rsidRPr="003D51E4">
              <w:rPr>
                <w:rFonts w:ascii="Arial" w:hAnsi="Arial" w:cs="Arial"/>
                <w:spacing w:val="5"/>
                <w:sz w:val="24"/>
                <w:szCs w:val="24"/>
              </w:rPr>
              <w:t xml:space="preserve"> and licens</w:t>
            </w:r>
            <w:r w:rsidR="00304CE2" w:rsidRPr="003D51E4">
              <w:rPr>
                <w:rFonts w:ascii="Arial" w:hAnsi="Arial" w:cs="Arial"/>
                <w:spacing w:val="5"/>
                <w:sz w:val="24"/>
                <w:szCs w:val="24"/>
              </w:rPr>
              <w:t>es</w:t>
            </w:r>
            <w:r w:rsidRPr="003D51E4">
              <w:rPr>
                <w:rFonts w:ascii="Arial" w:hAnsi="Arial" w:cs="Arial"/>
                <w:spacing w:val="5"/>
                <w:sz w:val="24"/>
                <w:szCs w:val="24"/>
              </w:rPr>
              <w:t>.</w:t>
            </w:r>
          </w:p>
          <w:p w14:paraId="3BD6C1B5" w14:textId="77777777" w:rsidR="000A7C4C" w:rsidRPr="003D51E4" w:rsidRDefault="000A7C4C" w:rsidP="00940768">
            <w:pPr>
              <w:spacing w:before="120" w:after="120"/>
              <w:rPr>
                <w:rFonts w:ascii="Arial" w:hAnsi="Arial" w:cs="Arial"/>
                <w:spacing w:val="5"/>
                <w:sz w:val="24"/>
                <w:szCs w:val="24"/>
              </w:rPr>
            </w:pPr>
            <w:r w:rsidRPr="003D51E4">
              <w:rPr>
                <w:rFonts w:ascii="Arial" w:hAnsi="Arial" w:cs="Arial"/>
                <w:spacing w:val="5"/>
                <w:sz w:val="24"/>
                <w:szCs w:val="24"/>
              </w:rPr>
              <w:t xml:space="preserve">This measure takes effect </w:t>
            </w:r>
            <w:r w:rsidR="009E3A00">
              <w:rPr>
                <w:rFonts w:ascii="Arial" w:hAnsi="Arial" w:cs="Arial"/>
                <w:b/>
                <w:spacing w:val="5"/>
                <w:sz w:val="24"/>
                <w:szCs w:val="24"/>
              </w:rPr>
              <w:t>6</w:t>
            </w:r>
            <w:r w:rsidR="009E3A00" w:rsidRPr="004C61EA">
              <w:rPr>
                <w:rFonts w:ascii="Arial" w:hAnsi="Arial" w:cs="Arial"/>
                <w:b/>
                <w:spacing w:val="5"/>
                <w:sz w:val="24"/>
                <w:szCs w:val="24"/>
              </w:rPr>
              <w:t xml:space="preserve"> </w:t>
            </w:r>
            <w:r w:rsidR="00483FE7" w:rsidRPr="004C61EA">
              <w:rPr>
                <w:rFonts w:ascii="Arial" w:hAnsi="Arial" w:cs="Arial"/>
                <w:b/>
                <w:spacing w:val="5"/>
                <w:sz w:val="24"/>
                <w:szCs w:val="24"/>
              </w:rPr>
              <w:t>months</w:t>
            </w:r>
            <w:r w:rsidR="00483FE7" w:rsidRPr="003D51E4">
              <w:rPr>
                <w:rFonts w:ascii="Arial" w:hAnsi="Arial" w:cs="Arial"/>
                <w:spacing w:val="5"/>
                <w:sz w:val="24"/>
                <w:szCs w:val="24"/>
              </w:rPr>
              <w:t xml:space="preserve"> </w:t>
            </w:r>
            <w:r w:rsidRPr="003D51E4">
              <w:rPr>
                <w:rFonts w:ascii="Arial" w:hAnsi="Arial" w:cs="Arial"/>
                <w:spacing w:val="5"/>
                <w:sz w:val="24"/>
                <w:szCs w:val="24"/>
              </w:rPr>
              <w:t>from</w:t>
            </w:r>
            <w:r w:rsidRPr="003D51E4">
              <w:rPr>
                <w:rFonts w:ascii="Arial" w:hAnsi="Arial"/>
                <w:spacing w:val="5"/>
                <w:sz w:val="24"/>
              </w:rPr>
              <w:t xml:space="preserve"> </w:t>
            </w:r>
            <w:r w:rsidR="00483FE7" w:rsidRPr="003D51E4">
              <w:rPr>
                <w:rFonts w:ascii="Arial" w:hAnsi="Arial"/>
                <w:spacing w:val="5"/>
                <w:sz w:val="24"/>
              </w:rPr>
              <w:t xml:space="preserve">the </w:t>
            </w:r>
            <w:r w:rsidR="008F3B6B">
              <w:rPr>
                <w:rFonts w:ascii="Arial" w:hAnsi="Arial"/>
                <w:spacing w:val="5"/>
                <w:sz w:val="24"/>
              </w:rPr>
              <w:t>completion of</w:t>
            </w:r>
            <w:r w:rsidRPr="003D51E4">
              <w:rPr>
                <w:rFonts w:ascii="Arial" w:hAnsi="Arial" w:cs="Arial"/>
                <w:spacing w:val="5"/>
                <w:sz w:val="24"/>
                <w:szCs w:val="24"/>
              </w:rPr>
              <w:t xml:space="preserve"> trialling and testing of its features. </w:t>
            </w:r>
            <w:r w:rsidR="009E3A00">
              <w:rPr>
                <w:rFonts w:ascii="Arial" w:hAnsi="Arial" w:cs="Arial"/>
                <w:spacing w:val="5"/>
                <w:sz w:val="24"/>
                <w:szCs w:val="24"/>
              </w:rPr>
              <w:t>In the interim, state and territory requirements apply.</w:t>
            </w:r>
          </w:p>
          <w:p w14:paraId="38D202D0" w14:textId="77777777" w:rsidR="001B5CBB" w:rsidRPr="003D51E4" w:rsidRDefault="001B5CBB" w:rsidP="001329B9">
            <w:pPr>
              <w:spacing w:before="120" w:after="120"/>
              <w:rPr>
                <w:rStyle w:val="BookTitle"/>
                <w:rFonts w:ascii="Arial" w:hAnsi="Arial" w:cs="Arial"/>
                <w:i w:val="0"/>
                <w:iCs w:val="0"/>
                <w:smallCaps w:val="0"/>
                <w:sz w:val="24"/>
                <w:szCs w:val="24"/>
              </w:rPr>
            </w:pPr>
          </w:p>
        </w:tc>
      </w:tr>
    </w:tbl>
    <w:p w14:paraId="7739637E" w14:textId="77777777" w:rsidR="00D07F51" w:rsidRDefault="00D07F51">
      <w:r>
        <w:br w:type="page"/>
      </w:r>
    </w:p>
    <w:tbl>
      <w:tblPr>
        <w:tblW w:w="153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797"/>
        <w:gridCol w:w="4536"/>
      </w:tblGrid>
      <w:tr w:rsidR="00DE2A3A" w:rsidRPr="00EA6B1C" w14:paraId="28E6037D" w14:textId="77777777" w:rsidTr="001329B9">
        <w:tc>
          <w:tcPr>
            <w:tcW w:w="2978" w:type="dxa"/>
            <w:tcBorders>
              <w:bottom w:val="single" w:sz="4" w:space="0" w:color="auto"/>
            </w:tcBorders>
            <w:shd w:val="clear" w:color="auto" w:fill="auto"/>
          </w:tcPr>
          <w:p w14:paraId="28414F16" w14:textId="76FA3111" w:rsidR="00DE2A3A" w:rsidRPr="00EA6B1C" w:rsidRDefault="00A15DF5" w:rsidP="00940768">
            <w:pPr>
              <w:spacing w:before="120" w:after="120"/>
              <w:rPr>
                <w:rFonts w:ascii="Arial" w:hAnsi="Arial" w:cs="Arial"/>
                <w:b/>
                <w:sz w:val="24"/>
                <w:szCs w:val="24"/>
              </w:rPr>
            </w:pPr>
            <w:r w:rsidRPr="00EA6B1C">
              <w:rPr>
                <w:rFonts w:ascii="Arial" w:hAnsi="Arial" w:cs="Arial"/>
                <w:b/>
                <w:sz w:val="24"/>
                <w:szCs w:val="24"/>
              </w:rPr>
              <w:lastRenderedPageBreak/>
              <w:t>9</w:t>
            </w:r>
            <w:r w:rsidR="00DE2A3A" w:rsidRPr="00EA6B1C">
              <w:rPr>
                <w:rFonts w:ascii="Arial" w:hAnsi="Arial" w:cs="Arial"/>
                <w:b/>
                <w:sz w:val="24"/>
                <w:szCs w:val="24"/>
              </w:rPr>
              <w:t xml:space="preserve">: Staff training </w:t>
            </w:r>
          </w:p>
          <w:p w14:paraId="6C83B71C" w14:textId="77777777" w:rsidR="00DE2A3A" w:rsidRPr="00EA6B1C" w:rsidRDefault="00DE2A3A" w:rsidP="001329B9">
            <w:pPr>
              <w:spacing w:before="120" w:after="120"/>
              <w:rPr>
                <w:rFonts w:ascii="Arial" w:hAnsi="Arial" w:cs="Arial"/>
                <w:sz w:val="24"/>
                <w:szCs w:val="24"/>
              </w:rPr>
            </w:pPr>
            <w:r w:rsidRPr="00EA6B1C">
              <w:rPr>
                <w:rFonts w:ascii="Arial" w:hAnsi="Arial" w:cs="Arial"/>
                <w:sz w:val="24"/>
                <w:szCs w:val="24"/>
              </w:rPr>
              <w:t xml:space="preserve">This measure provides for the training of certain staff in the responsible service of </w:t>
            </w:r>
            <w:r w:rsidR="00875516">
              <w:rPr>
                <w:rFonts w:ascii="Arial" w:hAnsi="Arial" w:cs="Arial"/>
                <w:sz w:val="24"/>
                <w:szCs w:val="24"/>
              </w:rPr>
              <w:t xml:space="preserve">online </w:t>
            </w:r>
            <w:r w:rsidRPr="00EA6B1C">
              <w:rPr>
                <w:rFonts w:ascii="Arial" w:hAnsi="Arial" w:cs="Arial"/>
                <w:sz w:val="24"/>
                <w:szCs w:val="24"/>
              </w:rPr>
              <w:t>gambling.</w:t>
            </w:r>
          </w:p>
          <w:p w14:paraId="1414AF40" w14:textId="77777777" w:rsidR="00DE2A3A" w:rsidRPr="00EA6B1C" w:rsidRDefault="00DE2A3A" w:rsidP="001329B9">
            <w:pPr>
              <w:spacing w:before="120" w:after="120"/>
              <w:rPr>
                <w:rFonts w:ascii="Arial" w:hAnsi="Arial" w:cs="Arial"/>
                <w:sz w:val="24"/>
                <w:szCs w:val="24"/>
              </w:rPr>
            </w:pPr>
          </w:p>
          <w:p w14:paraId="7893EA50" w14:textId="77777777" w:rsidR="00DE2A3A" w:rsidRPr="001329B9" w:rsidRDefault="00DE2A3A" w:rsidP="001329B9">
            <w:pPr>
              <w:spacing w:before="120" w:after="120"/>
              <w:rPr>
                <w:rFonts w:ascii="Arial" w:hAnsi="Arial"/>
                <w:sz w:val="24"/>
              </w:rPr>
            </w:pPr>
          </w:p>
        </w:tc>
        <w:tc>
          <w:tcPr>
            <w:tcW w:w="7797" w:type="dxa"/>
            <w:tcBorders>
              <w:bottom w:val="single" w:sz="4" w:space="0" w:color="auto"/>
            </w:tcBorders>
            <w:shd w:val="clear" w:color="auto" w:fill="auto"/>
          </w:tcPr>
          <w:p w14:paraId="5D90E484" w14:textId="77777777" w:rsidR="00887F59" w:rsidRDefault="00887F59"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EA6B1C">
              <w:rPr>
                <w:rStyle w:val="BookTitle"/>
                <w:rFonts w:ascii="Arial" w:hAnsi="Arial" w:cs="Arial"/>
                <w:i w:val="0"/>
                <w:smallCaps w:val="0"/>
                <w:sz w:val="24"/>
                <w:szCs w:val="24"/>
              </w:rPr>
              <w:t>All staff involved in the provision of wagering services, or with the capacity to influence the wagering service, must undertake responsible service of gambling training to create a culture of responsible gambling within the organisation.</w:t>
            </w:r>
          </w:p>
          <w:p w14:paraId="1A9B73B2" w14:textId="77777777" w:rsidR="00AA5DD2" w:rsidRPr="001329B9" w:rsidRDefault="00AA5DD2" w:rsidP="00022FF7">
            <w:pPr>
              <w:pStyle w:val="ListParagraph"/>
              <w:numPr>
                <w:ilvl w:val="0"/>
                <w:numId w:val="7"/>
              </w:numPr>
              <w:spacing w:before="120" w:after="120"/>
              <w:ind w:left="351" w:hanging="357"/>
              <w:contextualSpacing w:val="0"/>
            </w:pPr>
            <w:r w:rsidRPr="00022FF7">
              <w:rPr>
                <w:rStyle w:val="BookTitle"/>
                <w:rFonts w:ascii="Arial" w:hAnsi="Arial" w:cs="Arial"/>
                <w:i w:val="0"/>
                <w:smallCaps w:val="0"/>
                <w:sz w:val="24"/>
                <w:szCs w:val="24"/>
              </w:rPr>
              <w:t>Of these staff members, online training program must be undertaken</w:t>
            </w:r>
            <w:r w:rsidRPr="00433039">
              <w:rPr>
                <w:rStyle w:val="BookTitle"/>
                <w:rFonts w:ascii="Arial" w:hAnsi="Arial"/>
                <w:sz w:val="24"/>
              </w:rPr>
              <w:t xml:space="preserve"> </w:t>
            </w:r>
            <w:r w:rsidRPr="00433039">
              <w:rPr>
                <w:rStyle w:val="BookTitle"/>
                <w:rFonts w:ascii="Arial" w:hAnsi="Arial"/>
                <w:i w:val="0"/>
                <w:smallCaps w:val="0"/>
                <w:sz w:val="24"/>
              </w:rPr>
              <w:t>by:</w:t>
            </w:r>
          </w:p>
          <w:p w14:paraId="58B2420A" w14:textId="77777777" w:rsidR="00920615" w:rsidRPr="00EA6B1C" w:rsidRDefault="00AA5DD2" w:rsidP="001329B9">
            <w:pPr>
              <w:pStyle w:val="ListParagraph"/>
              <w:numPr>
                <w:ilvl w:val="0"/>
                <w:numId w:val="29"/>
              </w:numPr>
              <w:spacing w:before="120" w:after="120"/>
              <w:ind w:left="771"/>
              <w:contextualSpacing w:val="0"/>
              <w:rPr>
                <w:rStyle w:val="BookTitle"/>
                <w:rFonts w:ascii="Arial" w:hAnsi="Arial" w:cs="Arial"/>
                <w:i w:val="0"/>
                <w:smallCaps w:val="0"/>
                <w:sz w:val="24"/>
                <w:szCs w:val="24"/>
              </w:rPr>
            </w:pPr>
            <w:r w:rsidRPr="00EA6B1C">
              <w:rPr>
                <w:rStyle w:val="BookTitle"/>
                <w:rFonts w:ascii="Arial" w:hAnsi="Arial" w:cs="Arial"/>
                <w:i w:val="0"/>
                <w:smallCaps w:val="0"/>
                <w:sz w:val="24"/>
                <w:szCs w:val="24"/>
              </w:rPr>
              <w:t>new staff within one month of commencing work with the interactive wagering service provider</w:t>
            </w:r>
            <w:r w:rsidR="000176BC">
              <w:rPr>
                <w:rStyle w:val="BookTitle"/>
                <w:rFonts w:ascii="Arial" w:hAnsi="Arial" w:cs="Arial"/>
                <w:i w:val="0"/>
                <w:smallCaps w:val="0"/>
                <w:sz w:val="24"/>
                <w:szCs w:val="24"/>
              </w:rPr>
              <w:t xml:space="preserve"> but before interacting with a customer about, </w:t>
            </w:r>
            <w:r w:rsidR="000176BC" w:rsidRPr="000176BC">
              <w:rPr>
                <w:rStyle w:val="BookTitle"/>
                <w:rFonts w:ascii="Arial" w:hAnsi="Arial" w:cs="Arial"/>
                <w:i w:val="0"/>
                <w:smallCaps w:val="0"/>
                <w:sz w:val="24"/>
                <w:szCs w:val="24"/>
              </w:rPr>
              <w:t>or influencing</w:t>
            </w:r>
            <w:r w:rsidR="001E5B34">
              <w:rPr>
                <w:rStyle w:val="BookTitle"/>
                <w:rFonts w:ascii="Arial" w:hAnsi="Arial" w:cs="Arial"/>
                <w:i w:val="0"/>
                <w:smallCaps w:val="0"/>
                <w:sz w:val="24"/>
                <w:szCs w:val="24"/>
              </w:rPr>
              <w:t>,</w:t>
            </w:r>
            <w:r w:rsidR="000176BC">
              <w:rPr>
                <w:rStyle w:val="BookTitle"/>
                <w:rFonts w:ascii="Arial" w:hAnsi="Arial" w:cs="Arial"/>
                <w:i w:val="0"/>
                <w:smallCaps w:val="0"/>
                <w:sz w:val="24"/>
                <w:szCs w:val="24"/>
              </w:rPr>
              <w:t xml:space="preserve"> the provision of a service </w:t>
            </w:r>
          </w:p>
          <w:p w14:paraId="499C5352" w14:textId="77777777" w:rsidR="00AB3E66" w:rsidRPr="00EA6B1C" w:rsidRDefault="00AA5DD2" w:rsidP="001329B9">
            <w:pPr>
              <w:pStyle w:val="ListParagraph"/>
              <w:numPr>
                <w:ilvl w:val="0"/>
                <w:numId w:val="29"/>
              </w:numPr>
              <w:spacing w:before="120" w:after="120"/>
              <w:ind w:left="771"/>
              <w:contextualSpacing w:val="0"/>
              <w:rPr>
                <w:rStyle w:val="BookTitle"/>
                <w:rFonts w:ascii="Arial" w:hAnsi="Arial" w:cs="Arial"/>
                <w:i w:val="0"/>
                <w:smallCaps w:val="0"/>
                <w:sz w:val="24"/>
                <w:szCs w:val="24"/>
              </w:rPr>
            </w:pPr>
            <w:r w:rsidRPr="00EA6B1C">
              <w:rPr>
                <w:rStyle w:val="BookTitle"/>
                <w:rFonts w:ascii="Arial" w:hAnsi="Arial" w:cs="Arial"/>
                <w:i w:val="0"/>
                <w:smallCaps w:val="0"/>
                <w:sz w:val="24"/>
                <w:szCs w:val="24"/>
              </w:rPr>
              <w:t>existing staff within 6 months of the online training program coming into effect</w:t>
            </w:r>
            <w:r w:rsidR="001E5B34">
              <w:rPr>
                <w:rStyle w:val="BookTitle"/>
                <w:rFonts w:ascii="Arial" w:hAnsi="Arial" w:cs="Arial"/>
                <w:i w:val="0"/>
                <w:smallCaps w:val="0"/>
                <w:sz w:val="24"/>
                <w:szCs w:val="24"/>
              </w:rPr>
              <w:t>.</w:t>
            </w:r>
          </w:p>
          <w:p w14:paraId="0D355AE4" w14:textId="77777777" w:rsidR="00B36239" w:rsidRPr="00EA6B1C" w:rsidRDefault="00887F59" w:rsidP="00940768">
            <w:pPr>
              <w:pStyle w:val="ListParagraph"/>
              <w:numPr>
                <w:ilvl w:val="0"/>
                <w:numId w:val="7"/>
              </w:numPr>
              <w:spacing w:before="120" w:after="120"/>
              <w:ind w:left="351" w:hanging="357"/>
              <w:contextualSpacing w:val="0"/>
              <w:rPr>
                <w:rStyle w:val="BookTitle"/>
                <w:rFonts w:ascii="Arial" w:hAnsi="Arial" w:cs="Arial"/>
                <w:i w:val="0"/>
                <w:smallCaps w:val="0"/>
                <w:sz w:val="24"/>
                <w:szCs w:val="24"/>
              </w:rPr>
            </w:pPr>
            <w:r w:rsidRPr="00EA6B1C">
              <w:rPr>
                <w:rStyle w:val="BookTitle"/>
                <w:rFonts w:ascii="Arial" w:hAnsi="Arial" w:cs="Arial"/>
                <w:i w:val="0"/>
                <w:smallCaps w:val="0"/>
                <w:sz w:val="24"/>
                <w:szCs w:val="24"/>
              </w:rPr>
              <w:t>All staff who have undertaken the approved online training program must undertake an annual refresher training course to refresh content knowledge and information on any recent changes in consumer protection and/or gambling harm.</w:t>
            </w:r>
          </w:p>
          <w:p w14:paraId="52EC9818" w14:textId="77777777" w:rsidR="000E6016" w:rsidRPr="001329B9" w:rsidRDefault="00AB3E66" w:rsidP="0063757B">
            <w:pPr>
              <w:pStyle w:val="ListParagraph"/>
              <w:numPr>
                <w:ilvl w:val="0"/>
                <w:numId w:val="7"/>
              </w:numPr>
              <w:spacing w:before="120" w:after="120"/>
              <w:ind w:left="351" w:hanging="357"/>
              <w:contextualSpacing w:val="0"/>
            </w:pPr>
            <w:r w:rsidRPr="00EA6B1C">
              <w:rPr>
                <w:rStyle w:val="BookTitle"/>
                <w:rFonts w:ascii="Arial" w:hAnsi="Arial" w:cs="Arial"/>
                <w:i w:val="0"/>
                <w:smallCaps w:val="0"/>
                <w:sz w:val="24"/>
                <w:szCs w:val="24"/>
              </w:rPr>
              <w:t xml:space="preserve">The approved </w:t>
            </w:r>
            <w:r w:rsidRPr="00156456">
              <w:rPr>
                <w:rStyle w:val="BookTitle"/>
                <w:rFonts w:ascii="Arial" w:hAnsi="Arial" w:cs="Arial"/>
                <w:i w:val="0"/>
                <w:smallCaps w:val="0"/>
                <w:sz w:val="24"/>
                <w:szCs w:val="24"/>
              </w:rPr>
              <w:t>online traini</w:t>
            </w:r>
            <w:r w:rsidR="002F3BD6" w:rsidRPr="00156456">
              <w:rPr>
                <w:rStyle w:val="BookTitle"/>
                <w:rFonts w:ascii="Arial" w:hAnsi="Arial" w:cs="Arial"/>
                <w:i w:val="0"/>
                <w:smallCaps w:val="0"/>
                <w:sz w:val="24"/>
                <w:szCs w:val="24"/>
              </w:rPr>
              <w:t xml:space="preserve">ng program (including refresher </w:t>
            </w:r>
            <w:r w:rsidRPr="00156456">
              <w:rPr>
                <w:rStyle w:val="BookTitle"/>
                <w:rFonts w:ascii="Arial" w:hAnsi="Arial" w:cs="Arial"/>
                <w:i w:val="0"/>
                <w:smallCaps w:val="0"/>
                <w:sz w:val="24"/>
                <w:szCs w:val="24"/>
              </w:rPr>
              <w:t>training course</w:t>
            </w:r>
            <w:r w:rsidR="00D368C1">
              <w:rPr>
                <w:rStyle w:val="BookTitle"/>
                <w:rFonts w:ascii="Arial" w:hAnsi="Arial" w:cs="Arial"/>
                <w:i w:val="0"/>
                <w:smallCaps w:val="0"/>
                <w:sz w:val="24"/>
                <w:szCs w:val="24"/>
              </w:rPr>
              <w:t>) must be industry funded.</w:t>
            </w:r>
          </w:p>
        </w:tc>
        <w:tc>
          <w:tcPr>
            <w:tcW w:w="4536" w:type="dxa"/>
            <w:tcBorders>
              <w:bottom w:val="single" w:sz="4" w:space="0" w:color="auto"/>
            </w:tcBorders>
            <w:shd w:val="clear" w:color="auto" w:fill="auto"/>
          </w:tcPr>
          <w:p w14:paraId="5993C48F" w14:textId="77777777" w:rsidR="00DE2A3A" w:rsidRPr="00940768" w:rsidRDefault="00DE2A3A" w:rsidP="00940768">
            <w:pPr>
              <w:spacing w:before="120" w:after="120"/>
              <w:rPr>
                <w:rFonts w:ascii="Arial" w:hAnsi="Arial"/>
                <w:sz w:val="24"/>
              </w:rPr>
            </w:pPr>
            <w:r w:rsidRPr="00940768">
              <w:rPr>
                <w:rFonts w:ascii="Arial" w:hAnsi="Arial"/>
                <w:sz w:val="24"/>
              </w:rPr>
              <w:t>State and territory governments will enact this measure through existing laws, regulations</w:t>
            </w:r>
            <w:r w:rsidR="00274996" w:rsidRPr="00940768">
              <w:rPr>
                <w:rFonts w:ascii="Arial" w:hAnsi="Arial"/>
                <w:sz w:val="24"/>
              </w:rPr>
              <w:t>,</w:t>
            </w:r>
            <w:r w:rsidRPr="00940768">
              <w:rPr>
                <w:rFonts w:ascii="Arial" w:hAnsi="Arial"/>
                <w:sz w:val="24"/>
              </w:rPr>
              <w:t xml:space="preserve"> and licens</w:t>
            </w:r>
            <w:r w:rsidR="00304CE2" w:rsidRPr="00940768">
              <w:rPr>
                <w:rFonts w:ascii="Arial" w:hAnsi="Arial"/>
                <w:sz w:val="24"/>
              </w:rPr>
              <w:t>e</w:t>
            </w:r>
            <w:r w:rsidRPr="00940768">
              <w:rPr>
                <w:rFonts w:ascii="Arial" w:hAnsi="Arial"/>
                <w:sz w:val="24"/>
              </w:rPr>
              <w:t>s.</w:t>
            </w:r>
          </w:p>
          <w:p w14:paraId="14E874BF" w14:textId="77777777" w:rsidR="007B72FD" w:rsidRPr="00940768" w:rsidRDefault="007B72FD" w:rsidP="007B72FD">
            <w:pPr>
              <w:spacing w:before="120" w:after="120"/>
              <w:rPr>
                <w:rFonts w:ascii="Arial" w:hAnsi="Arial" w:cs="Arial"/>
                <w:sz w:val="24"/>
                <w:szCs w:val="24"/>
              </w:rPr>
            </w:pPr>
            <w:r>
              <w:rPr>
                <w:rFonts w:ascii="Arial" w:hAnsi="Arial" w:cs="Arial"/>
                <w:sz w:val="24"/>
                <w:szCs w:val="24"/>
              </w:rPr>
              <w:t>The Commonwealth is facilitating the development of an online national training competency w</w:t>
            </w:r>
            <w:r>
              <w:rPr>
                <w:rFonts w:ascii="Arial" w:hAnsi="Arial" w:cs="Arial"/>
                <w:spacing w:val="5"/>
                <w:sz w:val="24"/>
                <w:szCs w:val="24"/>
              </w:rPr>
              <w:t xml:space="preserve">hich will be completed within </w:t>
            </w:r>
            <w:r w:rsidRPr="00875516">
              <w:rPr>
                <w:rFonts w:ascii="Arial" w:hAnsi="Arial" w:cs="Arial"/>
                <w:b/>
                <w:spacing w:val="5"/>
                <w:sz w:val="24"/>
                <w:szCs w:val="24"/>
              </w:rPr>
              <w:t>12 months</w:t>
            </w:r>
            <w:r>
              <w:rPr>
                <w:rFonts w:ascii="Arial" w:hAnsi="Arial" w:cs="Arial"/>
                <w:spacing w:val="5"/>
                <w:sz w:val="24"/>
                <w:szCs w:val="24"/>
              </w:rPr>
              <w:t xml:space="preserve"> from the commencement of the National Framework.</w:t>
            </w:r>
          </w:p>
          <w:p w14:paraId="34D39236" w14:textId="77777777" w:rsidR="0042677F" w:rsidRDefault="000A7C4C" w:rsidP="00940768">
            <w:pPr>
              <w:spacing w:before="120" w:after="120"/>
              <w:rPr>
                <w:rFonts w:ascii="Arial" w:hAnsi="Arial" w:cs="Arial"/>
                <w:sz w:val="24"/>
                <w:szCs w:val="24"/>
              </w:rPr>
            </w:pPr>
            <w:r w:rsidRPr="00940768">
              <w:rPr>
                <w:rFonts w:ascii="Arial" w:hAnsi="Arial"/>
                <w:sz w:val="24"/>
              </w:rPr>
              <w:t>This measure takes effect</w:t>
            </w:r>
            <w:r w:rsidR="00AB3E66" w:rsidRPr="00940768">
              <w:rPr>
                <w:rFonts w:ascii="Arial" w:hAnsi="Arial"/>
                <w:sz w:val="24"/>
              </w:rPr>
              <w:t xml:space="preserve"> </w:t>
            </w:r>
            <w:r w:rsidR="00A55227" w:rsidRPr="00A55227">
              <w:rPr>
                <w:rFonts w:ascii="Arial" w:hAnsi="Arial"/>
                <w:b/>
                <w:sz w:val="24"/>
              </w:rPr>
              <w:t>6</w:t>
            </w:r>
            <w:r w:rsidR="00A55227" w:rsidRPr="00212DFC">
              <w:rPr>
                <w:rFonts w:ascii="Arial" w:hAnsi="Arial"/>
                <w:b/>
                <w:sz w:val="24"/>
              </w:rPr>
              <w:t xml:space="preserve"> months</w:t>
            </w:r>
            <w:r w:rsidR="00A55227">
              <w:rPr>
                <w:rFonts w:ascii="Arial" w:hAnsi="Arial"/>
                <w:sz w:val="24"/>
              </w:rPr>
              <w:t xml:space="preserve"> following the </w:t>
            </w:r>
            <w:r w:rsidR="007B72FD">
              <w:rPr>
                <w:rFonts w:ascii="Arial" w:hAnsi="Arial"/>
                <w:sz w:val="24"/>
              </w:rPr>
              <w:t xml:space="preserve">completion </w:t>
            </w:r>
            <w:r w:rsidR="00A55227">
              <w:rPr>
                <w:rFonts w:ascii="Arial" w:hAnsi="Arial"/>
                <w:sz w:val="24"/>
              </w:rPr>
              <w:t>of a</w:t>
            </w:r>
            <w:r w:rsidR="001E5B34">
              <w:rPr>
                <w:rFonts w:ascii="Arial" w:hAnsi="Arial"/>
                <w:sz w:val="24"/>
              </w:rPr>
              <w:t>n</w:t>
            </w:r>
            <w:r w:rsidR="00A55227">
              <w:rPr>
                <w:rFonts w:ascii="Arial" w:hAnsi="Arial"/>
                <w:sz w:val="24"/>
              </w:rPr>
              <w:t xml:space="preserve"> </w:t>
            </w:r>
            <w:r w:rsidR="001E5B34">
              <w:rPr>
                <w:rFonts w:ascii="Arial" w:hAnsi="Arial"/>
                <w:sz w:val="24"/>
              </w:rPr>
              <w:t xml:space="preserve">online </w:t>
            </w:r>
            <w:r w:rsidR="00A55227">
              <w:rPr>
                <w:rFonts w:ascii="Arial" w:hAnsi="Arial"/>
                <w:sz w:val="24"/>
              </w:rPr>
              <w:t xml:space="preserve">national training competency. </w:t>
            </w:r>
            <w:r w:rsidRPr="00940768">
              <w:rPr>
                <w:rFonts w:ascii="Arial" w:hAnsi="Arial" w:cs="Arial"/>
                <w:sz w:val="24"/>
                <w:szCs w:val="24"/>
              </w:rPr>
              <w:t xml:space="preserve"> </w:t>
            </w:r>
          </w:p>
          <w:p w14:paraId="339CFEC1" w14:textId="77777777" w:rsidR="00DE2A3A" w:rsidRPr="00156456" w:rsidRDefault="00DE2A3A" w:rsidP="007B72FD">
            <w:pPr>
              <w:spacing w:before="120" w:after="120"/>
              <w:rPr>
                <w:rFonts w:ascii="Arial" w:hAnsi="Arial" w:cs="Arial"/>
                <w:sz w:val="24"/>
                <w:szCs w:val="24"/>
              </w:rPr>
            </w:pPr>
          </w:p>
        </w:tc>
      </w:tr>
      <w:tr w:rsidR="00DE2A3A" w:rsidRPr="003D51E4" w14:paraId="7F20B42D" w14:textId="77777777" w:rsidTr="001329B9">
        <w:trPr>
          <w:trHeight w:val="2725"/>
        </w:trPr>
        <w:tc>
          <w:tcPr>
            <w:tcW w:w="2978" w:type="dxa"/>
            <w:tcBorders>
              <w:top w:val="single" w:sz="4" w:space="0" w:color="auto"/>
            </w:tcBorders>
            <w:shd w:val="clear" w:color="auto" w:fill="auto"/>
          </w:tcPr>
          <w:p w14:paraId="1B208FEE" w14:textId="77777777" w:rsidR="00DE2A3A" w:rsidRPr="003D51E4" w:rsidRDefault="00A15DF5" w:rsidP="00940768">
            <w:pPr>
              <w:spacing w:before="120" w:after="120"/>
              <w:rPr>
                <w:rFonts w:ascii="Arial" w:hAnsi="Arial" w:cs="Arial"/>
                <w:b/>
                <w:sz w:val="24"/>
                <w:szCs w:val="24"/>
              </w:rPr>
            </w:pPr>
            <w:r w:rsidRPr="003D51E4">
              <w:rPr>
                <w:rFonts w:ascii="Arial" w:hAnsi="Arial" w:cs="Arial"/>
                <w:b/>
                <w:sz w:val="24"/>
                <w:szCs w:val="24"/>
              </w:rPr>
              <w:t>10</w:t>
            </w:r>
            <w:r w:rsidR="00DE2A3A" w:rsidRPr="003D51E4">
              <w:rPr>
                <w:rFonts w:ascii="Arial" w:hAnsi="Arial" w:cs="Arial"/>
                <w:b/>
                <w:sz w:val="24"/>
                <w:szCs w:val="24"/>
              </w:rPr>
              <w:t>: National self</w:t>
            </w:r>
            <w:r w:rsidR="00FD72DD">
              <w:rPr>
                <w:rFonts w:ascii="Arial" w:hAnsi="Arial" w:cs="Arial"/>
                <w:b/>
                <w:sz w:val="24"/>
                <w:szCs w:val="24"/>
              </w:rPr>
              <w:noBreakHyphen/>
            </w:r>
            <w:r w:rsidR="00DE2A3A" w:rsidRPr="003D51E4">
              <w:rPr>
                <w:rFonts w:ascii="Arial" w:hAnsi="Arial" w:cs="Arial"/>
                <w:b/>
                <w:sz w:val="24"/>
                <w:szCs w:val="24"/>
              </w:rPr>
              <w:t xml:space="preserve">exclusion register </w:t>
            </w:r>
          </w:p>
          <w:p w14:paraId="4B3E55CF" w14:textId="77777777" w:rsidR="00DE2A3A" w:rsidRPr="004D5FD7" w:rsidRDefault="00DE2A3A" w:rsidP="00831298">
            <w:pPr>
              <w:spacing w:before="120" w:after="120"/>
              <w:rPr>
                <w:rFonts w:ascii="Arial" w:hAnsi="Arial" w:cs="Arial"/>
                <w:sz w:val="24"/>
                <w:szCs w:val="24"/>
              </w:rPr>
            </w:pPr>
            <w:r w:rsidRPr="003D51E4">
              <w:rPr>
                <w:rFonts w:ascii="Arial" w:hAnsi="Arial" w:cs="Arial"/>
                <w:sz w:val="24"/>
                <w:szCs w:val="24"/>
              </w:rPr>
              <w:t>This measure provides for a national self</w:t>
            </w:r>
            <w:r w:rsidR="00D102B9" w:rsidRPr="003D51E4">
              <w:rPr>
                <w:rFonts w:ascii="Arial" w:hAnsi="Arial" w:cs="Arial"/>
                <w:sz w:val="24"/>
                <w:szCs w:val="24"/>
              </w:rPr>
              <w:noBreakHyphen/>
            </w:r>
            <w:r w:rsidRPr="003D51E4">
              <w:rPr>
                <w:rFonts w:ascii="Arial" w:hAnsi="Arial" w:cs="Arial"/>
                <w:sz w:val="24"/>
                <w:szCs w:val="24"/>
              </w:rPr>
              <w:t xml:space="preserve">exclusion register (NSER) for online wagering. This system ensures that those experiencing gambling harm can immediately exclude themselves from the services offered by all </w:t>
            </w:r>
            <w:r w:rsidR="00EA673C" w:rsidRPr="003D51E4">
              <w:rPr>
                <w:rFonts w:ascii="Arial" w:hAnsi="Arial" w:cs="Arial"/>
                <w:sz w:val="24"/>
                <w:szCs w:val="24"/>
              </w:rPr>
              <w:lastRenderedPageBreak/>
              <w:t>interactive wagering service providers</w:t>
            </w:r>
            <w:r w:rsidRPr="003D51E4">
              <w:rPr>
                <w:rFonts w:ascii="Arial" w:hAnsi="Arial" w:cs="Arial"/>
                <w:sz w:val="24"/>
                <w:szCs w:val="24"/>
              </w:rPr>
              <w:t>.</w:t>
            </w:r>
            <w:r w:rsidR="00831298" w:rsidRPr="004D5FD7">
              <w:rPr>
                <w:rFonts w:ascii="Arial" w:hAnsi="Arial" w:cs="Arial"/>
                <w:sz w:val="24"/>
                <w:szCs w:val="24"/>
              </w:rPr>
              <w:t xml:space="preserve"> </w:t>
            </w:r>
          </w:p>
        </w:tc>
        <w:tc>
          <w:tcPr>
            <w:tcW w:w="7797" w:type="dxa"/>
            <w:tcBorders>
              <w:top w:val="single" w:sz="4" w:space="0" w:color="auto"/>
            </w:tcBorders>
            <w:shd w:val="clear" w:color="auto" w:fill="auto"/>
          </w:tcPr>
          <w:p w14:paraId="316EB074" w14:textId="77777777" w:rsidR="00DE2A3A" w:rsidRPr="003D51E4" w:rsidRDefault="00DE2A3A" w:rsidP="00940768">
            <w:pPr>
              <w:pStyle w:val="ListParagraph"/>
              <w:numPr>
                <w:ilvl w:val="0"/>
                <w:numId w:val="6"/>
              </w:numPr>
              <w:spacing w:before="120" w:after="120"/>
              <w:ind w:left="318" w:hanging="284"/>
              <w:contextualSpacing w:val="0"/>
              <w:rPr>
                <w:rStyle w:val="BookTitle"/>
                <w:rFonts w:ascii="Arial" w:hAnsi="Arial" w:cs="Arial"/>
                <w:i w:val="0"/>
                <w:iCs w:val="0"/>
                <w:smallCaps w:val="0"/>
                <w:sz w:val="24"/>
                <w:szCs w:val="24"/>
              </w:rPr>
            </w:pPr>
            <w:r w:rsidRPr="003D51E4">
              <w:rPr>
                <w:rStyle w:val="BookTitle"/>
                <w:rFonts w:ascii="Arial" w:hAnsi="Arial" w:cs="Arial"/>
                <w:i w:val="0"/>
                <w:iCs w:val="0"/>
                <w:smallCaps w:val="0"/>
                <w:sz w:val="24"/>
                <w:szCs w:val="24"/>
              </w:rPr>
              <w:lastRenderedPageBreak/>
              <w:t xml:space="preserve">The NSER must operate </w:t>
            </w:r>
            <w:r w:rsidR="005D5DA9" w:rsidRPr="003D51E4">
              <w:rPr>
                <w:rStyle w:val="BookTitle"/>
                <w:rFonts w:ascii="Arial" w:hAnsi="Arial" w:cs="Arial"/>
                <w:i w:val="0"/>
                <w:iCs w:val="0"/>
                <w:smallCaps w:val="0"/>
                <w:sz w:val="24"/>
                <w:szCs w:val="24"/>
              </w:rPr>
              <w:t xml:space="preserve">to </w:t>
            </w:r>
            <w:r w:rsidR="00B2288C">
              <w:rPr>
                <w:rStyle w:val="BookTitle"/>
                <w:rFonts w:ascii="Arial" w:hAnsi="Arial" w:cs="Arial"/>
                <w:i w:val="0"/>
                <w:iCs w:val="0"/>
                <w:smallCaps w:val="0"/>
                <w:sz w:val="24"/>
                <w:szCs w:val="24"/>
              </w:rPr>
              <w:t>allow a consumer to self</w:t>
            </w:r>
            <w:r w:rsidR="00A55227">
              <w:rPr>
                <w:rStyle w:val="BookTitle"/>
                <w:rFonts w:ascii="Arial" w:hAnsi="Arial" w:cs="Arial"/>
                <w:i w:val="0"/>
                <w:iCs w:val="0"/>
                <w:smallCaps w:val="0"/>
                <w:sz w:val="24"/>
                <w:szCs w:val="24"/>
              </w:rPr>
              <w:t>-</w:t>
            </w:r>
            <w:r w:rsidR="005D5DA9" w:rsidRPr="003D51E4">
              <w:rPr>
                <w:rStyle w:val="BookTitle"/>
                <w:rFonts w:ascii="Arial" w:hAnsi="Arial" w:cs="Arial"/>
                <w:i w:val="0"/>
                <w:iCs w:val="0"/>
                <w:smallCaps w:val="0"/>
                <w:sz w:val="24"/>
                <w:szCs w:val="24"/>
              </w:rPr>
              <w:t xml:space="preserve">exclude from </w:t>
            </w:r>
            <w:r w:rsidRPr="003D51E4">
              <w:rPr>
                <w:rStyle w:val="BookTitle"/>
                <w:rFonts w:ascii="Arial" w:hAnsi="Arial" w:cs="Arial"/>
                <w:i w:val="0"/>
                <w:iCs w:val="0"/>
                <w:smallCaps w:val="0"/>
                <w:sz w:val="24"/>
                <w:szCs w:val="24"/>
              </w:rPr>
              <w:t xml:space="preserve">all </w:t>
            </w:r>
            <w:r w:rsidR="00AF6DE0" w:rsidRPr="003D51E4">
              <w:rPr>
                <w:rStyle w:val="BookTitle"/>
                <w:rFonts w:ascii="Arial" w:hAnsi="Arial" w:cs="Arial"/>
                <w:i w:val="0"/>
                <w:iCs w:val="0"/>
                <w:smallCaps w:val="0"/>
                <w:sz w:val="24"/>
                <w:szCs w:val="24"/>
              </w:rPr>
              <w:t>interactive wagering service</w:t>
            </w:r>
            <w:r w:rsidRPr="003D51E4">
              <w:rPr>
                <w:rStyle w:val="BookTitle"/>
                <w:rFonts w:ascii="Arial" w:hAnsi="Arial" w:cs="Arial"/>
                <w:i w:val="0"/>
                <w:iCs w:val="0"/>
                <w:smallCaps w:val="0"/>
                <w:sz w:val="24"/>
                <w:szCs w:val="24"/>
              </w:rPr>
              <w:t>s</w:t>
            </w:r>
            <w:r w:rsidR="00E1730E" w:rsidRPr="003D51E4">
              <w:rPr>
                <w:rStyle w:val="BookTitle"/>
                <w:rFonts w:ascii="Arial" w:hAnsi="Arial" w:cs="Arial"/>
                <w:i w:val="0"/>
                <w:iCs w:val="0"/>
                <w:smallCaps w:val="0"/>
                <w:sz w:val="24"/>
                <w:szCs w:val="24"/>
              </w:rPr>
              <w:t xml:space="preserve"> </w:t>
            </w:r>
            <w:r w:rsidR="005D5DA9" w:rsidRPr="003D51E4">
              <w:rPr>
                <w:rStyle w:val="BookTitle"/>
                <w:rFonts w:ascii="Arial" w:hAnsi="Arial" w:cs="Arial"/>
                <w:i w:val="0"/>
                <w:iCs w:val="0"/>
                <w:smallCaps w:val="0"/>
                <w:sz w:val="24"/>
                <w:szCs w:val="24"/>
              </w:rPr>
              <w:t>in a single process</w:t>
            </w:r>
            <w:r w:rsidR="00E50FF6">
              <w:rPr>
                <w:rStyle w:val="BookTitle"/>
                <w:rFonts w:ascii="Arial" w:hAnsi="Arial" w:cs="Arial"/>
                <w:i w:val="0"/>
                <w:iCs w:val="0"/>
                <w:smallCaps w:val="0"/>
                <w:sz w:val="24"/>
                <w:szCs w:val="24"/>
              </w:rPr>
              <w:t>.</w:t>
            </w:r>
            <w:r w:rsidR="00D949EA">
              <w:rPr>
                <w:rStyle w:val="BookTitle"/>
                <w:rFonts w:ascii="Arial" w:hAnsi="Arial" w:cs="Arial"/>
                <w:i w:val="0"/>
                <w:iCs w:val="0"/>
                <w:smallCaps w:val="0"/>
                <w:sz w:val="24"/>
                <w:szCs w:val="24"/>
              </w:rPr>
              <w:t xml:space="preserve"> </w:t>
            </w:r>
          </w:p>
          <w:p w14:paraId="7E742C33" w14:textId="77777777" w:rsidR="00DE2A3A" w:rsidRPr="003D51E4" w:rsidRDefault="00DE2A3A" w:rsidP="00940768">
            <w:pPr>
              <w:pStyle w:val="ListParagraph"/>
              <w:numPr>
                <w:ilvl w:val="0"/>
                <w:numId w:val="6"/>
              </w:numPr>
              <w:spacing w:before="120" w:after="120"/>
              <w:ind w:left="318" w:hanging="284"/>
              <w:contextualSpacing w:val="0"/>
              <w:rPr>
                <w:rStyle w:val="BookTitle"/>
                <w:rFonts w:ascii="Arial" w:hAnsi="Arial" w:cs="Arial"/>
                <w:i w:val="0"/>
                <w:iCs w:val="0"/>
                <w:smallCaps w:val="0"/>
                <w:sz w:val="24"/>
                <w:szCs w:val="24"/>
              </w:rPr>
            </w:pPr>
            <w:r w:rsidRPr="003D51E4">
              <w:rPr>
                <w:rStyle w:val="BookTitle"/>
                <w:rFonts w:ascii="Arial" w:hAnsi="Arial" w:cs="Arial"/>
                <w:i w:val="0"/>
                <w:iCs w:val="0"/>
                <w:smallCaps w:val="0"/>
                <w:sz w:val="24"/>
                <w:szCs w:val="24"/>
              </w:rPr>
              <w:t xml:space="preserve">The NSER must be quick and simple </w:t>
            </w:r>
            <w:r w:rsidR="002F3BD6">
              <w:rPr>
                <w:rStyle w:val="BookTitle"/>
                <w:rFonts w:ascii="Arial" w:hAnsi="Arial" w:cs="Arial"/>
                <w:i w:val="0"/>
                <w:iCs w:val="0"/>
                <w:smallCaps w:val="0"/>
                <w:sz w:val="24"/>
                <w:szCs w:val="24"/>
              </w:rPr>
              <w:t>for a consumer</w:t>
            </w:r>
            <w:r w:rsidRPr="003D51E4">
              <w:rPr>
                <w:rStyle w:val="BookTitle"/>
                <w:rFonts w:ascii="Arial" w:hAnsi="Arial" w:cs="Arial"/>
                <w:i w:val="0"/>
                <w:iCs w:val="0"/>
                <w:smallCaps w:val="0"/>
                <w:sz w:val="24"/>
                <w:szCs w:val="24"/>
              </w:rPr>
              <w:t xml:space="preserve"> to apply to</w:t>
            </w:r>
            <w:r w:rsidR="00D102B9" w:rsidRPr="003D51E4">
              <w:rPr>
                <w:rStyle w:val="BookTitle"/>
                <w:rFonts w:ascii="Arial" w:hAnsi="Arial" w:cs="Arial"/>
                <w:i w:val="0"/>
                <w:iCs w:val="0"/>
                <w:smallCaps w:val="0"/>
                <w:sz w:val="24"/>
                <w:szCs w:val="24"/>
              </w:rPr>
              <w:t>,</w:t>
            </w:r>
            <w:r w:rsidRPr="003D51E4">
              <w:rPr>
                <w:rStyle w:val="BookTitle"/>
                <w:rFonts w:ascii="Arial" w:hAnsi="Arial" w:cs="Arial"/>
                <w:i w:val="0"/>
                <w:iCs w:val="0"/>
                <w:smallCaps w:val="0"/>
                <w:sz w:val="24"/>
                <w:szCs w:val="24"/>
              </w:rPr>
              <w:t xml:space="preserve"> and must take immediate effect upon registration/sign</w:t>
            </w:r>
            <w:r w:rsidR="00D102B9" w:rsidRPr="003D51E4">
              <w:rPr>
                <w:rStyle w:val="BookTitle"/>
                <w:rFonts w:ascii="Arial" w:hAnsi="Arial" w:cs="Arial"/>
                <w:i w:val="0"/>
                <w:iCs w:val="0"/>
                <w:smallCaps w:val="0"/>
                <w:sz w:val="24"/>
                <w:szCs w:val="24"/>
              </w:rPr>
              <w:t>-</w:t>
            </w:r>
            <w:r w:rsidRPr="003D51E4">
              <w:rPr>
                <w:rStyle w:val="BookTitle"/>
                <w:rFonts w:ascii="Arial" w:hAnsi="Arial" w:cs="Arial"/>
                <w:i w:val="0"/>
                <w:iCs w:val="0"/>
                <w:smallCaps w:val="0"/>
                <w:sz w:val="24"/>
                <w:szCs w:val="24"/>
              </w:rPr>
              <w:t>up.</w:t>
            </w:r>
          </w:p>
          <w:p w14:paraId="49D0AD78" w14:textId="77777777" w:rsidR="00DE2A3A" w:rsidRPr="003D51E4" w:rsidRDefault="00DE2A3A" w:rsidP="00940768">
            <w:pPr>
              <w:pStyle w:val="ListParagraph"/>
              <w:numPr>
                <w:ilvl w:val="0"/>
                <w:numId w:val="6"/>
              </w:numPr>
              <w:spacing w:before="120" w:after="120"/>
              <w:ind w:left="318" w:hanging="284"/>
              <w:contextualSpacing w:val="0"/>
              <w:rPr>
                <w:rStyle w:val="BookTitle"/>
                <w:rFonts w:ascii="Arial" w:hAnsi="Arial" w:cs="Arial"/>
                <w:i w:val="0"/>
                <w:iCs w:val="0"/>
                <w:smallCaps w:val="0"/>
                <w:sz w:val="24"/>
                <w:szCs w:val="24"/>
              </w:rPr>
            </w:pPr>
            <w:r w:rsidRPr="003D51E4">
              <w:rPr>
                <w:rStyle w:val="BookTitle"/>
                <w:rFonts w:ascii="Arial" w:hAnsi="Arial" w:cs="Arial"/>
                <w:i w:val="0"/>
                <w:iCs w:val="0"/>
                <w:smallCaps w:val="0"/>
                <w:sz w:val="24"/>
                <w:szCs w:val="24"/>
              </w:rPr>
              <w:t xml:space="preserve">The NSER is </w:t>
            </w:r>
            <w:r w:rsidR="00800C62" w:rsidRPr="003D51E4">
              <w:rPr>
                <w:rStyle w:val="BookTitle"/>
                <w:rFonts w:ascii="Arial" w:hAnsi="Arial" w:cs="Arial"/>
                <w:i w:val="0"/>
                <w:iCs w:val="0"/>
                <w:smallCaps w:val="0"/>
                <w:sz w:val="24"/>
                <w:szCs w:val="24"/>
              </w:rPr>
              <w:t>to be</w:t>
            </w:r>
            <w:r w:rsidRPr="003D51E4">
              <w:rPr>
                <w:rStyle w:val="BookTitle"/>
                <w:rFonts w:ascii="Arial" w:hAnsi="Arial" w:cs="Arial"/>
                <w:i w:val="0"/>
                <w:iCs w:val="0"/>
                <w:smallCaps w:val="0"/>
                <w:sz w:val="24"/>
                <w:szCs w:val="24"/>
              </w:rPr>
              <w:t xml:space="preserve"> effectively promoted so consumers are educated about self-exclusion and aware of the scheme.</w:t>
            </w:r>
          </w:p>
          <w:p w14:paraId="659BA1B1" w14:textId="77777777" w:rsidR="00DE2A3A" w:rsidRPr="003D51E4" w:rsidRDefault="00DE2A3A" w:rsidP="00940768">
            <w:pPr>
              <w:pStyle w:val="ListParagraph"/>
              <w:numPr>
                <w:ilvl w:val="0"/>
                <w:numId w:val="6"/>
              </w:numPr>
              <w:spacing w:before="120" w:after="120"/>
              <w:ind w:left="318" w:hanging="284"/>
              <w:contextualSpacing w:val="0"/>
              <w:rPr>
                <w:rStyle w:val="BookTitle"/>
                <w:rFonts w:ascii="Arial" w:hAnsi="Arial" w:cs="Arial"/>
                <w:i w:val="0"/>
                <w:iCs w:val="0"/>
                <w:smallCaps w:val="0"/>
                <w:sz w:val="24"/>
                <w:szCs w:val="24"/>
              </w:rPr>
            </w:pPr>
            <w:r w:rsidRPr="003D51E4">
              <w:rPr>
                <w:rStyle w:val="BookTitle"/>
                <w:rFonts w:ascii="Arial" w:hAnsi="Arial" w:cs="Arial"/>
                <w:i w:val="0"/>
                <w:iCs w:val="0"/>
                <w:smallCaps w:val="0"/>
                <w:sz w:val="24"/>
                <w:szCs w:val="24"/>
              </w:rPr>
              <w:t>The NSER must be offered across all phone and web</w:t>
            </w:r>
            <w:r w:rsidRPr="003D51E4">
              <w:rPr>
                <w:rStyle w:val="BookTitle"/>
                <w:rFonts w:ascii="Arial" w:hAnsi="Arial" w:cs="Arial"/>
                <w:i w:val="0"/>
                <w:iCs w:val="0"/>
                <w:smallCaps w:val="0"/>
                <w:sz w:val="24"/>
                <w:szCs w:val="24"/>
              </w:rPr>
              <w:noBreakHyphen/>
              <w:t>based digital platforms.</w:t>
            </w:r>
          </w:p>
          <w:p w14:paraId="1E96FFFC" w14:textId="77777777" w:rsidR="00DE2A3A" w:rsidRPr="003D51E4" w:rsidRDefault="00035A77" w:rsidP="00940768">
            <w:pPr>
              <w:pStyle w:val="ListParagraph"/>
              <w:numPr>
                <w:ilvl w:val="0"/>
                <w:numId w:val="6"/>
              </w:numPr>
              <w:spacing w:before="120" w:after="120"/>
              <w:ind w:left="318" w:hanging="284"/>
              <w:contextualSpacing w:val="0"/>
              <w:rPr>
                <w:rStyle w:val="BookTitle"/>
                <w:rFonts w:ascii="Arial" w:hAnsi="Arial" w:cs="Arial"/>
                <w:i w:val="0"/>
                <w:iCs w:val="0"/>
                <w:smallCaps w:val="0"/>
                <w:sz w:val="24"/>
                <w:szCs w:val="24"/>
              </w:rPr>
            </w:pPr>
            <w:r>
              <w:rPr>
                <w:rStyle w:val="BookTitle"/>
                <w:rFonts w:ascii="Arial" w:hAnsi="Arial" w:cs="Arial"/>
                <w:i w:val="0"/>
                <w:iCs w:val="0"/>
                <w:smallCaps w:val="0"/>
                <w:sz w:val="24"/>
                <w:szCs w:val="24"/>
              </w:rPr>
              <w:t>The NSER must allow a</w:t>
            </w:r>
            <w:r w:rsidR="002F3BD6">
              <w:rPr>
                <w:rStyle w:val="BookTitle"/>
                <w:rFonts w:ascii="Arial" w:hAnsi="Arial" w:cs="Arial"/>
                <w:i w:val="0"/>
                <w:iCs w:val="0"/>
                <w:smallCaps w:val="0"/>
                <w:sz w:val="24"/>
                <w:szCs w:val="24"/>
              </w:rPr>
              <w:t xml:space="preserve"> consumer</w:t>
            </w:r>
            <w:r w:rsidR="00DE2A3A" w:rsidRPr="003D51E4">
              <w:rPr>
                <w:rStyle w:val="BookTitle"/>
                <w:rFonts w:ascii="Arial" w:hAnsi="Arial" w:cs="Arial"/>
                <w:i w:val="0"/>
                <w:iCs w:val="0"/>
                <w:smallCaps w:val="0"/>
                <w:sz w:val="24"/>
                <w:szCs w:val="24"/>
              </w:rPr>
              <w:t xml:space="preserve"> to choose their exclusion period, ranging from </w:t>
            </w:r>
            <w:r w:rsidR="006644AB">
              <w:rPr>
                <w:rStyle w:val="BookTitle"/>
                <w:rFonts w:ascii="Arial" w:hAnsi="Arial" w:cs="Arial"/>
                <w:i w:val="0"/>
                <w:iCs w:val="0"/>
                <w:smallCaps w:val="0"/>
                <w:sz w:val="24"/>
                <w:szCs w:val="24"/>
              </w:rPr>
              <w:t>3</w:t>
            </w:r>
            <w:r w:rsidR="00DE2A3A" w:rsidRPr="003D51E4">
              <w:rPr>
                <w:rStyle w:val="BookTitle"/>
                <w:rFonts w:ascii="Arial" w:hAnsi="Arial" w:cs="Arial"/>
                <w:i w:val="0"/>
                <w:iCs w:val="0"/>
                <w:smallCaps w:val="0"/>
                <w:sz w:val="24"/>
                <w:szCs w:val="24"/>
              </w:rPr>
              <w:t xml:space="preserve"> months to permanent exclusion.</w:t>
            </w:r>
          </w:p>
          <w:p w14:paraId="21E7239E" w14:textId="77777777" w:rsidR="00DE2A3A" w:rsidRPr="003D51E4" w:rsidRDefault="00035A77" w:rsidP="00940768">
            <w:pPr>
              <w:pStyle w:val="ListParagraph"/>
              <w:numPr>
                <w:ilvl w:val="0"/>
                <w:numId w:val="6"/>
              </w:numPr>
              <w:spacing w:before="120" w:after="120"/>
              <w:ind w:left="318" w:hanging="284"/>
              <w:contextualSpacing w:val="0"/>
              <w:rPr>
                <w:rStyle w:val="BookTitle"/>
                <w:rFonts w:ascii="Arial" w:hAnsi="Arial" w:cs="Arial"/>
                <w:i w:val="0"/>
                <w:iCs w:val="0"/>
                <w:smallCaps w:val="0"/>
                <w:sz w:val="24"/>
                <w:szCs w:val="24"/>
              </w:rPr>
            </w:pPr>
            <w:r>
              <w:rPr>
                <w:rFonts w:ascii="Arial" w:hAnsi="Arial" w:cs="Arial"/>
                <w:spacing w:val="5"/>
                <w:sz w:val="24"/>
                <w:szCs w:val="24"/>
              </w:rPr>
              <w:lastRenderedPageBreak/>
              <w:t>The NSER must afford a</w:t>
            </w:r>
            <w:r w:rsidR="002F3BD6">
              <w:rPr>
                <w:rStyle w:val="BookTitle"/>
                <w:rFonts w:ascii="Arial" w:hAnsi="Arial" w:cs="Arial"/>
                <w:i w:val="0"/>
                <w:iCs w:val="0"/>
                <w:smallCaps w:val="0"/>
                <w:sz w:val="24"/>
                <w:szCs w:val="24"/>
              </w:rPr>
              <w:t xml:space="preserve"> c</w:t>
            </w:r>
            <w:r w:rsidR="002F3BD6">
              <w:rPr>
                <w:rFonts w:ascii="Arial" w:hAnsi="Arial" w:cs="Arial"/>
                <w:spacing w:val="5"/>
                <w:sz w:val="24"/>
                <w:szCs w:val="24"/>
              </w:rPr>
              <w:t>onsumer</w:t>
            </w:r>
            <w:r w:rsidR="00DE2A3A" w:rsidRPr="003D51E4">
              <w:rPr>
                <w:rFonts w:ascii="Arial" w:hAnsi="Arial" w:cs="Arial"/>
                <w:spacing w:val="5"/>
                <w:sz w:val="24"/>
                <w:szCs w:val="24"/>
              </w:rPr>
              <w:t xml:space="preserve"> the option to enter a sponsor (e.g. a friend or family member), who will be notified at the end of their exclusion period.</w:t>
            </w:r>
          </w:p>
          <w:p w14:paraId="3B4E194C" w14:textId="77777777" w:rsidR="00274996" w:rsidRPr="003D51E4" w:rsidRDefault="00DE2A3A" w:rsidP="00940768">
            <w:pPr>
              <w:pStyle w:val="ListParagraph"/>
              <w:numPr>
                <w:ilvl w:val="0"/>
                <w:numId w:val="6"/>
              </w:numPr>
              <w:spacing w:before="120" w:after="120"/>
              <w:ind w:left="318" w:hanging="284"/>
              <w:contextualSpacing w:val="0"/>
              <w:rPr>
                <w:rStyle w:val="BookTitle"/>
                <w:rFonts w:ascii="Arial" w:hAnsi="Arial" w:cs="Arial"/>
                <w:i w:val="0"/>
                <w:iCs w:val="0"/>
                <w:smallCaps w:val="0"/>
                <w:sz w:val="24"/>
                <w:szCs w:val="24"/>
              </w:rPr>
            </w:pPr>
            <w:r w:rsidRPr="003D51E4">
              <w:rPr>
                <w:rStyle w:val="BookTitle"/>
                <w:rFonts w:ascii="Arial" w:hAnsi="Arial" w:cs="Arial"/>
                <w:i w:val="0"/>
                <w:iCs w:val="0"/>
                <w:smallCaps w:val="0"/>
                <w:sz w:val="24"/>
                <w:szCs w:val="24"/>
              </w:rPr>
              <w:t>Information on gambling support, financial and counselling services, and information about land-based self</w:t>
            </w:r>
            <w:r w:rsidRPr="003D51E4">
              <w:rPr>
                <w:rStyle w:val="BookTitle"/>
                <w:rFonts w:ascii="Arial" w:hAnsi="Arial" w:cs="Arial"/>
                <w:i w:val="0"/>
                <w:iCs w:val="0"/>
                <w:smallCaps w:val="0"/>
                <w:sz w:val="24"/>
                <w:szCs w:val="24"/>
              </w:rPr>
              <w:noBreakHyphen/>
              <w:t>exclusion tools, must be made available to</w:t>
            </w:r>
            <w:r w:rsidR="002F3BD6">
              <w:rPr>
                <w:rStyle w:val="BookTitle"/>
                <w:rFonts w:ascii="Arial" w:hAnsi="Arial" w:cs="Arial"/>
                <w:i w:val="0"/>
                <w:iCs w:val="0"/>
                <w:smallCaps w:val="0"/>
                <w:sz w:val="24"/>
                <w:szCs w:val="24"/>
              </w:rPr>
              <w:t xml:space="preserve"> a consumer at the time a</w:t>
            </w:r>
            <w:r w:rsidRPr="003D51E4">
              <w:rPr>
                <w:rStyle w:val="BookTitle"/>
                <w:rFonts w:ascii="Arial" w:hAnsi="Arial" w:cs="Arial"/>
                <w:i w:val="0"/>
                <w:iCs w:val="0"/>
                <w:smallCaps w:val="0"/>
                <w:sz w:val="24"/>
                <w:szCs w:val="24"/>
              </w:rPr>
              <w:t xml:space="preserve"> consumer </w:t>
            </w:r>
            <w:r w:rsidR="008C0D60" w:rsidRPr="003D51E4">
              <w:rPr>
                <w:rStyle w:val="BookTitle"/>
                <w:rFonts w:ascii="Arial" w:hAnsi="Arial" w:cs="Arial"/>
                <w:i w:val="0"/>
                <w:iCs w:val="0"/>
                <w:smallCaps w:val="0"/>
                <w:sz w:val="24"/>
                <w:szCs w:val="24"/>
              </w:rPr>
              <w:t>nominates</w:t>
            </w:r>
            <w:r w:rsidR="00274996" w:rsidRPr="003D51E4">
              <w:rPr>
                <w:rStyle w:val="BookTitle"/>
                <w:rFonts w:ascii="Arial" w:hAnsi="Arial" w:cs="Arial"/>
                <w:i w:val="0"/>
                <w:iCs w:val="0"/>
                <w:smallCaps w:val="0"/>
                <w:sz w:val="24"/>
                <w:szCs w:val="24"/>
              </w:rPr>
              <w:t xml:space="preserve"> </w:t>
            </w:r>
            <w:r w:rsidRPr="003D51E4">
              <w:rPr>
                <w:rStyle w:val="BookTitle"/>
                <w:rFonts w:ascii="Arial" w:hAnsi="Arial" w:cs="Arial"/>
                <w:i w:val="0"/>
                <w:iCs w:val="0"/>
                <w:smallCaps w:val="0"/>
                <w:sz w:val="24"/>
                <w:szCs w:val="24"/>
              </w:rPr>
              <w:t>to self</w:t>
            </w:r>
            <w:r w:rsidRPr="003D51E4">
              <w:rPr>
                <w:rStyle w:val="BookTitle"/>
                <w:rFonts w:ascii="Arial" w:hAnsi="Arial" w:cs="Arial"/>
                <w:i w:val="0"/>
                <w:iCs w:val="0"/>
                <w:smallCaps w:val="0"/>
                <w:sz w:val="24"/>
                <w:szCs w:val="24"/>
              </w:rPr>
              <w:noBreakHyphen/>
              <w:t xml:space="preserve">exclude. </w:t>
            </w:r>
          </w:p>
          <w:p w14:paraId="3E2D5B97" w14:textId="77777777" w:rsidR="00DE2A3A" w:rsidRPr="003D51E4" w:rsidRDefault="00DE2A3A" w:rsidP="00940768">
            <w:pPr>
              <w:pStyle w:val="ListParagraph"/>
              <w:numPr>
                <w:ilvl w:val="0"/>
                <w:numId w:val="6"/>
              </w:numPr>
              <w:spacing w:before="120" w:after="120"/>
              <w:ind w:left="318" w:hanging="284"/>
              <w:contextualSpacing w:val="0"/>
              <w:rPr>
                <w:rStyle w:val="BookTitle"/>
                <w:rFonts w:ascii="Arial" w:hAnsi="Arial" w:cs="Arial"/>
                <w:i w:val="0"/>
                <w:iCs w:val="0"/>
                <w:smallCaps w:val="0"/>
                <w:sz w:val="24"/>
                <w:szCs w:val="24"/>
              </w:rPr>
            </w:pPr>
            <w:r w:rsidRPr="003D51E4">
              <w:rPr>
                <w:rStyle w:val="BookTitle"/>
                <w:rFonts w:ascii="Arial" w:hAnsi="Arial" w:cs="Arial"/>
                <w:i w:val="0"/>
                <w:iCs w:val="0"/>
                <w:smallCaps w:val="0"/>
                <w:sz w:val="24"/>
                <w:szCs w:val="24"/>
              </w:rPr>
              <w:t>Information on gambling consumer protections must be made</w:t>
            </w:r>
            <w:r w:rsidR="00274996" w:rsidRPr="003D51E4">
              <w:rPr>
                <w:rStyle w:val="BookTitle"/>
                <w:rFonts w:ascii="Arial" w:hAnsi="Arial" w:cs="Arial"/>
                <w:i w:val="0"/>
                <w:iCs w:val="0"/>
                <w:smallCaps w:val="0"/>
                <w:sz w:val="24"/>
                <w:szCs w:val="24"/>
              </w:rPr>
              <w:t xml:space="preserve"> </w:t>
            </w:r>
            <w:r w:rsidRPr="003D51E4">
              <w:rPr>
                <w:rStyle w:val="BookTitle"/>
                <w:rFonts w:ascii="Arial" w:hAnsi="Arial" w:cs="Arial"/>
                <w:i w:val="0"/>
                <w:iCs w:val="0"/>
                <w:smallCaps w:val="0"/>
                <w:sz w:val="24"/>
                <w:szCs w:val="24"/>
              </w:rPr>
              <w:t>publicly</w:t>
            </w:r>
            <w:r w:rsidR="00274996" w:rsidRPr="003D51E4">
              <w:rPr>
                <w:rStyle w:val="BookTitle"/>
                <w:rFonts w:ascii="Arial" w:hAnsi="Arial" w:cs="Arial"/>
                <w:i w:val="0"/>
                <w:iCs w:val="0"/>
                <w:smallCaps w:val="0"/>
                <w:sz w:val="24"/>
                <w:szCs w:val="24"/>
              </w:rPr>
              <w:t xml:space="preserve"> </w:t>
            </w:r>
            <w:r w:rsidRPr="003D51E4">
              <w:rPr>
                <w:rStyle w:val="BookTitle"/>
                <w:rFonts w:ascii="Arial" w:hAnsi="Arial" w:cs="Arial"/>
                <w:i w:val="0"/>
                <w:iCs w:val="0"/>
                <w:smallCaps w:val="0"/>
                <w:sz w:val="24"/>
                <w:szCs w:val="24"/>
              </w:rPr>
              <w:t xml:space="preserve">available and accessible. </w:t>
            </w:r>
          </w:p>
          <w:p w14:paraId="6D1F87AB" w14:textId="77777777" w:rsidR="00DE2A3A" w:rsidRPr="003D51E4" w:rsidRDefault="002F3BD6" w:rsidP="00940768">
            <w:pPr>
              <w:pStyle w:val="ListParagraph"/>
              <w:numPr>
                <w:ilvl w:val="0"/>
                <w:numId w:val="6"/>
              </w:numPr>
              <w:spacing w:before="120" w:after="120"/>
              <w:ind w:left="317" w:hanging="284"/>
              <w:contextualSpacing w:val="0"/>
              <w:rPr>
                <w:rStyle w:val="BookTitle"/>
                <w:rFonts w:ascii="Arial" w:hAnsi="Arial" w:cs="Arial"/>
                <w:i w:val="0"/>
                <w:iCs w:val="0"/>
                <w:smallCaps w:val="0"/>
                <w:sz w:val="24"/>
                <w:szCs w:val="24"/>
              </w:rPr>
            </w:pPr>
            <w:r>
              <w:rPr>
                <w:rStyle w:val="BookTitle"/>
                <w:rFonts w:ascii="Arial" w:hAnsi="Arial" w:cs="Arial"/>
                <w:i w:val="0"/>
                <w:iCs w:val="0"/>
                <w:smallCaps w:val="0"/>
                <w:sz w:val="24"/>
                <w:szCs w:val="24"/>
              </w:rPr>
              <w:t>An i</w:t>
            </w:r>
            <w:r w:rsidR="00AF6DE0" w:rsidRPr="003D51E4">
              <w:rPr>
                <w:rStyle w:val="BookTitle"/>
                <w:rFonts w:ascii="Arial" w:hAnsi="Arial" w:cs="Arial"/>
                <w:i w:val="0"/>
                <w:iCs w:val="0"/>
                <w:smallCaps w:val="0"/>
                <w:sz w:val="24"/>
                <w:szCs w:val="24"/>
              </w:rPr>
              <w:t>nteractive wagering service provider</w:t>
            </w:r>
            <w:r>
              <w:rPr>
                <w:rStyle w:val="BookTitle"/>
                <w:rFonts w:ascii="Arial" w:hAnsi="Arial" w:cs="Arial"/>
                <w:i w:val="0"/>
                <w:iCs w:val="0"/>
                <w:smallCaps w:val="0"/>
                <w:sz w:val="24"/>
                <w:szCs w:val="24"/>
              </w:rPr>
              <w:t xml:space="preserve"> is</w:t>
            </w:r>
            <w:r w:rsidR="00A42FF4" w:rsidRPr="003D51E4">
              <w:rPr>
                <w:rStyle w:val="BookTitle"/>
                <w:rFonts w:ascii="Arial" w:hAnsi="Arial" w:cs="Arial"/>
                <w:i w:val="0"/>
                <w:iCs w:val="0"/>
                <w:smallCaps w:val="0"/>
                <w:sz w:val="24"/>
                <w:szCs w:val="24"/>
              </w:rPr>
              <w:t xml:space="preserve"> prohibited</w:t>
            </w:r>
            <w:r w:rsidR="00DE2A3A" w:rsidRPr="003D51E4">
              <w:rPr>
                <w:rStyle w:val="BookTitle"/>
                <w:rFonts w:ascii="Arial" w:hAnsi="Arial" w:cs="Arial"/>
                <w:i w:val="0"/>
                <w:iCs w:val="0"/>
                <w:smallCaps w:val="0"/>
                <w:sz w:val="24"/>
                <w:szCs w:val="24"/>
              </w:rPr>
              <w:t xml:space="preserve"> from providing any marketing and/or promotional material to </w:t>
            </w:r>
            <w:r>
              <w:rPr>
                <w:rStyle w:val="BookTitle"/>
                <w:rFonts w:ascii="Arial" w:hAnsi="Arial" w:cs="Arial"/>
                <w:i w:val="0"/>
                <w:iCs w:val="0"/>
                <w:smallCaps w:val="0"/>
                <w:sz w:val="24"/>
                <w:szCs w:val="24"/>
              </w:rPr>
              <w:t xml:space="preserve">a </w:t>
            </w:r>
            <w:r w:rsidR="005B6739" w:rsidRPr="003D51E4">
              <w:rPr>
                <w:rStyle w:val="BookTitle"/>
                <w:rFonts w:ascii="Arial" w:hAnsi="Arial" w:cs="Arial"/>
                <w:i w:val="0"/>
                <w:iCs w:val="0"/>
                <w:smallCaps w:val="0"/>
                <w:sz w:val="24"/>
                <w:szCs w:val="24"/>
              </w:rPr>
              <w:t>consumer</w:t>
            </w:r>
            <w:r>
              <w:rPr>
                <w:rStyle w:val="BookTitle"/>
                <w:rFonts w:ascii="Arial" w:hAnsi="Arial" w:cs="Arial"/>
                <w:i w:val="0"/>
                <w:iCs w:val="0"/>
                <w:smallCaps w:val="0"/>
                <w:sz w:val="24"/>
                <w:szCs w:val="24"/>
              </w:rPr>
              <w:t xml:space="preserve"> who is</w:t>
            </w:r>
            <w:r w:rsidR="00DE2A3A" w:rsidRPr="003D51E4">
              <w:rPr>
                <w:rStyle w:val="BookTitle"/>
                <w:rFonts w:ascii="Arial" w:hAnsi="Arial" w:cs="Arial"/>
                <w:i w:val="0"/>
                <w:iCs w:val="0"/>
                <w:smallCaps w:val="0"/>
                <w:sz w:val="24"/>
                <w:szCs w:val="24"/>
              </w:rPr>
              <w:t xml:space="preserve"> registered for self-exclusion, during the period of self-exclusion.</w:t>
            </w:r>
          </w:p>
          <w:p w14:paraId="6DA4A6D3" w14:textId="77777777" w:rsidR="00DE2A3A" w:rsidRPr="003D51E4" w:rsidRDefault="00DE2A3A" w:rsidP="00940768">
            <w:pPr>
              <w:pStyle w:val="ListParagraph"/>
              <w:numPr>
                <w:ilvl w:val="0"/>
                <w:numId w:val="6"/>
              </w:numPr>
              <w:spacing w:before="120" w:after="120"/>
              <w:ind w:left="317" w:hanging="284"/>
              <w:contextualSpacing w:val="0"/>
              <w:rPr>
                <w:rStyle w:val="BookTitle"/>
                <w:rFonts w:ascii="Arial" w:hAnsi="Arial" w:cs="Arial"/>
                <w:i w:val="0"/>
                <w:iCs w:val="0"/>
                <w:smallCaps w:val="0"/>
                <w:sz w:val="24"/>
                <w:szCs w:val="24"/>
              </w:rPr>
            </w:pPr>
            <w:r w:rsidRPr="003D51E4">
              <w:rPr>
                <w:rStyle w:val="BookTitle"/>
                <w:rFonts w:ascii="Arial" w:hAnsi="Arial" w:cs="Arial"/>
                <w:i w:val="0"/>
                <w:iCs w:val="0"/>
                <w:smallCaps w:val="0"/>
                <w:sz w:val="24"/>
                <w:szCs w:val="24"/>
              </w:rPr>
              <w:t>Upon registration for self-exclusion, all funds held in a consumer’s active accounts must be returned to that consumer once all wagers/bets are settled – the account must then be closed</w:t>
            </w:r>
            <w:r w:rsidR="00AB333F" w:rsidRPr="003D51E4">
              <w:rPr>
                <w:rStyle w:val="BookTitle"/>
                <w:rFonts w:ascii="Arial" w:hAnsi="Arial" w:cs="Arial"/>
                <w:i w:val="0"/>
                <w:iCs w:val="0"/>
                <w:smallCaps w:val="0"/>
                <w:sz w:val="24"/>
                <w:szCs w:val="24"/>
              </w:rPr>
              <w:t>.</w:t>
            </w:r>
          </w:p>
          <w:p w14:paraId="60A0E8A8" w14:textId="77777777" w:rsidR="00DE2A3A" w:rsidRPr="003D51E4" w:rsidRDefault="00DE2A3A" w:rsidP="00940768">
            <w:pPr>
              <w:pStyle w:val="ListParagraph"/>
              <w:numPr>
                <w:ilvl w:val="0"/>
                <w:numId w:val="6"/>
              </w:numPr>
              <w:spacing w:before="120" w:after="120"/>
              <w:ind w:left="317" w:hanging="284"/>
              <w:contextualSpacing w:val="0"/>
              <w:rPr>
                <w:rFonts w:ascii="Arial" w:hAnsi="Arial" w:cs="Arial"/>
                <w:spacing w:val="5"/>
                <w:sz w:val="24"/>
                <w:szCs w:val="24"/>
              </w:rPr>
            </w:pPr>
            <w:r w:rsidRPr="003D51E4">
              <w:rPr>
                <w:rFonts w:ascii="Arial" w:hAnsi="Arial" w:cs="Arial"/>
                <w:spacing w:val="5"/>
                <w:sz w:val="24"/>
                <w:szCs w:val="24"/>
              </w:rPr>
              <w:t>A process for revoking a c</w:t>
            </w:r>
            <w:r w:rsidR="008B2C92" w:rsidRPr="003D51E4">
              <w:rPr>
                <w:rFonts w:ascii="Arial" w:hAnsi="Arial" w:cs="Arial"/>
                <w:spacing w:val="5"/>
                <w:sz w:val="24"/>
                <w:szCs w:val="24"/>
              </w:rPr>
              <w:t>onsumer’s registration for self</w:t>
            </w:r>
            <w:r w:rsidR="008B2C92" w:rsidRPr="003D51E4">
              <w:rPr>
                <w:rFonts w:ascii="Arial" w:hAnsi="Arial" w:cs="Arial"/>
                <w:spacing w:val="5"/>
                <w:sz w:val="24"/>
                <w:szCs w:val="24"/>
              </w:rPr>
              <w:noBreakHyphen/>
            </w:r>
            <w:r w:rsidRPr="003D51E4">
              <w:rPr>
                <w:rFonts w:ascii="Arial" w:hAnsi="Arial" w:cs="Arial"/>
                <w:spacing w:val="5"/>
                <w:sz w:val="24"/>
                <w:szCs w:val="24"/>
              </w:rPr>
              <w:t>exclusion must be available to consumers.</w:t>
            </w:r>
          </w:p>
          <w:p w14:paraId="180A668D" w14:textId="77777777" w:rsidR="00DE2A3A" w:rsidRPr="003D51E4" w:rsidRDefault="002F3BD6" w:rsidP="00940768">
            <w:pPr>
              <w:pStyle w:val="ListParagraph"/>
              <w:numPr>
                <w:ilvl w:val="1"/>
                <w:numId w:val="6"/>
              </w:numPr>
              <w:spacing w:before="120" w:after="120"/>
              <w:contextualSpacing w:val="0"/>
              <w:rPr>
                <w:rFonts w:ascii="Arial" w:hAnsi="Arial" w:cs="Arial"/>
                <w:spacing w:val="5"/>
                <w:sz w:val="24"/>
                <w:szCs w:val="24"/>
              </w:rPr>
            </w:pPr>
            <w:r>
              <w:rPr>
                <w:rFonts w:ascii="Arial" w:hAnsi="Arial" w:cs="Arial"/>
                <w:spacing w:val="5"/>
                <w:sz w:val="24"/>
                <w:szCs w:val="24"/>
              </w:rPr>
              <w:t>A consumer</w:t>
            </w:r>
            <w:r w:rsidR="00DE2A3A" w:rsidRPr="003D51E4">
              <w:rPr>
                <w:rFonts w:ascii="Arial" w:hAnsi="Arial" w:cs="Arial"/>
                <w:spacing w:val="5"/>
                <w:sz w:val="24"/>
                <w:szCs w:val="24"/>
              </w:rPr>
              <w:t xml:space="preserve"> must see a counsellor, and provide evidence of this, as a pre-requisite for revocation.</w:t>
            </w:r>
          </w:p>
          <w:p w14:paraId="620CE9D1" w14:textId="77777777" w:rsidR="00DE2A3A" w:rsidRPr="003D51E4" w:rsidRDefault="00DE2A3A" w:rsidP="00940768">
            <w:pPr>
              <w:pStyle w:val="ListParagraph"/>
              <w:numPr>
                <w:ilvl w:val="1"/>
                <w:numId w:val="6"/>
              </w:numPr>
              <w:spacing w:before="120" w:after="120"/>
              <w:contextualSpacing w:val="0"/>
              <w:rPr>
                <w:rFonts w:ascii="Arial" w:hAnsi="Arial" w:cs="Arial"/>
                <w:spacing w:val="5"/>
                <w:sz w:val="24"/>
                <w:szCs w:val="24"/>
              </w:rPr>
            </w:pPr>
            <w:r w:rsidRPr="003D51E4">
              <w:rPr>
                <w:rFonts w:ascii="Arial" w:hAnsi="Arial" w:cs="Arial"/>
                <w:spacing w:val="5"/>
                <w:sz w:val="24"/>
                <w:szCs w:val="24"/>
              </w:rPr>
              <w:t xml:space="preserve">A </w:t>
            </w:r>
            <w:r w:rsidR="002F3BD6">
              <w:rPr>
                <w:rFonts w:ascii="Arial" w:hAnsi="Arial" w:cs="Arial"/>
                <w:spacing w:val="5"/>
                <w:sz w:val="24"/>
                <w:szCs w:val="24"/>
              </w:rPr>
              <w:t>7</w:t>
            </w:r>
            <w:r w:rsidRPr="003D51E4">
              <w:rPr>
                <w:rFonts w:ascii="Arial" w:hAnsi="Arial" w:cs="Arial"/>
                <w:spacing w:val="5"/>
                <w:sz w:val="24"/>
                <w:szCs w:val="24"/>
              </w:rPr>
              <w:t xml:space="preserve"> day cooling off period applies before </w:t>
            </w:r>
            <w:r w:rsidR="002F3BD6">
              <w:rPr>
                <w:rFonts w:ascii="Arial" w:hAnsi="Arial" w:cs="Arial"/>
                <w:spacing w:val="5"/>
                <w:sz w:val="24"/>
                <w:szCs w:val="24"/>
              </w:rPr>
              <w:t xml:space="preserve">revocation </w:t>
            </w:r>
            <w:r w:rsidRPr="003D51E4">
              <w:rPr>
                <w:rFonts w:ascii="Arial" w:hAnsi="Arial" w:cs="Arial"/>
                <w:spacing w:val="5"/>
                <w:sz w:val="24"/>
                <w:szCs w:val="24"/>
              </w:rPr>
              <w:t>can take effect.</w:t>
            </w:r>
          </w:p>
          <w:p w14:paraId="2472D26A" w14:textId="77777777" w:rsidR="000432E5" w:rsidRDefault="002F3BD6" w:rsidP="001329B9">
            <w:pPr>
              <w:pStyle w:val="ListParagraph"/>
              <w:numPr>
                <w:ilvl w:val="0"/>
                <w:numId w:val="6"/>
              </w:numPr>
              <w:spacing w:before="120" w:after="120"/>
              <w:ind w:left="317" w:hanging="284"/>
              <w:contextualSpacing w:val="0"/>
              <w:rPr>
                <w:rStyle w:val="BookTitle"/>
                <w:rFonts w:ascii="Arial" w:hAnsi="Arial" w:cs="Arial"/>
                <w:i w:val="0"/>
                <w:iCs w:val="0"/>
                <w:smallCaps w:val="0"/>
                <w:sz w:val="24"/>
                <w:szCs w:val="24"/>
              </w:rPr>
            </w:pPr>
            <w:r>
              <w:rPr>
                <w:rStyle w:val="BookTitle"/>
                <w:rFonts w:ascii="Arial" w:hAnsi="Arial" w:cs="Arial"/>
                <w:i w:val="0"/>
                <w:iCs w:val="0"/>
                <w:smallCaps w:val="0"/>
                <w:sz w:val="24"/>
                <w:szCs w:val="24"/>
              </w:rPr>
              <w:t>A c</w:t>
            </w:r>
            <w:r w:rsidR="00DE2A3A" w:rsidRPr="003D51E4">
              <w:rPr>
                <w:rStyle w:val="BookTitle"/>
                <w:rFonts w:ascii="Arial" w:hAnsi="Arial" w:cs="Arial"/>
                <w:i w:val="0"/>
                <w:iCs w:val="0"/>
                <w:smallCaps w:val="0"/>
                <w:sz w:val="24"/>
                <w:szCs w:val="24"/>
              </w:rPr>
              <w:t>onsumer</w:t>
            </w:r>
            <w:r>
              <w:rPr>
                <w:rStyle w:val="BookTitle"/>
                <w:rFonts w:ascii="Arial" w:hAnsi="Arial" w:cs="Arial"/>
                <w:i w:val="0"/>
                <w:iCs w:val="0"/>
                <w:smallCaps w:val="0"/>
                <w:sz w:val="24"/>
                <w:szCs w:val="24"/>
              </w:rPr>
              <w:t xml:space="preserve"> seeking to wager online</w:t>
            </w:r>
            <w:r w:rsidR="00DE2A3A" w:rsidRPr="003D51E4">
              <w:rPr>
                <w:rStyle w:val="BookTitle"/>
                <w:rFonts w:ascii="Arial" w:hAnsi="Arial" w:cs="Arial"/>
                <w:i w:val="0"/>
                <w:iCs w:val="0"/>
                <w:smallCaps w:val="0"/>
                <w:sz w:val="24"/>
                <w:szCs w:val="24"/>
              </w:rPr>
              <w:t xml:space="preserve"> must actively approach each </w:t>
            </w:r>
            <w:r w:rsidR="00AF6DE0" w:rsidRPr="003D51E4">
              <w:rPr>
                <w:rStyle w:val="BookTitle"/>
                <w:rFonts w:ascii="Arial" w:hAnsi="Arial" w:cs="Arial"/>
                <w:i w:val="0"/>
                <w:iCs w:val="0"/>
                <w:smallCaps w:val="0"/>
                <w:sz w:val="24"/>
                <w:szCs w:val="24"/>
              </w:rPr>
              <w:t>interactive wagering service provider</w:t>
            </w:r>
            <w:r w:rsidR="00DE2A3A" w:rsidRPr="003D51E4">
              <w:rPr>
                <w:rStyle w:val="BookTitle"/>
                <w:rFonts w:ascii="Arial" w:hAnsi="Arial" w:cs="Arial"/>
                <w:i w:val="0"/>
                <w:iCs w:val="0"/>
                <w:smallCaps w:val="0"/>
                <w:sz w:val="24"/>
                <w:szCs w:val="24"/>
              </w:rPr>
              <w:t xml:space="preserve"> to </w:t>
            </w:r>
            <w:r w:rsidR="00E84992" w:rsidRPr="003D51E4">
              <w:rPr>
                <w:rStyle w:val="BookTitle"/>
                <w:rFonts w:ascii="Arial" w:hAnsi="Arial" w:cs="Arial"/>
                <w:i w:val="0"/>
                <w:iCs w:val="0"/>
                <w:smallCaps w:val="0"/>
                <w:sz w:val="24"/>
                <w:szCs w:val="24"/>
              </w:rPr>
              <w:t>open</w:t>
            </w:r>
            <w:r w:rsidR="00DE2A3A" w:rsidRPr="003D51E4">
              <w:rPr>
                <w:rStyle w:val="BookTitle"/>
                <w:rFonts w:ascii="Arial" w:hAnsi="Arial" w:cs="Arial"/>
                <w:i w:val="0"/>
                <w:iCs w:val="0"/>
                <w:smallCaps w:val="0"/>
                <w:sz w:val="24"/>
                <w:szCs w:val="24"/>
              </w:rPr>
              <w:t xml:space="preserve"> a </w:t>
            </w:r>
            <w:r w:rsidR="00AB333F" w:rsidRPr="003D51E4">
              <w:rPr>
                <w:rStyle w:val="BookTitle"/>
                <w:rFonts w:ascii="Arial" w:hAnsi="Arial" w:cs="Arial"/>
                <w:i w:val="0"/>
                <w:iCs w:val="0"/>
                <w:smallCaps w:val="0"/>
                <w:sz w:val="24"/>
                <w:szCs w:val="24"/>
              </w:rPr>
              <w:t xml:space="preserve">new </w:t>
            </w:r>
            <w:r w:rsidR="00DE2A3A" w:rsidRPr="003D51E4">
              <w:rPr>
                <w:rStyle w:val="BookTitle"/>
                <w:rFonts w:ascii="Arial" w:hAnsi="Arial" w:cs="Arial"/>
                <w:i w:val="0"/>
                <w:iCs w:val="0"/>
                <w:smallCaps w:val="0"/>
                <w:sz w:val="24"/>
                <w:szCs w:val="24"/>
              </w:rPr>
              <w:t>wagering account after the</w:t>
            </w:r>
            <w:r w:rsidR="00A0601B">
              <w:rPr>
                <w:rStyle w:val="BookTitle"/>
                <w:rFonts w:ascii="Arial" w:hAnsi="Arial" w:cs="Arial"/>
                <w:i w:val="0"/>
                <w:iCs w:val="0"/>
                <w:smallCaps w:val="0"/>
                <w:sz w:val="24"/>
                <w:szCs w:val="24"/>
              </w:rPr>
              <w:t xml:space="preserve"> customer’s</w:t>
            </w:r>
            <w:r w:rsidR="00DE2A3A" w:rsidRPr="003D51E4">
              <w:rPr>
                <w:rStyle w:val="BookTitle"/>
                <w:rFonts w:ascii="Arial" w:hAnsi="Arial" w:cs="Arial"/>
                <w:i w:val="0"/>
                <w:iCs w:val="0"/>
                <w:smallCaps w:val="0"/>
                <w:sz w:val="24"/>
                <w:szCs w:val="24"/>
              </w:rPr>
              <w:t xml:space="preserve"> exclusion period has ended.</w:t>
            </w:r>
          </w:p>
          <w:p w14:paraId="63FEFE07" w14:textId="77777777" w:rsidR="00035A77" w:rsidRPr="00E50FF6" w:rsidRDefault="00035A77" w:rsidP="00035A77">
            <w:pPr>
              <w:pStyle w:val="ListParagraph"/>
              <w:numPr>
                <w:ilvl w:val="0"/>
                <w:numId w:val="6"/>
              </w:numPr>
              <w:spacing w:before="120" w:after="120"/>
              <w:ind w:left="318" w:hanging="284"/>
              <w:contextualSpacing w:val="0"/>
              <w:rPr>
                <w:rStyle w:val="BookTitle"/>
                <w:rFonts w:ascii="Arial" w:hAnsi="Arial" w:cs="Arial"/>
                <w:i w:val="0"/>
                <w:iCs w:val="0"/>
                <w:smallCaps w:val="0"/>
                <w:sz w:val="24"/>
                <w:szCs w:val="24"/>
              </w:rPr>
            </w:pPr>
            <w:r w:rsidRPr="00E50FF6">
              <w:rPr>
                <w:rStyle w:val="BookTitle"/>
                <w:rFonts w:ascii="Arial" w:hAnsi="Arial" w:cs="Arial"/>
                <w:i w:val="0"/>
                <w:iCs w:val="0"/>
                <w:smallCaps w:val="0"/>
                <w:sz w:val="24"/>
                <w:szCs w:val="24"/>
              </w:rPr>
              <w:t>The NSER must be industry-funded.</w:t>
            </w:r>
          </w:p>
          <w:p w14:paraId="4864445C" w14:textId="77777777" w:rsidR="00E50FF6" w:rsidRPr="00E50FF6" w:rsidRDefault="00E50FF6" w:rsidP="00035A77">
            <w:pPr>
              <w:pStyle w:val="ListParagraph"/>
              <w:numPr>
                <w:ilvl w:val="0"/>
                <w:numId w:val="6"/>
              </w:numPr>
              <w:spacing w:before="120" w:after="120"/>
              <w:ind w:left="318" w:hanging="284"/>
              <w:contextualSpacing w:val="0"/>
              <w:rPr>
                <w:rStyle w:val="BookTitle"/>
                <w:rFonts w:ascii="Arial" w:hAnsi="Arial" w:cs="Arial"/>
                <w:iCs w:val="0"/>
                <w:smallCaps w:val="0"/>
                <w:sz w:val="24"/>
                <w:szCs w:val="24"/>
              </w:rPr>
            </w:pPr>
            <w:r w:rsidRPr="00E50FF6">
              <w:rPr>
                <w:rStyle w:val="BookTitle"/>
                <w:rFonts w:ascii="Arial" w:hAnsi="Arial" w:cs="Arial"/>
                <w:i w:val="0"/>
                <w:iCs w:val="0"/>
                <w:smallCaps w:val="0"/>
                <w:sz w:val="24"/>
                <w:szCs w:val="24"/>
              </w:rPr>
              <w:t>The NSER will be built</w:t>
            </w:r>
            <w:r w:rsidRPr="00E50FF6">
              <w:rPr>
                <w:rStyle w:val="BookTitle"/>
                <w:rFonts w:ascii="Arial" w:hAnsi="Arial" w:cs="Arial"/>
                <w:iCs w:val="0"/>
                <w:smallCaps w:val="0"/>
                <w:sz w:val="24"/>
                <w:szCs w:val="24"/>
              </w:rPr>
              <w:t xml:space="preserve"> </w:t>
            </w:r>
            <w:r w:rsidR="001A5314" w:rsidRPr="001A5314">
              <w:rPr>
                <w:rStyle w:val="BookTitle"/>
                <w:rFonts w:ascii="Arial" w:hAnsi="Arial" w:cs="Arial"/>
                <w:i w:val="0"/>
                <w:iCs w:val="0"/>
                <w:smallCaps w:val="0"/>
                <w:sz w:val="24"/>
                <w:szCs w:val="24"/>
              </w:rPr>
              <w:t>with</w:t>
            </w:r>
            <w:r w:rsidR="001A5314">
              <w:rPr>
                <w:rStyle w:val="BookTitle"/>
                <w:rFonts w:ascii="Arial" w:hAnsi="Arial" w:cs="Arial"/>
                <w:iCs w:val="0"/>
                <w:smallCaps w:val="0"/>
                <w:sz w:val="24"/>
                <w:szCs w:val="24"/>
              </w:rPr>
              <w:t xml:space="preserve"> </w:t>
            </w:r>
            <w:r w:rsidRPr="00E50FF6">
              <w:rPr>
                <w:rFonts w:ascii="Arial" w:hAnsi="Arial" w:cs="Arial"/>
                <w:iCs/>
                <w:spacing w:val="5"/>
                <w:sz w:val="24"/>
                <w:szCs w:val="24"/>
              </w:rPr>
              <w:t xml:space="preserve">the capability to also exclude consumers on the basis of an interactive wagering </w:t>
            </w:r>
            <w:r>
              <w:rPr>
                <w:rFonts w:ascii="Arial" w:hAnsi="Arial" w:cs="Arial"/>
                <w:iCs/>
                <w:spacing w:val="5"/>
                <w:sz w:val="24"/>
                <w:szCs w:val="24"/>
              </w:rPr>
              <w:t>service</w:t>
            </w:r>
            <w:r w:rsidR="00AF0758">
              <w:rPr>
                <w:rFonts w:ascii="Arial" w:hAnsi="Arial" w:cs="Arial"/>
                <w:iCs/>
                <w:spacing w:val="5"/>
                <w:sz w:val="24"/>
                <w:szCs w:val="24"/>
              </w:rPr>
              <w:t>/product</w:t>
            </w:r>
            <w:r>
              <w:rPr>
                <w:rFonts w:ascii="Arial" w:hAnsi="Arial" w:cs="Arial"/>
                <w:iCs/>
                <w:spacing w:val="5"/>
                <w:sz w:val="24"/>
                <w:szCs w:val="24"/>
              </w:rPr>
              <w:t>.</w:t>
            </w:r>
          </w:p>
          <w:p w14:paraId="499F53E4" w14:textId="77777777" w:rsidR="00022FF7" w:rsidRPr="003D51E4" w:rsidRDefault="000432E5" w:rsidP="00956A78">
            <w:pPr>
              <w:spacing w:before="120" w:after="120"/>
              <w:ind w:left="33"/>
              <w:rPr>
                <w:rFonts w:ascii="Arial" w:hAnsi="Arial" w:cs="Arial"/>
                <w:spacing w:val="5"/>
                <w:sz w:val="24"/>
                <w:szCs w:val="24"/>
              </w:rPr>
            </w:pPr>
            <w:r w:rsidRPr="003D51E4">
              <w:rPr>
                <w:rStyle w:val="BookTitle"/>
                <w:rFonts w:ascii="Arial" w:hAnsi="Arial" w:cs="Arial"/>
                <w:i w:val="0"/>
                <w:iCs w:val="0"/>
                <w:smallCaps w:val="0"/>
                <w:sz w:val="24"/>
                <w:szCs w:val="24"/>
              </w:rPr>
              <w:lastRenderedPageBreak/>
              <w:t xml:space="preserve">A review of the </w:t>
            </w:r>
            <w:r w:rsidR="002F3BD6">
              <w:rPr>
                <w:rStyle w:val="BookTitle"/>
                <w:rFonts w:ascii="Arial" w:hAnsi="Arial" w:cs="Arial"/>
                <w:i w:val="0"/>
                <w:iCs w:val="0"/>
                <w:smallCaps w:val="0"/>
                <w:sz w:val="24"/>
                <w:szCs w:val="24"/>
              </w:rPr>
              <w:t>NSER</w:t>
            </w:r>
            <w:r w:rsidRPr="003D51E4">
              <w:rPr>
                <w:rStyle w:val="BookTitle"/>
                <w:rFonts w:ascii="Arial" w:hAnsi="Arial" w:cs="Arial"/>
                <w:i w:val="0"/>
                <w:iCs w:val="0"/>
                <w:smallCaps w:val="0"/>
                <w:sz w:val="24"/>
                <w:szCs w:val="24"/>
              </w:rPr>
              <w:t xml:space="preserve"> will be conducted</w:t>
            </w:r>
            <w:r w:rsidR="0028436F" w:rsidRPr="003D51E4">
              <w:rPr>
                <w:rStyle w:val="BookTitle"/>
                <w:rFonts w:ascii="Arial" w:hAnsi="Arial" w:cs="Arial"/>
                <w:i w:val="0"/>
                <w:iCs w:val="0"/>
                <w:smallCaps w:val="0"/>
                <w:sz w:val="24"/>
                <w:szCs w:val="24"/>
              </w:rPr>
              <w:t xml:space="preserve"> </w:t>
            </w:r>
            <w:r w:rsidR="009D714B" w:rsidRPr="003D51E4">
              <w:rPr>
                <w:rStyle w:val="BookTitle"/>
                <w:rFonts w:ascii="Arial" w:hAnsi="Arial" w:cs="Arial"/>
                <w:i w:val="0"/>
                <w:iCs w:val="0"/>
                <w:smallCaps w:val="0"/>
                <w:sz w:val="24"/>
                <w:szCs w:val="24"/>
              </w:rPr>
              <w:t xml:space="preserve">at the end of the </w:t>
            </w:r>
            <w:r w:rsidR="0070036B">
              <w:rPr>
                <w:rStyle w:val="BookTitle"/>
                <w:rFonts w:ascii="Arial" w:hAnsi="Arial" w:cs="Arial"/>
                <w:i w:val="0"/>
                <w:iCs w:val="0"/>
                <w:smallCaps w:val="0"/>
                <w:sz w:val="24"/>
                <w:szCs w:val="24"/>
              </w:rPr>
              <w:t xml:space="preserve">first </w:t>
            </w:r>
            <w:r w:rsidR="00E11C18" w:rsidRPr="003D51E4">
              <w:rPr>
                <w:rStyle w:val="BookTitle"/>
                <w:rFonts w:ascii="Arial" w:hAnsi="Arial" w:cs="Arial"/>
                <w:i w:val="0"/>
                <w:iCs w:val="0"/>
                <w:smallCaps w:val="0"/>
                <w:sz w:val="24"/>
                <w:szCs w:val="24"/>
              </w:rPr>
              <w:t>12</w:t>
            </w:r>
            <w:r w:rsidR="00AF0758">
              <w:rPr>
                <w:rStyle w:val="BookTitle"/>
                <w:rFonts w:ascii="Arial" w:hAnsi="Arial" w:cs="Arial"/>
                <w:i w:val="0"/>
                <w:iCs w:val="0"/>
                <w:smallCaps w:val="0"/>
                <w:sz w:val="24"/>
                <w:szCs w:val="24"/>
              </w:rPr>
              <w:t> </w:t>
            </w:r>
            <w:r w:rsidR="00E11C18" w:rsidRPr="003D51E4">
              <w:rPr>
                <w:rStyle w:val="BookTitle"/>
                <w:rFonts w:ascii="Arial" w:hAnsi="Arial" w:cs="Arial"/>
                <w:i w:val="0"/>
                <w:iCs w:val="0"/>
                <w:smallCaps w:val="0"/>
                <w:sz w:val="24"/>
                <w:szCs w:val="24"/>
              </w:rPr>
              <w:t>month</w:t>
            </w:r>
            <w:r w:rsidR="003D51E4" w:rsidRPr="003D51E4">
              <w:rPr>
                <w:rStyle w:val="BookTitle"/>
                <w:rFonts w:ascii="Arial" w:hAnsi="Arial" w:cs="Arial"/>
                <w:i w:val="0"/>
                <w:iCs w:val="0"/>
                <w:smallCaps w:val="0"/>
                <w:sz w:val="24"/>
                <w:szCs w:val="24"/>
              </w:rPr>
              <w:t xml:space="preserve"> period</w:t>
            </w:r>
            <w:r w:rsidR="0070036B">
              <w:rPr>
                <w:rStyle w:val="BookTitle"/>
                <w:rFonts w:ascii="Arial" w:hAnsi="Arial" w:cs="Arial"/>
                <w:i w:val="0"/>
                <w:iCs w:val="0"/>
                <w:smallCaps w:val="0"/>
                <w:sz w:val="24"/>
                <w:szCs w:val="24"/>
              </w:rPr>
              <w:t xml:space="preserve"> of operation</w:t>
            </w:r>
            <w:r w:rsidR="003D51E4" w:rsidRPr="003D51E4">
              <w:rPr>
                <w:rStyle w:val="BookTitle"/>
                <w:rFonts w:ascii="Arial" w:hAnsi="Arial" w:cs="Arial"/>
                <w:i w:val="0"/>
                <w:iCs w:val="0"/>
                <w:smallCaps w:val="0"/>
                <w:sz w:val="24"/>
                <w:szCs w:val="24"/>
              </w:rPr>
              <w:t xml:space="preserve"> </w:t>
            </w:r>
            <w:r w:rsidRPr="003D51E4">
              <w:rPr>
                <w:rStyle w:val="BookTitle"/>
                <w:rFonts w:ascii="Arial" w:hAnsi="Arial" w:cs="Arial"/>
                <w:i w:val="0"/>
                <w:iCs w:val="0"/>
                <w:smallCaps w:val="0"/>
                <w:sz w:val="24"/>
                <w:szCs w:val="24"/>
              </w:rPr>
              <w:t>to ensure the system is meeting its objectives, and to determine whether any additional</w:t>
            </w:r>
            <w:r w:rsidR="00022FF7">
              <w:rPr>
                <w:rStyle w:val="BookTitle"/>
                <w:rFonts w:ascii="Arial" w:hAnsi="Arial" w:cs="Arial"/>
                <w:i w:val="0"/>
                <w:iCs w:val="0"/>
                <w:smallCaps w:val="0"/>
                <w:sz w:val="24"/>
                <w:szCs w:val="24"/>
              </w:rPr>
              <w:t xml:space="preserve"> in built</w:t>
            </w:r>
            <w:r w:rsidRPr="003D51E4">
              <w:rPr>
                <w:rStyle w:val="BookTitle"/>
                <w:rFonts w:ascii="Arial" w:hAnsi="Arial" w:cs="Arial"/>
                <w:i w:val="0"/>
                <w:iCs w:val="0"/>
                <w:smallCaps w:val="0"/>
                <w:sz w:val="24"/>
                <w:szCs w:val="24"/>
              </w:rPr>
              <w:t xml:space="preserve"> functionality</w:t>
            </w:r>
            <w:r w:rsidR="00022FF7">
              <w:rPr>
                <w:rStyle w:val="BookTitle"/>
                <w:rFonts w:ascii="Arial" w:hAnsi="Arial" w:cs="Arial"/>
                <w:i w:val="0"/>
                <w:iCs w:val="0"/>
                <w:smallCaps w:val="0"/>
                <w:sz w:val="24"/>
                <w:szCs w:val="24"/>
              </w:rPr>
              <w:t xml:space="preserve"> </w:t>
            </w:r>
            <w:r w:rsidR="00D949EA">
              <w:rPr>
                <w:rStyle w:val="BookTitle"/>
                <w:rFonts w:ascii="Arial" w:hAnsi="Arial" w:cs="Arial"/>
                <w:i w:val="0"/>
                <w:iCs w:val="0"/>
                <w:smallCaps w:val="0"/>
                <w:sz w:val="24"/>
                <w:szCs w:val="24"/>
              </w:rPr>
              <w:t>should be activated</w:t>
            </w:r>
            <w:r w:rsidRPr="003D51E4">
              <w:rPr>
                <w:rStyle w:val="BookTitle"/>
                <w:rFonts w:ascii="Arial" w:hAnsi="Arial" w:cs="Arial"/>
                <w:i w:val="0"/>
                <w:iCs w:val="0"/>
                <w:smallCaps w:val="0"/>
                <w:sz w:val="24"/>
                <w:szCs w:val="24"/>
              </w:rPr>
              <w:t>.</w:t>
            </w:r>
            <w:r w:rsidR="00022FF7" w:rsidRPr="00022FF7">
              <w:rPr>
                <w:rFonts w:ascii="Arial" w:hAnsi="Arial" w:cs="Arial"/>
                <w:i/>
                <w:iCs/>
                <w:spacing w:val="5"/>
                <w:sz w:val="24"/>
                <w:szCs w:val="24"/>
              </w:rPr>
              <w:t xml:space="preserve"> </w:t>
            </w:r>
          </w:p>
        </w:tc>
        <w:tc>
          <w:tcPr>
            <w:tcW w:w="4536" w:type="dxa"/>
            <w:tcBorders>
              <w:top w:val="single" w:sz="4" w:space="0" w:color="auto"/>
            </w:tcBorders>
            <w:shd w:val="clear" w:color="auto" w:fill="auto"/>
          </w:tcPr>
          <w:p w14:paraId="00621CD6" w14:textId="77777777" w:rsidR="001B161A" w:rsidRPr="003D51E4" w:rsidRDefault="001B161A" w:rsidP="00EB4597">
            <w:pPr>
              <w:spacing w:before="120" w:after="120"/>
              <w:rPr>
                <w:rFonts w:ascii="Arial" w:hAnsi="Arial" w:cs="Arial"/>
                <w:spacing w:val="5"/>
                <w:sz w:val="24"/>
                <w:szCs w:val="24"/>
              </w:rPr>
            </w:pPr>
            <w:r w:rsidRPr="003D51E4">
              <w:rPr>
                <w:rFonts w:ascii="Arial" w:hAnsi="Arial" w:cs="Arial"/>
                <w:spacing w:val="5"/>
                <w:sz w:val="24"/>
                <w:szCs w:val="24"/>
              </w:rPr>
              <w:lastRenderedPageBreak/>
              <w:t>The Commonwealth will legislate and regu</w:t>
            </w:r>
            <w:r w:rsidR="003000B6" w:rsidRPr="003D51E4">
              <w:rPr>
                <w:rFonts w:ascii="Arial" w:hAnsi="Arial" w:cs="Arial"/>
                <w:spacing w:val="5"/>
                <w:sz w:val="24"/>
                <w:szCs w:val="24"/>
              </w:rPr>
              <w:t>late this scheme</w:t>
            </w:r>
            <w:r w:rsidR="002F3197">
              <w:rPr>
                <w:rFonts w:ascii="Arial" w:hAnsi="Arial" w:cs="Arial"/>
                <w:spacing w:val="5"/>
                <w:sz w:val="24"/>
                <w:szCs w:val="24"/>
              </w:rPr>
              <w:t>.</w:t>
            </w:r>
          </w:p>
          <w:p w14:paraId="4EF8EA66" w14:textId="77777777" w:rsidR="00DE2A3A" w:rsidRPr="003D51E4" w:rsidRDefault="00DE2A3A" w:rsidP="001329B9">
            <w:pPr>
              <w:spacing w:before="120" w:after="120"/>
              <w:rPr>
                <w:rFonts w:ascii="Arial" w:hAnsi="Arial" w:cs="Arial"/>
                <w:spacing w:val="5"/>
                <w:sz w:val="24"/>
                <w:szCs w:val="24"/>
              </w:rPr>
            </w:pPr>
            <w:r w:rsidRPr="003D51E4">
              <w:rPr>
                <w:rFonts w:ascii="Arial" w:hAnsi="Arial" w:cs="Arial"/>
                <w:spacing w:val="5"/>
                <w:sz w:val="24"/>
                <w:szCs w:val="24"/>
              </w:rPr>
              <w:t>This measure takes effect</w:t>
            </w:r>
            <w:r w:rsidR="00BF2400">
              <w:rPr>
                <w:rFonts w:ascii="Arial" w:hAnsi="Arial" w:cs="Arial"/>
                <w:spacing w:val="5"/>
                <w:sz w:val="24"/>
                <w:szCs w:val="24"/>
              </w:rPr>
              <w:t xml:space="preserve"> </w:t>
            </w:r>
            <w:r w:rsidR="00A55227">
              <w:rPr>
                <w:rFonts w:ascii="Arial" w:hAnsi="Arial" w:cs="Arial"/>
                <w:b/>
                <w:spacing w:val="5"/>
                <w:sz w:val="24"/>
                <w:szCs w:val="24"/>
              </w:rPr>
              <w:t>18</w:t>
            </w:r>
            <w:r w:rsidR="00AF0758">
              <w:rPr>
                <w:rFonts w:ascii="Arial" w:hAnsi="Arial" w:cs="Arial"/>
                <w:b/>
                <w:spacing w:val="5"/>
                <w:sz w:val="24"/>
                <w:szCs w:val="24"/>
              </w:rPr>
              <w:t> </w:t>
            </w:r>
            <w:r w:rsidR="00A55227">
              <w:rPr>
                <w:rFonts w:ascii="Arial" w:hAnsi="Arial" w:cs="Arial"/>
                <w:b/>
                <w:spacing w:val="5"/>
                <w:sz w:val="24"/>
                <w:szCs w:val="24"/>
              </w:rPr>
              <w:t>months</w:t>
            </w:r>
            <w:r w:rsidR="00A55227" w:rsidRPr="00212DFC">
              <w:rPr>
                <w:rFonts w:ascii="Arial" w:hAnsi="Arial"/>
                <w:b/>
                <w:spacing w:val="5"/>
                <w:sz w:val="24"/>
              </w:rPr>
              <w:t xml:space="preserve"> </w:t>
            </w:r>
            <w:r w:rsidR="00956A78">
              <w:rPr>
                <w:rFonts w:ascii="Arial" w:hAnsi="Arial"/>
                <w:spacing w:val="5"/>
                <w:sz w:val="24"/>
              </w:rPr>
              <w:t xml:space="preserve">from the commencement of the National Framework, </w:t>
            </w:r>
            <w:r w:rsidRPr="003D51E4">
              <w:rPr>
                <w:rFonts w:ascii="Arial" w:hAnsi="Arial" w:cs="Arial"/>
                <w:spacing w:val="5"/>
                <w:sz w:val="24"/>
                <w:szCs w:val="24"/>
              </w:rPr>
              <w:t>subject to the enactment of enabling</w:t>
            </w:r>
            <w:r w:rsidR="002C765D" w:rsidRPr="003D51E4">
              <w:rPr>
                <w:rFonts w:ascii="Arial" w:hAnsi="Arial" w:cs="Arial"/>
                <w:spacing w:val="5"/>
                <w:sz w:val="24"/>
                <w:szCs w:val="24"/>
              </w:rPr>
              <w:t xml:space="preserve"> Commonwealth</w:t>
            </w:r>
            <w:r w:rsidRPr="003D51E4">
              <w:rPr>
                <w:rFonts w:ascii="Arial" w:hAnsi="Arial" w:cs="Arial"/>
                <w:spacing w:val="5"/>
                <w:sz w:val="24"/>
                <w:szCs w:val="24"/>
              </w:rPr>
              <w:t xml:space="preserve"> legislation</w:t>
            </w:r>
            <w:r w:rsidR="002F3BD6">
              <w:rPr>
                <w:rFonts w:ascii="Arial" w:hAnsi="Arial" w:cs="Arial"/>
                <w:spacing w:val="5"/>
                <w:sz w:val="24"/>
                <w:szCs w:val="24"/>
              </w:rPr>
              <w:t>,</w:t>
            </w:r>
            <w:r w:rsidRPr="003D51E4">
              <w:rPr>
                <w:rFonts w:ascii="Arial" w:hAnsi="Arial" w:cs="Arial"/>
                <w:spacing w:val="5"/>
                <w:sz w:val="24"/>
                <w:szCs w:val="24"/>
              </w:rPr>
              <w:t xml:space="preserve"> and establishing, trialling and testing a NSER.</w:t>
            </w:r>
          </w:p>
          <w:p w14:paraId="3E452EC9" w14:textId="77777777" w:rsidR="00DE2A3A" w:rsidRPr="004D5FD7" w:rsidRDefault="00525D05" w:rsidP="00831298">
            <w:pPr>
              <w:spacing w:before="120" w:after="120"/>
              <w:rPr>
                <w:rFonts w:ascii="Arial" w:hAnsi="Arial" w:cs="Arial"/>
                <w:sz w:val="24"/>
                <w:szCs w:val="24"/>
              </w:rPr>
            </w:pPr>
            <w:r w:rsidRPr="003D51E4">
              <w:rPr>
                <w:rFonts w:ascii="Arial" w:hAnsi="Arial" w:cs="Arial"/>
                <w:spacing w:val="5"/>
                <w:sz w:val="24"/>
                <w:szCs w:val="24"/>
              </w:rPr>
              <w:t>System functionality will be reviewed</w:t>
            </w:r>
            <w:r w:rsidR="00933BE8">
              <w:rPr>
                <w:rFonts w:ascii="Arial" w:hAnsi="Arial" w:cs="Arial"/>
                <w:spacing w:val="5"/>
                <w:sz w:val="24"/>
                <w:szCs w:val="24"/>
              </w:rPr>
              <w:t xml:space="preserve"> </w:t>
            </w:r>
            <w:r w:rsidR="00E11C18" w:rsidRPr="003D51E4">
              <w:rPr>
                <w:rFonts w:ascii="Arial" w:hAnsi="Arial" w:cs="Arial"/>
                <w:spacing w:val="5"/>
                <w:sz w:val="24"/>
                <w:szCs w:val="24"/>
              </w:rPr>
              <w:t xml:space="preserve">at the end of </w:t>
            </w:r>
            <w:r w:rsidR="0028436F" w:rsidRPr="003D51E4">
              <w:rPr>
                <w:rFonts w:ascii="Arial" w:hAnsi="Arial" w:cs="Arial"/>
                <w:spacing w:val="5"/>
                <w:sz w:val="24"/>
                <w:szCs w:val="24"/>
              </w:rPr>
              <w:t xml:space="preserve">the first </w:t>
            </w:r>
            <w:r w:rsidR="0028436F" w:rsidRPr="003D51E4">
              <w:rPr>
                <w:rFonts w:ascii="Arial" w:hAnsi="Arial" w:cs="Arial"/>
                <w:b/>
                <w:spacing w:val="5"/>
                <w:sz w:val="24"/>
                <w:szCs w:val="24"/>
              </w:rPr>
              <w:t>12 month</w:t>
            </w:r>
            <w:r w:rsidR="0028436F" w:rsidRPr="003D51E4">
              <w:rPr>
                <w:rFonts w:ascii="Arial" w:hAnsi="Arial" w:cs="Arial"/>
                <w:spacing w:val="5"/>
                <w:sz w:val="24"/>
                <w:szCs w:val="24"/>
              </w:rPr>
              <w:t xml:space="preserve"> </w:t>
            </w:r>
            <w:r w:rsidR="00E11C18" w:rsidRPr="003D51E4">
              <w:rPr>
                <w:rFonts w:ascii="Arial" w:hAnsi="Arial" w:cs="Arial"/>
                <w:spacing w:val="5"/>
                <w:sz w:val="24"/>
                <w:szCs w:val="24"/>
              </w:rPr>
              <w:t>period from</w:t>
            </w:r>
            <w:r w:rsidR="0028436F" w:rsidRPr="003D51E4">
              <w:rPr>
                <w:rFonts w:ascii="Arial" w:hAnsi="Arial" w:cs="Arial"/>
                <w:spacing w:val="5"/>
                <w:sz w:val="24"/>
                <w:szCs w:val="24"/>
              </w:rPr>
              <w:t xml:space="preserve"> the </w:t>
            </w:r>
            <w:r w:rsidR="003D51E4" w:rsidRPr="003D51E4">
              <w:rPr>
                <w:rFonts w:ascii="Arial" w:hAnsi="Arial" w:cs="Arial"/>
                <w:spacing w:val="5"/>
                <w:sz w:val="24"/>
                <w:szCs w:val="24"/>
              </w:rPr>
              <w:t>date this measure takes effect</w:t>
            </w:r>
            <w:r w:rsidR="0028436F" w:rsidRPr="003D51E4">
              <w:rPr>
                <w:rFonts w:ascii="Arial" w:hAnsi="Arial" w:cs="Arial"/>
                <w:spacing w:val="5"/>
                <w:sz w:val="24"/>
                <w:szCs w:val="24"/>
              </w:rPr>
              <w:t>.</w:t>
            </w:r>
            <w:r w:rsidR="00831298" w:rsidRPr="004D5FD7">
              <w:rPr>
                <w:rFonts w:ascii="Arial" w:hAnsi="Arial" w:cs="Arial"/>
                <w:sz w:val="24"/>
                <w:szCs w:val="24"/>
              </w:rPr>
              <w:t xml:space="preserve"> </w:t>
            </w:r>
          </w:p>
        </w:tc>
      </w:tr>
    </w:tbl>
    <w:p w14:paraId="24AD166A" w14:textId="77777777" w:rsidR="00EA6B1C" w:rsidRPr="00940768" w:rsidRDefault="00EA6B1C" w:rsidP="00940768">
      <w:pPr>
        <w:rPr>
          <w:color w:val="000000"/>
        </w:rPr>
      </w:pPr>
    </w:p>
    <w:p w14:paraId="1F41A1EC" w14:textId="77777777" w:rsidR="00EA6B1C" w:rsidRDefault="00EA6B1C" w:rsidP="00940768">
      <w:pPr>
        <w:spacing w:after="0" w:line="240" w:lineRule="auto"/>
        <w:rPr>
          <w:rFonts w:ascii="Arial" w:eastAsia="Times New Roman" w:hAnsi="Arial" w:cs="Arial"/>
          <w:bCs/>
          <w:color w:val="000000"/>
          <w:lang w:eastAsia="en-AU"/>
        </w:rPr>
      </w:pPr>
      <w:r>
        <w:rPr>
          <w:rFonts w:ascii="Arial" w:eastAsia="Times New Roman" w:hAnsi="Arial" w:cs="Arial"/>
          <w:bCs/>
          <w:color w:val="000000"/>
          <w:lang w:eastAsia="en-AU"/>
        </w:rPr>
        <w:br w:type="page"/>
      </w:r>
    </w:p>
    <w:p w14:paraId="33EDA42A" w14:textId="77777777" w:rsidR="00AA46CD" w:rsidRPr="003D51E4" w:rsidRDefault="00AA46CD" w:rsidP="00D0310F">
      <w:pPr>
        <w:rPr>
          <w:rFonts w:ascii="Arial" w:eastAsia="Times New Roman" w:hAnsi="Arial" w:cs="Arial"/>
          <w:bCs/>
          <w:color w:val="000000"/>
          <w:lang w:eastAsia="en-AU"/>
        </w:rPr>
        <w:sectPr w:rsidR="00AA46CD" w:rsidRPr="003D51E4" w:rsidSect="007860F5">
          <w:pgSz w:w="16838" w:h="11906" w:orient="landscape" w:code="9"/>
          <w:pgMar w:top="567" w:right="964" w:bottom="284" w:left="964" w:header="397" w:footer="283" w:gutter="0"/>
          <w:pgBorders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08"/>
          <w:docGrid w:linePitch="360"/>
        </w:sectPr>
      </w:pPr>
    </w:p>
    <w:p w14:paraId="3EBFB966" w14:textId="77777777" w:rsidR="000D4E73" w:rsidRPr="005618D3" w:rsidRDefault="000D4E73" w:rsidP="005618D3">
      <w:pPr>
        <w:pStyle w:val="Heading2"/>
        <w:numPr>
          <w:ilvl w:val="0"/>
          <w:numId w:val="40"/>
        </w:numPr>
        <w:rPr>
          <w:rFonts w:ascii="Arial" w:hAnsi="Arial" w:cs="Arial"/>
          <w:color w:val="C00000"/>
          <w:sz w:val="44"/>
          <w:szCs w:val="44"/>
        </w:rPr>
      </w:pPr>
      <w:r w:rsidRPr="005618D3">
        <w:rPr>
          <w:rFonts w:ascii="Arial" w:hAnsi="Arial" w:cs="Arial"/>
          <w:color w:val="C00000"/>
          <w:sz w:val="44"/>
          <w:szCs w:val="44"/>
        </w:rPr>
        <w:lastRenderedPageBreak/>
        <w:t>Implementation</w:t>
      </w:r>
    </w:p>
    <w:p w14:paraId="5C38453C" w14:textId="77777777" w:rsidR="00CE68EF" w:rsidRPr="003D51E4" w:rsidRDefault="000D4E73" w:rsidP="00940768">
      <w:pPr>
        <w:tabs>
          <w:tab w:val="left" w:pos="3600"/>
        </w:tabs>
        <w:textAlignment w:val="baseline"/>
        <w:rPr>
          <w:rFonts w:ascii="Arial" w:hAnsi="Arial"/>
          <w:sz w:val="32"/>
        </w:rPr>
      </w:pPr>
      <w:r w:rsidRPr="003D51E4">
        <w:rPr>
          <w:rFonts w:ascii="Arial" w:hAnsi="Arial" w:cs="Arial"/>
          <w:sz w:val="24"/>
        </w:rPr>
        <w:t xml:space="preserve">The </w:t>
      </w:r>
      <w:r w:rsidR="002E52DE" w:rsidRPr="003D51E4">
        <w:rPr>
          <w:rFonts w:ascii="Arial" w:hAnsi="Arial" w:cs="Arial"/>
          <w:sz w:val="24"/>
        </w:rPr>
        <w:t xml:space="preserve">National </w:t>
      </w:r>
      <w:r w:rsidRPr="003D51E4">
        <w:rPr>
          <w:rFonts w:ascii="Arial" w:hAnsi="Arial" w:cs="Arial"/>
          <w:sz w:val="24"/>
        </w:rPr>
        <w:t xml:space="preserve">Framework will be implemented through </w:t>
      </w:r>
      <w:r w:rsidR="00CE68EF" w:rsidRPr="003D51E4">
        <w:rPr>
          <w:rFonts w:ascii="Arial" w:hAnsi="Arial" w:cs="Arial"/>
          <w:sz w:val="24"/>
        </w:rPr>
        <w:t xml:space="preserve">a combination of </w:t>
      </w:r>
      <w:r w:rsidR="00BD6688">
        <w:rPr>
          <w:rFonts w:ascii="Arial" w:hAnsi="Arial" w:cs="Arial"/>
          <w:sz w:val="24"/>
        </w:rPr>
        <w:t xml:space="preserve">Commonwealth, </w:t>
      </w:r>
      <w:r w:rsidR="00CE68EF" w:rsidRPr="003D51E4">
        <w:rPr>
          <w:rFonts w:ascii="Arial" w:hAnsi="Arial" w:cs="Arial"/>
          <w:sz w:val="24"/>
        </w:rPr>
        <w:t>s</w:t>
      </w:r>
      <w:r w:rsidR="008E5174" w:rsidRPr="003D51E4">
        <w:rPr>
          <w:rFonts w:ascii="Arial" w:hAnsi="Arial" w:cs="Arial"/>
          <w:sz w:val="24"/>
        </w:rPr>
        <w:t xml:space="preserve">tate and </w:t>
      </w:r>
      <w:r w:rsidR="00774D90" w:rsidRPr="003D51E4">
        <w:rPr>
          <w:rFonts w:ascii="Arial" w:hAnsi="Arial" w:cs="Arial"/>
          <w:sz w:val="24"/>
        </w:rPr>
        <w:t>t</w:t>
      </w:r>
      <w:r w:rsidRPr="003D51E4">
        <w:rPr>
          <w:rFonts w:ascii="Arial" w:hAnsi="Arial" w:cs="Arial"/>
          <w:sz w:val="24"/>
        </w:rPr>
        <w:t>erritory</w:t>
      </w:r>
      <w:r w:rsidR="00BD6688">
        <w:rPr>
          <w:rFonts w:ascii="Arial" w:hAnsi="Arial" w:cs="Arial"/>
          <w:sz w:val="24"/>
        </w:rPr>
        <w:t xml:space="preserve"> </w:t>
      </w:r>
      <w:r w:rsidR="00290D2B" w:rsidRPr="003D51E4">
        <w:rPr>
          <w:rFonts w:ascii="Arial" w:hAnsi="Arial" w:cs="Arial"/>
          <w:sz w:val="24"/>
        </w:rPr>
        <w:t>l</w:t>
      </w:r>
      <w:r w:rsidR="00290D2B">
        <w:rPr>
          <w:rFonts w:ascii="Arial" w:hAnsi="Arial" w:cs="Arial"/>
          <w:sz w:val="24"/>
        </w:rPr>
        <w:t>aws</w:t>
      </w:r>
      <w:r w:rsidR="00290D2B" w:rsidRPr="003D51E4">
        <w:rPr>
          <w:rFonts w:ascii="Arial" w:hAnsi="Arial" w:cs="Arial"/>
          <w:sz w:val="24"/>
        </w:rPr>
        <w:t xml:space="preserve"> </w:t>
      </w:r>
      <w:r w:rsidR="005D37F4" w:rsidRPr="003D51E4">
        <w:rPr>
          <w:rFonts w:ascii="Arial" w:hAnsi="Arial" w:cs="Arial"/>
          <w:sz w:val="24"/>
        </w:rPr>
        <w:t>and regulation</w:t>
      </w:r>
      <w:r w:rsidR="00290D2B">
        <w:rPr>
          <w:rFonts w:ascii="Arial" w:hAnsi="Arial" w:cs="Arial"/>
          <w:sz w:val="24"/>
        </w:rPr>
        <w:t>s</w:t>
      </w:r>
      <w:r w:rsidR="00B164A5" w:rsidRPr="003D51E4">
        <w:rPr>
          <w:rFonts w:ascii="Arial" w:hAnsi="Arial" w:cs="Arial"/>
          <w:sz w:val="24"/>
        </w:rPr>
        <w:t xml:space="preserve"> consistent with existing roles</w:t>
      </w:r>
      <w:r w:rsidRPr="003D51E4">
        <w:rPr>
          <w:rFonts w:ascii="Arial" w:hAnsi="Arial" w:cs="Arial"/>
          <w:sz w:val="24"/>
        </w:rPr>
        <w:t>. This</w:t>
      </w:r>
      <w:r w:rsidR="00D01583" w:rsidRPr="003D51E4">
        <w:rPr>
          <w:rFonts w:ascii="Arial" w:hAnsi="Arial" w:cs="Arial"/>
          <w:sz w:val="24"/>
        </w:rPr>
        <w:t> </w:t>
      </w:r>
      <w:r w:rsidR="00290D2B">
        <w:rPr>
          <w:rFonts w:ascii="Arial" w:hAnsi="Arial" w:cs="Arial"/>
          <w:sz w:val="24"/>
        </w:rPr>
        <w:t>is intended to</w:t>
      </w:r>
      <w:r w:rsidR="00CE68EF" w:rsidRPr="003D51E4">
        <w:rPr>
          <w:rFonts w:ascii="Arial" w:hAnsi="Arial" w:cs="Arial"/>
          <w:sz w:val="24"/>
        </w:rPr>
        <w:t xml:space="preserve"> </w:t>
      </w:r>
      <w:r w:rsidR="008457B8" w:rsidRPr="003D51E4">
        <w:rPr>
          <w:rFonts w:ascii="Arial" w:hAnsi="Arial" w:cs="Arial"/>
          <w:sz w:val="24"/>
          <w:szCs w:val="24"/>
        </w:rPr>
        <w:t>ensure</w:t>
      </w:r>
      <w:r w:rsidR="00CE68EF" w:rsidRPr="003D51E4">
        <w:rPr>
          <w:rFonts w:ascii="Arial" w:hAnsi="Arial" w:cs="Arial"/>
          <w:sz w:val="24"/>
          <w:szCs w:val="24"/>
        </w:rPr>
        <w:t xml:space="preserve"> </w:t>
      </w:r>
      <w:r w:rsidR="00290D2B">
        <w:rPr>
          <w:rFonts w:ascii="Arial" w:hAnsi="Arial" w:cs="Arial"/>
          <w:sz w:val="24"/>
          <w:szCs w:val="24"/>
        </w:rPr>
        <w:t>each</w:t>
      </w:r>
      <w:r w:rsidR="00290D2B" w:rsidRPr="003D51E4">
        <w:rPr>
          <w:rFonts w:ascii="Arial" w:hAnsi="Arial" w:cs="Arial"/>
          <w:sz w:val="24"/>
          <w:szCs w:val="24"/>
        </w:rPr>
        <w:t xml:space="preserve"> </w:t>
      </w:r>
      <w:r w:rsidR="00CE68EF" w:rsidRPr="003D51E4">
        <w:rPr>
          <w:rFonts w:ascii="Arial" w:hAnsi="Arial" w:cs="Arial"/>
          <w:sz w:val="24"/>
          <w:szCs w:val="24"/>
        </w:rPr>
        <w:t xml:space="preserve">measure can be implemented as soon as possible. </w:t>
      </w:r>
    </w:p>
    <w:p w14:paraId="75C4FE10" w14:textId="77777777" w:rsidR="004805C2" w:rsidRPr="003D51E4" w:rsidRDefault="003139B9" w:rsidP="00940768">
      <w:pPr>
        <w:tabs>
          <w:tab w:val="left" w:pos="3600"/>
        </w:tabs>
        <w:textAlignment w:val="baseline"/>
        <w:rPr>
          <w:rFonts w:ascii="Arial" w:hAnsi="Arial" w:cs="Arial"/>
          <w:sz w:val="32"/>
        </w:rPr>
      </w:pPr>
      <w:r w:rsidRPr="003D51E4">
        <w:rPr>
          <w:rFonts w:ascii="Arial" w:hAnsi="Arial" w:cs="Arial"/>
          <w:sz w:val="32"/>
        </w:rPr>
        <w:t>Roles</w:t>
      </w:r>
    </w:p>
    <w:p w14:paraId="2153A1E7" w14:textId="77777777" w:rsidR="00385976" w:rsidRPr="003D51E4" w:rsidRDefault="00CE68EF" w:rsidP="00940768">
      <w:pPr>
        <w:tabs>
          <w:tab w:val="left" w:pos="3600"/>
        </w:tabs>
        <w:textAlignment w:val="baseline"/>
        <w:rPr>
          <w:rFonts w:ascii="Arial" w:hAnsi="Arial" w:cs="Arial"/>
          <w:sz w:val="24"/>
        </w:rPr>
      </w:pPr>
      <w:r w:rsidRPr="003D51E4">
        <w:rPr>
          <w:rFonts w:ascii="Arial" w:hAnsi="Arial" w:cs="Arial"/>
          <w:sz w:val="24"/>
        </w:rPr>
        <w:t>While a</w:t>
      </w:r>
      <w:r w:rsidR="00971A66" w:rsidRPr="003D51E4">
        <w:rPr>
          <w:rFonts w:ascii="Arial" w:hAnsi="Arial" w:cs="Arial"/>
          <w:sz w:val="24"/>
        </w:rPr>
        <w:t xml:space="preserve">ll </w:t>
      </w:r>
      <w:r w:rsidR="005B0537">
        <w:rPr>
          <w:rFonts w:ascii="Arial" w:hAnsi="Arial" w:cs="Arial"/>
          <w:sz w:val="24"/>
        </w:rPr>
        <w:t>Australian G</w:t>
      </w:r>
      <w:r w:rsidR="00971A66" w:rsidRPr="003D51E4">
        <w:rPr>
          <w:rFonts w:ascii="Arial" w:hAnsi="Arial" w:cs="Arial"/>
          <w:sz w:val="24"/>
        </w:rPr>
        <w:t>overnments</w:t>
      </w:r>
      <w:r w:rsidR="00474BBC" w:rsidRPr="003D51E4">
        <w:rPr>
          <w:rFonts w:ascii="Arial" w:hAnsi="Arial" w:cs="Arial"/>
          <w:sz w:val="24"/>
        </w:rPr>
        <w:t xml:space="preserve"> </w:t>
      </w:r>
      <w:r w:rsidR="00385976" w:rsidRPr="003D51E4">
        <w:rPr>
          <w:rFonts w:ascii="Arial" w:hAnsi="Arial" w:cs="Arial"/>
          <w:sz w:val="24"/>
        </w:rPr>
        <w:t xml:space="preserve">collectively </w:t>
      </w:r>
      <w:r w:rsidR="00B958FB" w:rsidRPr="003D51E4">
        <w:rPr>
          <w:rFonts w:ascii="Arial" w:hAnsi="Arial" w:cs="Arial"/>
          <w:sz w:val="24"/>
        </w:rPr>
        <w:t>share</w:t>
      </w:r>
      <w:r w:rsidR="00474BBC" w:rsidRPr="003D51E4">
        <w:rPr>
          <w:rFonts w:ascii="Arial" w:hAnsi="Arial" w:cs="Arial"/>
          <w:sz w:val="24"/>
        </w:rPr>
        <w:t xml:space="preserve"> responsibility for implementing the </w:t>
      </w:r>
      <w:r w:rsidR="002E52DE" w:rsidRPr="003D51E4">
        <w:rPr>
          <w:rFonts w:ascii="Arial" w:hAnsi="Arial" w:cs="Arial"/>
          <w:sz w:val="24"/>
        </w:rPr>
        <w:t xml:space="preserve">consumer protection </w:t>
      </w:r>
      <w:r w:rsidR="00474BBC" w:rsidRPr="003D51E4">
        <w:rPr>
          <w:rFonts w:ascii="Arial" w:hAnsi="Arial" w:cs="Arial"/>
          <w:sz w:val="24"/>
        </w:rPr>
        <w:t>measures</w:t>
      </w:r>
      <w:r w:rsidR="00385976" w:rsidRPr="003D51E4">
        <w:rPr>
          <w:rFonts w:ascii="Arial" w:hAnsi="Arial" w:cs="Arial"/>
          <w:sz w:val="24"/>
        </w:rPr>
        <w:t xml:space="preserve"> </w:t>
      </w:r>
      <w:r w:rsidR="00534C2C">
        <w:rPr>
          <w:rFonts w:ascii="Arial" w:hAnsi="Arial" w:cs="Arial"/>
          <w:sz w:val="24"/>
        </w:rPr>
        <w:t>under</w:t>
      </w:r>
      <w:r w:rsidR="00385976" w:rsidRPr="003D51E4">
        <w:rPr>
          <w:rFonts w:ascii="Arial" w:hAnsi="Arial" w:cs="Arial"/>
          <w:sz w:val="24"/>
        </w:rPr>
        <w:t xml:space="preserve"> the National Framework, each government will determine how best to implement the agreed measures having regard to the</w:t>
      </w:r>
      <w:r w:rsidR="003C36F5" w:rsidRPr="003D51E4">
        <w:rPr>
          <w:rFonts w:ascii="Arial" w:hAnsi="Arial" w:cs="Arial"/>
          <w:sz w:val="24"/>
        </w:rPr>
        <w:t xml:space="preserve"> legislative framework and</w:t>
      </w:r>
      <w:r w:rsidR="00385976" w:rsidRPr="003D51E4">
        <w:rPr>
          <w:rFonts w:ascii="Arial" w:hAnsi="Arial" w:cs="Arial"/>
          <w:sz w:val="24"/>
        </w:rPr>
        <w:t xml:space="preserve"> regulatory tools available in its jurisdiction </w:t>
      </w:r>
      <w:r w:rsidR="006D724F" w:rsidRPr="003D51E4">
        <w:rPr>
          <w:rFonts w:ascii="Arial" w:hAnsi="Arial" w:cs="Arial"/>
          <w:sz w:val="24"/>
        </w:rPr>
        <w:t xml:space="preserve">and </w:t>
      </w:r>
      <w:r w:rsidR="00385976" w:rsidRPr="003D51E4">
        <w:rPr>
          <w:rFonts w:ascii="Arial" w:hAnsi="Arial" w:cs="Arial"/>
          <w:sz w:val="24"/>
        </w:rPr>
        <w:t xml:space="preserve">while maintaining, national consistency.  </w:t>
      </w:r>
    </w:p>
    <w:p w14:paraId="2076D896" w14:textId="77777777" w:rsidR="004F2BC8" w:rsidRPr="003D51E4" w:rsidRDefault="00547E8E" w:rsidP="00940768">
      <w:pPr>
        <w:tabs>
          <w:tab w:val="left" w:pos="3600"/>
        </w:tabs>
        <w:textAlignment w:val="baseline"/>
        <w:rPr>
          <w:rFonts w:ascii="Arial" w:hAnsi="Arial"/>
          <w:sz w:val="24"/>
          <w:szCs w:val="24"/>
          <w:u w:val="single"/>
        </w:rPr>
      </w:pPr>
      <w:r w:rsidRPr="003D51E4">
        <w:rPr>
          <w:rFonts w:ascii="Arial" w:hAnsi="Arial"/>
          <w:sz w:val="24"/>
          <w:szCs w:val="24"/>
          <w:u w:val="single"/>
        </w:rPr>
        <w:t xml:space="preserve">Commonwealth </w:t>
      </w:r>
    </w:p>
    <w:p w14:paraId="0A5FB8C7" w14:textId="77777777" w:rsidR="00C06069" w:rsidRPr="003D51E4" w:rsidRDefault="00DC32AB" w:rsidP="00D0310F">
      <w:pPr>
        <w:rPr>
          <w:rFonts w:ascii="Arial" w:hAnsi="Arial"/>
          <w:sz w:val="24"/>
        </w:rPr>
      </w:pPr>
      <w:r w:rsidRPr="003D51E4">
        <w:rPr>
          <w:rFonts w:ascii="Arial" w:hAnsi="Arial"/>
          <w:sz w:val="24"/>
        </w:rPr>
        <w:t>T</w:t>
      </w:r>
      <w:r w:rsidR="00C06069" w:rsidRPr="003D51E4">
        <w:rPr>
          <w:rFonts w:ascii="Arial" w:hAnsi="Arial"/>
          <w:sz w:val="24"/>
        </w:rPr>
        <w:t xml:space="preserve">he Commonwealth Government </w:t>
      </w:r>
      <w:r w:rsidR="00864B1F" w:rsidRPr="003D51E4">
        <w:rPr>
          <w:rFonts w:ascii="Arial" w:hAnsi="Arial"/>
          <w:sz w:val="24"/>
        </w:rPr>
        <w:t>is</w:t>
      </w:r>
      <w:r w:rsidR="00C06069" w:rsidRPr="003D51E4">
        <w:rPr>
          <w:rFonts w:ascii="Arial" w:hAnsi="Arial"/>
          <w:sz w:val="24"/>
        </w:rPr>
        <w:t xml:space="preserve"> responsible for enacting and administering</w:t>
      </w:r>
      <w:r w:rsidR="00E02C50" w:rsidRPr="003D51E4">
        <w:rPr>
          <w:rFonts w:ascii="Arial" w:hAnsi="Arial"/>
          <w:sz w:val="24"/>
        </w:rPr>
        <w:t>—including</w:t>
      </w:r>
      <w:r w:rsidR="00C06069" w:rsidRPr="003D51E4">
        <w:rPr>
          <w:rFonts w:ascii="Arial" w:hAnsi="Arial"/>
          <w:sz w:val="24"/>
        </w:rPr>
        <w:t xml:space="preserve"> monitoring, enforc</w:t>
      </w:r>
      <w:r w:rsidR="000F3091" w:rsidRPr="003D51E4">
        <w:rPr>
          <w:rFonts w:ascii="Arial" w:hAnsi="Arial"/>
          <w:sz w:val="24"/>
        </w:rPr>
        <w:t>ing</w:t>
      </w:r>
      <w:r w:rsidR="0025543B" w:rsidRPr="003D51E4">
        <w:rPr>
          <w:rFonts w:ascii="Arial" w:hAnsi="Arial"/>
          <w:sz w:val="24"/>
        </w:rPr>
        <w:t>,</w:t>
      </w:r>
      <w:r w:rsidR="00C06069" w:rsidRPr="003D51E4">
        <w:rPr>
          <w:rFonts w:ascii="Arial" w:hAnsi="Arial"/>
          <w:sz w:val="24"/>
        </w:rPr>
        <w:t xml:space="preserve"> and promoting compliance</w:t>
      </w:r>
      <w:r w:rsidR="00E02C50" w:rsidRPr="003D51E4">
        <w:rPr>
          <w:rFonts w:ascii="Arial" w:hAnsi="Arial"/>
          <w:sz w:val="24"/>
        </w:rPr>
        <w:t xml:space="preserve">—the </w:t>
      </w:r>
      <w:r w:rsidR="00C06069" w:rsidRPr="003D51E4">
        <w:rPr>
          <w:rFonts w:ascii="Arial" w:hAnsi="Arial"/>
          <w:sz w:val="24"/>
        </w:rPr>
        <w:t xml:space="preserve">following measures: </w:t>
      </w:r>
    </w:p>
    <w:p w14:paraId="15406C4F" w14:textId="77777777" w:rsidR="00547E8E" w:rsidRPr="003D51E4" w:rsidRDefault="00BD567A" w:rsidP="00940768">
      <w:pPr>
        <w:pStyle w:val="ListParagraph"/>
        <w:numPr>
          <w:ilvl w:val="0"/>
          <w:numId w:val="5"/>
        </w:numPr>
        <w:tabs>
          <w:tab w:val="left" w:pos="709"/>
        </w:tabs>
        <w:ind w:hanging="357"/>
        <w:contextualSpacing w:val="0"/>
        <w:textAlignment w:val="baseline"/>
        <w:rPr>
          <w:rFonts w:ascii="Arial" w:hAnsi="Arial"/>
          <w:sz w:val="24"/>
        </w:rPr>
      </w:pPr>
      <w:r w:rsidRPr="003D51E4">
        <w:rPr>
          <w:rFonts w:ascii="Arial" w:hAnsi="Arial" w:cs="Arial"/>
          <w:sz w:val="24"/>
          <w:szCs w:val="24"/>
        </w:rPr>
        <w:t>p</w:t>
      </w:r>
      <w:r w:rsidR="006A529C" w:rsidRPr="003D51E4">
        <w:rPr>
          <w:rFonts w:ascii="Arial" w:hAnsi="Arial" w:cs="Arial"/>
          <w:sz w:val="24"/>
          <w:szCs w:val="24"/>
        </w:rPr>
        <w:t>rohibition</w:t>
      </w:r>
      <w:r w:rsidR="00963F17">
        <w:rPr>
          <w:rFonts w:ascii="Arial" w:hAnsi="Arial"/>
          <w:sz w:val="24"/>
        </w:rPr>
        <w:t xml:space="preserve"> of lines of credit, pursuant to the</w:t>
      </w:r>
    </w:p>
    <w:p w14:paraId="6387C726" w14:textId="77777777" w:rsidR="005D37F4" w:rsidRPr="003D51E4" w:rsidRDefault="005D37F4" w:rsidP="00940768">
      <w:pPr>
        <w:pStyle w:val="ListParagraph"/>
        <w:numPr>
          <w:ilvl w:val="1"/>
          <w:numId w:val="5"/>
        </w:numPr>
        <w:tabs>
          <w:tab w:val="left" w:pos="1418"/>
        </w:tabs>
        <w:ind w:hanging="357"/>
        <w:contextualSpacing w:val="0"/>
        <w:textAlignment w:val="baseline"/>
        <w:rPr>
          <w:rFonts w:ascii="Arial" w:hAnsi="Arial"/>
          <w:i/>
          <w:sz w:val="24"/>
          <w:u w:val="single"/>
        </w:rPr>
      </w:pPr>
      <w:r w:rsidRPr="003D51E4">
        <w:rPr>
          <w:rFonts w:ascii="Arial" w:hAnsi="Arial"/>
          <w:sz w:val="24"/>
        </w:rPr>
        <w:t>Commonwealth</w:t>
      </w:r>
      <w:r w:rsidR="00307185">
        <w:rPr>
          <w:rFonts w:ascii="Arial" w:hAnsi="Arial"/>
          <w:sz w:val="24"/>
        </w:rPr>
        <w:t>’s</w:t>
      </w:r>
      <w:r w:rsidRPr="003D51E4">
        <w:rPr>
          <w:rFonts w:ascii="Arial" w:hAnsi="Arial"/>
          <w:sz w:val="24"/>
        </w:rPr>
        <w:t xml:space="preserve"> </w:t>
      </w:r>
      <w:r w:rsidRPr="003D51E4">
        <w:rPr>
          <w:rFonts w:ascii="Arial" w:hAnsi="Arial"/>
          <w:i/>
          <w:sz w:val="24"/>
        </w:rPr>
        <w:t xml:space="preserve">Interactive Gambling Amendment </w:t>
      </w:r>
      <w:r w:rsidR="00EF3D8F" w:rsidRPr="003D51E4">
        <w:rPr>
          <w:rFonts w:ascii="Arial" w:hAnsi="Arial"/>
          <w:i/>
          <w:sz w:val="24"/>
        </w:rPr>
        <w:t>Act</w:t>
      </w:r>
      <w:r w:rsidRPr="003D51E4">
        <w:rPr>
          <w:rFonts w:ascii="Arial" w:hAnsi="Arial"/>
          <w:i/>
          <w:sz w:val="24"/>
        </w:rPr>
        <w:t xml:space="preserve"> 2017</w:t>
      </w:r>
    </w:p>
    <w:p w14:paraId="6AEFDC56" w14:textId="77777777" w:rsidR="006A529C" w:rsidRPr="003D51E4" w:rsidRDefault="00BD567A" w:rsidP="00940768">
      <w:pPr>
        <w:pStyle w:val="ListParagraph"/>
        <w:numPr>
          <w:ilvl w:val="0"/>
          <w:numId w:val="3"/>
        </w:numPr>
        <w:tabs>
          <w:tab w:val="left" w:pos="3600"/>
        </w:tabs>
        <w:ind w:hanging="357"/>
        <w:contextualSpacing w:val="0"/>
        <w:textAlignment w:val="baseline"/>
        <w:rPr>
          <w:rFonts w:ascii="Arial" w:hAnsi="Arial"/>
          <w:sz w:val="24"/>
        </w:rPr>
      </w:pPr>
      <w:r w:rsidRPr="003D51E4">
        <w:rPr>
          <w:rFonts w:ascii="Arial" w:hAnsi="Arial" w:cs="Arial"/>
          <w:sz w:val="24"/>
          <w:szCs w:val="24"/>
        </w:rPr>
        <w:t>d</w:t>
      </w:r>
      <w:r w:rsidR="006A529C" w:rsidRPr="003D51E4">
        <w:rPr>
          <w:rFonts w:ascii="Arial" w:hAnsi="Arial" w:cs="Arial"/>
          <w:sz w:val="24"/>
          <w:szCs w:val="24"/>
        </w:rPr>
        <w:t>iscouraging</w:t>
      </w:r>
      <w:r w:rsidR="006A529C" w:rsidRPr="003D51E4">
        <w:rPr>
          <w:rFonts w:ascii="Arial" w:hAnsi="Arial"/>
          <w:sz w:val="24"/>
        </w:rPr>
        <w:t xml:space="preserve"> links with </w:t>
      </w:r>
      <w:r w:rsidR="00EF3D8F" w:rsidRPr="003D51E4">
        <w:rPr>
          <w:rFonts w:ascii="Arial" w:hAnsi="Arial"/>
          <w:sz w:val="24"/>
        </w:rPr>
        <w:t>small amount credit contract providers (</w:t>
      </w:r>
      <w:r w:rsidR="006A529C" w:rsidRPr="003D51E4">
        <w:rPr>
          <w:rFonts w:ascii="Arial" w:hAnsi="Arial"/>
          <w:sz w:val="24"/>
        </w:rPr>
        <w:t>payday lenders</w:t>
      </w:r>
      <w:r w:rsidR="00EF3D8F" w:rsidRPr="003D51E4">
        <w:rPr>
          <w:rFonts w:ascii="Arial" w:hAnsi="Arial"/>
          <w:sz w:val="24"/>
        </w:rPr>
        <w:t>)</w:t>
      </w:r>
      <w:r w:rsidR="00963F17">
        <w:rPr>
          <w:rFonts w:ascii="Arial" w:hAnsi="Arial"/>
          <w:sz w:val="24"/>
        </w:rPr>
        <w:t>, pursuant to the</w:t>
      </w:r>
    </w:p>
    <w:p w14:paraId="0EE4BFCA" w14:textId="77777777" w:rsidR="005D37F4" w:rsidRPr="003D51E4" w:rsidRDefault="005D37F4" w:rsidP="00940768">
      <w:pPr>
        <w:pStyle w:val="ListParagraph"/>
        <w:numPr>
          <w:ilvl w:val="1"/>
          <w:numId w:val="3"/>
        </w:numPr>
        <w:tabs>
          <w:tab w:val="left" w:pos="1418"/>
        </w:tabs>
        <w:ind w:hanging="357"/>
        <w:contextualSpacing w:val="0"/>
        <w:textAlignment w:val="baseline"/>
        <w:rPr>
          <w:rFonts w:ascii="Arial" w:hAnsi="Arial"/>
          <w:sz w:val="24"/>
        </w:rPr>
      </w:pPr>
      <w:r w:rsidRPr="003D51E4">
        <w:rPr>
          <w:rFonts w:ascii="Arial" w:hAnsi="Arial"/>
          <w:sz w:val="24"/>
        </w:rPr>
        <w:t>Commonwealth</w:t>
      </w:r>
      <w:r w:rsidR="00307185">
        <w:rPr>
          <w:rFonts w:ascii="Arial" w:hAnsi="Arial"/>
          <w:sz w:val="24"/>
        </w:rPr>
        <w:t>’s</w:t>
      </w:r>
      <w:r w:rsidRPr="003D51E4">
        <w:rPr>
          <w:rFonts w:ascii="Arial" w:hAnsi="Arial"/>
          <w:sz w:val="24"/>
        </w:rPr>
        <w:t xml:space="preserve"> </w:t>
      </w:r>
      <w:r w:rsidRPr="003D51E4">
        <w:rPr>
          <w:rFonts w:ascii="Arial" w:hAnsi="Arial"/>
          <w:i/>
          <w:sz w:val="24"/>
        </w:rPr>
        <w:t xml:space="preserve">Interactive Gambling Amendment </w:t>
      </w:r>
      <w:r w:rsidR="00EF3D8F" w:rsidRPr="003D51E4">
        <w:rPr>
          <w:rFonts w:ascii="Arial" w:hAnsi="Arial"/>
          <w:i/>
          <w:sz w:val="24"/>
        </w:rPr>
        <w:t>Act</w:t>
      </w:r>
      <w:r w:rsidRPr="003D51E4">
        <w:rPr>
          <w:rFonts w:ascii="Arial" w:hAnsi="Arial"/>
          <w:i/>
          <w:sz w:val="24"/>
        </w:rPr>
        <w:t xml:space="preserve"> 2017</w:t>
      </w:r>
    </w:p>
    <w:p w14:paraId="789E5543" w14:textId="77777777" w:rsidR="006A529C" w:rsidRPr="003D51E4" w:rsidRDefault="00BD567A" w:rsidP="00940768">
      <w:pPr>
        <w:pStyle w:val="ListParagraph"/>
        <w:numPr>
          <w:ilvl w:val="0"/>
          <w:numId w:val="3"/>
        </w:numPr>
        <w:tabs>
          <w:tab w:val="left" w:pos="709"/>
        </w:tabs>
        <w:ind w:hanging="357"/>
        <w:contextualSpacing w:val="0"/>
        <w:textAlignment w:val="baseline"/>
        <w:rPr>
          <w:rFonts w:ascii="Arial" w:hAnsi="Arial"/>
          <w:sz w:val="24"/>
        </w:rPr>
      </w:pPr>
      <w:r w:rsidRPr="003D51E4">
        <w:rPr>
          <w:rFonts w:ascii="Arial" w:hAnsi="Arial" w:cs="Arial"/>
          <w:sz w:val="24"/>
          <w:szCs w:val="24"/>
        </w:rPr>
        <w:t>c</w:t>
      </w:r>
      <w:r w:rsidR="00C06069" w:rsidRPr="003D51E4">
        <w:rPr>
          <w:rFonts w:ascii="Arial" w:hAnsi="Arial" w:cs="Arial"/>
          <w:sz w:val="24"/>
          <w:szCs w:val="24"/>
        </w:rPr>
        <w:t>ustomer</w:t>
      </w:r>
      <w:r w:rsidR="00C06069" w:rsidRPr="003D51E4">
        <w:rPr>
          <w:rFonts w:ascii="Arial" w:hAnsi="Arial"/>
          <w:sz w:val="24"/>
        </w:rPr>
        <w:t xml:space="preserve"> verification period</w:t>
      </w:r>
      <w:r w:rsidR="00963F17">
        <w:rPr>
          <w:rFonts w:ascii="Arial" w:hAnsi="Arial"/>
          <w:sz w:val="24"/>
        </w:rPr>
        <w:t>, pursuant to</w:t>
      </w:r>
      <w:r w:rsidR="00307185">
        <w:rPr>
          <w:rFonts w:ascii="Arial" w:hAnsi="Arial"/>
          <w:sz w:val="24"/>
        </w:rPr>
        <w:t xml:space="preserve"> the</w:t>
      </w:r>
    </w:p>
    <w:p w14:paraId="6D39E3F9" w14:textId="77777777" w:rsidR="005D37F4" w:rsidRPr="00035A77" w:rsidRDefault="005D37F4" w:rsidP="00940768">
      <w:pPr>
        <w:pStyle w:val="ListParagraph"/>
        <w:numPr>
          <w:ilvl w:val="1"/>
          <w:numId w:val="3"/>
        </w:numPr>
        <w:tabs>
          <w:tab w:val="left" w:pos="1418"/>
        </w:tabs>
        <w:ind w:hanging="357"/>
        <w:contextualSpacing w:val="0"/>
        <w:textAlignment w:val="baseline"/>
        <w:rPr>
          <w:rFonts w:ascii="Arial" w:hAnsi="Arial"/>
          <w:sz w:val="24"/>
        </w:rPr>
      </w:pPr>
      <w:r w:rsidRPr="00035A77">
        <w:rPr>
          <w:rFonts w:ascii="Arial" w:hAnsi="Arial"/>
          <w:sz w:val="24"/>
        </w:rPr>
        <w:t>Commonwealth</w:t>
      </w:r>
      <w:r w:rsidR="00307185" w:rsidRPr="00035A77">
        <w:rPr>
          <w:rFonts w:ascii="Arial" w:hAnsi="Arial"/>
          <w:sz w:val="24"/>
        </w:rPr>
        <w:t>’s</w:t>
      </w:r>
      <w:r w:rsidRPr="00035A77">
        <w:rPr>
          <w:rFonts w:ascii="Arial" w:hAnsi="Arial"/>
          <w:sz w:val="24"/>
        </w:rPr>
        <w:t xml:space="preserve"> Anti-Money Laundering and Counter</w:t>
      </w:r>
      <w:r w:rsidR="00C23C97" w:rsidRPr="00035A77">
        <w:rPr>
          <w:rFonts w:ascii="Arial" w:hAnsi="Arial"/>
          <w:sz w:val="24"/>
        </w:rPr>
        <w:t>-</w:t>
      </w:r>
      <w:r w:rsidR="00876181" w:rsidRPr="00035A77">
        <w:rPr>
          <w:rFonts w:ascii="Arial" w:hAnsi="Arial"/>
          <w:sz w:val="24"/>
        </w:rPr>
        <w:t xml:space="preserve">Terrorism </w:t>
      </w:r>
      <w:r w:rsidRPr="00035A77">
        <w:rPr>
          <w:rFonts w:ascii="Arial" w:hAnsi="Arial"/>
          <w:sz w:val="24"/>
        </w:rPr>
        <w:t>Finan</w:t>
      </w:r>
      <w:r w:rsidR="00876181" w:rsidRPr="00035A77">
        <w:rPr>
          <w:rFonts w:ascii="Arial" w:hAnsi="Arial"/>
          <w:sz w:val="24"/>
        </w:rPr>
        <w:t xml:space="preserve">cing </w:t>
      </w:r>
      <w:r w:rsidRPr="00035A77">
        <w:rPr>
          <w:rFonts w:ascii="Arial" w:hAnsi="Arial"/>
          <w:sz w:val="24"/>
        </w:rPr>
        <w:t>Rules</w:t>
      </w:r>
      <w:r w:rsidR="00876181" w:rsidRPr="00035A77">
        <w:rPr>
          <w:rFonts w:ascii="Arial" w:hAnsi="Arial"/>
          <w:sz w:val="24"/>
        </w:rPr>
        <w:t xml:space="preserve"> </w:t>
      </w:r>
      <w:r w:rsidR="00035A77" w:rsidRPr="00035A77">
        <w:rPr>
          <w:rFonts w:ascii="Arial" w:hAnsi="Arial"/>
          <w:sz w:val="24"/>
        </w:rPr>
        <w:t xml:space="preserve">Instrument </w:t>
      </w:r>
      <w:r w:rsidR="00876181" w:rsidRPr="00035A77">
        <w:rPr>
          <w:rFonts w:ascii="Arial" w:hAnsi="Arial"/>
          <w:sz w:val="24"/>
        </w:rPr>
        <w:t>2007</w:t>
      </w:r>
      <w:r w:rsidR="00035A77" w:rsidRPr="00035A77">
        <w:rPr>
          <w:rFonts w:ascii="Arial" w:hAnsi="Arial"/>
          <w:sz w:val="24"/>
        </w:rPr>
        <w:t xml:space="preserve"> (No.1)</w:t>
      </w:r>
    </w:p>
    <w:p w14:paraId="60EBB261" w14:textId="77777777" w:rsidR="00963F17" w:rsidRDefault="00BD567A" w:rsidP="00940768">
      <w:pPr>
        <w:pStyle w:val="ListParagraph"/>
        <w:numPr>
          <w:ilvl w:val="0"/>
          <w:numId w:val="3"/>
        </w:numPr>
        <w:tabs>
          <w:tab w:val="left" w:pos="709"/>
        </w:tabs>
        <w:ind w:hanging="357"/>
        <w:contextualSpacing w:val="0"/>
        <w:textAlignment w:val="baseline"/>
        <w:rPr>
          <w:rFonts w:ascii="Arial" w:hAnsi="Arial"/>
          <w:sz w:val="24"/>
        </w:rPr>
      </w:pPr>
      <w:r w:rsidRPr="003D51E4">
        <w:rPr>
          <w:rFonts w:ascii="Arial" w:hAnsi="Arial" w:cs="Arial"/>
          <w:sz w:val="24"/>
          <w:szCs w:val="24"/>
        </w:rPr>
        <w:t>n</w:t>
      </w:r>
      <w:r w:rsidR="00C06069" w:rsidRPr="003D51E4">
        <w:rPr>
          <w:rFonts w:ascii="Arial" w:hAnsi="Arial" w:cs="Arial"/>
          <w:sz w:val="24"/>
          <w:szCs w:val="24"/>
        </w:rPr>
        <w:t>ational</w:t>
      </w:r>
      <w:r w:rsidR="00C06069" w:rsidRPr="003D51E4">
        <w:rPr>
          <w:rFonts w:ascii="Arial" w:hAnsi="Arial"/>
          <w:sz w:val="24"/>
        </w:rPr>
        <w:t xml:space="preserve"> self-exclusion register</w:t>
      </w:r>
      <w:r w:rsidR="00963F17">
        <w:rPr>
          <w:rFonts w:ascii="Arial" w:hAnsi="Arial"/>
          <w:sz w:val="24"/>
        </w:rPr>
        <w:t>, pursuant to further amendments to the</w:t>
      </w:r>
    </w:p>
    <w:p w14:paraId="4D2714DF" w14:textId="77777777" w:rsidR="003C7CAE" w:rsidRPr="003D51E4" w:rsidRDefault="00963F17" w:rsidP="00D0310F">
      <w:pPr>
        <w:pStyle w:val="ListParagraph"/>
        <w:numPr>
          <w:ilvl w:val="1"/>
          <w:numId w:val="3"/>
        </w:numPr>
        <w:tabs>
          <w:tab w:val="left" w:pos="709"/>
        </w:tabs>
        <w:contextualSpacing w:val="0"/>
        <w:textAlignment w:val="baseline"/>
        <w:rPr>
          <w:rFonts w:ascii="Arial" w:hAnsi="Arial"/>
          <w:sz w:val="24"/>
        </w:rPr>
      </w:pPr>
      <w:r>
        <w:rPr>
          <w:rFonts w:ascii="Arial" w:hAnsi="Arial"/>
          <w:sz w:val="24"/>
        </w:rPr>
        <w:t>Commonwealth</w:t>
      </w:r>
      <w:r w:rsidR="00307185">
        <w:rPr>
          <w:rFonts w:ascii="Arial" w:hAnsi="Arial"/>
          <w:sz w:val="24"/>
        </w:rPr>
        <w:t>’s</w:t>
      </w:r>
      <w:r>
        <w:rPr>
          <w:rFonts w:ascii="Arial" w:hAnsi="Arial"/>
          <w:sz w:val="24"/>
        </w:rPr>
        <w:t xml:space="preserve"> </w:t>
      </w:r>
      <w:r w:rsidRPr="00307185">
        <w:rPr>
          <w:rFonts w:ascii="Arial" w:hAnsi="Arial"/>
          <w:i/>
          <w:sz w:val="24"/>
        </w:rPr>
        <w:t>Interactive Gambling Act 2001</w:t>
      </w:r>
      <w:r w:rsidR="005B44D4" w:rsidRPr="003D51E4">
        <w:rPr>
          <w:rFonts w:ascii="Arial" w:hAnsi="Arial"/>
          <w:sz w:val="24"/>
        </w:rPr>
        <w:t>.</w:t>
      </w:r>
    </w:p>
    <w:p w14:paraId="6F587C7C" w14:textId="77777777" w:rsidR="00B36A63" w:rsidRPr="00D0310F" w:rsidRDefault="00B36A63" w:rsidP="00940768">
      <w:pPr>
        <w:rPr>
          <w:rFonts w:ascii="Arial" w:hAnsi="Arial" w:cs="Arial"/>
          <w:sz w:val="24"/>
          <w:szCs w:val="24"/>
        </w:rPr>
      </w:pPr>
      <w:r w:rsidRPr="003D51E4">
        <w:rPr>
          <w:rFonts w:ascii="Arial" w:hAnsi="Arial" w:cs="Arial"/>
          <w:sz w:val="24"/>
          <w:szCs w:val="24"/>
        </w:rPr>
        <w:t>Th</w:t>
      </w:r>
      <w:r w:rsidR="00EC07D8" w:rsidRPr="003D51E4">
        <w:rPr>
          <w:rFonts w:ascii="Arial" w:hAnsi="Arial" w:cs="Arial"/>
          <w:sz w:val="24"/>
          <w:szCs w:val="24"/>
        </w:rPr>
        <w:t>is aligns with the Commonwealth’s jurisdiction over consumer credit</w:t>
      </w:r>
      <w:r w:rsidR="00E02C50" w:rsidRPr="003D51E4">
        <w:rPr>
          <w:rFonts w:ascii="Arial" w:hAnsi="Arial" w:cs="Arial"/>
          <w:sz w:val="24"/>
          <w:szCs w:val="24"/>
        </w:rPr>
        <w:t>,</w:t>
      </w:r>
      <w:r w:rsidR="00EC07D8" w:rsidRPr="003D51E4">
        <w:rPr>
          <w:rFonts w:ascii="Arial" w:hAnsi="Arial" w:cs="Arial"/>
          <w:sz w:val="24"/>
          <w:szCs w:val="24"/>
        </w:rPr>
        <w:t xml:space="preserve"> anti-money laundering</w:t>
      </w:r>
      <w:r w:rsidR="00E02C50" w:rsidRPr="003D51E4">
        <w:rPr>
          <w:rFonts w:ascii="Arial" w:hAnsi="Arial" w:cs="Arial"/>
          <w:sz w:val="24"/>
          <w:szCs w:val="24"/>
        </w:rPr>
        <w:t>,</w:t>
      </w:r>
      <w:r w:rsidR="00EC07D8" w:rsidRPr="003D51E4">
        <w:rPr>
          <w:rFonts w:ascii="Arial" w:hAnsi="Arial" w:cs="Arial"/>
          <w:sz w:val="24"/>
          <w:szCs w:val="24"/>
        </w:rPr>
        <w:t xml:space="preserve"> and counter</w:t>
      </w:r>
      <w:r w:rsidR="00EE4F6F">
        <w:rPr>
          <w:rFonts w:ascii="Arial" w:hAnsi="Arial" w:cs="Arial"/>
          <w:sz w:val="24"/>
          <w:szCs w:val="24"/>
        </w:rPr>
        <w:t>-</w:t>
      </w:r>
      <w:r w:rsidR="00EC07D8" w:rsidRPr="003D51E4">
        <w:rPr>
          <w:rFonts w:ascii="Arial" w:hAnsi="Arial" w:cs="Arial"/>
          <w:sz w:val="24"/>
          <w:szCs w:val="24"/>
        </w:rPr>
        <w:t>terrorism financing.</w:t>
      </w:r>
      <w:r w:rsidR="003C36F5" w:rsidRPr="003D51E4">
        <w:rPr>
          <w:rFonts w:ascii="Arial" w:hAnsi="Arial" w:cs="Arial"/>
          <w:sz w:val="24"/>
          <w:szCs w:val="24"/>
        </w:rPr>
        <w:t xml:space="preserve"> The Commonwealth also has jurisdiction over matters related to interactive gambling and its prohibition. </w:t>
      </w:r>
    </w:p>
    <w:p w14:paraId="30AC9A35" w14:textId="77777777" w:rsidR="00547E8E" w:rsidRPr="003D51E4" w:rsidRDefault="00547E8E" w:rsidP="00940768">
      <w:pPr>
        <w:tabs>
          <w:tab w:val="left" w:pos="3600"/>
        </w:tabs>
        <w:textAlignment w:val="baseline"/>
        <w:rPr>
          <w:rFonts w:ascii="Arial" w:hAnsi="Arial"/>
          <w:sz w:val="24"/>
          <w:szCs w:val="24"/>
          <w:u w:val="single"/>
        </w:rPr>
      </w:pPr>
      <w:r w:rsidRPr="003D51E4">
        <w:rPr>
          <w:rFonts w:ascii="Arial" w:hAnsi="Arial"/>
          <w:sz w:val="24"/>
          <w:szCs w:val="24"/>
          <w:u w:val="single"/>
        </w:rPr>
        <w:t>States</w:t>
      </w:r>
      <w:r w:rsidR="003C7CAE" w:rsidRPr="003D51E4">
        <w:rPr>
          <w:rFonts w:ascii="Arial" w:hAnsi="Arial"/>
          <w:sz w:val="24"/>
          <w:szCs w:val="24"/>
          <w:u w:val="single"/>
        </w:rPr>
        <w:t xml:space="preserve"> and territories</w:t>
      </w:r>
    </w:p>
    <w:p w14:paraId="68A4B227" w14:textId="77777777" w:rsidR="00C06069" w:rsidRPr="003D51E4" w:rsidRDefault="00C06069" w:rsidP="00D0310F">
      <w:pPr>
        <w:rPr>
          <w:rFonts w:ascii="Arial" w:hAnsi="Arial"/>
          <w:sz w:val="24"/>
        </w:rPr>
      </w:pPr>
      <w:r w:rsidRPr="003D51E4">
        <w:rPr>
          <w:rFonts w:ascii="Arial" w:hAnsi="Arial"/>
          <w:sz w:val="24"/>
        </w:rPr>
        <w:t xml:space="preserve">State and </w:t>
      </w:r>
      <w:r w:rsidR="00EF3D8F" w:rsidRPr="003D51E4">
        <w:rPr>
          <w:rFonts w:ascii="Arial" w:hAnsi="Arial"/>
          <w:sz w:val="24"/>
        </w:rPr>
        <w:t>t</w:t>
      </w:r>
      <w:r w:rsidRPr="003D51E4">
        <w:rPr>
          <w:rFonts w:ascii="Arial" w:hAnsi="Arial"/>
          <w:sz w:val="24"/>
        </w:rPr>
        <w:t xml:space="preserve">erritory </w:t>
      </w:r>
      <w:r w:rsidR="00EF3D8F" w:rsidRPr="003D51E4">
        <w:rPr>
          <w:rFonts w:ascii="Arial" w:hAnsi="Arial"/>
          <w:sz w:val="24"/>
        </w:rPr>
        <w:t>g</w:t>
      </w:r>
      <w:r w:rsidRPr="003D51E4">
        <w:rPr>
          <w:rFonts w:ascii="Arial" w:hAnsi="Arial"/>
          <w:sz w:val="24"/>
        </w:rPr>
        <w:t xml:space="preserve">overnments </w:t>
      </w:r>
      <w:r w:rsidR="00864B1F" w:rsidRPr="003D51E4">
        <w:rPr>
          <w:rFonts w:ascii="Arial" w:hAnsi="Arial"/>
          <w:sz w:val="24"/>
        </w:rPr>
        <w:t>ar</w:t>
      </w:r>
      <w:r w:rsidRPr="003D51E4">
        <w:rPr>
          <w:rFonts w:ascii="Arial" w:hAnsi="Arial"/>
          <w:sz w:val="24"/>
        </w:rPr>
        <w:t>e responsible for enacting and administering</w:t>
      </w:r>
      <w:r w:rsidR="00363ADB" w:rsidRPr="003D51E4">
        <w:rPr>
          <w:rFonts w:ascii="Arial" w:hAnsi="Arial"/>
          <w:sz w:val="24"/>
        </w:rPr>
        <w:t>, in</w:t>
      </w:r>
      <w:r w:rsidR="00A42FF4" w:rsidRPr="003D51E4">
        <w:rPr>
          <w:rFonts w:ascii="Arial" w:hAnsi="Arial"/>
          <w:sz w:val="24"/>
        </w:rPr>
        <w:t>c</w:t>
      </w:r>
      <w:r w:rsidRPr="003D51E4">
        <w:rPr>
          <w:rFonts w:ascii="Arial" w:hAnsi="Arial"/>
          <w:sz w:val="24"/>
        </w:rPr>
        <w:t xml:space="preserve">luding monitoring, </w:t>
      </w:r>
      <w:r w:rsidR="000F3091" w:rsidRPr="003D51E4">
        <w:rPr>
          <w:rFonts w:ascii="Arial" w:hAnsi="Arial"/>
          <w:sz w:val="24"/>
        </w:rPr>
        <w:t>enforcing</w:t>
      </w:r>
      <w:r w:rsidR="0025543B" w:rsidRPr="003D51E4">
        <w:rPr>
          <w:rFonts w:ascii="Arial" w:hAnsi="Arial"/>
          <w:sz w:val="24"/>
        </w:rPr>
        <w:t>,</w:t>
      </w:r>
      <w:r w:rsidR="000F3091" w:rsidRPr="003D51E4">
        <w:rPr>
          <w:rFonts w:ascii="Arial" w:hAnsi="Arial"/>
          <w:sz w:val="24"/>
        </w:rPr>
        <w:t xml:space="preserve"> </w:t>
      </w:r>
      <w:r w:rsidRPr="003D51E4">
        <w:rPr>
          <w:rFonts w:ascii="Arial" w:hAnsi="Arial"/>
          <w:sz w:val="24"/>
        </w:rPr>
        <w:t>and promoting compliance</w:t>
      </w:r>
      <w:r w:rsidR="00363ADB" w:rsidRPr="003D51E4">
        <w:rPr>
          <w:rFonts w:ascii="Arial" w:hAnsi="Arial"/>
          <w:sz w:val="24"/>
        </w:rPr>
        <w:t xml:space="preserve"> with, </w:t>
      </w:r>
      <w:r w:rsidR="00A42FF4" w:rsidRPr="003D51E4">
        <w:rPr>
          <w:rFonts w:ascii="Arial" w:hAnsi="Arial"/>
          <w:sz w:val="24"/>
        </w:rPr>
        <w:t xml:space="preserve">the </w:t>
      </w:r>
      <w:r w:rsidRPr="003D51E4">
        <w:rPr>
          <w:rFonts w:ascii="Arial" w:hAnsi="Arial"/>
          <w:sz w:val="24"/>
        </w:rPr>
        <w:t xml:space="preserve">following measures: </w:t>
      </w:r>
    </w:p>
    <w:p w14:paraId="11536646" w14:textId="77777777" w:rsidR="00C06069" w:rsidRPr="003D51E4" w:rsidRDefault="00BD567A" w:rsidP="00940768">
      <w:pPr>
        <w:pStyle w:val="ListParagraph"/>
        <w:numPr>
          <w:ilvl w:val="0"/>
          <w:numId w:val="4"/>
        </w:numPr>
        <w:tabs>
          <w:tab w:val="left" w:pos="709"/>
        </w:tabs>
        <w:contextualSpacing w:val="0"/>
        <w:textAlignment w:val="baseline"/>
        <w:rPr>
          <w:rFonts w:ascii="Arial" w:hAnsi="Arial"/>
          <w:sz w:val="24"/>
        </w:rPr>
      </w:pPr>
      <w:r w:rsidRPr="003D51E4">
        <w:rPr>
          <w:rFonts w:ascii="Arial" w:hAnsi="Arial" w:cs="Arial"/>
          <w:sz w:val="24"/>
          <w:szCs w:val="24"/>
        </w:rPr>
        <w:t>v</w:t>
      </w:r>
      <w:r w:rsidR="00C06069" w:rsidRPr="003D51E4">
        <w:rPr>
          <w:rFonts w:ascii="Arial" w:hAnsi="Arial" w:cs="Arial"/>
          <w:sz w:val="24"/>
          <w:szCs w:val="24"/>
        </w:rPr>
        <w:t>oluntary</w:t>
      </w:r>
      <w:r w:rsidR="00C06069" w:rsidRPr="003D51E4">
        <w:rPr>
          <w:rFonts w:ascii="Arial" w:hAnsi="Arial"/>
          <w:sz w:val="24"/>
        </w:rPr>
        <w:t xml:space="preserve"> opt-out pre-commitment </w:t>
      </w:r>
    </w:p>
    <w:p w14:paraId="478758AE" w14:textId="77777777" w:rsidR="00B348AC" w:rsidRPr="003D51E4" w:rsidRDefault="00B348AC" w:rsidP="00940768">
      <w:pPr>
        <w:pStyle w:val="ListParagraph"/>
        <w:numPr>
          <w:ilvl w:val="0"/>
          <w:numId w:val="4"/>
        </w:numPr>
        <w:tabs>
          <w:tab w:val="left" w:pos="709"/>
        </w:tabs>
        <w:contextualSpacing w:val="0"/>
        <w:textAlignment w:val="baseline"/>
        <w:rPr>
          <w:rFonts w:ascii="Arial" w:hAnsi="Arial"/>
          <w:sz w:val="24"/>
        </w:rPr>
      </w:pPr>
      <w:r w:rsidRPr="003D51E4">
        <w:rPr>
          <w:rFonts w:ascii="Arial" w:hAnsi="Arial"/>
          <w:sz w:val="24"/>
        </w:rPr>
        <w:t>offering of inducements</w:t>
      </w:r>
    </w:p>
    <w:p w14:paraId="2E61EF77" w14:textId="77777777" w:rsidR="00C06069" w:rsidRPr="003D51E4" w:rsidRDefault="00BD567A" w:rsidP="00940768">
      <w:pPr>
        <w:pStyle w:val="ListParagraph"/>
        <w:numPr>
          <w:ilvl w:val="0"/>
          <w:numId w:val="4"/>
        </w:numPr>
        <w:tabs>
          <w:tab w:val="left" w:pos="709"/>
        </w:tabs>
        <w:contextualSpacing w:val="0"/>
        <w:textAlignment w:val="baseline"/>
        <w:rPr>
          <w:rFonts w:ascii="Arial" w:hAnsi="Arial"/>
          <w:sz w:val="24"/>
        </w:rPr>
      </w:pPr>
      <w:r w:rsidRPr="003D51E4">
        <w:rPr>
          <w:rFonts w:ascii="Arial" w:hAnsi="Arial" w:cs="Arial"/>
          <w:sz w:val="24"/>
          <w:szCs w:val="24"/>
        </w:rPr>
        <w:t>a</w:t>
      </w:r>
      <w:r w:rsidR="00C06069" w:rsidRPr="003D51E4">
        <w:rPr>
          <w:rFonts w:ascii="Arial" w:hAnsi="Arial" w:cs="Arial"/>
          <w:sz w:val="24"/>
          <w:szCs w:val="24"/>
        </w:rPr>
        <w:t>ctivity</w:t>
      </w:r>
      <w:r w:rsidR="00C06069" w:rsidRPr="003D51E4">
        <w:rPr>
          <w:rFonts w:ascii="Arial" w:hAnsi="Arial"/>
          <w:sz w:val="24"/>
        </w:rPr>
        <w:t xml:space="preserve"> statements</w:t>
      </w:r>
    </w:p>
    <w:p w14:paraId="7E2C836A" w14:textId="77777777" w:rsidR="00E04602" w:rsidRPr="003D51E4" w:rsidRDefault="00475914" w:rsidP="00940768">
      <w:pPr>
        <w:pStyle w:val="ListParagraph"/>
        <w:numPr>
          <w:ilvl w:val="0"/>
          <w:numId w:val="4"/>
        </w:numPr>
        <w:tabs>
          <w:tab w:val="left" w:pos="709"/>
        </w:tabs>
        <w:contextualSpacing w:val="0"/>
        <w:textAlignment w:val="baseline"/>
        <w:rPr>
          <w:rFonts w:ascii="Arial" w:hAnsi="Arial"/>
          <w:sz w:val="24"/>
        </w:rPr>
      </w:pPr>
      <w:r w:rsidRPr="003D51E4">
        <w:rPr>
          <w:rFonts w:ascii="Arial" w:hAnsi="Arial" w:cs="Arial"/>
          <w:sz w:val="24"/>
          <w:szCs w:val="24"/>
        </w:rPr>
        <w:t>consistent</w:t>
      </w:r>
      <w:r w:rsidRPr="003D51E4">
        <w:rPr>
          <w:rFonts w:ascii="Arial" w:hAnsi="Arial"/>
          <w:sz w:val="24"/>
        </w:rPr>
        <w:t xml:space="preserve"> </w:t>
      </w:r>
      <w:r w:rsidR="00C06069" w:rsidRPr="003D51E4">
        <w:rPr>
          <w:rFonts w:ascii="Arial" w:hAnsi="Arial"/>
          <w:sz w:val="24"/>
        </w:rPr>
        <w:t>gambling messaging</w:t>
      </w:r>
      <w:r w:rsidR="003C7CAE" w:rsidRPr="003D51E4">
        <w:rPr>
          <w:rFonts w:ascii="Arial" w:hAnsi="Arial"/>
          <w:sz w:val="24"/>
        </w:rPr>
        <w:t xml:space="preserve"> </w:t>
      </w:r>
    </w:p>
    <w:p w14:paraId="0CBA7BE3" w14:textId="77777777" w:rsidR="00E04602" w:rsidRPr="003D51E4" w:rsidRDefault="00E04602" w:rsidP="00940768">
      <w:pPr>
        <w:pStyle w:val="ListParagraph"/>
        <w:numPr>
          <w:ilvl w:val="0"/>
          <w:numId w:val="4"/>
        </w:numPr>
        <w:tabs>
          <w:tab w:val="left" w:pos="709"/>
        </w:tabs>
        <w:contextualSpacing w:val="0"/>
        <w:textAlignment w:val="baseline"/>
        <w:rPr>
          <w:rFonts w:ascii="Arial" w:hAnsi="Arial"/>
          <w:sz w:val="24"/>
        </w:rPr>
      </w:pPr>
      <w:r w:rsidRPr="003D51E4">
        <w:rPr>
          <w:rFonts w:ascii="Arial" w:hAnsi="Arial"/>
          <w:sz w:val="24"/>
        </w:rPr>
        <w:t>account closures</w:t>
      </w:r>
    </w:p>
    <w:p w14:paraId="692F6909" w14:textId="77777777" w:rsidR="006D724F" w:rsidRPr="00E962CB" w:rsidRDefault="00BD567A" w:rsidP="00940768">
      <w:pPr>
        <w:pStyle w:val="ListParagraph"/>
        <w:numPr>
          <w:ilvl w:val="0"/>
          <w:numId w:val="4"/>
        </w:numPr>
        <w:tabs>
          <w:tab w:val="left" w:pos="709"/>
        </w:tabs>
        <w:contextualSpacing w:val="0"/>
        <w:textAlignment w:val="baseline"/>
        <w:rPr>
          <w:color w:val="222222"/>
        </w:rPr>
      </w:pPr>
      <w:r w:rsidRPr="00E962CB">
        <w:rPr>
          <w:rFonts w:ascii="Arial" w:hAnsi="Arial" w:cs="Arial"/>
          <w:sz w:val="24"/>
          <w:szCs w:val="24"/>
        </w:rPr>
        <w:t>s</w:t>
      </w:r>
      <w:r w:rsidR="00C06069" w:rsidRPr="00E962CB">
        <w:rPr>
          <w:rFonts w:ascii="Arial" w:hAnsi="Arial" w:cs="Arial"/>
          <w:sz w:val="24"/>
          <w:szCs w:val="24"/>
        </w:rPr>
        <w:t>taff</w:t>
      </w:r>
      <w:r w:rsidR="00C06069" w:rsidRPr="00E962CB">
        <w:rPr>
          <w:rFonts w:ascii="Arial" w:hAnsi="Arial"/>
          <w:sz w:val="24"/>
        </w:rPr>
        <w:t xml:space="preserve"> training</w:t>
      </w:r>
      <w:r w:rsidR="00E144A9" w:rsidRPr="00E962CB">
        <w:rPr>
          <w:rFonts w:ascii="Arial" w:hAnsi="Arial"/>
          <w:sz w:val="24"/>
        </w:rPr>
        <w:t>.</w:t>
      </w:r>
    </w:p>
    <w:p w14:paraId="5ADD799A" w14:textId="77777777" w:rsidR="002240E6" w:rsidRPr="005618D3" w:rsidRDefault="002240E6" w:rsidP="005618D3">
      <w:pPr>
        <w:pStyle w:val="Heading3"/>
        <w:rPr>
          <w:rFonts w:ascii="Arial" w:hAnsi="Arial" w:cs="Arial"/>
          <w:b w:val="0"/>
          <w:sz w:val="32"/>
          <w:szCs w:val="32"/>
        </w:rPr>
      </w:pPr>
      <w:r w:rsidRPr="005618D3">
        <w:rPr>
          <w:rFonts w:ascii="Arial" w:hAnsi="Arial" w:cs="Arial"/>
          <w:b w:val="0"/>
          <w:color w:val="C00000"/>
          <w:sz w:val="32"/>
          <w:szCs w:val="32"/>
        </w:rPr>
        <w:lastRenderedPageBreak/>
        <w:t xml:space="preserve">National </w:t>
      </w:r>
      <w:r w:rsidR="00384CB1" w:rsidRPr="005618D3">
        <w:rPr>
          <w:rFonts w:ascii="Arial" w:hAnsi="Arial" w:cs="Arial"/>
          <w:b w:val="0"/>
          <w:color w:val="C00000"/>
          <w:sz w:val="32"/>
          <w:szCs w:val="32"/>
        </w:rPr>
        <w:t>c</w:t>
      </w:r>
      <w:r w:rsidRPr="005618D3">
        <w:rPr>
          <w:rFonts w:ascii="Arial" w:hAnsi="Arial" w:cs="Arial"/>
          <w:b w:val="0"/>
          <w:color w:val="C00000"/>
          <w:sz w:val="32"/>
          <w:szCs w:val="32"/>
        </w:rPr>
        <w:t>onsistency</w:t>
      </w:r>
      <w:r w:rsidR="0020584E" w:rsidRPr="005618D3">
        <w:rPr>
          <w:rFonts w:ascii="Arial" w:hAnsi="Arial" w:cs="Arial"/>
          <w:b w:val="0"/>
          <w:sz w:val="32"/>
          <w:szCs w:val="32"/>
        </w:rPr>
        <w:tab/>
      </w:r>
    </w:p>
    <w:p w14:paraId="7D8EE208" w14:textId="77777777" w:rsidR="005C20D8" w:rsidRPr="003D51E4" w:rsidRDefault="002E34FE" w:rsidP="00D0310F">
      <w:pPr>
        <w:rPr>
          <w:rFonts w:ascii="Arial" w:hAnsi="Arial"/>
          <w:sz w:val="24"/>
        </w:rPr>
      </w:pPr>
      <w:r w:rsidRPr="003D51E4">
        <w:rPr>
          <w:rFonts w:ascii="Arial" w:hAnsi="Arial"/>
          <w:sz w:val="24"/>
        </w:rPr>
        <w:t>While each government retains control over how</w:t>
      </w:r>
      <w:r w:rsidR="001F7A35" w:rsidRPr="003D51E4">
        <w:rPr>
          <w:rFonts w:ascii="Arial" w:hAnsi="Arial"/>
          <w:sz w:val="24"/>
        </w:rPr>
        <w:t xml:space="preserve"> </w:t>
      </w:r>
      <w:r w:rsidRPr="003D51E4">
        <w:rPr>
          <w:rFonts w:ascii="Arial" w:hAnsi="Arial"/>
          <w:sz w:val="24"/>
        </w:rPr>
        <w:t xml:space="preserve">a </w:t>
      </w:r>
      <w:r w:rsidR="000161C6" w:rsidRPr="003D51E4">
        <w:rPr>
          <w:rFonts w:ascii="Arial" w:hAnsi="Arial"/>
          <w:sz w:val="24"/>
        </w:rPr>
        <w:t xml:space="preserve">consumer protection </w:t>
      </w:r>
      <w:r w:rsidR="00963F17">
        <w:rPr>
          <w:rFonts w:ascii="Arial" w:hAnsi="Arial"/>
          <w:sz w:val="24"/>
        </w:rPr>
        <w:t xml:space="preserve">measure is </w:t>
      </w:r>
      <w:r w:rsidRPr="003D51E4">
        <w:rPr>
          <w:rFonts w:ascii="Arial" w:hAnsi="Arial"/>
          <w:sz w:val="24"/>
        </w:rPr>
        <w:t xml:space="preserve">implemented, </w:t>
      </w:r>
      <w:r w:rsidR="00971A66" w:rsidRPr="003D51E4">
        <w:rPr>
          <w:rFonts w:ascii="Arial" w:hAnsi="Arial"/>
          <w:sz w:val="24"/>
        </w:rPr>
        <w:t>all governments</w:t>
      </w:r>
      <w:r w:rsidR="007E60F3" w:rsidRPr="003D51E4">
        <w:rPr>
          <w:rFonts w:ascii="Arial" w:hAnsi="Arial"/>
          <w:sz w:val="24"/>
        </w:rPr>
        <w:t xml:space="preserve"> </w:t>
      </w:r>
      <w:r w:rsidR="002240E6" w:rsidRPr="003D51E4">
        <w:rPr>
          <w:rFonts w:ascii="Arial" w:hAnsi="Arial"/>
          <w:sz w:val="24"/>
        </w:rPr>
        <w:t xml:space="preserve">commit to </w:t>
      </w:r>
      <w:r w:rsidR="0091797E" w:rsidRPr="003D51E4">
        <w:rPr>
          <w:rFonts w:ascii="Arial" w:hAnsi="Arial"/>
          <w:sz w:val="24"/>
        </w:rPr>
        <w:t>applying a common policy approach to maintaining national consistency as set out below. This is intended to avoid undermining a key purpose of the National Framework.</w:t>
      </w:r>
      <w:r w:rsidR="0091797E" w:rsidRPr="003D51E4" w:rsidDel="0091797E">
        <w:rPr>
          <w:rFonts w:ascii="Arial" w:hAnsi="Arial"/>
          <w:sz w:val="24"/>
        </w:rPr>
        <w:t xml:space="preserve"> </w:t>
      </w:r>
    </w:p>
    <w:p w14:paraId="6D824BFB" w14:textId="77777777" w:rsidR="008322B7" w:rsidRPr="003D51E4" w:rsidRDefault="008D0097" w:rsidP="00D0310F">
      <w:pPr>
        <w:rPr>
          <w:rFonts w:ascii="Arial" w:hAnsi="Arial"/>
          <w:sz w:val="24"/>
        </w:rPr>
      </w:pPr>
      <w:r w:rsidRPr="003D51E4">
        <w:rPr>
          <w:rFonts w:ascii="Arial" w:hAnsi="Arial"/>
          <w:sz w:val="24"/>
        </w:rPr>
        <w:t>Taking</w:t>
      </w:r>
      <w:r w:rsidR="007969C6" w:rsidRPr="003D51E4">
        <w:rPr>
          <w:rFonts w:ascii="Arial" w:hAnsi="Arial"/>
          <w:sz w:val="24"/>
        </w:rPr>
        <w:t xml:space="preserve"> the </w:t>
      </w:r>
      <w:r w:rsidRPr="003D51E4">
        <w:rPr>
          <w:rFonts w:ascii="Arial" w:hAnsi="Arial"/>
          <w:sz w:val="24"/>
        </w:rPr>
        <w:t xml:space="preserve">current </w:t>
      </w:r>
      <w:r w:rsidR="007969C6" w:rsidRPr="003D51E4">
        <w:rPr>
          <w:rFonts w:ascii="Arial" w:hAnsi="Arial"/>
          <w:sz w:val="24"/>
        </w:rPr>
        <w:t>policy approach</w:t>
      </w:r>
      <w:r w:rsidR="002D45BB" w:rsidRPr="003D51E4">
        <w:rPr>
          <w:rFonts w:ascii="Arial" w:hAnsi="Arial"/>
          <w:sz w:val="24"/>
        </w:rPr>
        <w:t xml:space="preserve"> governing the </w:t>
      </w:r>
      <w:r w:rsidR="001069F6" w:rsidRPr="003D51E4">
        <w:rPr>
          <w:rFonts w:ascii="Arial" w:hAnsi="Arial"/>
          <w:sz w:val="24"/>
        </w:rPr>
        <w:t>application of</w:t>
      </w:r>
      <w:r w:rsidR="005037D0" w:rsidRPr="003D51E4">
        <w:rPr>
          <w:rFonts w:ascii="Arial" w:hAnsi="Arial"/>
          <w:sz w:val="24"/>
        </w:rPr>
        <w:t xml:space="preserve"> t</w:t>
      </w:r>
      <w:r w:rsidR="002D45BB" w:rsidRPr="003D51E4">
        <w:rPr>
          <w:rFonts w:ascii="Arial" w:hAnsi="Arial"/>
          <w:sz w:val="24"/>
        </w:rPr>
        <w:t>he</w:t>
      </w:r>
      <w:r w:rsidR="005037D0" w:rsidRPr="003D51E4">
        <w:rPr>
          <w:rFonts w:ascii="Arial" w:hAnsi="Arial"/>
          <w:sz w:val="24"/>
        </w:rPr>
        <w:t xml:space="preserve"> </w:t>
      </w:r>
      <w:r w:rsidR="00DC4EFB" w:rsidRPr="003D51E4">
        <w:rPr>
          <w:rFonts w:ascii="Arial" w:hAnsi="Arial"/>
          <w:sz w:val="24"/>
        </w:rPr>
        <w:t xml:space="preserve">existing </w:t>
      </w:r>
      <w:r w:rsidR="002D45BB" w:rsidRPr="003D51E4">
        <w:rPr>
          <w:rFonts w:ascii="Arial" w:hAnsi="Arial"/>
          <w:sz w:val="24"/>
        </w:rPr>
        <w:t>Australian consumer laws</w:t>
      </w:r>
      <w:r w:rsidR="005037D0" w:rsidRPr="003D51E4">
        <w:rPr>
          <w:rFonts w:ascii="Arial" w:hAnsi="Arial"/>
          <w:sz w:val="24"/>
        </w:rPr>
        <w:t xml:space="preserve"> </w:t>
      </w:r>
      <w:r w:rsidR="001069F6" w:rsidRPr="003D51E4">
        <w:rPr>
          <w:rFonts w:ascii="Arial" w:hAnsi="Arial"/>
          <w:sz w:val="24"/>
        </w:rPr>
        <w:t>in online gambling</w:t>
      </w:r>
      <w:r w:rsidR="007969C6" w:rsidRPr="003D51E4">
        <w:rPr>
          <w:rFonts w:ascii="Arial" w:hAnsi="Arial"/>
          <w:sz w:val="24"/>
        </w:rPr>
        <w:t>,</w:t>
      </w:r>
      <w:r w:rsidR="00B84A43" w:rsidRPr="003D51E4">
        <w:rPr>
          <w:rStyle w:val="FootnoteReference"/>
          <w:rFonts w:ascii="Arial" w:hAnsi="Arial"/>
          <w:sz w:val="24"/>
        </w:rPr>
        <w:footnoteReference w:id="12"/>
      </w:r>
      <w:r w:rsidR="007969C6" w:rsidRPr="003D51E4">
        <w:rPr>
          <w:rFonts w:ascii="Arial" w:hAnsi="Arial"/>
          <w:sz w:val="24"/>
        </w:rPr>
        <w:t xml:space="preserve"> </w:t>
      </w:r>
      <w:r w:rsidRPr="003D51E4">
        <w:rPr>
          <w:rFonts w:ascii="Arial" w:hAnsi="Arial"/>
          <w:sz w:val="24"/>
        </w:rPr>
        <w:t xml:space="preserve">maintaining consistency </w:t>
      </w:r>
      <w:r w:rsidR="008322B7" w:rsidRPr="003D51E4">
        <w:rPr>
          <w:rFonts w:ascii="Arial" w:hAnsi="Arial"/>
          <w:sz w:val="24"/>
        </w:rPr>
        <w:t>with the National Framework</w:t>
      </w:r>
      <w:r w:rsidR="001069F6" w:rsidRPr="003D51E4">
        <w:rPr>
          <w:rFonts w:ascii="Arial" w:hAnsi="Arial"/>
          <w:sz w:val="24"/>
        </w:rPr>
        <w:t>, includes</w:t>
      </w:r>
      <w:r w:rsidR="008322B7" w:rsidRPr="003D51E4">
        <w:rPr>
          <w:rFonts w:ascii="Arial" w:hAnsi="Arial"/>
          <w:sz w:val="24"/>
        </w:rPr>
        <w:t>:</w:t>
      </w:r>
    </w:p>
    <w:p w14:paraId="3AA9DEC9" w14:textId="77777777" w:rsidR="008322B7" w:rsidRPr="003D51E4" w:rsidRDefault="008322B7" w:rsidP="00D0310F">
      <w:pPr>
        <w:numPr>
          <w:ilvl w:val="0"/>
          <w:numId w:val="19"/>
        </w:numPr>
        <w:rPr>
          <w:rFonts w:ascii="Arial" w:hAnsi="Arial"/>
          <w:sz w:val="24"/>
        </w:rPr>
      </w:pPr>
      <w:r w:rsidRPr="003D51E4">
        <w:rPr>
          <w:rFonts w:ascii="Arial" w:hAnsi="Arial"/>
          <w:sz w:val="24"/>
        </w:rPr>
        <w:t xml:space="preserve">repealing or amending any </w:t>
      </w:r>
      <w:r w:rsidRPr="003D51E4">
        <w:rPr>
          <w:rFonts w:ascii="Arial" w:hAnsi="Arial"/>
          <w:i/>
          <w:sz w:val="24"/>
        </w:rPr>
        <w:t>inconsistent provisions</w:t>
      </w:r>
      <w:r w:rsidRPr="003D51E4">
        <w:rPr>
          <w:rFonts w:ascii="Arial" w:hAnsi="Arial"/>
          <w:sz w:val="24"/>
        </w:rPr>
        <w:t>, those being provisions which conflict, modify</w:t>
      </w:r>
      <w:r w:rsidR="00DC4EFB" w:rsidRPr="003D51E4">
        <w:rPr>
          <w:rFonts w:ascii="Arial" w:hAnsi="Arial"/>
          <w:sz w:val="24"/>
        </w:rPr>
        <w:t xml:space="preserve"> or detract</w:t>
      </w:r>
      <w:r w:rsidRPr="003D51E4">
        <w:rPr>
          <w:rFonts w:ascii="Arial" w:hAnsi="Arial"/>
          <w:sz w:val="24"/>
        </w:rPr>
        <w:t xml:space="preserve"> from the oper</w:t>
      </w:r>
      <w:r w:rsidR="00963F17">
        <w:rPr>
          <w:rFonts w:ascii="Arial" w:hAnsi="Arial"/>
          <w:sz w:val="24"/>
        </w:rPr>
        <w:t>ation of the National Framework</w:t>
      </w:r>
    </w:p>
    <w:p w14:paraId="21D48F93" w14:textId="77777777" w:rsidR="008322B7" w:rsidRPr="003D51E4" w:rsidRDefault="008322B7" w:rsidP="00D0310F">
      <w:pPr>
        <w:numPr>
          <w:ilvl w:val="0"/>
          <w:numId w:val="19"/>
        </w:numPr>
        <w:rPr>
          <w:rFonts w:ascii="Arial" w:hAnsi="Arial"/>
          <w:sz w:val="24"/>
        </w:rPr>
      </w:pPr>
      <w:r w:rsidRPr="003D51E4">
        <w:rPr>
          <w:rFonts w:ascii="Arial" w:hAnsi="Arial"/>
          <w:sz w:val="24"/>
        </w:rPr>
        <w:t xml:space="preserve">repealing </w:t>
      </w:r>
      <w:r w:rsidRPr="003D51E4">
        <w:rPr>
          <w:rFonts w:ascii="Arial" w:hAnsi="Arial"/>
          <w:i/>
          <w:sz w:val="24"/>
        </w:rPr>
        <w:t>duplicative provisions</w:t>
      </w:r>
      <w:r w:rsidRPr="003D51E4">
        <w:rPr>
          <w:rFonts w:ascii="Arial" w:hAnsi="Arial"/>
          <w:sz w:val="24"/>
        </w:rPr>
        <w:t>, those being provisions which</w:t>
      </w:r>
      <w:r w:rsidR="00F40AD0" w:rsidRPr="003D51E4">
        <w:rPr>
          <w:rFonts w:ascii="Arial" w:hAnsi="Arial"/>
          <w:sz w:val="24"/>
        </w:rPr>
        <w:t xml:space="preserve"> result in the </w:t>
      </w:r>
      <w:r w:rsidRPr="003D51E4">
        <w:rPr>
          <w:rFonts w:ascii="Arial" w:hAnsi="Arial"/>
          <w:sz w:val="24"/>
        </w:rPr>
        <w:t xml:space="preserve">same obligations or </w:t>
      </w:r>
      <w:r w:rsidR="00F848EA" w:rsidRPr="003D51E4">
        <w:rPr>
          <w:rFonts w:ascii="Arial" w:hAnsi="Arial"/>
          <w:sz w:val="24"/>
        </w:rPr>
        <w:t>requirement</w:t>
      </w:r>
      <w:r w:rsidRPr="003D51E4">
        <w:rPr>
          <w:rFonts w:ascii="Arial" w:hAnsi="Arial"/>
          <w:sz w:val="24"/>
        </w:rPr>
        <w:t>s</w:t>
      </w:r>
      <w:r w:rsidR="00F40AD0" w:rsidRPr="003D51E4">
        <w:rPr>
          <w:rFonts w:ascii="Arial" w:hAnsi="Arial"/>
          <w:sz w:val="24"/>
        </w:rPr>
        <w:t xml:space="preserve"> being</w:t>
      </w:r>
      <w:r w:rsidR="00FC24F7" w:rsidRPr="003D51E4">
        <w:rPr>
          <w:rFonts w:ascii="Arial" w:hAnsi="Arial"/>
          <w:sz w:val="24"/>
        </w:rPr>
        <w:t xml:space="preserve"> concurrently</w:t>
      </w:r>
      <w:r w:rsidR="00F40AD0" w:rsidRPr="003D51E4">
        <w:rPr>
          <w:rFonts w:ascii="Arial" w:hAnsi="Arial"/>
          <w:sz w:val="24"/>
        </w:rPr>
        <w:t xml:space="preserve"> imposed</w:t>
      </w:r>
      <w:r w:rsidRPr="003D51E4">
        <w:rPr>
          <w:rFonts w:ascii="Arial" w:hAnsi="Arial"/>
          <w:sz w:val="24"/>
        </w:rPr>
        <w:t xml:space="preserve"> (however expressed), as those</w:t>
      </w:r>
      <w:r w:rsidR="00DC4EFB" w:rsidRPr="003D51E4">
        <w:rPr>
          <w:rFonts w:ascii="Arial" w:hAnsi="Arial"/>
          <w:sz w:val="24"/>
        </w:rPr>
        <w:t xml:space="preserve"> committed to </w:t>
      </w:r>
      <w:r w:rsidRPr="003D51E4">
        <w:rPr>
          <w:rFonts w:ascii="Arial" w:hAnsi="Arial"/>
          <w:sz w:val="24"/>
        </w:rPr>
        <w:t>u</w:t>
      </w:r>
      <w:r w:rsidR="00963F17">
        <w:rPr>
          <w:rFonts w:ascii="Arial" w:hAnsi="Arial"/>
          <w:sz w:val="24"/>
        </w:rPr>
        <w:t>nder the National Framework</w:t>
      </w:r>
    </w:p>
    <w:p w14:paraId="7294C9F9" w14:textId="77777777" w:rsidR="008322B7" w:rsidRPr="003D51E4" w:rsidRDefault="008322B7" w:rsidP="00D0310F">
      <w:pPr>
        <w:numPr>
          <w:ilvl w:val="0"/>
          <w:numId w:val="19"/>
        </w:numPr>
        <w:rPr>
          <w:rFonts w:ascii="Arial" w:hAnsi="Arial"/>
          <w:sz w:val="24"/>
        </w:rPr>
      </w:pPr>
      <w:r w:rsidRPr="003D51E4">
        <w:rPr>
          <w:rFonts w:ascii="Arial" w:hAnsi="Arial"/>
          <w:sz w:val="24"/>
        </w:rPr>
        <w:t xml:space="preserve">monitoring </w:t>
      </w:r>
      <w:r w:rsidRPr="003D51E4">
        <w:rPr>
          <w:rFonts w:ascii="Arial" w:hAnsi="Arial"/>
          <w:i/>
          <w:sz w:val="24"/>
        </w:rPr>
        <w:t>complementary provisions</w:t>
      </w:r>
      <w:r w:rsidRPr="003D51E4">
        <w:rPr>
          <w:rFonts w:ascii="Arial" w:hAnsi="Arial"/>
          <w:sz w:val="24"/>
        </w:rPr>
        <w:t>, those being provisions which adds to or supplements the protections under the National Framework without duplication.</w:t>
      </w:r>
      <w:r w:rsidR="00B84A43" w:rsidRPr="003D51E4">
        <w:rPr>
          <w:rStyle w:val="FootnoteReference"/>
          <w:rFonts w:ascii="Arial" w:hAnsi="Arial"/>
          <w:sz w:val="24"/>
        </w:rPr>
        <w:footnoteReference w:id="13"/>
      </w:r>
    </w:p>
    <w:p w14:paraId="511551EA" w14:textId="77777777" w:rsidR="009267D4" w:rsidRPr="003D51E4" w:rsidRDefault="00FB122F" w:rsidP="00D0310F">
      <w:pPr>
        <w:rPr>
          <w:rFonts w:ascii="Arial" w:hAnsi="Arial"/>
          <w:sz w:val="24"/>
        </w:rPr>
      </w:pPr>
      <w:r w:rsidRPr="003D51E4">
        <w:rPr>
          <w:rFonts w:ascii="Arial" w:hAnsi="Arial"/>
          <w:sz w:val="24"/>
        </w:rPr>
        <w:t xml:space="preserve">These </w:t>
      </w:r>
      <w:r w:rsidR="00595B5D" w:rsidRPr="003D51E4">
        <w:rPr>
          <w:rFonts w:ascii="Arial" w:hAnsi="Arial"/>
          <w:sz w:val="24"/>
        </w:rPr>
        <w:t xml:space="preserve">same policy </w:t>
      </w:r>
      <w:r w:rsidRPr="003D51E4">
        <w:rPr>
          <w:rFonts w:ascii="Arial" w:hAnsi="Arial"/>
          <w:sz w:val="24"/>
        </w:rPr>
        <w:t>principles are set out for the purposes of</w:t>
      </w:r>
      <w:r w:rsidR="009267D4" w:rsidRPr="003D51E4">
        <w:rPr>
          <w:rFonts w:ascii="Arial" w:hAnsi="Arial"/>
          <w:sz w:val="24"/>
        </w:rPr>
        <w:t xml:space="preserve"> its broader application </w:t>
      </w:r>
      <w:r w:rsidRPr="003D51E4">
        <w:rPr>
          <w:rFonts w:ascii="Arial" w:hAnsi="Arial"/>
          <w:sz w:val="24"/>
        </w:rPr>
        <w:t xml:space="preserve">to the Australian Consumer Law in </w:t>
      </w:r>
      <w:hyperlink r:id="rId14" w:history="1">
        <w:r w:rsidRPr="003D51E4">
          <w:rPr>
            <w:rStyle w:val="Hyperlink"/>
            <w:rFonts w:ascii="Arial" w:hAnsi="Arial"/>
            <w:i/>
            <w:sz w:val="24"/>
          </w:rPr>
          <w:t>Maintaining consistency with the Australian Consumer Law: A guide to maintaining a harmonised and consistent approach when developing and reviewing legislation</w:t>
        </w:r>
      </w:hyperlink>
      <w:r w:rsidR="00234CA0" w:rsidRPr="003D51E4">
        <w:rPr>
          <w:rFonts w:ascii="Arial" w:hAnsi="Arial"/>
          <w:sz w:val="24"/>
        </w:rPr>
        <w:t xml:space="preserve"> (Consistency Guide).</w:t>
      </w:r>
      <w:r w:rsidR="00EA6B1C" w:rsidRPr="003D51E4">
        <w:rPr>
          <w:rStyle w:val="FootnoteReference"/>
          <w:rFonts w:ascii="Arial" w:hAnsi="Arial"/>
          <w:sz w:val="24"/>
        </w:rPr>
        <w:footnoteReference w:id="14"/>
      </w:r>
      <w:r w:rsidR="00234CA0" w:rsidRPr="003D51E4">
        <w:rPr>
          <w:rFonts w:ascii="Arial" w:hAnsi="Arial"/>
          <w:sz w:val="24"/>
        </w:rPr>
        <w:t xml:space="preserve"> </w:t>
      </w:r>
      <w:r w:rsidR="009267D4" w:rsidRPr="003D51E4">
        <w:rPr>
          <w:rFonts w:ascii="Arial" w:hAnsi="Arial"/>
          <w:sz w:val="24"/>
        </w:rPr>
        <w:t>Further detail on the meaning of the</w:t>
      </w:r>
      <w:r w:rsidR="00F848EA" w:rsidRPr="003D51E4">
        <w:rPr>
          <w:rFonts w:ascii="Arial" w:hAnsi="Arial"/>
          <w:sz w:val="24"/>
        </w:rPr>
        <w:t>se</w:t>
      </w:r>
      <w:r w:rsidR="009267D4" w:rsidRPr="003D51E4">
        <w:rPr>
          <w:rFonts w:ascii="Arial" w:hAnsi="Arial"/>
          <w:sz w:val="24"/>
        </w:rPr>
        <w:t xml:space="preserve"> principles is contained within t</w:t>
      </w:r>
      <w:r w:rsidR="00234CA0" w:rsidRPr="003D51E4">
        <w:rPr>
          <w:rFonts w:ascii="Arial" w:hAnsi="Arial"/>
          <w:sz w:val="24"/>
        </w:rPr>
        <w:t>his Consistency G</w:t>
      </w:r>
      <w:r w:rsidR="009267D4" w:rsidRPr="003D51E4">
        <w:rPr>
          <w:rFonts w:ascii="Arial" w:hAnsi="Arial"/>
          <w:sz w:val="24"/>
        </w:rPr>
        <w:t>uide.</w:t>
      </w:r>
      <w:r w:rsidR="0033222D" w:rsidRPr="003D51E4">
        <w:rPr>
          <w:rStyle w:val="FootnoteReference"/>
          <w:rFonts w:ascii="Arial" w:hAnsi="Arial"/>
          <w:sz w:val="24"/>
        </w:rPr>
        <w:footnoteReference w:id="15"/>
      </w:r>
    </w:p>
    <w:p w14:paraId="39F44C9C" w14:textId="77777777" w:rsidR="00A0601B" w:rsidRPr="003D51E4" w:rsidRDefault="00B84A43" w:rsidP="00D0310F">
      <w:pPr>
        <w:rPr>
          <w:rFonts w:ascii="Arial" w:hAnsi="Arial"/>
          <w:sz w:val="24"/>
        </w:rPr>
      </w:pPr>
      <w:r w:rsidRPr="003D51E4">
        <w:rPr>
          <w:rFonts w:ascii="Arial" w:hAnsi="Arial"/>
          <w:sz w:val="24"/>
        </w:rPr>
        <w:t xml:space="preserve">It is acknowledged that adhering </w:t>
      </w:r>
      <w:r w:rsidR="00595B5D" w:rsidRPr="003D51E4">
        <w:rPr>
          <w:rFonts w:ascii="Arial" w:hAnsi="Arial"/>
          <w:sz w:val="24"/>
        </w:rPr>
        <w:t xml:space="preserve">to </w:t>
      </w:r>
      <w:r w:rsidR="009267D4" w:rsidRPr="003D51E4">
        <w:rPr>
          <w:rFonts w:ascii="Arial" w:hAnsi="Arial"/>
          <w:sz w:val="24"/>
        </w:rPr>
        <w:t>t</w:t>
      </w:r>
      <w:r w:rsidR="00AB193B" w:rsidRPr="003D51E4">
        <w:rPr>
          <w:rFonts w:ascii="Arial" w:hAnsi="Arial"/>
          <w:sz w:val="24"/>
        </w:rPr>
        <w:t xml:space="preserve">hese </w:t>
      </w:r>
      <w:r w:rsidR="00595B5D" w:rsidRPr="003D51E4">
        <w:rPr>
          <w:rFonts w:ascii="Arial" w:hAnsi="Arial"/>
          <w:sz w:val="24"/>
        </w:rPr>
        <w:t xml:space="preserve">policy </w:t>
      </w:r>
      <w:r w:rsidR="00AB193B" w:rsidRPr="003D51E4">
        <w:rPr>
          <w:rFonts w:ascii="Arial" w:hAnsi="Arial"/>
          <w:sz w:val="24"/>
        </w:rPr>
        <w:t>princ</w:t>
      </w:r>
      <w:r w:rsidR="00595B5D" w:rsidRPr="003D51E4">
        <w:rPr>
          <w:rFonts w:ascii="Arial" w:hAnsi="Arial"/>
          <w:sz w:val="24"/>
        </w:rPr>
        <w:t>iple</w:t>
      </w:r>
      <w:r w:rsidRPr="003D51E4">
        <w:rPr>
          <w:rFonts w:ascii="Arial" w:hAnsi="Arial"/>
          <w:sz w:val="24"/>
        </w:rPr>
        <w:t>s</w:t>
      </w:r>
      <w:r w:rsidR="00D460F8" w:rsidRPr="003D51E4">
        <w:rPr>
          <w:rStyle w:val="FootnoteReference"/>
          <w:rFonts w:ascii="Arial" w:hAnsi="Arial"/>
          <w:sz w:val="24"/>
        </w:rPr>
        <w:footnoteReference w:id="16"/>
      </w:r>
      <w:r w:rsidR="009267D4" w:rsidRPr="003D51E4">
        <w:rPr>
          <w:rFonts w:ascii="Arial" w:hAnsi="Arial"/>
          <w:sz w:val="24"/>
        </w:rPr>
        <w:t xml:space="preserve"> </w:t>
      </w:r>
      <w:r w:rsidR="00AB193B" w:rsidRPr="003D51E4">
        <w:rPr>
          <w:rFonts w:ascii="Arial" w:hAnsi="Arial"/>
          <w:sz w:val="24"/>
        </w:rPr>
        <w:t xml:space="preserve">allows </w:t>
      </w:r>
      <w:r w:rsidR="00595B5D" w:rsidRPr="003D51E4">
        <w:rPr>
          <w:rFonts w:ascii="Arial" w:hAnsi="Arial"/>
          <w:sz w:val="24"/>
        </w:rPr>
        <w:t xml:space="preserve">the </w:t>
      </w:r>
      <w:r w:rsidR="00AB193B" w:rsidRPr="003D51E4">
        <w:rPr>
          <w:rFonts w:ascii="Arial" w:hAnsi="Arial"/>
          <w:sz w:val="24"/>
        </w:rPr>
        <w:t>Commonwealth</w:t>
      </w:r>
      <w:r w:rsidR="0025543B" w:rsidRPr="003D51E4">
        <w:rPr>
          <w:rFonts w:ascii="Arial" w:hAnsi="Arial"/>
          <w:sz w:val="24"/>
        </w:rPr>
        <w:t>,</w:t>
      </w:r>
      <w:r w:rsidR="00AB193B" w:rsidRPr="003D51E4">
        <w:rPr>
          <w:rFonts w:ascii="Arial" w:hAnsi="Arial"/>
          <w:sz w:val="24"/>
        </w:rPr>
        <w:t xml:space="preserve"> states and territories to deviate f</w:t>
      </w:r>
      <w:r w:rsidR="00595B5D" w:rsidRPr="003D51E4">
        <w:rPr>
          <w:rFonts w:ascii="Arial" w:hAnsi="Arial"/>
          <w:sz w:val="24"/>
        </w:rPr>
        <w:t xml:space="preserve">rom the National Framework. This includes introducing </w:t>
      </w:r>
      <w:r w:rsidR="00AB193B" w:rsidRPr="003D51E4">
        <w:rPr>
          <w:rFonts w:ascii="Arial" w:hAnsi="Arial"/>
          <w:sz w:val="24"/>
        </w:rPr>
        <w:t>mor</w:t>
      </w:r>
      <w:r w:rsidR="009F7C2D" w:rsidRPr="003D51E4">
        <w:rPr>
          <w:rFonts w:ascii="Arial" w:hAnsi="Arial"/>
          <w:sz w:val="24"/>
        </w:rPr>
        <w:t>e stringent</w:t>
      </w:r>
      <w:r w:rsidRPr="003D51E4">
        <w:rPr>
          <w:rFonts w:ascii="Arial" w:hAnsi="Arial"/>
          <w:sz w:val="24"/>
        </w:rPr>
        <w:t xml:space="preserve"> or</w:t>
      </w:r>
      <w:r w:rsidR="009F7C2D" w:rsidRPr="003D51E4">
        <w:rPr>
          <w:rFonts w:ascii="Arial" w:hAnsi="Arial"/>
          <w:sz w:val="24"/>
        </w:rPr>
        <w:t xml:space="preserve"> </w:t>
      </w:r>
      <w:r w:rsidR="00AB193B" w:rsidRPr="003D51E4">
        <w:rPr>
          <w:rFonts w:ascii="Arial" w:hAnsi="Arial"/>
          <w:sz w:val="24"/>
        </w:rPr>
        <w:t>complementary</w:t>
      </w:r>
      <w:r w:rsidR="001069F6" w:rsidRPr="003D51E4">
        <w:rPr>
          <w:rFonts w:ascii="Arial" w:hAnsi="Arial"/>
          <w:sz w:val="24"/>
        </w:rPr>
        <w:t xml:space="preserve"> </w:t>
      </w:r>
      <w:r w:rsidR="009F7C2D" w:rsidRPr="003D51E4">
        <w:rPr>
          <w:rFonts w:ascii="Arial" w:hAnsi="Arial"/>
          <w:sz w:val="24"/>
        </w:rPr>
        <w:t xml:space="preserve">or any other </w:t>
      </w:r>
      <w:r w:rsidR="001069F6" w:rsidRPr="003D51E4">
        <w:rPr>
          <w:rFonts w:ascii="Arial" w:hAnsi="Arial"/>
          <w:sz w:val="24"/>
        </w:rPr>
        <w:t>requirements</w:t>
      </w:r>
      <w:r w:rsidR="00AB193B" w:rsidRPr="003D51E4">
        <w:rPr>
          <w:rFonts w:ascii="Arial" w:hAnsi="Arial"/>
          <w:sz w:val="24"/>
        </w:rPr>
        <w:t xml:space="preserve">, </w:t>
      </w:r>
      <w:r w:rsidR="00AB193B" w:rsidRPr="003D51E4">
        <w:rPr>
          <w:rFonts w:ascii="Arial" w:hAnsi="Arial"/>
          <w:i/>
          <w:sz w:val="24"/>
        </w:rPr>
        <w:t xml:space="preserve">provided </w:t>
      </w:r>
      <w:r w:rsidR="00595B5D" w:rsidRPr="003D51E4">
        <w:rPr>
          <w:rFonts w:ascii="Arial" w:hAnsi="Arial"/>
          <w:sz w:val="24"/>
        </w:rPr>
        <w:t xml:space="preserve">that </w:t>
      </w:r>
      <w:r w:rsidR="00AB193B" w:rsidRPr="003D51E4">
        <w:rPr>
          <w:rFonts w:ascii="Arial" w:hAnsi="Arial"/>
          <w:sz w:val="24"/>
        </w:rPr>
        <w:t>the</w:t>
      </w:r>
      <w:r w:rsidRPr="003D51E4">
        <w:rPr>
          <w:rFonts w:ascii="Arial" w:hAnsi="Arial"/>
          <w:sz w:val="24"/>
        </w:rPr>
        <w:t>se changes</w:t>
      </w:r>
      <w:r w:rsidR="00AB193B" w:rsidRPr="003D51E4">
        <w:rPr>
          <w:rFonts w:ascii="Arial" w:hAnsi="Arial"/>
          <w:sz w:val="24"/>
        </w:rPr>
        <w:t xml:space="preserve"> </w:t>
      </w:r>
      <w:r w:rsidR="001069F6" w:rsidRPr="003D51E4">
        <w:rPr>
          <w:rFonts w:ascii="Arial" w:hAnsi="Arial"/>
          <w:sz w:val="24"/>
        </w:rPr>
        <w:t xml:space="preserve">do not </w:t>
      </w:r>
      <w:r w:rsidR="00AB193B" w:rsidRPr="003D51E4">
        <w:rPr>
          <w:rFonts w:ascii="Arial" w:hAnsi="Arial"/>
          <w:sz w:val="24"/>
        </w:rPr>
        <w:t xml:space="preserve">conflict, or </w:t>
      </w:r>
      <w:r w:rsidR="00F848EA" w:rsidRPr="003D51E4">
        <w:rPr>
          <w:rFonts w:ascii="Arial" w:hAnsi="Arial"/>
          <w:sz w:val="24"/>
        </w:rPr>
        <w:t xml:space="preserve">modify </w:t>
      </w:r>
      <w:r w:rsidR="00207BC1" w:rsidRPr="003D51E4">
        <w:rPr>
          <w:rFonts w:ascii="Arial" w:hAnsi="Arial"/>
          <w:sz w:val="24"/>
        </w:rPr>
        <w:t xml:space="preserve">or replicate without policy grounds </w:t>
      </w:r>
      <w:r w:rsidR="00AB193B" w:rsidRPr="003D51E4">
        <w:rPr>
          <w:rFonts w:ascii="Arial" w:hAnsi="Arial"/>
          <w:sz w:val="24"/>
        </w:rPr>
        <w:t xml:space="preserve">the </w:t>
      </w:r>
      <w:r w:rsidR="00F848EA" w:rsidRPr="003D51E4">
        <w:rPr>
          <w:rFonts w:ascii="Arial" w:hAnsi="Arial"/>
          <w:sz w:val="24"/>
        </w:rPr>
        <w:t xml:space="preserve">intended </w:t>
      </w:r>
      <w:r w:rsidR="00AB193B" w:rsidRPr="003D51E4">
        <w:rPr>
          <w:rFonts w:ascii="Arial" w:hAnsi="Arial"/>
          <w:sz w:val="24"/>
        </w:rPr>
        <w:t>operation of the National Framework.</w:t>
      </w:r>
      <w:r w:rsidR="00831298" w:rsidRPr="003D51E4">
        <w:rPr>
          <w:rFonts w:ascii="Arial" w:hAnsi="Arial"/>
          <w:sz w:val="24"/>
        </w:rPr>
        <w:t xml:space="preserve"> </w:t>
      </w:r>
    </w:p>
    <w:p w14:paraId="6C2BC4E6" w14:textId="77777777" w:rsidR="00C23E64" w:rsidRDefault="00C23E64">
      <w:pPr>
        <w:spacing w:after="0" w:line="240" w:lineRule="auto"/>
        <w:rPr>
          <w:rFonts w:ascii="Arial" w:hAnsi="Arial"/>
          <w:b/>
          <w:color w:val="C00000"/>
          <w:sz w:val="44"/>
        </w:rPr>
      </w:pPr>
      <w:r>
        <w:rPr>
          <w:rFonts w:ascii="Arial" w:hAnsi="Arial"/>
          <w:b/>
          <w:color w:val="C00000"/>
          <w:sz w:val="44"/>
        </w:rPr>
        <w:br w:type="page"/>
      </w:r>
    </w:p>
    <w:p w14:paraId="662DAFA7" w14:textId="77777777" w:rsidR="00D5183A" w:rsidRPr="005618D3" w:rsidRDefault="00D5183A" w:rsidP="005618D3">
      <w:pPr>
        <w:pStyle w:val="Heading2"/>
        <w:numPr>
          <w:ilvl w:val="0"/>
          <w:numId w:val="40"/>
        </w:numPr>
        <w:rPr>
          <w:rFonts w:ascii="Arial" w:hAnsi="Arial" w:cs="Arial"/>
          <w:color w:val="C00000"/>
          <w:sz w:val="44"/>
          <w:szCs w:val="44"/>
        </w:rPr>
      </w:pPr>
      <w:r w:rsidRPr="005618D3">
        <w:rPr>
          <w:rFonts w:ascii="Arial" w:hAnsi="Arial" w:cs="Arial"/>
          <w:color w:val="C00000"/>
          <w:sz w:val="44"/>
          <w:szCs w:val="44"/>
        </w:rPr>
        <w:lastRenderedPageBreak/>
        <w:t xml:space="preserve">Performance and </w:t>
      </w:r>
      <w:r w:rsidRPr="005618D3">
        <w:rPr>
          <w:rFonts w:ascii="Arial" w:hAnsi="Arial" w:cs="Arial"/>
          <w:color w:val="C00000"/>
          <w:sz w:val="44"/>
          <w:szCs w:val="44"/>
          <w:lang w:eastAsia="en-AU"/>
        </w:rPr>
        <w:t>evaluation</w:t>
      </w:r>
    </w:p>
    <w:p w14:paraId="01B87C81" w14:textId="77777777" w:rsidR="0025543B" w:rsidRPr="00940768" w:rsidRDefault="00D5183A" w:rsidP="00940768">
      <w:pPr>
        <w:rPr>
          <w:rFonts w:ascii="Arial" w:hAnsi="Arial"/>
          <w:sz w:val="24"/>
        </w:rPr>
      </w:pPr>
      <w:r w:rsidRPr="003D51E4">
        <w:rPr>
          <w:rFonts w:ascii="Arial" w:hAnsi="Arial"/>
          <w:color w:val="000000"/>
          <w:sz w:val="24"/>
        </w:rPr>
        <w:t>A performance</w:t>
      </w:r>
      <w:r w:rsidR="009C471A">
        <w:rPr>
          <w:rFonts w:ascii="Arial" w:hAnsi="Arial"/>
          <w:color w:val="000000"/>
          <w:sz w:val="24"/>
        </w:rPr>
        <w:t>, review</w:t>
      </w:r>
      <w:r w:rsidRPr="003D51E4">
        <w:rPr>
          <w:rFonts w:ascii="Arial" w:hAnsi="Arial"/>
          <w:color w:val="000000"/>
          <w:sz w:val="24"/>
        </w:rPr>
        <w:t xml:space="preserve"> and evaluation strategy </w:t>
      </w:r>
      <w:r w:rsidR="003C7D84">
        <w:rPr>
          <w:rFonts w:ascii="Arial" w:hAnsi="Arial"/>
          <w:color w:val="000000"/>
          <w:sz w:val="24"/>
        </w:rPr>
        <w:t>will guide</w:t>
      </w:r>
      <w:r w:rsidR="009C471A">
        <w:rPr>
          <w:rFonts w:ascii="Arial" w:hAnsi="Arial"/>
          <w:color w:val="000000"/>
          <w:sz w:val="24"/>
        </w:rPr>
        <w:t xml:space="preserve"> evaluation activities designed to</w:t>
      </w:r>
      <w:r w:rsidRPr="003D51E4">
        <w:rPr>
          <w:rFonts w:ascii="Arial" w:hAnsi="Arial"/>
          <w:color w:val="000000"/>
          <w:sz w:val="24"/>
        </w:rPr>
        <w:t xml:space="preserve"> assess the effectiveness of the National Framework’s measures in achieving outcomes for consumers, and to inform ongoing refinements. Importantly, it will also help to identify any unintended consequences arising from the implementation of the National Framework and any weaknesses in the regulatory framework. The Commonwealth Government will </w:t>
      </w:r>
      <w:r w:rsidRPr="000B36B2">
        <w:rPr>
          <w:rFonts w:ascii="Arial" w:hAnsi="Arial"/>
          <w:sz w:val="24"/>
        </w:rPr>
        <w:t>coordinate the efforts of all governments</w:t>
      </w:r>
      <w:r w:rsidR="00B164A5" w:rsidRPr="000B36B2">
        <w:rPr>
          <w:rFonts w:ascii="Arial" w:hAnsi="Arial"/>
          <w:sz w:val="24"/>
        </w:rPr>
        <w:t xml:space="preserve"> in required trialling</w:t>
      </w:r>
      <w:r w:rsidR="003C7D84" w:rsidRPr="000B36B2">
        <w:rPr>
          <w:rFonts w:ascii="Arial" w:hAnsi="Arial"/>
          <w:sz w:val="24"/>
        </w:rPr>
        <w:t xml:space="preserve">, </w:t>
      </w:r>
      <w:r w:rsidR="00B164A5" w:rsidRPr="000B36B2">
        <w:rPr>
          <w:rFonts w:ascii="Arial" w:hAnsi="Arial"/>
          <w:sz w:val="24"/>
        </w:rPr>
        <w:t xml:space="preserve">testing </w:t>
      </w:r>
      <w:r w:rsidR="003C7D84" w:rsidRPr="000B36B2">
        <w:rPr>
          <w:rFonts w:ascii="Arial" w:hAnsi="Arial"/>
          <w:sz w:val="24"/>
        </w:rPr>
        <w:t xml:space="preserve">and evaluation </w:t>
      </w:r>
      <w:r w:rsidR="00B164A5" w:rsidRPr="000B36B2">
        <w:rPr>
          <w:rFonts w:ascii="Arial" w:hAnsi="Arial"/>
          <w:sz w:val="24"/>
        </w:rPr>
        <w:t>of measures.</w:t>
      </w:r>
    </w:p>
    <w:p w14:paraId="1D8D0462" w14:textId="77777777" w:rsidR="00AA6A67" w:rsidRPr="005618D3" w:rsidRDefault="00AA6A67" w:rsidP="005618D3">
      <w:pPr>
        <w:pStyle w:val="Heading2"/>
        <w:numPr>
          <w:ilvl w:val="0"/>
          <w:numId w:val="40"/>
        </w:numPr>
        <w:rPr>
          <w:rFonts w:ascii="Arial" w:hAnsi="Arial" w:cs="Arial"/>
          <w:color w:val="C00000"/>
          <w:sz w:val="44"/>
          <w:szCs w:val="44"/>
        </w:rPr>
      </w:pPr>
      <w:r w:rsidRPr="005618D3">
        <w:rPr>
          <w:rFonts w:ascii="Arial" w:hAnsi="Arial" w:cs="Arial"/>
          <w:color w:val="C00000"/>
          <w:sz w:val="44"/>
          <w:szCs w:val="44"/>
        </w:rPr>
        <w:t>Governance and review</w:t>
      </w:r>
    </w:p>
    <w:p w14:paraId="45EDDAD3" w14:textId="77777777" w:rsidR="003B17D4" w:rsidRPr="00D0310F" w:rsidRDefault="003B17D4" w:rsidP="00940768">
      <w:pPr>
        <w:autoSpaceDE w:val="0"/>
        <w:autoSpaceDN w:val="0"/>
        <w:adjustRightInd w:val="0"/>
        <w:rPr>
          <w:rFonts w:ascii="Arial" w:hAnsi="Arial"/>
          <w:color w:val="000000"/>
          <w:sz w:val="24"/>
        </w:rPr>
      </w:pPr>
      <w:r w:rsidRPr="003D51E4">
        <w:rPr>
          <w:rFonts w:ascii="Arial" w:hAnsi="Arial"/>
          <w:color w:val="000000"/>
          <w:sz w:val="24"/>
        </w:rPr>
        <w:t>A key aspect of the National Framework will be its agility and ability to keep pace with changes in</w:t>
      </w:r>
      <w:r w:rsidR="006F2B4A" w:rsidRPr="003D51E4">
        <w:rPr>
          <w:rFonts w:ascii="Arial" w:hAnsi="Arial"/>
          <w:color w:val="000000"/>
          <w:sz w:val="24"/>
        </w:rPr>
        <w:t xml:space="preserve"> international</w:t>
      </w:r>
      <w:r w:rsidRPr="003D51E4">
        <w:rPr>
          <w:rFonts w:ascii="Arial" w:hAnsi="Arial"/>
          <w:color w:val="000000"/>
          <w:sz w:val="24"/>
        </w:rPr>
        <w:t xml:space="preserve"> best</w:t>
      </w:r>
      <w:r w:rsidR="00BE7622" w:rsidRPr="003D51E4">
        <w:rPr>
          <w:rFonts w:ascii="Arial" w:hAnsi="Arial"/>
          <w:color w:val="000000"/>
          <w:sz w:val="24"/>
        </w:rPr>
        <w:t>-</w:t>
      </w:r>
      <w:r w:rsidRPr="003D51E4">
        <w:rPr>
          <w:rFonts w:ascii="Arial" w:hAnsi="Arial"/>
          <w:color w:val="000000"/>
          <w:sz w:val="24"/>
        </w:rPr>
        <w:t>practice, research</w:t>
      </w:r>
      <w:r w:rsidR="00E02C50" w:rsidRPr="003D51E4">
        <w:rPr>
          <w:rFonts w:ascii="Arial" w:hAnsi="Arial"/>
          <w:color w:val="000000"/>
          <w:sz w:val="24"/>
        </w:rPr>
        <w:t>,</w:t>
      </w:r>
      <w:r w:rsidR="00D0310F">
        <w:rPr>
          <w:rFonts w:ascii="Arial" w:hAnsi="Arial"/>
          <w:color w:val="000000"/>
          <w:sz w:val="24"/>
        </w:rPr>
        <w:t xml:space="preserve"> and evidence over time.</w:t>
      </w:r>
    </w:p>
    <w:p w14:paraId="50F0BC79" w14:textId="77777777" w:rsidR="000B11A9" w:rsidRPr="003D51E4" w:rsidRDefault="00B70411" w:rsidP="00940768">
      <w:pPr>
        <w:tabs>
          <w:tab w:val="left" w:pos="4370"/>
        </w:tabs>
        <w:textAlignment w:val="baseline"/>
        <w:rPr>
          <w:rFonts w:ascii="Arial" w:hAnsi="Arial" w:cs="Arial"/>
          <w:color w:val="222222"/>
          <w:sz w:val="24"/>
          <w:szCs w:val="20"/>
        </w:rPr>
      </w:pPr>
      <w:r w:rsidRPr="003D51E4">
        <w:rPr>
          <w:rFonts w:ascii="Arial" w:hAnsi="Arial" w:cs="Arial"/>
          <w:color w:val="222222"/>
          <w:sz w:val="24"/>
          <w:szCs w:val="20"/>
        </w:rPr>
        <w:t xml:space="preserve">A key challenge in </w:t>
      </w:r>
      <w:r w:rsidR="003B17D4" w:rsidRPr="003D51E4">
        <w:rPr>
          <w:rFonts w:ascii="Arial" w:hAnsi="Arial" w:cs="Arial"/>
          <w:color w:val="222222"/>
          <w:sz w:val="24"/>
          <w:szCs w:val="20"/>
        </w:rPr>
        <w:t>achieving this</w:t>
      </w:r>
      <w:r w:rsidR="00C811D8" w:rsidRPr="003D51E4">
        <w:rPr>
          <w:rFonts w:ascii="Arial" w:hAnsi="Arial" w:cs="Arial"/>
          <w:color w:val="222222"/>
          <w:sz w:val="24"/>
          <w:szCs w:val="20"/>
        </w:rPr>
        <w:t xml:space="preserve"> </w:t>
      </w:r>
      <w:r w:rsidR="00BC14BA" w:rsidRPr="003D51E4">
        <w:rPr>
          <w:rFonts w:ascii="Arial" w:hAnsi="Arial" w:cs="Arial"/>
          <w:color w:val="222222"/>
          <w:sz w:val="24"/>
          <w:szCs w:val="20"/>
        </w:rPr>
        <w:t>l</w:t>
      </w:r>
      <w:r w:rsidR="0051548C" w:rsidRPr="003D51E4">
        <w:rPr>
          <w:rFonts w:ascii="Arial" w:hAnsi="Arial" w:cs="Arial"/>
          <w:color w:val="222222"/>
          <w:sz w:val="24"/>
          <w:szCs w:val="20"/>
        </w:rPr>
        <w:t>ies</w:t>
      </w:r>
      <w:r w:rsidR="00C811D8" w:rsidRPr="003D51E4">
        <w:rPr>
          <w:rFonts w:ascii="Arial" w:hAnsi="Arial" w:cs="Arial"/>
          <w:color w:val="222222"/>
          <w:sz w:val="24"/>
          <w:szCs w:val="20"/>
        </w:rPr>
        <w:t xml:space="preserve"> in </w:t>
      </w:r>
      <w:r w:rsidR="003B17D4" w:rsidRPr="003D51E4">
        <w:rPr>
          <w:rFonts w:ascii="Arial" w:hAnsi="Arial" w:cs="Arial"/>
          <w:color w:val="222222"/>
          <w:sz w:val="24"/>
          <w:szCs w:val="20"/>
        </w:rPr>
        <w:t xml:space="preserve">the </w:t>
      </w:r>
      <w:r w:rsidR="000B11A9" w:rsidRPr="003D51E4">
        <w:rPr>
          <w:rFonts w:ascii="Arial" w:hAnsi="Arial" w:cs="Arial"/>
          <w:color w:val="222222"/>
          <w:sz w:val="24"/>
          <w:szCs w:val="20"/>
        </w:rPr>
        <w:t>implementation</w:t>
      </w:r>
      <w:r w:rsidR="00E02C50" w:rsidRPr="003D51E4">
        <w:rPr>
          <w:rFonts w:ascii="Arial" w:hAnsi="Arial" w:cs="Arial"/>
          <w:color w:val="222222"/>
          <w:sz w:val="24"/>
          <w:szCs w:val="20"/>
        </w:rPr>
        <w:t xml:space="preserve"> of</w:t>
      </w:r>
      <w:r w:rsidR="000B11A9" w:rsidRPr="003D51E4">
        <w:rPr>
          <w:rFonts w:ascii="Arial" w:hAnsi="Arial" w:cs="Arial"/>
          <w:color w:val="222222"/>
          <w:sz w:val="24"/>
          <w:szCs w:val="20"/>
        </w:rPr>
        <w:t xml:space="preserve"> </w:t>
      </w:r>
      <w:r w:rsidR="003B17D4" w:rsidRPr="003D51E4">
        <w:rPr>
          <w:rFonts w:ascii="Arial" w:hAnsi="Arial" w:cs="Arial"/>
          <w:color w:val="222222"/>
          <w:sz w:val="24"/>
          <w:szCs w:val="20"/>
        </w:rPr>
        <w:t xml:space="preserve">the National Framework </w:t>
      </w:r>
      <w:r w:rsidR="000B11A9" w:rsidRPr="003D51E4">
        <w:rPr>
          <w:rFonts w:ascii="Arial" w:hAnsi="Arial" w:cs="Arial"/>
          <w:color w:val="222222"/>
          <w:sz w:val="24"/>
          <w:szCs w:val="20"/>
        </w:rPr>
        <w:t xml:space="preserve">and </w:t>
      </w:r>
      <w:r w:rsidR="003B17D4" w:rsidRPr="003D51E4">
        <w:rPr>
          <w:rFonts w:ascii="Arial" w:hAnsi="Arial" w:cs="Arial"/>
          <w:color w:val="222222"/>
          <w:sz w:val="24"/>
          <w:szCs w:val="20"/>
        </w:rPr>
        <w:t xml:space="preserve">its </w:t>
      </w:r>
      <w:r w:rsidR="000B11A9" w:rsidRPr="003D51E4">
        <w:rPr>
          <w:rFonts w:ascii="Arial" w:hAnsi="Arial" w:cs="Arial"/>
          <w:color w:val="222222"/>
          <w:sz w:val="24"/>
          <w:szCs w:val="20"/>
        </w:rPr>
        <w:t>ongoing management across jurisdictions</w:t>
      </w:r>
      <w:r w:rsidRPr="003D51E4">
        <w:rPr>
          <w:rFonts w:ascii="Arial" w:hAnsi="Arial" w:cs="Arial"/>
          <w:color w:val="222222"/>
          <w:sz w:val="24"/>
          <w:szCs w:val="20"/>
        </w:rPr>
        <w:t>.</w:t>
      </w:r>
      <w:r w:rsidR="001776B0" w:rsidRPr="003D51E4">
        <w:rPr>
          <w:rFonts w:ascii="Arial" w:hAnsi="Arial" w:cs="Arial"/>
          <w:color w:val="222222"/>
          <w:sz w:val="24"/>
          <w:szCs w:val="20"/>
        </w:rPr>
        <w:t xml:space="preserve"> </w:t>
      </w:r>
      <w:r w:rsidR="000B11A9" w:rsidRPr="003D51E4">
        <w:rPr>
          <w:rFonts w:ascii="Arial" w:hAnsi="Arial" w:cs="Arial"/>
          <w:color w:val="222222"/>
          <w:sz w:val="24"/>
          <w:szCs w:val="20"/>
        </w:rPr>
        <w:t xml:space="preserve">Under the </w:t>
      </w:r>
      <w:r w:rsidR="001D1679" w:rsidRPr="003D51E4">
        <w:rPr>
          <w:rFonts w:ascii="Arial" w:hAnsi="Arial" w:cs="Arial"/>
          <w:color w:val="222222"/>
          <w:sz w:val="24"/>
          <w:szCs w:val="20"/>
        </w:rPr>
        <w:t xml:space="preserve">National </w:t>
      </w:r>
      <w:r w:rsidR="000B11A9" w:rsidRPr="003D51E4">
        <w:rPr>
          <w:rFonts w:ascii="Arial" w:hAnsi="Arial" w:cs="Arial"/>
          <w:color w:val="222222"/>
          <w:sz w:val="24"/>
          <w:szCs w:val="20"/>
        </w:rPr>
        <w:t xml:space="preserve">Framework, each jurisdiction will follow its own implementation pathway to give effect to its </w:t>
      </w:r>
      <w:r w:rsidR="001D1679" w:rsidRPr="003D51E4">
        <w:rPr>
          <w:rFonts w:ascii="Arial" w:hAnsi="Arial" w:cs="Arial"/>
          <w:color w:val="222222"/>
          <w:sz w:val="24"/>
          <w:szCs w:val="20"/>
        </w:rPr>
        <w:t xml:space="preserve">consumer protection </w:t>
      </w:r>
      <w:r w:rsidR="000B11A9" w:rsidRPr="003D51E4">
        <w:rPr>
          <w:rFonts w:ascii="Arial" w:hAnsi="Arial" w:cs="Arial"/>
          <w:color w:val="222222"/>
          <w:sz w:val="24"/>
          <w:szCs w:val="20"/>
        </w:rPr>
        <w:t xml:space="preserve">measures. </w:t>
      </w:r>
    </w:p>
    <w:p w14:paraId="3E7B5668" w14:textId="77777777" w:rsidR="00D64E5D" w:rsidRPr="003D51E4" w:rsidRDefault="000B11A9" w:rsidP="00940768">
      <w:pPr>
        <w:tabs>
          <w:tab w:val="left" w:pos="4370"/>
        </w:tabs>
        <w:textAlignment w:val="baseline"/>
        <w:rPr>
          <w:rFonts w:ascii="Arial" w:hAnsi="Arial" w:cs="Arial"/>
          <w:color w:val="222222"/>
          <w:sz w:val="24"/>
          <w:szCs w:val="20"/>
        </w:rPr>
      </w:pPr>
      <w:r w:rsidRPr="003D51E4">
        <w:rPr>
          <w:rFonts w:ascii="Arial" w:hAnsi="Arial" w:cs="Arial"/>
          <w:color w:val="222222"/>
          <w:sz w:val="24"/>
          <w:szCs w:val="20"/>
        </w:rPr>
        <w:t>Robust governance arrangements with clear role</w:t>
      </w:r>
      <w:r w:rsidR="00E02C50" w:rsidRPr="003D51E4">
        <w:rPr>
          <w:rFonts w:ascii="Arial" w:hAnsi="Arial" w:cs="Arial"/>
          <w:color w:val="222222"/>
          <w:sz w:val="24"/>
          <w:szCs w:val="20"/>
        </w:rPr>
        <w:t>s</w:t>
      </w:r>
      <w:r w:rsidRPr="003D51E4">
        <w:rPr>
          <w:rFonts w:ascii="Arial" w:hAnsi="Arial" w:cs="Arial"/>
          <w:color w:val="222222"/>
          <w:sz w:val="24"/>
          <w:szCs w:val="20"/>
        </w:rPr>
        <w:t xml:space="preserve"> and responsibilities</w:t>
      </w:r>
      <w:r w:rsidR="006F2B4A" w:rsidRPr="003D51E4">
        <w:rPr>
          <w:rFonts w:ascii="Arial" w:hAnsi="Arial" w:cs="Arial"/>
          <w:color w:val="222222"/>
          <w:sz w:val="24"/>
          <w:szCs w:val="20"/>
        </w:rPr>
        <w:t>,</w:t>
      </w:r>
      <w:r w:rsidRPr="003D51E4">
        <w:rPr>
          <w:rFonts w:ascii="Arial" w:hAnsi="Arial" w:cs="Arial"/>
          <w:color w:val="222222"/>
          <w:sz w:val="24"/>
          <w:szCs w:val="20"/>
        </w:rPr>
        <w:t xml:space="preserve"> </w:t>
      </w:r>
      <w:r w:rsidR="00E02C50" w:rsidRPr="003D51E4">
        <w:rPr>
          <w:rFonts w:ascii="Arial" w:hAnsi="Arial" w:cs="Arial"/>
          <w:color w:val="222222"/>
          <w:sz w:val="24"/>
          <w:szCs w:val="20"/>
        </w:rPr>
        <w:t>as well as</w:t>
      </w:r>
      <w:r w:rsidRPr="003D51E4">
        <w:rPr>
          <w:rFonts w:ascii="Arial" w:hAnsi="Arial" w:cs="Arial"/>
          <w:color w:val="222222"/>
          <w:sz w:val="24"/>
          <w:szCs w:val="20"/>
        </w:rPr>
        <w:t xml:space="preserve"> careful monitoring, will be important to effectively c</w:t>
      </w:r>
      <w:r w:rsidR="00C811D8" w:rsidRPr="003D51E4">
        <w:rPr>
          <w:rFonts w:ascii="Arial" w:hAnsi="Arial" w:cs="Arial"/>
          <w:color w:val="222222"/>
          <w:sz w:val="24"/>
          <w:szCs w:val="20"/>
        </w:rPr>
        <w:t>oordinat</w:t>
      </w:r>
      <w:r w:rsidR="00D0310F">
        <w:rPr>
          <w:rFonts w:ascii="Arial" w:hAnsi="Arial" w:cs="Arial"/>
          <w:color w:val="222222"/>
          <w:sz w:val="24"/>
          <w:szCs w:val="20"/>
        </w:rPr>
        <w:t>ing</w:t>
      </w:r>
      <w:r w:rsidR="00C811D8" w:rsidRPr="003D51E4">
        <w:rPr>
          <w:rFonts w:ascii="Arial" w:hAnsi="Arial" w:cs="Arial"/>
          <w:color w:val="222222"/>
          <w:sz w:val="24"/>
          <w:szCs w:val="20"/>
        </w:rPr>
        <w:t xml:space="preserve"> the timely delivery</w:t>
      </w:r>
      <w:r w:rsidRPr="003D51E4">
        <w:rPr>
          <w:rFonts w:ascii="Arial" w:hAnsi="Arial" w:cs="Arial"/>
          <w:color w:val="222222"/>
          <w:sz w:val="24"/>
          <w:szCs w:val="20"/>
        </w:rPr>
        <w:t xml:space="preserve"> of, and updates to</w:t>
      </w:r>
      <w:r w:rsidR="00E02C50" w:rsidRPr="003D51E4">
        <w:rPr>
          <w:rFonts w:ascii="Arial" w:hAnsi="Arial" w:cs="Arial"/>
          <w:color w:val="222222"/>
          <w:sz w:val="24"/>
          <w:szCs w:val="20"/>
        </w:rPr>
        <w:t>,</w:t>
      </w:r>
      <w:r w:rsidRPr="003D51E4">
        <w:rPr>
          <w:rFonts w:ascii="Arial" w:hAnsi="Arial" w:cs="Arial"/>
          <w:color w:val="222222"/>
          <w:sz w:val="24"/>
          <w:szCs w:val="20"/>
        </w:rPr>
        <w:t xml:space="preserve"> </w:t>
      </w:r>
      <w:r w:rsidR="001776B0" w:rsidRPr="003D51E4">
        <w:rPr>
          <w:rFonts w:ascii="Arial" w:hAnsi="Arial" w:cs="Arial"/>
          <w:color w:val="222222"/>
          <w:sz w:val="24"/>
          <w:szCs w:val="20"/>
        </w:rPr>
        <w:t xml:space="preserve">the </w:t>
      </w:r>
      <w:r w:rsidR="001D1679" w:rsidRPr="003D51E4">
        <w:rPr>
          <w:rFonts w:ascii="Arial" w:hAnsi="Arial" w:cs="Arial"/>
          <w:color w:val="222222"/>
          <w:sz w:val="24"/>
          <w:szCs w:val="20"/>
        </w:rPr>
        <w:t>National </w:t>
      </w:r>
      <w:r w:rsidR="001776B0" w:rsidRPr="003D51E4">
        <w:rPr>
          <w:rFonts w:ascii="Arial" w:hAnsi="Arial" w:cs="Arial"/>
          <w:color w:val="222222"/>
          <w:sz w:val="24"/>
          <w:szCs w:val="20"/>
        </w:rPr>
        <w:t>Framework</w:t>
      </w:r>
      <w:r w:rsidR="00C811D8" w:rsidRPr="003D51E4">
        <w:rPr>
          <w:rFonts w:ascii="Arial" w:hAnsi="Arial" w:cs="Arial"/>
          <w:color w:val="222222"/>
          <w:sz w:val="24"/>
          <w:szCs w:val="20"/>
        </w:rPr>
        <w:t xml:space="preserve"> </w:t>
      </w:r>
      <w:r w:rsidR="00D64E5D" w:rsidRPr="003D51E4">
        <w:rPr>
          <w:rFonts w:ascii="Arial" w:hAnsi="Arial" w:cs="Arial"/>
          <w:color w:val="222222"/>
          <w:sz w:val="24"/>
          <w:szCs w:val="20"/>
        </w:rPr>
        <w:t xml:space="preserve">across jurisdictions. </w:t>
      </w:r>
    </w:p>
    <w:p w14:paraId="1CAEB591" w14:textId="77777777" w:rsidR="00E54680" w:rsidRPr="00433039" w:rsidRDefault="00E54680" w:rsidP="00940768">
      <w:pPr>
        <w:rPr>
          <w:i/>
          <w:color w:val="C00000"/>
          <w:sz w:val="36"/>
        </w:rPr>
      </w:pPr>
      <w:r w:rsidRPr="00433039">
        <w:rPr>
          <w:rFonts w:ascii="Arial" w:hAnsi="Arial"/>
          <w:color w:val="C00000"/>
          <w:sz w:val="32"/>
        </w:rPr>
        <w:t xml:space="preserve">Governance </w:t>
      </w:r>
      <w:r w:rsidR="002049ED" w:rsidRPr="00433039">
        <w:rPr>
          <w:rFonts w:ascii="Arial" w:hAnsi="Arial"/>
          <w:color w:val="C00000"/>
          <w:sz w:val="32"/>
        </w:rPr>
        <w:t>and Reporting</w:t>
      </w:r>
    </w:p>
    <w:p w14:paraId="757830B9" w14:textId="77777777" w:rsidR="00C5571E" w:rsidRPr="003D51E4" w:rsidRDefault="00902ED5" w:rsidP="00940768">
      <w:pPr>
        <w:rPr>
          <w:rFonts w:ascii="Arial" w:hAnsi="Arial" w:cs="Arial"/>
          <w:sz w:val="24"/>
          <w:szCs w:val="24"/>
        </w:rPr>
      </w:pPr>
      <w:r w:rsidRPr="003D51E4">
        <w:rPr>
          <w:rFonts w:ascii="Arial" w:hAnsi="Arial" w:cs="Arial"/>
          <w:sz w:val="24"/>
          <w:szCs w:val="24"/>
        </w:rPr>
        <w:t xml:space="preserve">A </w:t>
      </w:r>
      <w:r w:rsidR="00E144A9" w:rsidRPr="003D51E4">
        <w:rPr>
          <w:rFonts w:ascii="Arial" w:hAnsi="Arial" w:cs="Arial"/>
          <w:sz w:val="24"/>
          <w:szCs w:val="24"/>
        </w:rPr>
        <w:t>g</w:t>
      </w:r>
      <w:r w:rsidRPr="003D51E4">
        <w:rPr>
          <w:rFonts w:ascii="Arial" w:hAnsi="Arial" w:cs="Arial"/>
          <w:sz w:val="24"/>
          <w:szCs w:val="24"/>
        </w:rPr>
        <w:t>overnance committee</w:t>
      </w:r>
      <w:r w:rsidR="00456D34" w:rsidRPr="003D51E4">
        <w:rPr>
          <w:rFonts w:ascii="Arial" w:hAnsi="Arial" w:cs="Arial"/>
          <w:sz w:val="24"/>
          <w:szCs w:val="24"/>
        </w:rPr>
        <w:t>,</w:t>
      </w:r>
      <w:r w:rsidRPr="003D51E4">
        <w:rPr>
          <w:rFonts w:ascii="Arial" w:hAnsi="Arial" w:cs="Arial"/>
          <w:sz w:val="24"/>
          <w:szCs w:val="24"/>
        </w:rPr>
        <w:t xml:space="preserve"> consisting of a</w:t>
      </w:r>
      <w:r w:rsidR="00353FE6" w:rsidRPr="003D51E4">
        <w:rPr>
          <w:rFonts w:ascii="Arial" w:hAnsi="Arial" w:cs="Arial"/>
          <w:sz w:val="24"/>
          <w:szCs w:val="24"/>
        </w:rPr>
        <w:t>n</w:t>
      </w:r>
      <w:r w:rsidRPr="003D51E4">
        <w:rPr>
          <w:rFonts w:ascii="Arial" w:hAnsi="Arial" w:cs="Arial"/>
          <w:sz w:val="24"/>
          <w:szCs w:val="24"/>
        </w:rPr>
        <w:t xml:space="preserve"> </w:t>
      </w:r>
      <w:r w:rsidR="00E144A9" w:rsidRPr="003D51E4">
        <w:rPr>
          <w:rFonts w:ascii="Arial" w:hAnsi="Arial" w:cs="Arial"/>
          <w:sz w:val="24"/>
          <w:szCs w:val="24"/>
        </w:rPr>
        <w:t>o</w:t>
      </w:r>
      <w:r w:rsidR="007A0C6E" w:rsidRPr="003D51E4">
        <w:rPr>
          <w:rFonts w:ascii="Arial" w:hAnsi="Arial" w:cs="Arial"/>
          <w:sz w:val="24"/>
          <w:szCs w:val="24"/>
        </w:rPr>
        <w:t xml:space="preserve">fficial from </w:t>
      </w:r>
      <w:r w:rsidR="00A42FF4" w:rsidRPr="003D51E4">
        <w:rPr>
          <w:rFonts w:ascii="Arial" w:hAnsi="Arial" w:cs="Arial"/>
          <w:sz w:val="24"/>
          <w:szCs w:val="24"/>
        </w:rPr>
        <w:t>each of th</w:t>
      </w:r>
      <w:r w:rsidR="007A0C6E" w:rsidRPr="003D51E4">
        <w:rPr>
          <w:rFonts w:ascii="Arial" w:hAnsi="Arial" w:cs="Arial"/>
          <w:sz w:val="24"/>
          <w:szCs w:val="24"/>
        </w:rPr>
        <w:t>e relevant</w:t>
      </w:r>
      <w:r w:rsidR="00035A77">
        <w:rPr>
          <w:rFonts w:ascii="Arial" w:hAnsi="Arial" w:cs="Arial"/>
          <w:sz w:val="24"/>
          <w:szCs w:val="24"/>
        </w:rPr>
        <w:t xml:space="preserve"> Commonwealth, state and territory</w:t>
      </w:r>
      <w:r w:rsidR="007A0C6E" w:rsidRPr="003D51E4">
        <w:rPr>
          <w:rFonts w:ascii="Arial" w:hAnsi="Arial" w:cs="Arial"/>
          <w:sz w:val="24"/>
          <w:szCs w:val="24"/>
        </w:rPr>
        <w:t xml:space="preserve"> </w:t>
      </w:r>
      <w:r w:rsidR="00A42FF4" w:rsidRPr="003D51E4">
        <w:rPr>
          <w:rFonts w:ascii="Arial" w:hAnsi="Arial" w:cs="Arial"/>
          <w:sz w:val="24"/>
          <w:szCs w:val="24"/>
        </w:rPr>
        <w:t xml:space="preserve">government </w:t>
      </w:r>
      <w:r w:rsidR="007A0C6E" w:rsidRPr="003D51E4">
        <w:rPr>
          <w:rFonts w:ascii="Arial" w:hAnsi="Arial" w:cs="Arial"/>
          <w:sz w:val="24"/>
          <w:szCs w:val="24"/>
        </w:rPr>
        <w:t>department</w:t>
      </w:r>
      <w:r w:rsidR="00A42FF4" w:rsidRPr="003D51E4">
        <w:rPr>
          <w:rFonts w:ascii="Arial" w:hAnsi="Arial" w:cs="Arial"/>
          <w:sz w:val="24"/>
          <w:szCs w:val="24"/>
        </w:rPr>
        <w:t>s</w:t>
      </w:r>
      <w:r w:rsidR="00E3746E" w:rsidRPr="003D51E4">
        <w:rPr>
          <w:rFonts w:ascii="Arial" w:hAnsi="Arial" w:cs="Arial"/>
          <w:sz w:val="24"/>
          <w:szCs w:val="24"/>
        </w:rPr>
        <w:t xml:space="preserve">, </w:t>
      </w:r>
      <w:r w:rsidRPr="003D51E4">
        <w:rPr>
          <w:rFonts w:ascii="Arial" w:hAnsi="Arial" w:cs="Arial"/>
          <w:sz w:val="24"/>
          <w:szCs w:val="24"/>
        </w:rPr>
        <w:t>will support the effective implementation, ongoing management</w:t>
      </w:r>
      <w:r w:rsidR="00E02C50" w:rsidRPr="003D51E4">
        <w:rPr>
          <w:rFonts w:ascii="Arial" w:hAnsi="Arial" w:cs="Arial"/>
          <w:sz w:val="24"/>
          <w:szCs w:val="24"/>
        </w:rPr>
        <w:t>,</w:t>
      </w:r>
      <w:r w:rsidRPr="003D51E4">
        <w:rPr>
          <w:rFonts w:ascii="Arial" w:hAnsi="Arial" w:cs="Arial"/>
          <w:sz w:val="24"/>
          <w:szCs w:val="24"/>
        </w:rPr>
        <w:t xml:space="preserve"> </w:t>
      </w:r>
      <w:r w:rsidR="001D1679" w:rsidRPr="003D51E4">
        <w:rPr>
          <w:rFonts w:ascii="Arial" w:hAnsi="Arial" w:cs="Arial"/>
          <w:sz w:val="24"/>
          <w:szCs w:val="24"/>
        </w:rPr>
        <w:t xml:space="preserve">review and </w:t>
      </w:r>
      <w:r w:rsidRPr="003D51E4">
        <w:rPr>
          <w:rFonts w:ascii="Arial" w:hAnsi="Arial" w:cs="Arial"/>
          <w:sz w:val="24"/>
          <w:szCs w:val="24"/>
        </w:rPr>
        <w:t xml:space="preserve">updating of the National Framework. </w:t>
      </w:r>
      <w:r w:rsidR="004655AC" w:rsidRPr="003D51E4">
        <w:rPr>
          <w:rFonts w:ascii="Arial" w:hAnsi="Arial" w:cs="Arial"/>
          <w:sz w:val="24"/>
          <w:szCs w:val="24"/>
        </w:rPr>
        <w:t>The Governance Committee will form its terms of reference.</w:t>
      </w:r>
      <w:r w:rsidR="00EA673C" w:rsidRPr="003D51E4">
        <w:rPr>
          <w:rFonts w:ascii="Arial" w:hAnsi="Arial" w:cs="Arial"/>
          <w:sz w:val="24"/>
          <w:szCs w:val="24"/>
        </w:rPr>
        <w:t xml:space="preserve"> To facilitate this, the Commonwealth will initiate and coordinate the establishment of the Governance Committee</w:t>
      </w:r>
      <w:r w:rsidR="00035A77">
        <w:rPr>
          <w:rFonts w:ascii="Arial" w:hAnsi="Arial" w:cs="Arial"/>
          <w:sz w:val="24"/>
          <w:szCs w:val="24"/>
        </w:rPr>
        <w:t>, and facilitate ongoing oversight of the National Framework</w:t>
      </w:r>
      <w:r w:rsidR="00EA673C" w:rsidRPr="003D51E4">
        <w:rPr>
          <w:rFonts w:ascii="Arial" w:hAnsi="Arial" w:cs="Arial"/>
          <w:sz w:val="24"/>
          <w:szCs w:val="24"/>
        </w:rPr>
        <w:t xml:space="preserve">. </w:t>
      </w:r>
    </w:p>
    <w:p w14:paraId="1EF21A20" w14:textId="77777777" w:rsidR="00A33C0A" w:rsidRPr="003D51E4" w:rsidRDefault="00A33C0A" w:rsidP="00940768">
      <w:pPr>
        <w:rPr>
          <w:rFonts w:ascii="Arial" w:hAnsi="Arial"/>
          <w:sz w:val="24"/>
        </w:rPr>
      </w:pPr>
      <w:r w:rsidRPr="003D51E4">
        <w:rPr>
          <w:rFonts w:ascii="Arial" w:hAnsi="Arial"/>
          <w:sz w:val="24"/>
        </w:rPr>
        <w:t xml:space="preserve">The </w:t>
      </w:r>
      <w:r w:rsidR="005B64D7" w:rsidRPr="003D51E4">
        <w:rPr>
          <w:rFonts w:ascii="Arial" w:hAnsi="Arial"/>
          <w:sz w:val="24"/>
        </w:rPr>
        <w:t>G</w:t>
      </w:r>
      <w:r w:rsidRPr="003D51E4">
        <w:rPr>
          <w:rFonts w:ascii="Arial" w:hAnsi="Arial"/>
          <w:sz w:val="24"/>
        </w:rPr>
        <w:t xml:space="preserve">overnance </w:t>
      </w:r>
      <w:r w:rsidR="005B64D7" w:rsidRPr="003D51E4">
        <w:rPr>
          <w:rFonts w:ascii="Arial" w:hAnsi="Arial"/>
          <w:sz w:val="24"/>
        </w:rPr>
        <w:t>C</w:t>
      </w:r>
      <w:r w:rsidRPr="003D51E4">
        <w:rPr>
          <w:rFonts w:ascii="Arial" w:hAnsi="Arial"/>
          <w:sz w:val="24"/>
        </w:rPr>
        <w:t>ommittee will be responsible for overseeing the implementation</w:t>
      </w:r>
      <w:r w:rsidR="00BB689B" w:rsidRPr="003D51E4">
        <w:rPr>
          <w:rFonts w:ascii="Arial" w:hAnsi="Arial"/>
          <w:sz w:val="24"/>
        </w:rPr>
        <w:t xml:space="preserve"> </w:t>
      </w:r>
      <w:r w:rsidRPr="003D51E4">
        <w:rPr>
          <w:rFonts w:ascii="Arial" w:hAnsi="Arial"/>
          <w:sz w:val="24"/>
        </w:rPr>
        <w:t xml:space="preserve">of the National Framework, including making all related decisions, consistent with the commitments expressed within the </w:t>
      </w:r>
      <w:r w:rsidR="001D1679" w:rsidRPr="003D51E4">
        <w:rPr>
          <w:rFonts w:ascii="Arial" w:hAnsi="Arial"/>
          <w:sz w:val="24"/>
        </w:rPr>
        <w:t xml:space="preserve">National </w:t>
      </w:r>
      <w:r w:rsidR="007A0C6E" w:rsidRPr="003D51E4">
        <w:rPr>
          <w:rFonts w:ascii="Arial" w:hAnsi="Arial"/>
          <w:sz w:val="24"/>
        </w:rPr>
        <w:t>Framework</w:t>
      </w:r>
      <w:r w:rsidRPr="003D51E4">
        <w:rPr>
          <w:rFonts w:ascii="Arial" w:hAnsi="Arial"/>
          <w:sz w:val="24"/>
        </w:rPr>
        <w:t>. This includes managing and coordinating the implementation of the National Framework across jurisdictions</w:t>
      </w:r>
      <w:r w:rsidR="006F2B4A" w:rsidRPr="003D51E4">
        <w:rPr>
          <w:rFonts w:ascii="Arial" w:hAnsi="Arial"/>
          <w:sz w:val="24"/>
        </w:rPr>
        <w:t xml:space="preserve">, and </w:t>
      </w:r>
      <w:r w:rsidR="00C3325D" w:rsidRPr="003D51E4">
        <w:rPr>
          <w:rFonts w:ascii="Arial" w:hAnsi="Arial"/>
          <w:sz w:val="24"/>
        </w:rPr>
        <w:t>updat</w:t>
      </w:r>
      <w:r w:rsidR="006F2B4A" w:rsidRPr="003D51E4">
        <w:rPr>
          <w:rFonts w:ascii="Arial" w:hAnsi="Arial"/>
          <w:sz w:val="24"/>
        </w:rPr>
        <w:t>ing it</w:t>
      </w:r>
      <w:r w:rsidR="00C3325D" w:rsidRPr="003D51E4">
        <w:rPr>
          <w:rFonts w:ascii="Arial" w:hAnsi="Arial"/>
          <w:sz w:val="24"/>
        </w:rPr>
        <w:t xml:space="preserve"> over time</w:t>
      </w:r>
      <w:r w:rsidRPr="003D51E4">
        <w:rPr>
          <w:rFonts w:ascii="Arial" w:hAnsi="Arial"/>
          <w:sz w:val="24"/>
        </w:rPr>
        <w:t xml:space="preserve">. </w:t>
      </w:r>
    </w:p>
    <w:p w14:paraId="48E10D46" w14:textId="77777777" w:rsidR="0018504C" w:rsidRPr="003D51E4" w:rsidRDefault="008A44AF" w:rsidP="00940768">
      <w:pPr>
        <w:rPr>
          <w:rFonts w:ascii="Arial" w:hAnsi="Arial"/>
          <w:sz w:val="24"/>
        </w:rPr>
      </w:pPr>
      <w:r w:rsidRPr="003D51E4">
        <w:rPr>
          <w:rFonts w:ascii="Arial" w:hAnsi="Arial"/>
          <w:sz w:val="24"/>
        </w:rPr>
        <w:t xml:space="preserve">The </w:t>
      </w:r>
      <w:r w:rsidR="005B64D7" w:rsidRPr="003D51E4">
        <w:rPr>
          <w:rFonts w:ascii="Arial" w:hAnsi="Arial"/>
          <w:sz w:val="24"/>
        </w:rPr>
        <w:t>G</w:t>
      </w:r>
      <w:r w:rsidRPr="003D51E4">
        <w:rPr>
          <w:rFonts w:ascii="Arial" w:hAnsi="Arial"/>
          <w:sz w:val="24"/>
        </w:rPr>
        <w:t xml:space="preserve">overnance </w:t>
      </w:r>
      <w:r w:rsidR="005B64D7" w:rsidRPr="003D51E4">
        <w:rPr>
          <w:rFonts w:ascii="Arial" w:hAnsi="Arial"/>
          <w:sz w:val="24"/>
        </w:rPr>
        <w:t>C</w:t>
      </w:r>
      <w:r w:rsidRPr="003D51E4">
        <w:rPr>
          <w:rFonts w:ascii="Arial" w:hAnsi="Arial"/>
          <w:sz w:val="24"/>
        </w:rPr>
        <w:t>ommittee will also be responsible for assessing, monitoring and determining proposed changes to the National Framework, in accordance with the principles for maintaining consistency.</w:t>
      </w:r>
      <w:r w:rsidR="005E12F1" w:rsidRPr="003D51E4">
        <w:rPr>
          <w:rFonts w:ascii="Arial" w:hAnsi="Arial"/>
          <w:sz w:val="24"/>
        </w:rPr>
        <w:t xml:space="preserve"> </w:t>
      </w:r>
      <w:r w:rsidR="00035A77">
        <w:rPr>
          <w:rFonts w:ascii="Arial" w:hAnsi="Arial"/>
          <w:sz w:val="24"/>
        </w:rPr>
        <w:t>Stakeholders would be consulted as appropriate and relevant.</w:t>
      </w:r>
    </w:p>
    <w:p w14:paraId="7CC7137D" w14:textId="77777777" w:rsidR="001A1BB5" w:rsidRPr="003D51E4" w:rsidRDefault="001A1BB5" w:rsidP="00940768">
      <w:pPr>
        <w:rPr>
          <w:rFonts w:ascii="Arial" w:hAnsi="Arial"/>
          <w:sz w:val="24"/>
        </w:rPr>
      </w:pPr>
      <w:r w:rsidRPr="003D51E4">
        <w:rPr>
          <w:rFonts w:ascii="Arial" w:hAnsi="Arial"/>
          <w:sz w:val="24"/>
        </w:rPr>
        <w:t xml:space="preserve">During the initial </w:t>
      </w:r>
      <w:r w:rsidR="00F41A84" w:rsidRPr="003D51E4">
        <w:rPr>
          <w:rFonts w:ascii="Arial" w:hAnsi="Arial"/>
          <w:sz w:val="24"/>
        </w:rPr>
        <w:t xml:space="preserve">18 </w:t>
      </w:r>
      <w:r w:rsidRPr="003D51E4">
        <w:rPr>
          <w:rFonts w:ascii="Arial" w:hAnsi="Arial"/>
          <w:sz w:val="24"/>
        </w:rPr>
        <w:t xml:space="preserve">month implementation period, the </w:t>
      </w:r>
      <w:r w:rsidR="005B64D7" w:rsidRPr="003D51E4">
        <w:rPr>
          <w:rFonts w:ascii="Arial" w:hAnsi="Arial"/>
          <w:sz w:val="24"/>
        </w:rPr>
        <w:t>G</w:t>
      </w:r>
      <w:r w:rsidRPr="003D51E4">
        <w:rPr>
          <w:rFonts w:ascii="Arial" w:hAnsi="Arial"/>
          <w:sz w:val="24"/>
        </w:rPr>
        <w:t xml:space="preserve">overnance </w:t>
      </w:r>
      <w:r w:rsidR="005B64D7" w:rsidRPr="003D51E4">
        <w:rPr>
          <w:rFonts w:ascii="Arial" w:hAnsi="Arial"/>
          <w:sz w:val="24"/>
        </w:rPr>
        <w:t>C</w:t>
      </w:r>
      <w:r w:rsidRPr="003D51E4">
        <w:rPr>
          <w:rFonts w:ascii="Arial" w:hAnsi="Arial"/>
          <w:sz w:val="24"/>
        </w:rPr>
        <w:t xml:space="preserve">ommittee will meet every three months to ensure the smooth introduction of the National Framework. </w:t>
      </w:r>
    </w:p>
    <w:p w14:paraId="7C43932D" w14:textId="77777777" w:rsidR="0030729E" w:rsidRDefault="001A1BB5" w:rsidP="00940768">
      <w:pPr>
        <w:rPr>
          <w:rFonts w:ascii="Arial" w:hAnsi="Arial"/>
          <w:sz w:val="24"/>
        </w:rPr>
      </w:pPr>
      <w:r w:rsidRPr="003D51E4">
        <w:rPr>
          <w:rFonts w:ascii="Arial" w:hAnsi="Arial"/>
          <w:sz w:val="24"/>
        </w:rPr>
        <w:t xml:space="preserve">The </w:t>
      </w:r>
      <w:r w:rsidR="005B64D7" w:rsidRPr="003D51E4">
        <w:rPr>
          <w:rFonts w:ascii="Arial" w:hAnsi="Arial"/>
          <w:sz w:val="24"/>
        </w:rPr>
        <w:t>G</w:t>
      </w:r>
      <w:r w:rsidRPr="003D51E4">
        <w:rPr>
          <w:rFonts w:ascii="Arial" w:hAnsi="Arial"/>
          <w:sz w:val="24"/>
        </w:rPr>
        <w:t xml:space="preserve">overnance </w:t>
      </w:r>
      <w:r w:rsidR="005B64D7" w:rsidRPr="003D51E4">
        <w:rPr>
          <w:rFonts w:ascii="Arial" w:hAnsi="Arial"/>
          <w:sz w:val="24"/>
        </w:rPr>
        <w:t>C</w:t>
      </w:r>
      <w:r w:rsidRPr="003D51E4">
        <w:rPr>
          <w:rFonts w:ascii="Arial" w:hAnsi="Arial"/>
          <w:sz w:val="24"/>
        </w:rPr>
        <w:t>ommittee will report to ministers, whether collectively or individually, on progress,</w:t>
      </w:r>
      <w:r w:rsidR="00BB6CED" w:rsidRPr="003D51E4">
        <w:rPr>
          <w:rFonts w:ascii="Arial" w:hAnsi="Arial"/>
          <w:sz w:val="24"/>
        </w:rPr>
        <w:t xml:space="preserve"> at least</w:t>
      </w:r>
      <w:r w:rsidRPr="003D51E4">
        <w:rPr>
          <w:rFonts w:ascii="Arial" w:hAnsi="Arial"/>
          <w:sz w:val="24"/>
        </w:rPr>
        <w:t xml:space="preserve"> twice over the same period</w:t>
      </w:r>
      <w:r w:rsidR="00BB6CED" w:rsidRPr="003D51E4">
        <w:rPr>
          <w:rFonts w:ascii="Arial" w:hAnsi="Arial"/>
          <w:sz w:val="24"/>
        </w:rPr>
        <w:t>, or as needed.</w:t>
      </w:r>
    </w:p>
    <w:p w14:paraId="47720D6C" w14:textId="77777777" w:rsidR="00C23E64" w:rsidRDefault="00C23E64">
      <w:pPr>
        <w:spacing w:after="0" w:line="240" w:lineRule="auto"/>
        <w:rPr>
          <w:rFonts w:ascii="Arial" w:hAnsi="Arial"/>
          <w:color w:val="C00000"/>
          <w:sz w:val="32"/>
        </w:rPr>
      </w:pPr>
      <w:r>
        <w:rPr>
          <w:rFonts w:ascii="Arial" w:hAnsi="Arial"/>
          <w:color w:val="C00000"/>
          <w:sz w:val="32"/>
        </w:rPr>
        <w:br w:type="page"/>
      </w:r>
    </w:p>
    <w:p w14:paraId="7D79CD9C" w14:textId="77777777" w:rsidR="00027FEC" w:rsidRPr="00433039" w:rsidRDefault="007F6CAC" w:rsidP="00940768">
      <w:pPr>
        <w:rPr>
          <w:rFonts w:ascii="Arial" w:hAnsi="Arial"/>
          <w:color w:val="C00000"/>
          <w:sz w:val="32"/>
        </w:rPr>
      </w:pPr>
      <w:r w:rsidRPr="00433039">
        <w:rPr>
          <w:rFonts w:ascii="Arial" w:hAnsi="Arial"/>
          <w:color w:val="C00000"/>
          <w:sz w:val="32"/>
        </w:rPr>
        <w:lastRenderedPageBreak/>
        <w:t xml:space="preserve">Decision making </w:t>
      </w:r>
    </w:p>
    <w:p w14:paraId="44D1D0A8" w14:textId="77777777" w:rsidR="00BB6CED" w:rsidRPr="003D51E4" w:rsidRDefault="00AF02A2" w:rsidP="00940768">
      <w:pPr>
        <w:rPr>
          <w:rFonts w:ascii="Arial" w:hAnsi="Arial"/>
          <w:sz w:val="24"/>
        </w:rPr>
      </w:pPr>
      <w:r w:rsidRPr="003D51E4">
        <w:rPr>
          <w:rFonts w:ascii="Arial" w:hAnsi="Arial"/>
          <w:sz w:val="24"/>
        </w:rPr>
        <w:t xml:space="preserve">The </w:t>
      </w:r>
      <w:r w:rsidR="005B64D7" w:rsidRPr="003D51E4">
        <w:rPr>
          <w:rFonts w:ascii="Arial" w:hAnsi="Arial"/>
          <w:sz w:val="24"/>
        </w:rPr>
        <w:t>G</w:t>
      </w:r>
      <w:r w:rsidRPr="003D51E4">
        <w:rPr>
          <w:rFonts w:ascii="Arial" w:hAnsi="Arial"/>
          <w:sz w:val="24"/>
        </w:rPr>
        <w:t xml:space="preserve">overnance </w:t>
      </w:r>
      <w:r w:rsidR="005B64D7" w:rsidRPr="003D51E4">
        <w:rPr>
          <w:rFonts w:ascii="Arial" w:hAnsi="Arial"/>
          <w:sz w:val="24"/>
        </w:rPr>
        <w:t>C</w:t>
      </w:r>
      <w:r w:rsidRPr="003D51E4">
        <w:rPr>
          <w:rFonts w:ascii="Arial" w:hAnsi="Arial"/>
          <w:sz w:val="24"/>
        </w:rPr>
        <w:t xml:space="preserve">ommittee will </w:t>
      </w:r>
      <w:r w:rsidR="005600B4" w:rsidRPr="003D51E4">
        <w:rPr>
          <w:rFonts w:ascii="Arial" w:hAnsi="Arial"/>
          <w:sz w:val="24"/>
        </w:rPr>
        <w:t xml:space="preserve">be responsible for </w:t>
      </w:r>
      <w:r w:rsidR="00BA0038" w:rsidRPr="003D51E4">
        <w:rPr>
          <w:rFonts w:ascii="Arial" w:hAnsi="Arial"/>
          <w:sz w:val="24"/>
        </w:rPr>
        <w:t xml:space="preserve">putting forward additions or departures from the National Framework, subject to agreement by all ministers. </w:t>
      </w:r>
    </w:p>
    <w:p w14:paraId="403EA7F4" w14:textId="77777777" w:rsidR="008A44AF" w:rsidRPr="003D51E4" w:rsidRDefault="007F6CAC" w:rsidP="00940768">
      <w:pPr>
        <w:rPr>
          <w:rFonts w:ascii="Arial" w:hAnsi="Arial"/>
          <w:sz w:val="24"/>
        </w:rPr>
      </w:pPr>
      <w:r w:rsidRPr="003D51E4">
        <w:rPr>
          <w:rFonts w:ascii="Arial" w:hAnsi="Arial"/>
          <w:sz w:val="24"/>
        </w:rPr>
        <w:t>Depending on the nature of the chang</w:t>
      </w:r>
      <w:r w:rsidR="007F240C" w:rsidRPr="003D51E4">
        <w:rPr>
          <w:rFonts w:ascii="Arial" w:hAnsi="Arial"/>
          <w:sz w:val="24"/>
        </w:rPr>
        <w:t>e,</w:t>
      </w:r>
      <w:r w:rsidR="00BB6CED" w:rsidRPr="003D51E4">
        <w:rPr>
          <w:rFonts w:ascii="Arial" w:hAnsi="Arial"/>
          <w:sz w:val="24"/>
        </w:rPr>
        <w:t xml:space="preserve"> it is acknowledged that</w:t>
      </w:r>
      <w:r w:rsidR="007F240C" w:rsidRPr="003D51E4">
        <w:rPr>
          <w:rFonts w:ascii="Arial" w:hAnsi="Arial"/>
          <w:sz w:val="24"/>
        </w:rPr>
        <w:t xml:space="preserve"> ministers </w:t>
      </w:r>
      <w:r w:rsidR="00BB6CED" w:rsidRPr="003D51E4">
        <w:rPr>
          <w:rFonts w:ascii="Arial" w:hAnsi="Arial"/>
          <w:sz w:val="24"/>
        </w:rPr>
        <w:t xml:space="preserve">may </w:t>
      </w:r>
      <w:r w:rsidR="007F240C" w:rsidRPr="003D51E4">
        <w:rPr>
          <w:rFonts w:ascii="Arial" w:hAnsi="Arial"/>
          <w:sz w:val="24"/>
        </w:rPr>
        <w:t>need to return to their cabinets</w:t>
      </w:r>
      <w:r w:rsidR="00BB6CED" w:rsidRPr="003D51E4">
        <w:rPr>
          <w:rFonts w:ascii="Arial" w:hAnsi="Arial"/>
          <w:sz w:val="24"/>
        </w:rPr>
        <w:t xml:space="preserve"> to secure approval</w:t>
      </w:r>
      <w:r w:rsidR="007F240C" w:rsidRPr="003D51E4">
        <w:rPr>
          <w:rFonts w:ascii="Arial" w:hAnsi="Arial"/>
          <w:sz w:val="24"/>
        </w:rPr>
        <w:t xml:space="preserve"> for any major departures. This will be a matter for each government. It is assumed that ministers</w:t>
      </w:r>
      <w:r w:rsidR="008A44AF" w:rsidRPr="003D51E4">
        <w:rPr>
          <w:rFonts w:ascii="Arial" w:hAnsi="Arial"/>
          <w:sz w:val="24"/>
        </w:rPr>
        <w:t xml:space="preserve"> enter into </w:t>
      </w:r>
      <w:r w:rsidR="007F240C" w:rsidRPr="003D51E4">
        <w:rPr>
          <w:rFonts w:ascii="Arial" w:hAnsi="Arial"/>
          <w:sz w:val="24"/>
        </w:rPr>
        <w:t xml:space="preserve">commitments under the National Framework </w:t>
      </w:r>
      <w:r w:rsidR="008A44AF" w:rsidRPr="003D51E4">
        <w:rPr>
          <w:rFonts w:ascii="Arial" w:hAnsi="Arial"/>
          <w:sz w:val="24"/>
        </w:rPr>
        <w:t>with the full authorit</w:t>
      </w:r>
      <w:r w:rsidR="00A0601B">
        <w:rPr>
          <w:rFonts w:ascii="Arial" w:hAnsi="Arial"/>
          <w:sz w:val="24"/>
        </w:rPr>
        <w:t xml:space="preserve">y delegated by their cabinets. </w:t>
      </w:r>
    </w:p>
    <w:p w14:paraId="3EBE1D33" w14:textId="77777777" w:rsidR="00BB6CED" w:rsidRPr="003D51E4" w:rsidRDefault="00BB6CED" w:rsidP="00940768">
      <w:pPr>
        <w:rPr>
          <w:rFonts w:ascii="Arial" w:hAnsi="Arial"/>
          <w:sz w:val="24"/>
        </w:rPr>
      </w:pPr>
      <w:r w:rsidRPr="003D51E4">
        <w:rPr>
          <w:rFonts w:ascii="Arial" w:hAnsi="Arial"/>
          <w:sz w:val="24"/>
        </w:rPr>
        <w:t>Where ministers agree to such departures, these changes will be reflec</w:t>
      </w:r>
      <w:r w:rsidR="00B562B9" w:rsidRPr="003D51E4">
        <w:rPr>
          <w:rFonts w:ascii="Arial" w:hAnsi="Arial"/>
          <w:sz w:val="24"/>
        </w:rPr>
        <w:t>ted in subsequent updates to this National Framework</w:t>
      </w:r>
      <w:r w:rsidRPr="003D51E4">
        <w:rPr>
          <w:rFonts w:ascii="Arial" w:hAnsi="Arial"/>
          <w:sz w:val="24"/>
        </w:rPr>
        <w:t xml:space="preserve">. </w:t>
      </w:r>
    </w:p>
    <w:p w14:paraId="1E72F40A" w14:textId="77777777" w:rsidR="00A30CE0" w:rsidRDefault="00A30CE0" w:rsidP="00940768">
      <w:pPr>
        <w:rPr>
          <w:rFonts w:ascii="Arial" w:hAnsi="Arial"/>
          <w:sz w:val="24"/>
        </w:rPr>
        <w:sectPr w:rsidR="00A30CE0" w:rsidSect="00DC78EF">
          <w:pgSz w:w="11906" w:h="16838"/>
          <w:pgMar w:top="567" w:right="964" w:bottom="284" w:left="964" w:header="709" w:footer="709" w:gutter="0"/>
          <w:pgBorders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08"/>
          <w:docGrid w:linePitch="360"/>
        </w:sectPr>
      </w:pPr>
    </w:p>
    <w:p w14:paraId="3B08D430" w14:textId="77777777" w:rsidR="001B5033" w:rsidRPr="00433039" w:rsidRDefault="001B5033" w:rsidP="00DC78EF">
      <w:pPr>
        <w:spacing w:after="0" w:line="240" w:lineRule="auto"/>
        <w:jc w:val="right"/>
        <w:rPr>
          <w:rFonts w:ascii="Arial" w:hAnsi="Arial"/>
          <w:b/>
          <w:color w:val="C00000"/>
          <w:sz w:val="32"/>
        </w:rPr>
      </w:pPr>
      <w:r w:rsidRPr="00433039">
        <w:rPr>
          <w:rFonts w:ascii="Arial" w:hAnsi="Arial"/>
          <w:b/>
          <w:color w:val="C00000"/>
          <w:sz w:val="32"/>
        </w:rPr>
        <w:lastRenderedPageBreak/>
        <w:t>Attachment A: Scope</w:t>
      </w:r>
    </w:p>
    <w:p w14:paraId="5CC103E3" w14:textId="77777777" w:rsidR="001B5033" w:rsidRPr="00433039" w:rsidRDefault="001B5033" w:rsidP="00DC78EF">
      <w:pPr>
        <w:spacing w:before="160"/>
        <w:textAlignment w:val="baseline"/>
        <w:rPr>
          <w:rFonts w:ascii="Arial" w:hAnsi="Arial"/>
          <w:color w:val="000000"/>
          <w:sz w:val="24"/>
        </w:rPr>
      </w:pPr>
      <w:r w:rsidRPr="00433039">
        <w:rPr>
          <w:rFonts w:ascii="Arial" w:hAnsi="Arial"/>
          <w:color w:val="000000"/>
          <w:sz w:val="24"/>
        </w:rPr>
        <w:t xml:space="preserve">The National Framework is intended to apply broadly to all forms of </w:t>
      </w:r>
      <w:r w:rsidR="002A3A56">
        <w:rPr>
          <w:rFonts w:ascii="Arial" w:hAnsi="Arial"/>
          <w:color w:val="000000"/>
          <w:sz w:val="24"/>
        </w:rPr>
        <w:t>interactive</w:t>
      </w:r>
      <w:r w:rsidRPr="00433039">
        <w:rPr>
          <w:rFonts w:ascii="Arial" w:hAnsi="Arial"/>
          <w:color w:val="000000"/>
          <w:sz w:val="24"/>
        </w:rPr>
        <w:t xml:space="preserve"> wagering services which are not prohibited under the </w:t>
      </w:r>
      <w:r w:rsidRPr="00433039">
        <w:rPr>
          <w:rFonts w:ascii="Arial" w:hAnsi="Arial"/>
          <w:i/>
          <w:color w:val="000000"/>
          <w:sz w:val="24"/>
        </w:rPr>
        <w:t>Interactive Gambling Act 2001</w:t>
      </w:r>
      <w:r w:rsidRPr="00433039">
        <w:rPr>
          <w:rFonts w:ascii="Arial" w:hAnsi="Arial"/>
          <w:color w:val="000000"/>
          <w:sz w:val="24"/>
        </w:rPr>
        <w:t xml:space="preserve">. Specifically, the scope of the National Framework is defined in the </w:t>
      </w:r>
      <w:r w:rsidRPr="00433039">
        <w:rPr>
          <w:rFonts w:ascii="Arial" w:hAnsi="Arial"/>
          <w:i/>
          <w:color w:val="000000"/>
          <w:sz w:val="24"/>
        </w:rPr>
        <w:t>Interactive Gambling Amendment Act 2017</w:t>
      </w:r>
      <w:r w:rsidRPr="00433039">
        <w:rPr>
          <w:rFonts w:ascii="Arial" w:hAnsi="Arial"/>
          <w:color w:val="000000"/>
          <w:sz w:val="24"/>
        </w:rPr>
        <w:t xml:space="preserve"> as a ‘regulated interactive gambling service’ that is also an ‘excluded wagering service’. </w:t>
      </w:r>
    </w:p>
    <w:p w14:paraId="73BEFC1F" w14:textId="77777777" w:rsidR="001B5033" w:rsidRPr="00433039" w:rsidRDefault="001B5033" w:rsidP="00940768">
      <w:pPr>
        <w:textAlignment w:val="baseline"/>
        <w:rPr>
          <w:rFonts w:ascii="Arial" w:hAnsi="Arial"/>
          <w:color w:val="000000"/>
          <w:sz w:val="24"/>
        </w:rPr>
      </w:pPr>
      <w:r w:rsidRPr="00433039">
        <w:rPr>
          <w:rFonts w:ascii="Arial" w:hAnsi="Arial"/>
          <w:color w:val="000000"/>
          <w:sz w:val="24"/>
        </w:rPr>
        <w:t xml:space="preserve">In general, these licensed services cover wagering by any remote telecommunication service – that is internet, telephone, television, radio or any other kind of telecommunication or electronic service for facilitating communication (noting exceptions). In practice, online wagering is generally synonymous with, but is not limited to, account based betting. </w:t>
      </w:r>
    </w:p>
    <w:p w14:paraId="00DB173E" w14:textId="77777777" w:rsidR="001B5033" w:rsidRPr="00433039" w:rsidRDefault="001B5033" w:rsidP="00940768">
      <w:pPr>
        <w:textAlignment w:val="baseline"/>
        <w:rPr>
          <w:rFonts w:ascii="Arial" w:hAnsi="Arial"/>
          <w:color w:val="000000"/>
          <w:sz w:val="24"/>
        </w:rPr>
      </w:pPr>
      <w:r w:rsidRPr="00433039">
        <w:rPr>
          <w:rFonts w:ascii="Arial" w:hAnsi="Arial"/>
          <w:color w:val="000000"/>
          <w:sz w:val="24"/>
        </w:rPr>
        <w:t>Interactive gambling services which are licensed, as an extension to a pre-existing licence for land based wagering services, are also in scope. For example, this includes telephone or internet betting services conducted by on-course bookmakers, or internet wagering services conducted at TAB retail outlets.</w:t>
      </w:r>
    </w:p>
    <w:p w14:paraId="7017613D" w14:textId="77777777" w:rsidR="001B5033" w:rsidRPr="00433039" w:rsidRDefault="001B5033" w:rsidP="00940768">
      <w:pPr>
        <w:textAlignment w:val="baseline"/>
        <w:rPr>
          <w:rFonts w:ascii="Arial" w:hAnsi="Arial"/>
          <w:color w:val="000000"/>
          <w:sz w:val="24"/>
        </w:rPr>
      </w:pPr>
      <w:r w:rsidRPr="00433039">
        <w:rPr>
          <w:rFonts w:ascii="Arial" w:hAnsi="Arial"/>
          <w:color w:val="000000"/>
          <w:sz w:val="24"/>
        </w:rPr>
        <w:t>However</w:t>
      </w:r>
      <w:r w:rsidR="00D0310F" w:rsidRPr="00433039">
        <w:rPr>
          <w:rFonts w:ascii="Arial" w:hAnsi="Arial"/>
          <w:color w:val="000000"/>
          <w:sz w:val="24"/>
        </w:rPr>
        <w:t>,</w:t>
      </w:r>
      <w:r w:rsidRPr="00433039">
        <w:rPr>
          <w:rFonts w:ascii="Arial" w:hAnsi="Arial"/>
          <w:color w:val="000000"/>
          <w:sz w:val="24"/>
        </w:rPr>
        <w:t xml:space="preserve"> the National Framework is not intended to regulate land based wagering services, such as services which are only offered and accessible at TAB retail outlets. Under the </w:t>
      </w:r>
      <w:r w:rsidRPr="00433039">
        <w:rPr>
          <w:rFonts w:ascii="Arial" w:hAnsi="Arial"/>
          <w:i/>
          <w:color w:val="000000"/>
          <w:sz w:val="24"/>
        </w:rPr>
        <w:t>Interactive Gambling Amendment Act 2017</w:t>
      </w:r>
      <w:r w:rsidRPr="00433039">
        <w:rPr>
          <w:rFonts w:ascii="Arial" w:hAnsi="Arial"/>
          <w:color w:val="000000"/>
          <w:sz w:val="24"/>
        </w:rPr>
        <w:t>, these services are defined as a ‘place</w:t>
      </w:r>
      <w:r w:rsidRPr="00433039">
        <w:rPr>
          <w:rFonts w:ascii="Arial" w:hAnsi="Arial"/>
          <w:color w:val="000000"/>
          <w:sz w:val="24"/>
        </w:rPr>
        <w:noBreakHyphen/>
        <w:t>based betting service’ and are excluded from a ‘regulated interactive gambling service’.</w:t>
      </w:r>
    </w:p>
    <w:p w14:paraId="4BFA5872" w14:textId="77777777" w:rsidR="001B5033" w:rsidRPr="00433039" w:rsidRDefault="001B5033" w:rsidP="00940768">
      <w:pPr>
        <w:textAlignment w:val="baseline"/>
        <w:rPr>
          <w:rFonts w:ascii="Arial" w:hAnsi="Arial"/>
          <w:color w:val="000000"/>
          <w:sz w:val="24"/>
        </w:rPr>
      </w:pPr>
      <w:r w:rsidRPr="00433039">
        <w:rPr>
          <w:rFonts w:ascii="Arial" w:hAnsi="Arial"/>
          <w:color w:val="000000"/>
          <w:sz w:val="24"/>
        </w:rPr>
        <w:t xml:space="preserve">Where exemptions apply, these are defined within the principles for each measure. </w:t>
      </w:r>
    </w:p>
    <w:p w14:paraId="5E1FF962" w14:textId="77777777" w:rsidR="001B5033" w:rsidRPr="00433039" w:rsidRDefault="001B5033" w:rsidP="00940768">
      <w:pPr>
        <w:textAlignment w:val="baseline"/>
        <w:rPr>
          <w:rFonts w:ascii="Arial" w:hAnsi="Arial"/>
          <w:color w:val="000000"/>
          <w:sz w:val="24"/>
        </w:rPr>
      </w:pPr>
      <w:r w:rsidRPr="00433039">
        <w:rPr>
          <w:rFonts w:ascii="Arial" w:hAnsi="Arial"/>
          <w:color w:val="000000"/>
          <w:sz w:val="24"/>
        </w:rPr>
        <w:t>The following table illustrates the scope (as defined above) of the National Framework as they relate to current wagering services. However, the table is not intended to limit its scope to the categories defined below. The table may be updated from time to time to help ensure there is a clear and comm</w:t>
      </w:r>
      <w:r w:rsidR="00A0601B" w:rsidRPr="00433039">
        <w:rPr>
          <w:rFonts w:ascii="Arial" w:hAnsi="Arial"/>
          <w:color w:val="000000"/>
          <w:sz w:val="24"/>
        </w:rPr>
        <w:t xml:space="preserve">on understanding of the scope.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5"/>
        <w:gridCol w:w="4678"/>
        <w:gridCol w:w="1701"/>
      </w:tblGrid>
      <w:tr w:rsidR="001B5033" w:rsidRPr="001B474F" w14:paraId="0E92078B" w14:textId="77777777" w:rsidTr="001B5033">
        <w:trPr>
          <w:tblHeader/>
        </w:trPr>
        <w:tc>
          <w:tcPr>
            <w:tcW w:w="1985" w:type="dxa"/>
            <w:tcBorders>
              <w:top w:val="single" w:sz="12" w:space="0" w:color="auto"/>
              <w:left w:val="single" w:sz="12" w:space="0" w:color="auto"/>
              <w:bottom w:val="single" w:sz="12" w:space="0" w:color="auto"/>
              <w:right w:val="single" w:sz="12" w:space="0" w:color="auto"/>
            </w:tcBorders>
            <w:shd w:val="clear" w:color="auto" w:fill="9CC2E5" w:themeFill="accent5" w:themeFillTint="99"/>
            <w:vAlign w:val="center"/>
          </w:tcPr>
          <w:p w14:paraId="0BAF1AFE" w14:textId="77777777" w:rsidR="001B5033" w:rsidRPr="00433039" w:rsidRDefault="001B5033" w:rsidP="00940768">
            <w:pPr>
              <w:jc w:val="center"/>
              <w:rPr>
                <w:rFonts w:ascii="Arial" w:hAnsi="Arial"/>
                <w:b/>
                <w:sz w:val="18"/>
              </w:rPr>
            </w:pPr>
            <w:r w:rsidRPr="00433039">
              <w:rPr>
                <w:rFonts w:ascii="Arial" w:hAnsi="Arial"/>
                <w:b/>
                <w:sz w:val="18"/>
              </w:rPr>
              <w:t>Betting type±</w:t>
            </w:r>
          </w:p>
        </w:tc>
        <w:tc>
          <w:tcPr>
            <w:tcW w:w="1985" w:type="dxa"/>
            <w:tcBorders>
              <w:top w:val="single" w:sz="12" w:space="0" w:color="auto"/>
              <w:left w:val="single" w:sz="12" w:space="0" w:color="auto"/>
              <w:bottom w:val="single" w:sz="12" w:space="0" w:color="auto"/>
              <w:right w:val="single" w:sz="12" w:space="0" w:color="auto"/>
            </w:tcBorders>
            <w:shd w:val="clear" w:color="auto" w:fill="9CC2E5" w:themeFill="accent5" w:themeFillTint="99"/>
            <w:vAlign w:val="center"/>
          </w:tcPr>
          <w:p w14:paraId="57AB3573" w14:textId="77777777" w:rsidR="001B5033" w:rsidRPr="00433039" w:rsidRDefault="001B5033" w:rsidP="00940768">
            <w:pPr>
              <w:jc w:val="center"/>
              <w:rPr>
                <w:rFonts w:ascii="Arial" w:hAnsi="Arial"/>
                <w:b/>
                <w:sz w:val="18"/>
              </w:rPr>
            </w:pPr>
            <w:r w:rsidRPr="00433039">
              <w:rPr>
                <w:rFonts w:ascii="Arial" w:hAnsi="Arial"/>
                <w:b/>
                <w:sz w:val="18"/>
              </w:rPr>
              <w:t>Location of Betting Operations</w:t>
            </w:r>
          </w:p>
        </w:tc>
        <w:tc>
          <w:tcPr>
            <w:tcW w:w="4678" w:type="dxa"/>
            <w:tcBorders>
              <w:top w:val="single" w:sz="12" w:space="0" w:color="auto"/>
              <w:left w:val="single" w:sz="12" w:space="0" w:color="auto"/>
              <w:bottom w:val="single" w:sz="12" w:space="0" w:color="auto"/>
              <w:right w:val="single" w:sz="12" w:space="0" w:color="auto"/>
            </w:tcBorders>
            <w:shd w:val="clear" w:color="auto" w:fill="9CC2E5" w:themeFill="accent5" w:themeFillTint="99"/>
            <w:vAlign w:val="center"/>
          </w:tcPr>
          <w:p w14:paraId="5E2E58F0" w14:textId="77777777" w:rsidR="001B5033" w:rsidRPr="00433039" w:rsidRDefault="001B5033" w:rsidP="00940768">
            <w:pPr>
              <w:jc w:val="center"/>
              <w:rPr>
                <w:rFonts w:ascii="Arial" w:hAnsi="Arial"/>
                <w:b/>
                <w:sz w:val="18"/>
              </w:rPr>
            </w:pPr>
            <w:r w:rsidRPr="00433039">
              <w:rPr>
                <w:rFonts w:ascii="Arial" w:hAnsi="Arial"/>
                <w:b/>
                <w:sz w:val="18"/>
              </w:rPr>
              <w:t>Betting Method</w:t>
            </w:r>
          </w:p>
        </w:tc>
        <w:tc>
          <w:tcPr>
            <w:tcW w:w="1701" w:type="dxa"/>
            <w:tcBorders>
              <w:top w:val="single" w:sz="12" w:space="0" w:color="auto"/>
              <w:left w:val="single" w:sz="12" w:space="0" w:color="auto"/>
              <w:bottom w:val="single" w:sz="12" w:space="0" w:color="auto"/>
              <w:right w:val="single" w:sz="12" w:space="0" w:color="auto"/>
            </w:tcBorders>
            <w:shd w:val="clear" w:color="auto" w:fill="9CC2E5" w:themeFill="accent5" w:themeFillTint="99"/>
            <w:vAlign w:val="center"/>
          </w:tcPr>
          <w:p w14:paraId="3316D910" w14:textId="77777777" w:rsidR="001B5033" w:rsidRPr="00433039" w:rsidRDefault="001B5033" w:rsidP="00940768">
            <w:pPr>
              <w:jc w:val="center"/>
              <w:rPr>
                <w:rFonts w:ascii="Arial" w:hAnsi="Arial"/>
                <w:b/>
                <w:sz w:val="18"/>
              </w:rPr>
            </w:pPr>
            <w:r w:rsidRPr="00433039">
              <w:rPr>
                <w:rFonts w:ascii="Arial" w:hAnsi="Arial"/>
                <w:b/>
                <w:sz w:val="18"/>
              </w:rPr>
              <w:t>Agreed Scope</w:t>
            </w:r>
            <w:r w:rsidRPr="00433039">
              <w:rPr>
                <w:rFonts w:ascii="Arial" w:hAnsi="Arial"/>
                <w:b/>
                <w:sz w:val="16"/>
              </w:rPr>
              <w:t>‡</w:t>
            </w:r>
          </w:p>
        </w:tc>
      </w:tr>
      <w:tr w:rsidR="001B5033" w:rsidRPr="001B474F" w14:paraId="74726185" w14:textId="77777777" w:rsidTr="001B5033">
        <w:trPr>
          <w:trHeight w:val="204"/>
        </w:trPr>
        <w:tc>
          <w:tcPr>
            <w:tcW w:w="1985" w:type="dxa"/>
            <w:vMerge w:val="restart"/>
            <w:tcBorders>
              <w:top w:val="single" w:sz="12" w:space="0" w:color="auto"/>
              <w:left w:val="single" w:sz="12" w:space="0" w:color="auto"/>
              <w:bottom w:val="single" w:sz="12" w:space="0" w:color="auto"/>
              <w:right w:val="single" w:sz="12" w:space="0" w:color="auto"/>
            </w:tcBorders>
          </w:tcPr>
          <w:p w14:paraId="133812FA" w14:textId="77777777" w:rsidR="001B5033" w:rsidRPr="00433039" w:rsidRDefault="001B5033" w:rsidP="00940768">
            <w:pPr>
              <w:rPr>
                <w:rFonts w:ascii="Arial" w:hAnsi="Arial"/>
                <w:b/>
                <w:sz w:val="18"/>
              </w:rPr>
            </w:pPr>
            <w:r w:rsidRPr="00433039">
              <w:rPr>
                <w:rFonts w:ascii="Arial" w:hAnsi="Arial"/>
                <w:b/>
                <w:sz w:val="18"/>
              </w:rPr>
              <w:t>Totalisator</w:t>
            </w:r>
          </w:p>
          <w:p w14:paraId="693CAC20" w14:textId="77777777" w:rsidR="001B5033" w:rsidRPr="00433039" w:rsidRDefault="001B5033" w:rsidP="00940768">
            <w:pPr>
              <w:rPr>
                <w:rFonts w:ascii="Arial" w:hAnsi="Arial"/>
                <w:sz w:val="18"/>
              </w:rPr>
            </w:pPr>
            <w:r w:rsidRPr="00433039">
              <w:rPr>
                <w:rFonts w:ascii="Arial" w:hAnsi="Arial"/>
                <w:sz w:val="18"/>
              </w:rPr>
              <w:t>(Domestic)</w:t>
            </w:r>
          </w:p>
        </w:tc>
        <w:tc>
          <w:tcPr>
            <w:tcW w:w="1985" w:type="dxa"/>
            <w:vMerge w:val="restart"/>
            <w:tcBorders>
              <w:top w:val="single" w:sz="12" w:space="0" w:color="auto"/>
              <w:left w:val="single" w:sz="12" w:space="0" w:color="auto"/>
              <w:bottom w:val="single" w:sz="12" w:space="0" w:color="auto"/>
              <w:right w:val="single" w:sz="12" w:space="0" w:color="auto"/>
            </w:tcBorders>
          </w:tcPr>
          <w:p w14:paraId="57A44760" w14:textId="77777777" w:rsidR="001B5033" w:rsidRPr="00433039" w:rsidRDefault="001B5033" w:rsidP="00940768">
            <w:pPr>
              <w:rPr>
                <w:rFonts w:ascii="Arial" w:hAnsi="Arial"/>
                <w:sz w:val="18"/>
              </w:rPr>
            </w:pPr>
            <w:r w:rsidRPr="00433039">
              <w:rPr>
                <w:rFonts w:ascii="Arial" w:hAnsi="Arial"/>
                <w:sz w:val="18"/>
              </w:rPr>
              <w:t>On-course</w:t>
            </w:r>
            <w:r w:rsidRPr="00433039">
              <w:rPr>
                <w:rFonts w:ascii="Arial" w:hAnsi="Arial"/>
                <w:sz w:val="18"/>
              </w:rPr>
              <w:br/>
              <w:t>(i.e. racecourse)</w:t>
            </w:r>
          </w:p>
        </w:tc>
        <w:tc>
          <w:tcPr>
            <w:tcW w:w="4678" w:type="dxa"/>
            <w:tcBorders>
              <w:top w:val="single" w:sz="12" w:space="0" w:color="auto"/>
              <w:left w:val="single" w:sz="12" w:space="0" w:color="auto"/>
              <w:bottom w:val="single" w:sz="12" w:space="0" w:color="auto"/>
              <w:right w:val="single" w:sz="12" w:space="0" w:color="auto"/>
            </w:tcBorders>
          </w:tcPr>
          <w:p w14:paraId="54532276" w14:textId="77777777" w:rsidR="001B5033" w:rsidRPr="00433039" w:rsidRDefault="001B5033" w:rsidP="00940768">
            <w:pPr>
              <w:rPr>
                <w:rFonts w:ascii="Arial" w:hAnsi="Arial"/>
                <w:sz w:val="18"/>
              </w:rPr>
            </w:pPr>
            <w:r w:rsidRPr="00433039">
              <w:rPr>
                <w:rFonts w:ascii="Arial" w:hAnsi="Arial"/>
                <w:sz w:val="18"/>
              </w:rPr>
              <w:t>In person (e.g. at a betting stand)</w:t>
            </w:r>
          </w:p>
        </w:tc>
        <w:tc>
          <w:tcPr>
            <w:tcW w:w="1701" w:type="dxa"/>
            <w:tcBorders>
              <w:top w:val="single" w:sz="12" w:space="0" w:color="auto"/>
              <w:left w:val="single" w:sz="12" w:space="0" w:color="auto"/>
              <w:bottom w:val="single" w:sz="12" w:space="0" w:color="auto"/>
              <w:right w:val="single" w:sz="12" w:space="0" w:color="auto"/>
            </w:tcBorders>
            <w:vAlign w:val="center"/>
          </w:tcPr>
          <w:p w14:paraId="145DFAFC" w14:textId="77777777" w:rsidR="001B5033" w:rsidRPr="00433039" w:rsidRDefault="001B5033" w:rsidP="00940768">
            <w:pPr>
              <w:jc w:val="center"/>
              <w:rPr>
                <w:rFonts w:ascii="Arial" w:hAnsi="Arial"/>
                <w:sz w:val="18"/>
              </w:rPr>
            </w:pPr>
            <w:r w:rsidRPr="00433039">
              <w:rPr>
                <w:rFonts w:ascii="Arial" w:hAnsi="Arial"/>
                <w:sz w:val="18"/>
              </w:rPr>
              <w:t>Out</w:t>
            </w:r>
          </w:p>
        </w:tc>
      </w:tr>
      <w:tr w:rsidR="001B5033" w:rsidRPr="001B474F" w14:paraId="3EC9BE2B" w14:textId="77777777" w:rsidTr="001B5033">
        <w:tc>
          <w:tcPr>
            <w:tcW w:w="1985" w:type="dxa"/>
            <w:vMerge/>
            <w:tcBorders>
              <w:top w:val="single" w:sz="12" w:space="0" w:color="auto"/>
              <w:left w:val="single" w:sz="12" w:space="0" w:color="auto"/>
              <w:bottom w:val="single" w:sz="12" w:space="0" w:color="auto"/>
              <w:right w:val="single" w:sz="12" w:space="0" w:color="auto"/>
            </w:tcBorders>
          </w:tcPr>
          <w:p w14:paraId="6314328F" w14:textId="77777777" w:rsidR="001B5033" w:rsidRPr="00433039" w:rsidRDefault="001B5033" w:rsidP="00940768">
            <w:pPr>
              <w:rPr>
                <w:rFonts w:ascii="Arial" w:hAnsi="Arial"/>
                <w:b/>
                <w:sz w:val="18"/>
              </w:rPr>
            </w:pPr>
          </w:p>
        </w:tc>
        <w:tc>
          <w:tcPr>
            <w:tcW w:w="1985" w:type="dxa"/>
            <w:vMerge/>
            <w:tcBorders>
              <w:top w:val="single" w:sz="12" w:space="0" w:color="auto"/>
              <w:left w:val="single" w:sz="12" w:space="0" w:color="auto"/>
              <w:bottom w:val="single" w:sz="12" w:space="0" w:color="auto"/>
              <w:right w:val="single" w:sz="12" w:space="0" w:color="auto"/>
            </w:tcBorders>
          </w:tcPr>
          <w:p w14:paraId="18E492E9" w14:textId="77777777" w:rsidR="001B5033" w:rsidRPr="00433039" w:rsidRDefault="001B5033" w:rsidP="00940768">
            <w:pPr>
              <w:rPr>
                <w:rFonts w:ascii="Arial" w:hAnsi="Arial"/>
                <w:sz w:val="18"/>
              </w:rPr>
            </w:pP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13E4AAE5" w14:textId="77777777" w:rsidR="001B5033" w:rsidRPr="00433039" w:rsidRDefault="001B5033" w:rsidP="00940768">
            <w:pPr>
              <w:rPr>
                <w:rFonts w:ascii="Arial" w:hAnsi="Arial"/>
                <w:sz w:val="18"/>
              </w:rPr>
            </w:pPr>
            <w:r w:rsidRPr="00433039">
              <w:rPr>
                <w:rFonts w:ascii="Arial" w:hAnsi="Arial"/>
                <w:sz w:val="18"/>
              </w:rPr>
              <w:t>Cash (e.g. over the counter)</w:t>
            </w:r>
          </w:p>
        </w:tc>
        <w:tc>
          <w:tcPr>
            <w:tcW w:w="1701" w:type="dxa"/>
            <w:tcBorders>
              <w:top w:val="single" w:sz="12" w:space="0" w:color="auto"/>
              <w:left w:val="single" w:sz="12" w:space="0" w:color="auto"/>
              <w:bottom w:val="single" w:sz="12" w:space="0" w:color="auto"/>
              <w:right w:val="single" w:sz="12" w:space="0" w:color="auto"/>
            </w:tcBorders>
            <w:vAlign w:val="center"/>
          </w:tcPr>
          <w:p w14:paraId="467CDA26" w14:textId="77777777" w:rsidR="001B5033" w:rsidRPr="00433039" w:rsidRDefault="001B5033" w:rsidP="00940768">
            <w:pPr>
              <w:jc w:val="center"/>
              <w:rPr>
                <w:rFonts w:ascii="Arial" w:hAnsi="Arial"/>
                <w:sz w:val="18"/>
              </w:rPr>
            </w:pPr>
            <w:r w:rsidRPr="00433039">
              <w:rPr>
                <w:rFonts w:ascii="Arial" w:hAnsi="Arial"/>
                <w:sz w:val="18"/>
              </w:rPr>
              <w:t>Out</w:t>
            </w:r>
          </w:p>
        </w:tc>
      </w:tr>
      <w:tr w:rsidR="001B5033" w:rsidRPr="001B474F" w14:paraId="6B57871A" w14:textId="77777777" w:rsidTr="001B5033">
        <w:tc>
          <w:tcPr>
            <w:tcW w:w="1985" w:type="dxa"/>
            <w:vMerge/>
            <w:tcBorders>
              <w:top w:val="single" w:sz="12" w:space="0" w:color="auto"/>
              <w:left w:val="single" w:sz="12" w:space="0" w:color="auto"/>
              <w:bottom w:val="single" w:sz="12" w:space="0" w:color="auto"/>
              <w:right w:val="single" w:sz="12" w:space="0" w:color="auto"/>
            </w:tcBorders>
          </w:tcPr>
          <w:p w14:paraId="5C9153B5" w14:textId="77777777" w:rsidR="001B5033" w:rsidRPr="00433039" w:rsidRDefault="001B5033" w:rsidP="00940768">
            <w:pPr>
              <w:rPr>
                <w:rFonts w:ascii="Arial" w:hAnsi="Arial"/>
                <w:b/>
                <w:sz w:val="18"/>
              </w:rPr>
            </w:pPr>
          </w:p>
        </w:tc>
        <w:tc>
          <w:tcPr>
            <w:tcW w:w="1985" w:type="dxa"/>
            <w:vMerge w:val="restart"/>
            <w:tcBorders>
              <w:top w:val="single" w:sz="12" w:space="0" w:color="auto"/>
              <w:left w:val="single" w:sz="12" w:space="0" w:color="auto"/>
              <w:bottom w:val="single" w:sz="12" w:space="0" w:color="auto"/>
              <w:right w:val="single" w:sz="12" w:space="0" w:color="auto"/>
            </w:tcBorders>
          </w:tcPr>
          <w:p w14:paraId="4E4529A9" w14:textId="77777777" w:rsidR="001B5033" w:rsidRPr="00433039" w:rsidRDefault="001B5033" w:rsidP="00940768">
            <w:pPr>
              <w:rPr>
                <w:rFonts w:ascii="Arial" w:hAnsi="Arial"/>
                <w:sz w:val="18"/>
              </w:rPr>
            </w:pPr>
            <w:r w:rsidRPr="00433039">
              <w:rPr>
                <w:rFonts w:ascii="Arial" w:hAnsi="Arial"/>
                <w:sz w:val="18"/>
              </w:rPr>
              <w:t>Off-course</w:t>
            </w:r>
            <w:r w:rsidRPr="00433039">
              <w:rPr>
                <w:rFonts w:ascii="Arial" w:hAnsi="Arial"/>
                <w:sz w:val="18"/>
              </w:rPr>
              <w:br/>
              <w:t>(i.e. TAB)</w:t>
            </w: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4E5C093E" w14:textId="77777777" w:rsidR="001B5033" w:rsidRPr="00433039" w:rsidRDefault="001B5033" w:rsidP="00940768">
            <w:pPr>
              <w:rPr>
                <w:rFonts w:ascii="Arial" w:hAnsi="Arial"/>
                <w:sz w:val="18"/>
              </w:rPr>
            </w:pPr>
            <w:r w:rsidRPr="00433039">
              <w:rPr>
                <w:rFonts w:ascii="Arial" w:hAnsi="Arial"/>
                <w:sz w:val="18"/>
              </w:rPr>
              <w:t>Cash (e.g. over the counter)</w:t>
            </w:r>
          </w:p>
        </w:tc>
        <w:tc>
          <w:tcPr>
            <w:tcW w:w="1701" w:type="dxa"/>
            <w:tcBorders>
              <w:top w:val="single" w:sz="12" w:space="0" w:color="auto"/>
              <w:left w:val="single" w:sz="12" w:space="0" w:color="auto"/>
              <w:bottom w:val="single" w:sz="12" w:space="0" w:color="auto"/>
              <w:right w:val="single" w:sz="12" w:space="0" w:color="auto"/>
            </w:tcBorders>
            <w:vAlign w:val="center"/>
          </w:tcPr>
          <w:p w14:paraId="3BDB68FD" w14:textId="77777777" w:rsidR="001B5033" w:rsidRPr="00433039" w:rsidRDefault="001B5033" w:rsidP="00940768">
            <w:pPr>
              <w:jc w:val="center"/>
              <w:rPr>
                <w:rFonts w:ascii="Arial" w:hAnsi="Arial"/>
                <w:sz w:val="18"/>
              </w:rPr>
            </w:pPr>
            <w:r w:rsidRPr="00433039">
              <w:rPr>
                <w:rFonts w:ascii="Arial" w:hAnsi="Arial"/>
                <w:sz w:val="18"/>
              </w:rPr>
              <w:t>Out</w:t>
            </w:r>
          </w:p>
        </w:tc>
      </w:tr>
      <w:tr w:rsidR="001B5033" w:rsidRPr="001B474F" w14:paraId="3BC5218E" w14:textId="77777777" w:rsidTr="001B5033">
        <w:trPr>
          <w:trHeight w:val="222"/>
        </w:trPr>
        <w:tc>
          <w:tcPr>
            <w:tcW w:w="1985" w:type="dxa"/>
            <w:vMerge/>
            <w:tcBorders>
              <w:top w:val="single" w:sz="12" w:space="0" w:color="auto"/>
              <w:left w:val="single" w:sz="12" w:space="0" w:color="auto"/>
              <w:bottom w:val="single" w:sz="12" w:space="0" w:color="auto"/>
              <w:right w:val="single" w:sz="12" w:space="0" w:color="auto"/>
            </w:tcBorders>
          </w:tcPr>
          <w:p w14:paraId="17E6DE71" w14:textId="77777777" w:rsidR="001B5033" w:rsidRPr="00433039" w:rsidRDefault="001B5033" w:rsidP="00940768">
            <w:pPr>
              <w:rPr>
                <w:rFonts w:ascii="Arial" w:hAnsi="Arial"/>
                <w:b/>
                <w:sz w:val="18"/>
              </w:rPr>
            </w:pPr>
          </w:p>
        </w:tc>
        <w:tc>
          <w:tcPr>
            <w:tcW w:w="1985" w:type="dxa"/>
            <w:vMerge/>
            <w:tcBorders>
              <w:top w:val="single" w:sz="12" w:space="0" w:color="auto"/>
              <w:left w:val="single" w:sz="12" w:space="0" w:color="auto"/>
              <w:bottom w:val="single" w:sz="12" w:space="0" w:color="auto"/>
              <w:right w:val="single" w:sz="12" w:space="0" w:color="auto"/>
            </w:tcBorders>
          </w:tcPr>
          <w:p w14:paraId="0EF06168" w14:textId="77777777" w:rsidR="001B5033" w:rsidRPr="00433039" w:rsidRDefault="001B5033" w:rsidP="00940768">
            <w:pPr>
              <w:rPr>
                <w:rFonts w:ascii="Arial" w:hAnsi="Arial"/>
                <w:sz w:val="18"/>
              </w:rPr>
            </w:pP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36D589C8" w14:textId="77777777" w:rsidR="001B5033" w:rsidRPr="00433039" w:rsidRDefault="001B5033" w:rsidP="00940768">
            <w:pPr>
              <w:rPr>
                <w:rFonts w:ascii="Arial" w:hAnsi="Arial"/>
                <w:sz w:val="18"/>
              </w:rPr>
            </w:pPr>
            <w:r w:rsidRPr="00433039">
              <w:rPr>
                <w:rFonts w:ascii="Arial" w:hAnsi="Arial"/>
                <w:sz w:val="18"/>
              </w:rPr>
              <w:t>Device at a venue (e.g. betting terminal)</w:t>
            </w:r>
            <w:r w:rsidRPr="00433039">
              <w:rPr>
                <w:rFonts w:ascii="Arial" w:hAnsi="Arial"/>
                <w:b/>
                <w:sz w:val="16"/>
              </w:rPr>
              <w:t xml:space="preserve"> †</w:t>
            </w:r>
          </w:p>
        </w:tc>
        <w:tc>
          <w:tcPr>
            <w:tcW w:w="1701" w:type="dxa"/>
            <w:tcBorders>
              <w:top w:val="single" w:sz="12" w:space="0" w:color="auto"/>
              <w:left w:val="single" w:sz="12" w:space="0" w:color="auto"/>
              <w:bottom w:val="single" w:sz="12" w:space="0" w:color="auto"/>
              <w:right w:val="single" w:sz="12" w:space="0" w:color="auto"/>
            </w:tcBorders>
            <w:vAlign w:val="center"/>
          </w:tcPr>
          <w:p w14:paraId="39137D92" w14:textId="77777777" w:rsidR="001B5033" w:rsidRPr="00433039" w:rsidRDefault="001B5033" w:rsidP="00940768">
            <w:pPr>
              <w:jc w:val="center"/>
              <w:rPr>
                <w:rFonts w:ascii="Arial" w:hAnsi="Arial"/>
                <w:sz w:val="18"/>
              </w:rPr>
            </w:pPr>
            <w:r w:rsidRPr="00433039">
              <w:rPr>
                <w:rFonts w:ascii="Arial" w:hAnsi="Arial"/>
                <w:sz w:val="18"/>
              </w:rPr>
              <w:t>Out</w:t>
            </w:r>
          </w:p>
        </w:tc>
      </w:tr>
      <w:tr w:rsidR="001B5033" w:rsidRPr="001B474F" w14:paraId="38C34E35" w14:textId="77777777" w:rsidTr="001B5033">
        <w:tc>
          <w:tcPr>
            <w:tcW w:w="1985" w:type="dxa"/>
            <w:vMerge/>
            <w:tcBorders>
              <w:top w:val="single" w:sz="12" w:space="0" w:color="auto"/>
              <w:left w:val="single" w:sz="12" w:space="0" w:color="auto"/>
              <w:bottom w:val="single" w:sz="12" w:space="0" w:color="auto"/>
              <w:right w:val="single" w:sz="12" w:space="0" w:color="auto"/>
            </w:tcBorders>
          </w:tcPr>
          <w:p w14:paraId="14A5246C" w14:textId="77777777" w:rsidR="001B5033" w:rsidRPr="00433039" w:rsidRDefault="001B5033" w:rsidP="00940768">
            <w:pPr>
              <w:rPr>
                <w:rFonts w:ascii="Arial" w:hAnsi="Arial"/>
                <w:b/>
                <w:sz w:val="18"/>
              </w:rPr>
            </w:pPr>
          </w:p>
        </w:tc>
        <w:tc>
          <w:tcPr>
            <w:tcW w:w="1985" w:type="dxa"/>
            <w:vMerge/>
            <w:tcBorders>
              <w:top w:val="single" w:sz="12" w:space="0" w:color="auto"/>
              <w:left w:val="single" w:sz="12" w:space="0" w:color="auto"/>
              <w:bottom w:val="single" w:sz="12" w:space="0" w:color="auto"/>
              <w:right w:val="single" w:sz="12" w:space="0" w:color="auto"/>
            </w:tcBorders>
          </w:tcPr>
          <w:p w14:paraId="1E7302ED" w14:textId="77777777" w:rsidR="001B5033" w:rsidRPr="00433039" w:rsidRDefault="001B5033" w:rsidP="00940768">
            <w:pPr>
              <w:rPr>
                <w:rFonts w:ascii="Arial" w:hAnsi="Arial"/>
                <w:sz w:val="18"/>
              </w:rPr>
            </w:pP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3D4400B6" w14:textId="77777777" w:rsidR="001B5033" w:rsidRPr="00433039" w:rsidRDefault="001B5033" w:rsidP="00940768">
            <w:pPr>
              <w:rPr>
                <w:rFonts w:ascii="Arial" w:hAnsi="Arial"/>
                <w:sz w:val="18"/>
              </w:rPr>
            </w:pPr>
            <w:r w:rsidRPr="00433039">
              <w:rPr>
                <w:rFonts w:ascii="Arial" w:hAnsi="Arial"/>
                <w:sz w:val="18"/>
              </w:rPr>
              <w:t>Telephone</w:t>
            </w:r>
          </w:p>
        </w:tc>
        <w:tc>
          <w:tcPr>
            <w:tcW w:w="1701" w:type="dxa"/>
            <w:tcBorders>
              <w:top w:val="single" w:sz="12" w:space="0" w:color="auto"/>
              <w:left w:val="single" w:sz="12" w:space="0" w:color="auto"/>
              <w:bottom w:val="single" w:sz="12" w:space="0" w:color="auto"/>
              <w:right w:val="single" w:sz="12" w:space="0" w:color="auto"/>
            </w:tcBorders>
            <w:vAlign w:val="center"/>
          </w:tcPr>
          <w:p w14:paraId="74DC0BF3" w14:textId="77777777" w:rsidR="001B5033" w:rsidRPr="00433039" w:rsidRDefault="001B5033" w:rsidP="00940768">
            <w:pPr>
              <w:jc w:val="center"/>
              <w:rPr>
                <w:rFonts w:ascii="Arial" w:hAnsi="Arial"/>
                <w:sz w:val="18"/>
              </w:rPr>
            </w:pPr>
            <w:r w:rsidRPr="00433039">
              <w:rPr>
                <w:rFonts w:ascii="Arial" w:hAnsi="Arial"/>
                <w:sz w:val="18"/>
              </w:rPr>
              <w:t>In</w:t>
            </w:r>
          </w:p>
        </w:tc>
      </w:tr>
      <w:tr w:rsidR="001B5033" w:rsidRPr="001B474F" w14:paraId="6D91852B" w14:textId="77777777" w:rsidTr="001B5033">
        <w:tc>
          <w:tcPr>
            <w:tcW w:w="1985" w:type="dxa"/>
            <w:vMerge/>
            <w:tcBorders>
              <w:top w:val="single" w:sz="12" w:space="0" w:color="auto"/>
              <w:left w:val="single" w:sz="12" w:space="0" w:color="auto"/>
              <w:bottom w:val="single" w:sz="12" w:space="0" w:color="auto"/>
              <w:right w:val="single" w:sz="12" w:space="0" w:color="auto"/>
            </w:tcBorders>
          </w:tcPr>
          <w:p w14:paraId="379C1481" w14:textId="77777777" w:rsidR="001B5033" w:rsidRPr="00433039" w:rsidRDefault="001B5033" w:rsidP="00940768">
            <w:pPr>
              <w:rPr>
                <w:rFonts w:ascii="Arial" w:hAnsi="Arial"/>
                <w:b/>
                <w:sz w:val="18"/>
              </w:rPr>
            </w:pPr>
          </w:p>
        </w:tc>
        <w:tc>
          <w:tcPr>
            <w:tcW w:w="1985" w:type="dxa"/>
            <w:vMerge/>
            <w:tcBorders>
              <w:top w:val="single" w:sz="12" w:space="0" w:color="auto"/>
              <w:left w:val="single" w:sz="12" w:space="0" w:color="auto"/>
              <w:bottom w:val="single" w:sz="12" w:space="0" w:color="auto"/>
              <w:right w:val="single" w:sz="12" w:space="0" w:color="auto"/>
            </w:tcBorders>
          </w:tcPr>
          <w:p w14:paraId="79CB7D1D" w14:textId="77777777" w:rsidR="001B5033" w:rsidRPr="00433039" w:rsidRDefault="001B5033" w:rsidP="00940768">
            <w:pPr>
              <w:rPr>
                <w:rFonts w:ascii="Arial" w:hAnsi="Arial"/>
                <w:sz w:val="18"/>
              </w:rPr>
            </w:pP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0E8BC317" w14:textId="77777777" w:rsidR="001B5033" w:rsidRPr="00433039" w:rsidRDefault="001B5033" w:rsidP="00940768">
            <w:pPr>
              <w:rPr>
                <w:rFonts w:ascii="Arial" w:hAnsi="Arial"/>
                <w:sz w:val="18"/>
              </w:rPr>
            </w:pPr>
            <w:r w:rsidRPr="00433039">
              <w:rPr>
                <w:rFonts w:ascii="Arial" w:hAnsi="Arial"/>
                <w:sz w:val="18"/>
              </w:rPr>
              <w:t>Internet</w:t>
            </w:r>
          </w:p>
        </w:tc>
        <w:tc>
          <w:tcPr>
            <w:tcW w:w="1701" w:type="dxa"/>
            <w:tcBorders>
              <w:top w:val="single" w:sz="12" w:space="0" w:color="auto"/>
              <w:left w:val="single" w:sz="12" w:space="0" w:color="auto"/>
              <w:bottom w:val="single" w:sz="12" w:space="0" w:color="auto"/>
              <w:right w:val="single" w:sz="12" w:space="0" w:color="auto"/>
            </w:tcBorders>
            <w:vAlign w:val="center"/>
          </w:tcPr>
          <w:p w14:paraId="22C7FF15" w14:textId="77777777" w:rsidR="001B5033" w:rsidRPr="00433039" w:rsidRDefault="001B5033" w:rsidP="00940768">
            <w:pPr>
              <w:jc w:val="center"/>
              <w:rPr>
                <w:rFonts w:ascii="Arial" w:hAnsi="Arial"/>
                <w:sz w:val="18"/>
              </w:rPr>
            </w:pPr>
            <w:r w:rsidRPr="00433039">
              <w:rPr>
                <w:rFonts w:ascii="Arial" w:hAnsi="Arial"/>
                <w:sz w:val="18"/>
              </w:rPr>
              <w:t>In</w:t>
            </w:r>
          </w:p>
        </w:tc>
      </w:tr>
      <w:tr w:rsidR="001B5033" w:rsidRPr="001B474F" w14:paraId="189DBA2C" w14:textId="77777777" w:rsidTr="001B5033">
        <w:tc>
          <w:tcPr>
            <w:tcW w:w="1985" w:type="dxa"/>
            <w:vMerge/>
            <w:tcBorders>
              <w:top w:val="single" w:sz="12" w:space="0" w:color="auto"/>
              <w:left w:val="single" w:sz="12" w:space="0" w:color="auto"/>
              <w:bottom w:val="single" w:sz="12" w:space="0" w:color="auto"/>
              <w:right w:val="single" w:sz="12" w:space="0" w:color="auto"/>
            </w:tcBorders>
          </w:tcPr>
          <w:p w14:paraId="02AEB9D6" w14:textId="77777777" w:rsidR="001B5033" w:rsidRPr="00433039" w:rsidRDefault="001B5033" w:rsidP="00940768">
            <w:pPr>
              <w:rPr>
                <w:rFonts w:ascii="Arial" w:hAnsi="Arial"/>
                <w:b/>
                <w:sz w:val="18"/>
              </w:rPr>
            </w:pPr>
          </w:p>
        </w:tc>
        <w:tc>
          <w:tcPr>
            <w:tcW w:w="1985" w:type="dxa"/>
            <w:vMerge/>
            <w:tcBorders>
              <w:top w:val="single" w:sz="12" w:space="0" w:color="auto"/>
              <w:left w:val="single" w:sz="12" w:space="0" w:color="auto"/>
              <w:bottom w:val="single" w:sz="12" w:space="0" w:color="auto"/>
              <w:right w:val="single" w:sz="12" w:space="0" w:color="auto"/>
            </w:tcBorders>
          </w:tcPr>
          <w:p w14:paraId="041BF9EC" w14:textId="77777777" w:rsidR="001B5033" w:rsidRPr="00433039" w:rsidRDefault="001B5033" w:rsidP="00940768">
            <w:pPr>
              <w:rPr>
                <w:rFonts w:ascii="Arial" w:hAnsi="Arial"/>
                <w:sz w:val="18"/>
              </w:rPr>
            </w:pP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404F8889" w14:textId="77777777" w:rsidR="001B5033" w:rsidRPr="00433039" w:rsidRDefault="001B5033" w:rsidP="00940768">
            <w:pPr>
              <w:rPr>
                <w:rFonts w:ascii="Arial" w:hAnsi="Arial"/>
                <w:sz w:val="18"/>
              </w:rPr>
            </w:pPr>
            <w:r w:rsidRPr="00433039">
              <w:rPr>
                <w:rFonts w:ascii="Arial" w:hAnsi="Arial"/>
                <w:sz w:val="18"/>
              </w:rPr>
              <w:t>Other form of remote telecommunication</w:t>
            </w:r>
          </w:p>
        </w:tc>
        <w:tc>
          <w:tcPr>
            <w:tcW w:w="1701" w:type="dxa"/>
            <w:tcBorders>
              <w:top w:val="single" w:sz="12" w:space="0" w:color="auto"/>
              <w:left w:val="single" w:sz="12" w:space="0" w:color="auto"/>
              <w:bottom w:val="single" w:sz="12" w:space="0" w:color="auto"/>
              <w:right w:val="single" w:sz="12" w:space="0" w:color="auto"/>
            </w:tcBorders>
            <w:vAlign w:val="center"/>
          </w:tcPr>
          <w:p w14:paraId="4635CA46" w14:textId="77777777" w:rsidR="001B5033" w:rsidRPr="00433039" w:rsidRDefault="001B5033" w:rsidP="00940768">
            <w:pPr>
              <w:jc w:val="center"/>
              <w:rPr>
                <w:rFonts w:ascii="Arial" w:hAnsi="Arial"/>
                <w:sz w:val="18"/>
              </w:rPr>
            </w:pPr>
            <w:r w:rsidRPr="00433039">
              <w:rPr>
                <w:rFonts w:ascii="Arial" w:hAnsi="Arial"/>
                <w:sz w:val="18"/>
              </w:rPr>
              <w:t>In</w:t>
            </w:r>
          </w:p>
        </w:tc>
      </w:tr>
      <w:tr w:rsidR="001B5033" w:rsidRPr="001B474F" w14:paraId="3EE0820A" w14:textId="77777777" w:rsidTr="001B5033">
        <w:trPr>
          <w:trHeight w:val="228"/>
        </w:trPr>
        <w:tc>
          <w:tcPr>
            <w:tcW w:w="1985" w:type="dxa"/>
            <w:vMerge w:val="restart"/>
            <w:tcBorders>
              <w:top w:val="single" w:sz="12" w:space="0" w:color="auto"/>
              <w:left w:val="single" w:sz="12" w:space="0" w:color="auto"/>
              <w:right w:val="single" w:sz="12" w:space="0" w:color="auto"/>
            </w:tcBorders>
          </w:tcPr>
          <w:p w14:paraId="75FBDC2F" w14:textId="77777777" w:rsidR="001B5033" w:rsidRPr="00433039" w:rsidRDefault="001B5033" w:rsidP="00940768">
            <w:pPr>
              <w:rPr>
                <w:rFonts w:ascii="Arial" w:hAnsi="Arial"/>
                <w:sz w:val="18"/>
              </w:rPr>
            </w:pPr>
            <w:r w:rsidRPr="00433039">
              <w:rPr>
                <w:rFonts w:ascii="Arial" w:hAnsi="Arial"/>
                <w:sz w:val="18"/>
              </w:rPr>
              <w:t>(International)</w:t>
            </w:r>
          </w:p>
        </w:tc>
        <w:tc>
          <w:tcPr>
            <w:tcW w:w="1985" w:type="dxa"/>
            <w:vMerge w:val="restart"/>
            <w:tcBorders>
              <w:top w:val="single" w:sz="12" w:space="0" w:color="auto"/>
              <w:left w:val="single" w:sz="12" w:space="0" w:color="auto"/>
              <w:right w:val="single" w:sz="12" w:space="0" w:color="auto"/>
            </w:tcBorders>
          </w:tcPr>
          <w:p w14:paraId="5A3AEBBC" w14:textId="77777777" w:rsidR="001B5033" w:rsidRPr="00433039" w:rsidRDefault="001B5033" w:rsidP="00940768">
            <w:pPr>
              <w:rPr>
                <w:rFonts w:ascii="Arial" w:hAnsi="Arial"/>
                <w:sz w:val="18"/>
              </w:rPr>
            </w:pPr>
            <w:r w:rsidRPr="00433039">
              <w:rPr>
                <w:rFonts w:ascii="Arial" w:hAnsi="Arial"/>
                <w:sz w:val="18"/>
              </w:rPr>
              <w:t>International pools</w:t>
            </w:r>
          </w:p>
          <w:p w14:paraId="21728475" w14:textId="77777777" w:rsidR="001B5033" w:rsidRPr="00433039" w:rsidRDefault="001B5033" w:rsidP="00940768">
            <w:pPr>
              <w:rPr>
                <w:rFonts w:ascii="Arial" w:hAnsi="Arial"/>
                <w:sz w:val="18"/>
              </w:rPr>
            </w:pPr>
            <w:r w:rsidRPr="00433039">
              <w:rPr>
                <w:rFonts w:ascii="Arial" w:hAnsi="Arial"/>
                <w:sz w:val="18"/>
              </w:rPr>
              <w:t>(i.e. retail outlets)</w:t>
            </w: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41504B54" w14:textId="77777777" w:rsidR="001B5033" w:rsidRPr="00433039" w:rsidRDefault="001B5033" w:rsidP="00940768">
            <w:pPr>
              <w:rPr>
                <w:rFonts w:ascii="Arial" w:hAnsi="Arial"/>
                <w:sz w:val="18"/>
              </w:rPr>
            </w:pPr>
            <w:r w:rsidRPr="00433039">
              <w:rPr>
                <w:rFonts w:ascii="Arial" w:hAnsi="Arial"/>
                <w:sz w:val="18"/>
              </w:rPr>
              <w:t>Device at a venue (e.g. betting terminal)</w:t>
            </w:r>
            <w:r w:rsidRPr="00433039">
              <w:rPr>
                <w:rFonts w:ascii="Arial" w:hAnsi="Arial"/>
                <w:b/>
                <w:sz w:val="16"/>
              </w:rPr>
              <w:t xml:space="preserve"> †</w:t>
            </w:r>
          </w:p>
        </w:tc>
        <w:tc>
          <w:tcPr>
            <w:tcW w:w="1701" w:type="dxa"/>
            <w:tcBorders>
              <w:top w:val="single" w:sz="12" w:space="0" w:color="auto"/>
              <w:left w:val="single" w:sz="12" w:space="0" w:color="auto"/>
              <w:bottom w:val="single" w:sz="12" w:space="0" w:color="auto"/>
              <w:right w:val="single" w:sz="12" w:space="0" w:color="auto"/>
            </w:tcBorders>
            <w:vAlign w:val="center"/>
          </w:tcPr>
          <w:p w14:paraId="4066B2A7" w14:textId="77777777" w:rsidR="001B5033" w:rsidRPr="00433039" w:rsidRDefault="001B5033" w:rsidP="00940768">
            <w:pPr>
              <w:jc w:val="center"/>
              <w:rPr>
                <w:rFonts w:ascii="Arial" w:hAnsi="Arial"/>
                <w:sz w:val="18"/>
              </w:rPr>
            </w:pPr>
            <w:r w:rsidRPr="00433039">
              <w:rPr>
                <w:rFonts w:ascii="Arial" w:hAnsi="Arial"/>
                <w:sz w:val="18"/>
              </w:rPr>
              <w:t>Out</w:t>
            </w:r>
          </w:p>
        </w:tc>
      </w:tr>
      <w:tr w:rsidR="001B5033" w:rsidRPr="001B474F" w14:paraId="2A2C1EEE" w14:textId="77777777" w:rsidTr="001B5033">
        <w:trPr>
          <w:trHeight w:val="228"/>
        </w:trPr>
        <w:tc>
          <w:tcPr>
            <w:tcW w:w="1985" w:type="dxa"/>
            <w:vMerge/>
            <w:tcBorders>
              <w:left w:val="single" w:sz="12" w:space="0" w:color="auto"/>
              <w:bottom w:val="single" w:sz="12" w:space="0" w:color="auto"/>
              <w:right w:val="single" w:sz="12" w:space="0" w:color="auto"/>
            </w:tcBorders>
          </w:tcPr>
          <w:p w14:paraId="45E99D83" w14:textId="77777777" w:rsidR="001B5033" w:rsidRPr="00433039" w:rsidRDefault="001B5033" w:rsidP="00940768">
            <w:pPr>
              <w:rPr>
                <w:rFonts w:ascii="Arial" w:hAnsi="Arial"/>
                <w:sz w:val="18"/>
              </w:rPr>
            </w:pPr>
          </w:p>
        </w:tc>
        <w:tc>
          <w:tcPr>
            <w:tcW w:w="1985" w:type="dxa"/>
            <w:vMerge/>
            <w:tcBorders>
              <w:left w:val="single" w:sz="12" w:space="0" w:color="auto"/>
              <w:bottom w:val="single" w:sz="12" w:space="0" w:color="auto"/>
              <w:right w:val="single" w:sz="12" w:space="0" w:color="auto"/>
            </w:tcBorders>
          </w:tcPr>
          <w:p w14:paraId="2E4C894D" w14:textId="77777777" w:rsidR="001B5033" w:rsidRPr="00433039" w:rsidRDefault="001B5033" w:rsidP="00940768">
            <w:pPr>
              <w:rPr>
                <w:rFonts w:ascii="Arial" w:hAnsi="Arial"/>
                <w:sz w:val="18"/>
              </w:rPr>
            </w:pP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493C193A" w14:textId="77777777" w:rsidR="001B5033" w:rsidRPr="00433039" w:rsidRDefault="001B5033" w:rsidP="00940768">
            <w:pPr>
              <w:rPr>
                <w:rFonts w:ascii="Arial" w:hAnsi="Arial"/>
                <w:sz w:val="18"/>
              </w:rPr>
            </w:pPr>
            <w:r w:rsidRPr="00433039">
              <w:rPr>
                <w:rFonts w:ascii="Arial" w:hAnsi="Arial"/>
                <w:sz w:val="18"/>
              </w:rPr>
              <w:t>Internet</w:t>
            </w:r>
          </w:p>
        </w:tc>
        <w:tc>
          <w:tcPr>
            <w:tcW w:w="1701" w:type="dxa"/>
            <w:tcBorders>
              <w:top w:val="single" w:sz="12" w:space="0" w:color="auto"/>
              <w:left w:val="single" w:sz="12" w:space="0" w:color="auto"/>
              <w:bottom w:val="single" w:sz="12" w:space="0" w:color="auto"/>
              <w:right w:val="single" w:sz="12" w:space="0" w:color="auto"/>
            </w:tcBorders>
            <w:vAlign w:val="center"/>
          </w:tcPr>
          <w:p w14:paraId="21A0A023" w14:textId="77777777" w:rsidR="001B5033" w:rsidRPr="00433039" w:rsidRDefault="001B5033" w:rsidP="00940768">
            <w:pPr>
              <w:jc w:val="center"/>
              <w:rPr>
                <w:rFonts w:ascii="Arial" w:hAnsi="Arial"/>
                <w:sz w:val="18"/>
              </w:rPr>
            </w:pPr>
            <w:r w:rsidRPr="00433039">
              <w:rPr>
                <w:rFonts w:ascii="Arial" w:hAnsi="Arial"/>
                <w:sz w:val="18"/>
              </w:rPr>
              <w:t>In</w:t>
            </w:r>
          </w:p>
        </w:tc>
      </w:tr>
      <w:tr w:rsidR="001B5033" w:rsidRPr="001B474F" w14:paraId="5771897D" w14:textId="77777777" w:rsidTr="001B5033">
        <w:trPr>
          <w:cantSplit/>
        </w:trPr>
        <w:tc>
          <w:tcPr>
            <w:tcW w:w="1985" w:type="dxa"/>
            <w:vMerge w:val="restart"/>
            <w:tcBorders>
              <w:top w:val="single" w:sz="12" w:space="0" w:color="auto"/>
              <w:left w:val="single" w:sz="12" w:space="0" w:color="auto"/>
              <w:bottom w:val="single" w:sz="12" w:space="0" w:color="auto"/>
              <w:right w:val="single" w:sz="12" w:space="0" w:color="auto"/>
            </w:tcBorders>
          </w:tcPr>
          <w:p w14:paraId="79AB5D7C" w14:textId="77777777" w:rsidR="001B5033" w:rsidRPr="00433039" w:rsidRDefault="001B5033" w:rsidP="00940768">
            <w:pPr>
              <w:rPr>
                <w:rFonts w:ascii="Arial" w:hAnsi="Arial"/>
                <w:b/>
                <w:sz w:val="18"/>
              </w:rPr>
            </w:pPr>
            <w:r w:rsidRPr="00433039">
              <w:rPr>
                <w:rFonts w:ascii="Arial" w:hAnsi="Arial"/>
                <w:b/>
                <w:sz w:val="18"/>
              </w:rPr>
              <w:t>Bookmakers</w:t>
            </w:r>
          </w:p>
          <w:p w14:paraId="3E2E53C2" w14:textId="77777777" w:rsidR="001B5033" w:rsidRPr="00433039" w:rsidRDefault="001B5033" w:rsidP="00940768">
            <w:pPr>
              <w:rPr>
                <w:rFonts w:ascii="Arial" w:hAnsi="Arial"/>
                <w:sz w:val="18"/>
              </w:rPr>
            </w:pPr>
            <w:r w:rsidRPr="00433039">
              <w:rPr>
                <w:rFonts w:ascii="Arial" w:hAnsi="Arial"/>
                <w:sz w:val="18"/>
              </w:rPr>
              <w:t>(Includes Agents, Clerks etc.)</w:t>
            </w:r>
          </w:p>
        </w:tc>
        <w:tc>
          <w:tcPr>
            <w:tcW w:w="1985" w:type="dxa"/>
            <w:vMerge w:val="restart"/>
            <w:tcBorders>
              <w:top w:val="single" w:sz="12" w:space="0" w:color="auto"/>
              <w:left w:val="single" w:sz="12" w:space="0" w:color="auto"/>
              <w:bottom w:val="single" w:sz="12" w:space="0" w:color="auto"/>
              <w:right w:val="single" w:sz="12" w:space="0" w:color="auto"/>
            </w:tcBorders>
          </w:tcPr>
          <w:p w14:paraId="1250211B" w14:textId="77777777" w:rsidR="001B5033" w:rsidRPr="00433039" w:rsidRDefault="001B5033" w:rsidP="00940768">
            <w:pPr>
              <w:rPr>
                <w:rFonts w:ascii="Arial" w:hAnsi="Arial"/>
                <w:sz w:val="18"/>
              </w:rPr>
            </w:pPr>
            <w:r w:rsidRPr="00433039">
              <w:rPr>
                <w:rFonts w:ascii="Arial" w:hAnsi="Arial"/>
                <w:sz w:val="18"/>
              </w:rPr>
              <w:t>On-course*</w:t>
            </w:r>
            <w:r w:rsidRPr="00433039">
              <w:rPr>
                <w:rFonts w:ascii="Arial" w:hAnsi="Arial"/>
                <w:sz w:val="18"/>
              </w:rPr>
              <w:br/>
              <w:t>(e.g. racecourse, betting auditorium or any other venue on a racecourse)</w:t>
            </w: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2712C44E" w14:textId="77777777" w:rsidR="001B5033" w:rsidRPr="00433039" w:rsidRDefault="001B5033" w:rsidP="00940768">
            <w:pPr>
              <w:rPr>
                <w:rFonts w:ascii="Arial" w:hAnsi="Arial"/>
                <w:sz w:val="18"/>
              </w:rPr>
            </w:pPr>
            <w:r w:rsidRPr="00433039">
              <w:rPr>
                <w:rFonts w:ascii="Arial" w:hAnsi="Arial"/>
                <w:sz w:val="18"/>
              </w:rPr>
              <w:t>Cash (e.g. over the counter)</w:t>
            </w:r>
          </w:p>
        </w:tc>
        <w:tc>
          <w:tcPr>
            <w:tcW w:w="1701" w:type="dxa"/>
            <w:tcBorders>
              <w:top w:val="single" w:sz="12" w:space="0" w:color="auto"/>
              <w:left w:val="single" w:sz="12" w:space="0" w:color="auto"/>
              <w:bottom w:val="single" w:sz="12" w:space="0" w:color="auto"/>
              <w:right w:val="single" w:sz="12" w:space="0" w:color="auto"/>
            </w:tcBorders>
            <w:vAlign w:val="center"/>
          </w:tcPr>
          <w:p w14:paraId="1601A05B" w14:textId="77777777" w:rsidR="001B5033" w:rsidRPr="00433039" w:rsidRDefault="001B5033" w:rsidP="00940768">
            <w:pPr>
              <w:jc w:val="center"/>
              <w:rPr>
                <w:rFonts w:ascii="Arial" w:hAnsi="Arial"/>
                <w:sz w:val="18"/>
              </w:rPr>
            </w:pPr>
            <w:r w:rsidRPr="00433039">
              <w:rPr>
                <w:rFonts w:ascii="Arial" w:hAnsi="Arial"/>
                <w:sz w:val="18"/>
              </w:rPr>
              <w:t>Out</w:t>
            </w:r>
          </w:p>
        </w:tc>
      </w:tr>
      <w:tr w:rsidR="001B5033" w:rsidRPr="001B474F" w14:paraId="0BA16D2B" w14:textId="77777777" w:rsidTr="001B5033">
        <w:trPr>
          <w:cantSplit/>
        </w:trPr>
        <w:tc>
          <w:tcPr>
            <w:tcW w:w="1985" w:type="dxa"/>
            <w:vMerge/>
            <w:tcBorders>
              <w:top w:val="single" w:sz="12" w:space="0" w:color="auto"/>
              <w:left w:val="single" w:sz="12" w:space="0" w:color="auto"/>
              <w:bottom w:val="single" w:sz="12" w:space="0" w:color="auto"/>
              <w:right w:val="single" w:sz="12" w:space="0" w:color="auto"/>
            </w:tcBorders>
          </w:tcPr>
          <w:p w14:paraId="39B476B9" w14:textId="77777777" w:rsidR="001B5033" w:rsidRPr="00433039" w:rsidRDefault="001B5033" w:rsidP="00940768">
            <w:pPr>
              <w:rPr>
                <w:rFonts w:ascii="Arial" w:hAnsi="Arial"/>
                <w:b/>
                <w:sz w:val="18"/>
              </w:rPr>
            </w:pPr>
          </w:p>
        </w:tc>
        <w:tc>
          <w:tcPr>
            <w:tcW w:w="1985" w:type="dxa"/>
            <w:vMerge/>
            <w:tcBorders>
              <w:top w:val="single" w:sz="12" w:space="0" w:color="auto"/>
              <w:left w:val="single" w:sz="12" w:space="0" w:color="auto"/>
              <w:bottom w:val="single" w:sz="12" w:space="0" w:color="auto"/>
              <w:right w:val="single" w:sz="12" w:space="0" w:color="auto"/>
            </w:tcBorders>
          </w:tcPr>
          <w:p w14:paraId="5B3B69C7" w14:textId="77777777" w:rsidR="001B5033" w:rsidRPr="00433039" w:rsidRDefault="001B5033" w:rsidP="00940768">
            <w:pPr>
              <w:rPr>
                <w:rFonts w:ascii="Arial" w:hAnsi="Arial"/>
                <w:sz w:val="18"/>
              </w:rPr>
            </w:pP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1155D794" w14:textId="77777777" w:rsidR="001B5033" w:rsidRPr="00433039" w:rsidRDefault="001B5033" w:rsidP="00940768">
            <w:pPr>
              <w:rPr>
                <w:rFonts w:ascii="Arial" w:hAnsi="Arial"/>
                <w:sz w:val="18"/>
              </w:rPr>
            </w:pPr>
            <w:r w:rsidRPr="00433039">
              <w:rPr>
                <w:rFonts w:ascii="Arial" w:hAnsi="Arial"/>
                <w:sz w:val="18"/>
              </w:rPr>
              <w:t>Device at a venue (e.g. betting terminals)</w:t>
            </w:r>
            <w:r w:rsidRPr="00433039">
              <w:rPr>
                <w:rFonts w:ascii="Arial" w:hAnsi="Arial"/>
                <w:b/>
                <w:sz w:val="16"/>
              </w:rPr>
              <w:t xml:space="preserve"> †</w:t>
            </w:r>
          </w:p>
        </w:tc>
        <w:tc>
          <w:tcPr>
            <w:tcW w:w="1701" w:type="dxa"/>
            <w:tcBorders>
              <w:top w:val="single" w:sz="12" w:space="0" w:color="auto"/>
              <w:left w:val="single" w:sz="12" w:space="0" w:color="auto"/>
              <w:bottom w:val="single" w:sz="12" w:space="0" w:color="auto"/>
              <w:right w:val="single" w:sz="12" w:space="0" w:color="auto"/>
            </w:tcBorders>
            <w:vAlign w:val="center"/>
          </w:tcPr>
          <w:p w14:paraId="253C0BE7" w14:textId="77777777" w:rsidR="001B5033" w:rsidRPr="00433039" w:rsidRDefault="001B5033" w:rsidP="00940768">
            <w:pPr>
              <w:jc w:val="center"/>
              <w:rPr>
                <w:rFonts w:ascii="Arial" w:hAnsi="Arial"/>
                <w:sz w:val="18"/>
              </w:rPr>
            </w:pPr>
            <w:r w:rsidRPr="00433039">
              <w:rPr>
                <w:rFonts w:ascii="Arial" w:hAnsi="Arial"/>
                <w:sz w:val="18"/>
              </w:rPr>
              <w:t>Out</w:t>
            </w:r>
          </w:p>
        </w:tc>
      </w:tr>
      <w:tr w:rsidR="001B5033" w:rsidRPr="001B474F" w14:paraId="7BC7EA94" w14:textId="77777777" w:rsidTr="001B5033">
        <w:trPr>
          <w:cantSplit/>
        </w:trPr>
        <w:tc>
          <w:tcPr>
            <w:tcW w:w="1985" w:type="dxa"/>
            <w:vMerge/>
            <w:tcBorders>
              <w:top w:val="single" w:sz="12" w:space="0" w:color="auto"/>
              <w:left w:val="single" w:sz="12" w:space="0" w:color="auto"/>
              <w:bottom w:val="single" w:sz="12" w:space="0" w:color="auto"/>
              <w:right w:val="single" w:sz="12" w:space="0" w:color="auto"/>
            </w:tcBorders>
          </w:tcPr>
          <w:p w14:paraId="4AE5D2B4" w14:textId="77777777" w:rsidR="001B5033" w:rsidRPr="00433039" w:rsidRDefault="001B5033" w:rsidP="00940768">
            <w:pPr>
              <w:rPr>
                <w:rFonts w:ascii="Arial" w:hAnsi="Arial"/>
                <w:b/>
                <w:sz w:val="18"/>
              </w:rPr>
            </w:pPr>
          </w:p>
        </w:tc>
        <w:tc>
          <w:tcPr>
            <w:tcW w:w="1985" w:type="dxa"/>
            <w:vMerge/>
            <w:tcBorders>
              <w:top w:val="single" w:sz="12" w:space="0" w:color="auto"/>
              <w:left w:val="single" w:sz="12" w:space="0" w:color="auto"/>
              <w:bottom w:val="single" w:sz="12" w:space="0" w:color="auto"/>
              <w:right w:val="single" w:sz="12" w:space="0" w:color="auto"/>
            </w:tcBorders>
          </w:tcPr>
          <w:p w14:paraId="6DD11330" w14:textId="77777777" w:rsidR="001B5033" w:rsidRPr="00433039" w:rsidRDefault="001B5033" w:rsidP="00940768">
            <w:pPr>
              <w:rPr>
                <w:rFonts w:ascii="Arial" w:hAnsi="Arial"/>
                <w:sz w:val="18"/>
              </w:rPr>
            </w:pP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08DA0370" w14:textId="77777777" w:rsidR="001B5033" w:rsidRPr="00433039" w:rsidRDefault="001B5033" w:rsidP="00940768">
            <w:pPr>
              <w:rPr>
                <w:rFonts w:ascii="Arial" w:hAnsi="Arial"/>
                <w:sz w:val="18"/>
              </w:rPr>
            </w:pPr>
            <w:r w:rsidRPr="00433039">
              <w:rPr>
                <w:rFonts w:ascii="Arial" w:hAnsi="Arial"/>
                <w:sz w:val="18"/>
              </w:rPr>
              <w:t>Telephone</w:t>
            </w:r>
          </w:p>
        </w:tc>
        <w:tc>
          <w:tcPr>
            <w:tcW w:w="1701" w:type="dxa"/>
            <w:tcBorders>
              <w:top w:val="single" w:sz="12" w:space="0" w:color="auto"/>
              <w:left w:val="single" w:sz="12" w:space="0" w:color="auto"/>
              <w:bottom w:val="single" w:sz="12" w:space="0" w:color="auto"/>
              <w:right w:val="single" w:sz="12" w:space="0" w:color="auto"/>
            </w:tcBorders>
            <w:vAlign w:val="center"/>
          </w:tcPr>
          <w:p w14:paraId="2EC2A1DA" w14:textId="77777777" w:rsidR="001B5033" w:rsidRPr="00433039" w:rsidRDefault="001B5033" w:rsidP="00940768">
            <w:pPr>
              <w:jc w:val="center"/>
              <w:rPr>
                <w:rFonts w:ascii="Arial" w:hAnsi="Arial"/>
                <w:sz w:val="18"/>
              </w:rPr>
            </w:pPr>
            <w:r w:rsidRPr="00433039">
              <w:rPr>
                <w:rFonts w:ascii="Arial" w:hAnsi="Arial"/>
                <w:sz w:val="18"/>
              </w:rPr>
              <w:t>In</w:t>
            </w:r>
          </w:p>
        </w:tc>
      </w:tr>
      <w:tr w:rsidR="001B5033" w:rsidRPr="001B474F" w14:paraId="0066F5D4" w14:textId="77777777" w:rsidTr="001B5033">
        <w:trPr>
          <w:cantSplit/>
          <w:trHeight w:val="283"/>
        </w:trPr>
        <w:tc>
          <w:tcPr>
            <w:tcW w:w="1985" w:type="dxa"/>
            <w:vMerge/>
            <w:tcBorders>
              <w:top w:val="single" w:sz="12" w:space="0" w:color="auto"/>
              <w:left w:val="single" w:sz="12" w:space="0" w:color="auto"/>
              <w:bottom w:val="single" w:sz="12" w:space="0" w:color="auto"/>
              <w:right w:val="single" w:sz="12" w:space="0" w:color="auto"/>
            </w:tcBorders>
          </w:tcPr>
          <w:p w14:paraId="3F7F2D6C" w14:textId="77777777" w:rsidR="001B5033" w:rsidRPr="00433039" w:rsidRDefault="001B5033" w:rsidP="00940768">
            <w:pPr>
              <w:rPr>
                <w:rFonts w:ascii="Arial" w:hAnsi="Arial"/>
                <w:b/>
                <w:sz w:val="18"/>
              </w:rPr>
            </w:pPr>
          </w:p>
        </w:tc>
        <w:tc>
          <w:tcPr>
            <w:tcW w:w="1985" w:type="dxa"/>
            <w:vMerge/>
            <w:tcBorders>
              <w:top w:val="single" w:sz="12" w:space="0" w:color="auto"/>
              <w:left w:val="single" w:sz="12" w:space="0" w:color="auto"/>
              <w:bottom w:val="single" w:sz="12" w:space="0" w:color="auto"/>
              <w:right w:val="single" w:sz="12" w:space="0" w:color="auto"/>
            </w:tcBorders>
          </w:tcPr>
          <w:p w14:paraId="0CFE533E" w14:textId="77777777" w:rsidR="001B5033" w:rsidRPr="00433039" w:rsidRDefault="001B5033" w:rsidP="00940768">
            <w:pPr>
              <w:rPr>
                <w:rFonts w:ascii="Arial" w:hAnsi="Arial"/>
                <w:sz w:val="18"/>
              </w:rPr>
            </w:pP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13CC1E2F" w14:textId="77777777" w:rsidR="001B5033" w:rsidRPr="00433039" w:rsidRDefault="001B5033" w:rsidP="00940768">
            <w:pPr>
              <w:rPr>
                <w:rFonts w:ascii="Arial" w:hAnsi="Arial"/>
                <w:sz w:val="18"/>
              </w:rPr>
            </w:pPr>
            <w:r w:rsidRPr="00433039">
              <w:rPr>
                <w:rFonts w:ascii="Arial" w:hAnsi="Arial"/>
                <w:sz w:val="18"/>
              </w:rPr>
              <w:t>Internet</w:t>
            </w:r>
          </w:p>
        </w:tc>
        <w:tc>
          <w:tcPr>
            <w:tcW w:w="1701" w:type="dxa"/>
            <w:tcBorders>
              <w:top w:val="single" w:sz="12" w:space="0" w:color="auto"/>
              <w:left w:val="single" w:sz="12" w:space="0" w:color="auto"/>
              <w:bottom w:val="single" w:sz="12" w:space="0" w:color="auto"/>
              <w:right w:val="single" w:sz="12" w:space="0" w:color="auto"/>
            </w:tcBorders>
            <w:vAlign w:val="center"/>
          </w:tcPr>
          <w:p w14:paraId="18AEAE71" w14:textId="77777777" w:rsidR="001B5033" w:rsidRPr="00433039" w:rsidRDefault="001B5033" w:rsidP="00940768">
            <w:pPr>
              <w:jc w:val="center"/>
              <w:rPr>
                <w:rFonts w:ascii="Arial" w:hAnsi="Arial"/>
                <w:sz w:val="18"/>
              </w:rPr>
            </w:pPr>
            <w:r w:rsidRPr="00433039">
              <w:rPr>
                <w:rFonts w:ascii="Arial" w:hAnsi="Arial"/>
                <w:sz w:val="18"/>
              </w:rPr>
              <w:t>In</w:t>
            </w:r>
          </w:p>
        </w:tc>
      </w:tr>
      <w:tr w:rsidR="001B5033" w:rsidRPr="001B474F" w14:paraId="718EB828" w14:textId="77777777" w:rsidTr="001B5033">
        <w:trPr>
          <w:cantSplit/>
          <w:trHeight w:val="283"/>
        </w:trPr>
        <w:tc>
          <w:tcPr>
            <w:tcW w:w="1985" w:type="dxa"/>
            <w:vMerge/>
            <w:tcBorders>
              <w:top w:val="single" w:sz="12" w:space="0" w:color="auto"/>
              <w:left w:val="single" w:sz="12" w:space="0" w:color="auto"/>
              <w:bottom w:val="single" w:sz="12" w:space="0" w:color="auto"/>
              <w:right w:val="single" w:sz="12" w:space="0" w:color="auto"/>
            </w:tcBorders>
          </w:tcPr>
          <w:p w14:paraId="08F17227" w14:textId="77777777" w:rsidR="001B5033" w:rsidRPr="00433039" w:rsidRDefault="001B5033" w:rsidP="00940768">
            <w:pPr>
              <w:rPr>
                <w:rFonts w:ascii="Arial" w:hAnsi="Arial"/>
                <w:b/>
                <w:sz w:val="18"/>
              </w:rPr>
            </w:pPr>
          </w:p>
        </w:tc>
        <w:tc>
          <w:tcPr>
            <w:tcW w:w="1985" w:type="dxa"/>
            <w:vMerge/>
            <w:tcBorders>
              <w:top w:val="single" w:sz="12" w:space="0" w:color="auto"/>
              <w:left w:val="single" w:sz="12" w:space="0" w:color="auto"/>
              <w:bottom w:val="single" w:sz="12" w:space="0" w:color="auto"/>
              <w:right w:val="single" w:sz="12" w:space="0" w:color="auto"/>
            </w:tcBorders>
          </w:tcPr>
          <w:p w14:paraId="31B4F51F" w14:textId="77777777" w:rsidR="001B5033" w:rsidRPr="00433039" w:rsidRDefault="001B5033" w:rsidP="00940768">
            <w:pPr>
              <w:rPr>
                <w:rFonts w:ascii="Arial" w:hAnsi="Arial"/>
                <w:sz w:val="18"/>
              </w:rPr>
            </w:pP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062C7BE6" w14:textId="77777777" w:rsidR="001B5033" w:rsidRPr="00433039" w:rsidRDefault="001B5033" w:rsidP="00940768">
            <w:pPr>
              <w:rPr>
                <w:rFonts w:ascii="Arial" w:hAnsi="Arial"/>
                <w:sz w:val="18"/>
              </w:rPr>
            </w:pPr>
            <w:r w:rsidRPr="00433039">
              <w:rPr>
                <w:rFonts w:ascii="Arial" w:hAnsi="Arial"/>
                <w:sz w:val="18"/>
              </w:rPr>
              <w:t>Other form of remote telecommunication</w:t>
            </w:r>
          </w:p>
        </w:tc>
        <w:tc>
          <w:tcPr>
            <w:tcW w:w="1701" w:type="dxa"/>
            <w:tcBorders>
              <w:top w:val="single" w:sz="12" w:space="0" w:color="auto"/>
              <w:left w:val="single" w:sz="12" w:space="0" w:color="auto"/>
              <w:bottom w:val="single" w:sz="12" w:space="0" w:color="auto"/>
              <w:right w:val="single" w:sz="12" w:space="0" w:color="auto"/>
            </w:tcBorders>
            <w:vAlign w:val="center"/>
          </w:tcPr>
          <w:p w14:paraId="7399E262" w14:textId="77777777" w:rsidR="001B5033" w:rsidRPr="00433039" w:rsidRDefault="001B5033" w:rsidP="00940768">
            <w:pPr>
              <w:jc w:val="center"/>
              <w:rPr>
                <w:rFonts w:ascii="Arial" w:hAnsi="Arial"/>
                <w:sz w:val="18"/>
              </w:rPr>
            </w:pPr>
            <w:r w:rsidRPr="00433039">
              <w:rPr>
                <w:rFonts w:ascii="Arial" w:hAnsi="Arial"/>
                <w:sz w:val="18"/>
              </w:rPr>
              <w:t>In</w:t>
            </w:r>
          </w:p>
        </w:tc>
      </w:tr>
      <w:tr w:rsidR="001B5033" w:rsidRPr="001B474F" w14:paraId="3F4E4023" w14:textId="77777777" w:rsidTr="001B5033">
        <w:trPr>
          <w:trHeight w:val="283"/>
        </w:trPr>
        <w:tc>
          <w:tcPr>
            <w:tcW w:w="1985" w:type="dxa"/>
            <w:vMerge/>
            <w:tcBorders>
              <w:top w:val="single" w:sz="12" w:space="0" w:color="auto"/>
              <w:left w:val="single" w:sz="12" w:space="0" w:color="auto"/>
              <w:bottom w:val="single" w:sz="12" w:space="0" w:color="auto"/>
              <w:right w:val="single" w:sz="12" w:space="0" w:color="auto"/>
            </w:tcBorders>
          </w:tcPr>
          <w:p w14:paraId="0B3BC401" w14:textId="77777777" w:rsidR="001B5033" w:rsidRPr="00433039" w:rsidRDefault="001B5033" w:rsidP="00940768">
            <w:pPr>
              <w:rPr>
                <w:rFonts w:ascii="Arial" w:hAnsi="Arial"/>
                <w:b/>
                <w:sz w:val="18"/>
              </w:rPr>
            </w:pPr>
          </w:p>
        </w:tc>
        <w:tc>
          <w:tcPr>
            <w:tcW w:w="1985" w:type="dxa"/>
            <w:vMerge w:val="restart"/>
            <w:tcBorders>
              <w:top w:val="single" w:sz="12" w:space="0" w:color="auto"/>
              <w:left w:val="single" w:sz="12" w:space="0" w:color="auto"/>
              <w:bottom w:val="single" w:sz="12" w:space="0" w:color="auto"/>
              <w:right w:val="single" w:sz="12" w:space="0" w:color="auto"/>
            </w:tcBorders>
          </w:tcPr>
          <w:p w14:paraId="0EDB1C61" w14:textId="77777777" w:rsidR="001B5033" w:rsidRPr="00433039" w:rsidRDefault="001B5033" w:rsidP="00940768">
            <w:pPr>
              <w:rPr>
                <w:rFonts w:ascii="Arial" w:hAnsi="Arial"/>
                <w:sz w:val="18"/>
              </w:rPr>
            </w:pPr>
            <w:r w:rsidRPr="00433039">
              <w:rPr>
                <w:rFonts w:ascii="Arial" w:hAnsi="Arial"/>
                <w:sz w:val="18"/>
              </w:rPr>
              <w:t>Off-course**</w:t>
            </w:r>
            <w:r w:rsidRPr="00433039">
              <w:rPr>
                <w:rFonts w:ascii="Arial" w:hAnsi="Arial"/>
                <w:sz w:val="18"/>
              </w:rPr>
              <w:br/>
              <w:t>(e.g. hotel, sporting stadium, TAB)</w:t>
            </w: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06DC69B1" w14:textId="77777777" w:rsidR="001B5033" w:rsidRPr="00433039" w:rsidRDefault="001B5033" w:rsidP="00940768">
            <w:pPr>
              <w:rPr>
                <w:rFonts w:ascii="Arial" w:hAnsi="Arial"/>
                <w:sz w:val="18"/>
              </w:rPr>
            </w:pPr>
            <w:r w:rsidRPr="00433039">
              <w:rPr>
                <w:rFonts w:ascii="Arial" w:hAnsi="Arial"/>
                <w:sz w:val="18"/>
              </w:rPr>
              <w:t>Device at a venue (e.g. betting terminals)</w:t>
            </w:r>
            <w:r w:rsidRPr="00433039">
              <w:rPr>
                <w:rFonts w:ascii="Arial" w:hAnsi="Arial"/>
                <w:b/>
                <w:sz w:val="16"/>
              </w:rPr>
              <w:t xml:space="preserve"> †</w:t>
            </w:r>
          </w:p>
        </w:tc>
        <w:tc>
          <w:tcPr>
            <w:tcW w:w="1701" w:type="dxa"/>
            <w:tcBorders>
              <w:top w:val="single" w:sz="12" w:space="0" w:color="auto"/>
              <w:left w:val="single" w:sz="12" w:space="0" w:color="auto"/>
              <w:bottom w:val="single" w:sz="12" w:space="0" w:color="auto"/>
              <w:right w:val="single" w:sz="12" w:space="0" w:color="auto"/>
            </w:tcBorders>
            <w:vAlign w:val="center"/>
          </w:tcPr>
          <w:p w14:paraId="50CF6478" w14:textId="77777777" w:rsidR="001B5033" w:rsidRPr="00433039" w:rsidRDefault="001B5033" w:rsidP="00940768">
            <w:pPr>
              <w:jc w:val="center"/>
              <w:rPr>
                <w:rFonts w:ascii="Arial" w:hAnsi="Arial"/>
                <w:sz w:val="18"/>
              </w:rPr>
            </w:pPr>
            <w:r w:rsidRPr="00433039">
              <w:rPr>
                <w:rFonts w:ascii="Arial" w:hAnsi="Arial"/>
                <w:sz w:val="18"/>
              </w:rPr>
              <w:t>Out</w:t>
            </w:r>
          </w:p>
        </w:tc>
      </w:tr>
      <w:tr w:rsidR="001B5033" w:rsidRPr="001B474F" w14:paraId="68A1056A" w14:textId="77777777" w:rsidTr="001B5033">
        <w:trPr>
          <w:trHeight w:val="283"/>
        </w:trPr>
        <w:tc>
          <w:tcPr>
            <w:tcW w:w="1985" w:type="dxa"/>
            <w:vMerge/>
            <w:tcBorders>
              <w:top w:val="single" w:sz="12" w:space="0" w:color="auto"/>
              <w:left w:val="single" w:sz="12" w:space="0" w:color="auto"/>
              <w:bottom w:val="single" w:sz="12" w:space="0" w:color="auto"/>
              <w:right w:val="single" w:sz="12" w:space="0" w:color="auto"/>
            </w:tcBorders>
          </w:tcPr>
          <w:p w14:paraId="37FF51D0" w14:textId="77777777" w:rsidR="001B5033" w:rsidRPr="00433039" w:rsidRDefault="001B5033" w:rsidP="00940768">
            <w:pPr>
              <w:rPr>
                <w:rFonts w:ascii="Arial" w:hAnsi="Arial"/>
                <w:b/>
                <w:sz w:val="18"/>
              </w:rPr>
            </w:pPr>
          </w:p>
        </w:tc>
        <w:tc>
          <w:tcPr>
            <w:tcW w:w="1985" w:type="dxa"/>
            <w:vMerge/>
            <w:tcBorders>
              <w:top w:val="single" w:sz="12" w:space="0" w:color="auto"/>
              <w:left w:val="single" w:sz="12" w:space="0" w:color="auto"/>
              <w:bottom w:val="single" w:sz="12" w:space="0" w:color="auto"/>
              <w:right w:val="single" w:sz="12" w:space="0" w:color="auto"/>
            </w:tcBorders>
          </w:tcPr>
          <w:p w14:paraId="58F25CE5" w14:textId="77777777" w:rsidR="001B5033" w:rsidRPr="00433039" w:rsidRDefault="001B5033" w:rsidP="00940768">
            <w:pPr>
              <w:rPr>
                <w:rFonts w:ascii="Arial" w:hAnsi="Arial"/>
                <w:sz w:val="18"/>
              </w:rPr>
            </w:pP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64E2B034" w14:textId="77777777" w:rsidR="001B5033" w:rsidRPr="00433039" w:rsidRDefault="001B5033" w:rsidP="00940768">
            <w:pPr>
              <w:rPr>
                <w:rFonts w:ascii="Arial" w:hAnsi="Arial"/>
                <w:sz w:val="18"/>
              </w:rPr>
            </w:pPr>
            <w:r w:rsidRPr="00433039">
              <w:rPr>
                <w:rFonts w:ascii="Arial" w:hAnsi="Arial"/>
                <w:sz w:val="18"/>
              </w:rPr>
              <w:t>Telephone</w:t>
            </w:r>
          </w:p>
        </w:tc>
        <w:tc>
          <w:tcPr>
            <w:tcW w:w="1701" w:type="dxa"/>
            <w:tcBorders>
              <w:top w:val="single" w:sz="12" w:space="0" w:color="auto"/>
              <w:left w:val="single" w:sz="12" w:space="0" w:color="auto"/>
              <w:bottom w:val="single" w:sz="12" w:space="0" w:color="auto"/>
              <w:right w:val="single" w:sz="12" w:space="0" w:color="auto"/>
            </w:tcBorders>
            <w:vAlign w:val="center"/>
          </w:tcPr>
          <w:p w14:paraId="678EB41F" w14:textId="77777777" w:rsidR="001B5033" w:rsidRPr="00433039" w:rsidRDefault="001B5033" w:rsidP="00940768">
            <w:pPr>
              <w:jc w:val="center"/>
              <w:rPr>
                <w:rFonts w:ascii="Arial" w:hAnsi="Arial"/>
                <w:sz w:val="18"/>
              </w:rPr>
            </w:pPr>
            <w:r w:rsidRPr="00433039">
              <w:rPr>
                <w:rFonts w:ascii="Arial" w:hAnsi="Arial"/>
                <w:sz w:val="18"/>
              </w:rPr>
              <w:t>In</w:t>
            </w:r>
          </w:p>
        </w:tc>
      </w:tr>
      <w:tr w:rsidR="001B5033" w:rsidRPr="001B474F" w14:paraId="5DB50D9C" w14:textId="77777777" w:rsidTr="001B5033">
        <w:trPr>
          <w:trHeight w:val="283"/>
        </w:trPr>
        <w:tc>
          <w:tcPr>
            <w:tcW w:w="1985" w:type="dxa"/>
            <w:vMerge/>
            <w:tcBorders>
              <w:top w:val="single" w:sz="12" w:space="0" w:color="auto"/>
              <w:left w:val="single" w:sz="12" w:space="0" w:color="auto"/>
              <w:bottom w:val="single" w:sz="12" w:space="0" w:color="auto"/>
              <w:right w:val="single" w:sz="12" w:space="0" w:color="auto"/>
            </w:tcBorders>
          </w:tcPr>
          <w:p w14:paraId="0459B2E4" w14:textId="77777777" w:rsidR="001B5033" w:rsidRPr="00433039" w:rsidRDefault="001B5033" w:rsidP="00940768">
            <w:pPr>
              <w:rPr>
                <w:rFonts w:ascii="Arial" w:hAnsi="Arial"/>
                <w:b/>
                <w:sz w:val="18"/>
              </w:rPr>
            </w:pPr>
          </w:p>
        </w:tc>
        <w:tc>
          <w:tcPr>
            <w:tcW w:w="1985" w:type="dxa"/>
            <w:vMerge/>
            <w:tcBorders>
              <w:top w:val="single" w:sz="12" w:space="0" w:color="auto"/>
              <w:left w:val="single" w:sz="12" w:space="0" w:color="auto"/>
              <w:bottom w:val="single" w:sz="12" w:space="0" w:color="auto"/>
              <w:right w:val="single" w:sz="12" w:space="0" w:color="auto"/>
            </w:tcBorders>
          </w:tcPr>
          <w:p w14:paraId="00308037" w14:textId="77777777" w:rsidR="001B5033" w:rsidRPr="00433039" w:rsidRDefault="001B5033" w:rsidP="00940768">
            <w:pPr>
              <w:rPr>
                <w:rFonts w:ascii="Arial" w:hAnsi="Arial"/>
                <w:sz w:val="18"/>
              </w:rPr>
            </w:pP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5FB377F9" w14:textId="77777777" w:rsidR="001B5033" w:rsidRPr="00433039" w:rsidRDefault="001B5033" w:rsidP="00940768">
            <w:pPr>
              <w:rPr>
                <w:rFonts w:ascii="Arial" w:hAnsi="Arial"/>
                <w:sz w:val="18"/>
              </w:rPr>
            </w:pPr>
            <w:r w:rsidRPr="00433039">
              <w:rPr>
                <w:rFonts w:ascii="Arial" w:hAnsi="Arial"/>
                <w:sz w:val="18"/>
              </w:rPr>
              <w:t>Internet</w:t>
            </w:r>
          </w:p>
        </w:tc>
        <w:tc>
          <w:tcPr>
            <w:tcW w:w="1701" w:type="dxa"/>
            <w:tcBorders>
              <w:top w:val="single" w:sz="12" w:space="0" w:color="auto"/>
              <w:left w:val="single" w:sz="12" w:space="0" w:color="auto"/>
              <w:bottom w:val="single" w:sz="12" w:space="0" w:color="auto"/>
              <w:right w:val="single" w:sz="12" w:space="0" w:color="auto"/>
            </w:tcBorders>
            <w:vAlign w:val="center"/>
          </w:tcPr>
          <w:p w14:paraId="030E7BEE" w14:textId="77777777" w:rsidR="001B5033" w:rsidRPr="00433039" w:rsidRDefault="001B5033" w:rsidP="00940768">
            <w:pPr>
              <w:jc w:val="center"/>
              <w:rPr>
                <w:rFonts w:ascii="Arial" w:hAnsi="Arial"/>
                <w:sz w:val="18"/>
              </w:rPr>
            </w:pPr>
            <w:r w:rsidRPr="00433039">
              <w:rPr>
                <w:rFonts w:ascii="Arial" w:hAnsi="Arial"/>
                <w:sz w:val="18"/>
              </w:rPr>
              <w:t>In</w:t>
            </w:r>
          </w:p>
        </w:tc>
      </w:tr>
      <w:tr w:rsidR="001B5033" w:rsidRPr="001B474F" w14:paraId="4EB5B799" w14:textId="77777777" w:rsidTr="001B5033">
        <w:trPr>
          <w:trHeight w:val="283"/>
        </w:trPr>
        <w:tc>
          <w:tcPr>
            <w:tcW w:w="1985" w:type="dxa"/>
            <w:vMerge/>
            <w:tcBorders>
              <w:top w:val="single" w:sz="12" w:space="0" w:color="auto"/>
              <w:left w:val="single" w:sz="12" w:space="0" w:color="auto"/>
              <w:bottom w:val="single" w:sz="12" w:space="0" w:color="auto"/>
              <w:right w:val="single" w:sz="12" w:space="0" w:color="auto"/>
            </w:tcBorders>
          </w:tcPr>
          <w:p w14:paraId="05D803B4" w14:textId="77777777" w:rsidR="001B5033" w:rsidRPr="00433039" w:rsidRDefault="001B5033" w:rsidP="00940768">
            <w:pPr>
              <w:rPr>
                <w:rFonts w:ascii="Arial" w:hAnsi="Arial"/>
                <w:b/>
                <w:sz w:val="18"/>
              </w:rPr>
            </w:pPr>
          </w:p>
        </w:tc>
        <w:tc>
          <w:tcPr>
            <w:tcW w:w="1985" w:type="dxa"/>
            <w:vMerge/>
            <w:tcBorders>
              <w:top w:val="single" w:sz="12" w:space="0" w:color="auto"/>
              <w:left w:val="single" w:sz="12" w:space="0" w:color="auto"/>
              <w:bottom w:val="single" w:sz="12" w:space="0" w:color="auto"/>
              <w:right w:val="single" w:sz="12" w:space="0" w:color="auto"/>
            </w:tcBorders>
          </w:tcPr>
          <w:p w14:paraId="4B12B554" w14:textId="77777777" w:rsidR="001B5033" w:rsidRPr="00433039" w:rsidRDefault="001B5033" w:rsidP="00940768">
            <w:pPr>
              <w:rPr>
                <w:rFonts w:ascii="Arial" w:hAnsi="Arial"/>
                <w:sz w:val="18"/>
              </w:rPr>
            </w:pP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27C34669" w14:textId="77777777" w:rsidR="001B5033" w:rsidRPr="00433039" w:rsidRDefault="001B5033" w:rsidP="00940768">
            <w:pPr>
              <w:rPr>
                <w:rFonts w:ascii="Arial" w:hAnsi="Arial"/>
                <w:sz w:val="18"/>
              </w:rPr>
            </w:pPr>
            <w:r w:rsidRPr="00433039">
              <w:rPr>
                <w:rFonts w:ascii="Arial" w:hAnsi="Arial"/>
                <w:sz w:val="18"/>
              </w:rPr>
              <w:t>Other form of remote telecommunication</w:t>
            </w:r>
          </w:p>
        </w:tc>
        <w:tc>
          <w:tcPr>
            <w:tcW w:w="1701" w:type="dxa"/>
            <w:tcBorders>
              <w:top w:val="single" w:sz="12" w:space="0" w:color="auto"/>
              <w:left w:val="single" w:sz="12" w:space="0" w:color="auto"/>
              <w:bottom w:val="single" w:sz="12" w:space="0" w:color="auto"/>
              <w:right w:val="single" w:sz="12" w:space="0" w:color="auto"/>
            </w:tcBorders>
            <w:vAlign w:val="center"/>
          </w:tcPr>
          <w:p w14:paraId="0970FD65" w14:textId="77777777" w:rsidR="001B5033" w:rsidRPr="00433039" w:rsidRDefault="001B5033" w:rsidP="00940768">
            <w:pPr>
              <w:jc w:val="center"/>
              <w:rPr>
                <w:rFonts w:ascii="Arial" w:hAnsi="Arial"/>
                <w:sz w:val="18"/>
              </w:rPr>
            </w:pPr>
            <w:r w:rsidRPr="00433039">
              <w:rPr>
                <w:rFonts w:ascii="Arial" w:hAnsi="Arial"/>
                <w:sz w:val="18"/>
              </w:rPr>
              <w:t>In</w:t>
            </w:r>
          </w:p>
        </w:tc>
      </w:tr>
      <w:tr w:rsidR="001B5033" w:rsidRPr="001B474F" w14:paraId="7DE31E42" w14:textId="77777777" w:rsidTr="001B5033">
        <w:tc>
          <w:tcPr>
            <w:tcW w:w="1985" w:type="dxa"/>
            <w:tcBorders>
              <w:top w:val="single" w:sz="12" w:space="0" w:color="auto"/>
              <w:left w:val="single" w:sz="12" w:space="0" w:color="auto"/>
              <w:bottom w:val="single" w:sz="12" w:space="0" w:color="auto"/>
              <w:right w:val="single" w:sz="12" w:space="0" w:color="auto"/>
            </w:tcBorders>
          </w:tcPr>
          <w:p w14:paraId="2C51535B" w14:textId="77777777" w:rsidR="001B5033" w:rsidRPr="00433039" w:rsidRDefault="001B5033" w:rsidP="00940768">
            <w:pPr>
              <w:rPr>
                <w:rFonts w:ascii="Arial" w:hAnsi="Arial"/>
                <w:b/>
                <w:sz w:val="18"/>
              </w:rPr>
            </w:pPr>
            <w:r w:rsidRPr="00433039">
              <w:rPr>
                <w:rFonts w:ascii="Arial" w:hAnsi="Arial"/>
                <w:b/>
                <w:sz w:val="18"/>
              </w:rPr>
              <w:t>Sports bookmakers</w:t>
            </w:r>
          </w:p>
        </w:tc>
        <w:tc>
          <w:tcPr>
            <w:tcW w:w="1985" w:type="dxa"/>
            <w:tcBorders>
              <w:top w:val="single" w:sz="12" w:space="0" w:color="auto"/>
              <w:left w:val="single" w:sz="12" w:space="0" w:color="auto"/>
              <w:bottom w:val="single" w:sz="12" w:space="0" w:color="auto"/>
              <w:right w:val="single" w:sz="12" w:space="0" w:color="auto"/>
            </w:tcBorders>
          </w:tcPr>
          <w:p w14:paraId="46F79DAE" w14:textId="77777777" w:rsidR="001B5033" w:rsidRPr="00433039" w:rsidRDefault="001B5033" w:rsidP="00940768">
            <w:pPr>
              <w:rPr>
                <w:rFonts w:ascii="Arial" w:hAnsi="Arial"/>
                <w:sz w:val="18"/>
              </w:rPr>
            </w:pPr>
            <w:r w:rsidRPr="00433039">
              <w:rPr>
                <w:rFonts w:ascii="Arial" w:hAnsi="Arial"/>
                <w:sz w:val="18"/>
              </w:rPr>
              <w:t>Online</w:t>
            </w:r>
            <w:r w:rsidRPr="00433039">
              <w:rPr>
                <w:rFonts w:ascii="Arial" w:hAnsi="Arial"/>
                <w:sz w:val="18"/>
              </w:rPr>
              <w:br/>
              <w:t>(conducted at private premise)</w:t>
            </w:r>
          </w:p>
        </w:tc>
        <w:tc>
          <w:tcPr>
            <w:tcW w:w="4678" w:type="dxa"/>
            <w:tcBorders>
              <w:top w:val="single" w:sz="12" w:space="0" w:color="auto"/>
              <w:bottom w:val="single" w:sz="12" w:space="0" w:color="auto"/>
              <w:right w:val="single" w:sz="12" w:space="0" w:color="auto"/>
            </w:tcBorders>
            <w:shd w:val="clear" w:color="auto" w:fill="auto"/>
          </w:tcPr>
          <w:p w14:paraId="2468EAF6" w14:textId="77777777" w:rsidR="001B5033" w:rsidRPr="00433039" w:rsidRDefault="001B5033" w:rsidP="00940768">
            <w:pPr>
              <w:rPr>
                <w:rFonts w:ascii="Arial" w:hAnsi="Arial"/>
                <w:sz w:val="18"/>
              </w:rPr>
            </w:pPr>
            <w:r w:rsidRPr="00433039">
              <w:rPr>
                <w:rFonts w:ascii="Arial" w:hAnsi="Arial"/>
                <w:sz w:val="18"/>
              </w:rPr>
              <w:t xml:space="preserve">Internet </w:t>
            </w:r>
          </w:p>
        </w:tc>
        <w:tc>
          <w:tcPr>
            <w:tcW w:w="1701" w:type="dxa"/>
            <w:tcBorders>
              <w:top w:val="single" w:sz="12" w:space="0" w:color="auto"/>
              <w:left w:val="single" w:sz="12" w:space="0" w:color="auto"/>
              <w:bottom w:val="single" w:sz="12" w:space="0" w:color="auto"/>
              <w:right w:val="single" w:sz="12" w:space="0" w:color="auto"/>
            </w:tcBorders>
            <w:vAlign w:val="center"/>
          </w:tcPr>
          <w:p w14:paraId="680AB588" w14:textId="77777777" w:rsidR="001B5033" w:rsidRPr="00433039" w:rsidRDefault="001B5033" w:rsidP="00940768">
            <w:pPr>
              <w:jc w:val="center"/>
              <w:rPr>
                <w:rFonts w:ascii="Arial" w:hAnsi="Arial"/>
                <w:sz w:val="18"/>
              </w:rPr>
            </w:pPr>
            <w:r w:rsidRPr="00433039">
              <w:rPr>
                <w:rFonts w:ascii="Arial" w:hAnsi="Arial"/>
                <w:sz w:val="18"/>
              </w:rPr>
              <w:t>In</w:t>
            </w:r>
          </w:p>
        </w:tc>
      </w:tr>
      <w:tr w:rsidR="001B5033" w:rsidRPr="001B474F" w14:paraId="70EA66DA" w14:textId="77777777" w:rsidTr="001B5033">
        <w:tc>
          <w:tcPr>
            <w:tcW w:w="1985" w:type="dxa"/>
            <w:vMerge w:val="restart"/>
            <w:tcBorders>
              <w:top w:val="single" w:sz="12" w:space="0" w:color="auto"/>
              <w:left w:val="single" w:sz="12" w:space="0" w:color="auto"/>
              <w:bottom w:val="single" w:sz="12" w:space="0" w:color="auto"/>
              <w:right w:val="single" w:sz="12" w:space="0" w:color="auto"/>
            </w:tcBorders>
          </w:tcPr>
          <w:p w14:paraId="0D0CD3D9" w14:textId="77777777" w:rsidR="001B5033" w:rsidRPr="00433039" w:rsidRDefault="001B5033" w:rsidP="00940768">
            <w:pPr>
              <w:rPr>
                <w:rFonts w:ascii="Arial" w:hAnsi="Arial"/>
                <w:b/>
                <w:sz w:val="18"/>
              </w:rPr>
            </w:pPr>
            <w:r w:rsidRPr="00433039">
              <w:rPr>
                <w:rFonts w:ascii="Arial" w:hAnsi="Arial"/>
                <w:b/>
                <w:sz w:val="18"/>
              </w:rPr>
              <w:t>Betting Exchange</w:t>
            </w:r>
          </w:p>
        </w:tc>
        <w:tc>
          <w:tcPr>
            <w:tcW w:w="1985" w:type="dxa"/>
            <w:vMerge w:val="restart"/>
            <w:tcBorders>
              <w:top w:val="single" w:sz="12" w:space="0" w:color="auto"/>
              <w:left w:val="single" w:sz="12" w:space="0" w:color="auto"/>
              <w:bottom w:val="single" w:sz="12" w:space="0" w:color="auto"/>
              <w:right w:val="single" w:sz="12" w:space="0" w:color="auto"/>
            </w:tcBorders>
          </w:tcPr>
          <w:p w14:paraId="4027E7B3" w14:textId="77777777" w:rsidR="001B5033" w:rsidRPr="00433039" w:rsidRDefault="001B5033" w:rsidP="00940768">
            <w:pPr>
              <w:rPr>
                <w:rFonts w:ascii="Arial" w:hAnsi="Arial"/>
                <w:sz w:val="18"/>
              </w:rPr>
            </w:pPr>
            <w:r w:rsidRPr="00433039">
              <w:rPr>
                <w:rFonts w:ascii="Arial" w:hAnsi="Arial"/>
                <w:sz w:val="18"/>
              </w:rPr>
              <w:t>Approved premises</w:t>
            </w:r>
            <w:r w:rsidRPr="00433039">
              <w:rPr>
                <w:rFonts w:ascii="Arial" w:hAnsi="Arial"/>
                <w:sz w:val="18"/>
              </w:rPr>
              <w:br/>
              <w:t>(conducted at a private premise)</w:t>
            </w:r>
          </w:p>
        </w:tc>
        <w:tc>
          <w:tcPr>
            <w:tcW w:w="4678" w:type="dxa"/>
            <w:tcBorders>
              <w:top w:val="single" w:sz="12" w:space="0" w:color="auto"/>
              <w:bottom w:val="single" w:sz="12" w:space="0" w:color="auto"/>
              <w:right w:val="single" w:sz="12" w:space="0" w:color="auto"/>
            </w:tcBorders>
            <w:shd w:val="clear" w:color="auto" w:fill="auto"/>
          </w:tcPr>
          <w:p w14:paraId="55F09CE3" w14:textId="77777777" w:rsidR="001B5033" w:rsidRPr="00433039" w:rsidRDefault="001B5033" w:rsidP="00940768">
            <w:pPr>
              <w:rPr>
                <w:rFonts w:ascii="Arial" w:hAnsi="Arial"/>
                <w:sz w:val="18"/>
              </w:rPr>
            </w:pPr>
            <w:r w:rsidRPr="00433039">
              <w:rPr>
                <w:rFonts w:ascii="Arial" w:hAnsi="Arial"/>
                <w:sz w:val="18"/>
              </w:rPr>
              <w:t>Internet</w:t>
            </w:r>
          </w:p>
        </w:tc>
        <w:tc>
          <w:tcPr>
            <w:tcW w:w="1701" w:type="dxa"/>
            <w:tcBorders>
              <w:top w:val="single" w:sz="12" w:space="0" w:color="auto"/>
              <w:left w:val="single" w:sz="12" w:space="0" w:color="auto"/>
              <w:bottom w:val="single" w:sz="12" w:space="0" w:color="auto"/>
              <w:right w:val="single" w:sz="12" w:space="0" w:color="auto"/>
            </w:tcBorders>
            <w:vAlign w:val="center"/>
          </w:tcPr>
          <w:p w14:paraId="0ABF88A9" w14:textId="77777777" w:rsidR="001B5033" w:rsidRPr="00433039" w:rsidRDefault="001B5033" w:rsidP="00940768">
            <w:pPr>
              <w:jc w:val="center"/>
              <w:rPr>
                <w:rFonts w:ascii="Arial" w:hAnsi="Arial"/>
                <w:sz w:val="18"/>
              </w:rPr>
            </w:pPr>
            <w:r w:rsidRPr="00433039">
              <w:rPr>
                <w:rFonts w:ascii="Arial" w:hAnsi="Arial"/>
                <w:sz w:val="18"/>
              </w:rPr>
              <w:t>In</w:t>
            </w:r>
          </w:p>
        </w:tc>
      </w:tr>
      <w:tr w:rsidR="001B5033" w:rsidRPr="001B474F" w14:paraId="3937208F" w14:textId="77777777" w:rsidTr="001B5033">
        <w:tc>
          <w:tcPr>
            <w:tcW w:w="1985" w:type="dxa"/>
            <w:vMerge/>
            <w:tcBorders>
              <w:top w:val="single" w:sz="12" w:space="0" w:color="auto"/>
              <w:left w:val="single" w:sz="12" w:space="0" w:color="auto"/>
              <w:bottom w:val="single" w:sz="12" w:space="0" w:color="auto"/>
              <w:right w:val="single" w:sz="12" w:space="0" w:color="auto"/>
            </w:tcBorders>
          </w:tcPr>
          <w:p w14:paraId="6B78A085" w14:textId="77777777" w:rsidR="001B5033" w:rsidRPr="00433039" w:rsidRDefault="001B5033" w:rsidP="00940768">
            <w:pPr>
              <w:rPr>
                <w:rFonts w:ascii="Arial" w:hAnsi="Arial"/>
                <w:sz w:val="18"/>
              </w:rPr>
            </w:pPr>
          </w:p>
        </w:tc>
        <w:tc>
          <w:tcPr>
            <w:tcW w:w="1985" w:type="dxa"/>
            <w:vMerge/>
            <w:tcBorders>
              <w:top w:val="single" w:sz="12" w:space="0" w:color="auto"/>
              <w:left w:val="single" w:sz="12" w:space="0" w:color="auto"/>
              <w:bottom w:val="single" w:sz="12" w:space="0" w:color="auto"/>
              <w:right w:val="single" w:sz="12" w:space="0" w:color="auto"/>
            </w:tcBorders>
          </w:tcPr>
          <w:p w14:paraId="0DB2FABE" w14:textId="77777777" w:rsidR="001B5033" w:rsidRPr="00433039" w:rsidRDefault="001B5033" w:rsidP="00940768">
            <w:pPr>
              <w:rPr>
                <w:rFonts w:ascii="Arial" w:hAnsi="Arial"/>
                <w:sz w:val="18"/>
              </w:rPr>
            </w:pP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2649F835" w14:textId="77777777" w:rsidR="001B5033" w:rsidRPr="00433039" w:rsidRDefault="001B5033" w:rsidP="00940768">
            <w:pPr>
              <w:rPr>
                <w:rFonts w:ascii="Arial" w:hAnsi="Arial"/>
                <w:sz w:val="18"/>
              </w:rPr>
            </w:pPr>
            <w:r w:rsidRPr="00433039">
              <w:rPr>
                <w:rFonts w:ascii="Arial" w:hAnsi="Arial"/>
                <w:sz w:val="18"/>
              </w:rPr>
              <w:t xml:space="preserve">Other form of remote telecommunication </w:t>
            </w:r>
          </w:p>
        </w:tc>
        <w:tc>
          <w:tcPr>
            <w:tcW w:w="1701" w:type="dxa"/>
            <w:tcBorders>
              <w:top w:val="single" w:sz="12" w:space="0" w:color="auto"/>
              <w:left w:val="single" w:sz="12" w:space="0" w:color="auto"/>
              <w:bottom w:val="single" w:sz="12" w:space="0" w:color="auto"/>
              <w:right w:val="single" w:sz="12" w:space="0" w:color="auto"/>
            </w:tcBorders>
            <w:vAlign w:val="center"/>
          </w:tcPr>
          <w:p w14:paraId="7EC3D108" w14:textId="77777777" w:rsidR="001B5033" w:rsidRPr="00433039" w:rsidRDefault="001B5033" w:rsidP="00940768">
            <w:pPr>
              <w:jc w:val="center"/>
              <w:rPr>
                <w:rFonts w:ascii="Arial" w:hAnsi="Arial"/>
                <w:sz w:val="18"/>
              </w:rPr>
            </w:pPr>
            <w:r w:rsidRPr="00433039">
              <w:rPr>
                <w:rFonts w:ascii="Arial" w:hAnsi="Arial"/>
                <w:sz w:val="18"/>
              </w:rPr>
              <w:t>In</w:t>
            </w:r>
          </w:p>
        </w:tc>
      </w:tr>
      <w:tr w:rsidR="001B5033" w:rsidRPr="001B474F" w14:paraId="55D14165" w14:textId="77777777" w:rsidTr="001B5033">
        <w:tc>
          <w:tcPr>
            <w:tcW w:w="1985" w:type="dxa"/>
            <w:vMerge w:val="restart"/>
            <w:tcBorders>
              <w:top w:val="single" w:sz="12" w:space="0" w:color="auto"/>
              <w:left w:val="single" w:sz="12" w:space="0" w:color="auto"/>
              <w:right w:val="single" w:sz="12" w:space="0" w:color="auto"/>
            </w:tcBorders>
          </w:tcPr>
          <w:p w14:paraId="12E8E325" w14:textId="77777777" w:rsidR="001B5033" w:rsidRPr="00433039" w:rsidRDefault="001B5033" w:rsidP="00940768">
            <w:pPr>
              <w:rPr>
                <w:rFonts w:ascii="Arial" w:hAnsi="Arial"/>
                <w:b/>
                <w:sz w:val="18"/>
              </w:rPr>
            </w:pPr>
            <w:r w:rsidRPr="00433039">
              <w:rPr>
                <w:rFonts w:ascii="Arial" w:hAnsi="Arial"/>
                <w:b/>
                <w:sz w:val="18"/>
              </w:rPr>
              <w:t>Any other type</w:t>
            </w:r>
          </w:p>
          <w:p w14:paraId="0B5ECA14" w14:textId="77777777" w:rsidR="001B5033" w:rsidRPr="00433039" w:rsidRDefault="001B5033" w:rsidP="00940768">
            <w:pPr>
              <w:rPr>
                <w:rFonts w:ascii="Arial" w:hAnsi="Arial"/>
                <w:sz w:val="18"/>
              </w:rPr>
            </w:pPr>
            <w:r w:rsidRPr="00433039">
              <w:rPr>
                <w:rFonts w:ascii="Arial" w:hAnsi="Arial"/>
                <w:sz w:val="18"/>
              </w:rPr>
              <w:t>(e.g. any new and emerging ‘regulated interactive gambling service’ that is a ‘wagering service’ not captured above)</w:t>
            </w:r>
          </w:p>
        </w:tc>
        <w:tc>
          <w:tcPr>
            <w:tcW w:w="1985" w:type="dxa"/>
            <w:tcBorders>
              <w:top w:val="single" w:sz="12" w:space="0" w:color="auto"/>
              <w:left w:val="single" w:sz="12" w:space="0" w:color="auto"/>
              <w:bottom w:val="single" w:sz="12" w:space="0" w:color="auto"/>
              <w:right w:val="single" w:sz="12" w:space="0" w:color="auto"/>
            </w:tcBorders>
          </w:tcPr>
          <w:p w14:paraId="4E7B0741" w14:textId="77777777" w:rsidR="001B5033" w:rsidRPr="00433039" w:rsidRDefault="001B5033" w:rsidP="00940768">
            <w:pPr>
              <w:rPr>
                <w:rFonts w:ascii="Arial" w:hAnsi="Arial"/>
                <w:sz w:val="18"/>
              </w:rPr>
            </w:pPr>
            <w:r w:rsidRPr="00433039">
              <w:rPr>
                <w:rFonts w:ascii="Arial" w:hAnsi="Arial"/>
                <w:sz w:val="18"/>
              </w:rPr>
              <w:t xml:space="preserve">Online </w:t>
            </w:r>
          </w:p>
          <w:p w14:paraId="60D225F9" w14:textId="77777777" w:rsidR="001B5033" w:rsidRPr="00433039" w:rsidRDefault="001B5033" w:rsidP="00940768">
            <w:pPr>
              <w:rPr>
                <w:rFonts w:ascii="Arial" w:hAnsi="Arial"/>
                <w:sz w:val="18"/>
              </w:rPr>
            </w:pPr>
            <w:r w:rsidRPr="00433039">
              <w:rPr>
                <w:rFonts w:ascii="Arial" w:hAnsi="Arial"/>
                <w:sz w:val="18"/>
              </w:rPr>
              <w:t>(conducted at a private premise)</w:t>
            </w: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7907A7BB" w14:textId="77777777" w:rsidR="001B5033" w:rsidRPr="00433039" w:rsidRDefault="001B5033" w:rsidP="00940768">
            <w:pPr>
              <w:rPr>
                <w:rFonts w:ascii="Arial" w:hAnsi="Arial"/>
                <w:sz w:val="18"/>
              </w:rPr>
            </w:pPr>
            <w:r w:rsidRPr="00433039">
              <w:rPr>
                <w:rFonts w:ascii="Arial" w:hAnsi="Arial"/>
                <w:sz w:val="18"/>
              </w:rPr>
              <w:t xml:space="preserve">Any form of remote telecommunication </w:t>
            </w:r>
          </w:p>
        </w:tc>
        <w:tc>
          <w:tcPr>
            <w:tcW w:w="1701" w:type="dxa"/>
            <w:tcBorders>
              <w:top w:val="single" w:sz="12" w:space="0" w:color="auto"/>
              <w:left w:val="single" w:sz="12" w:space="0" w:color="auto"/>
              <w:bottom w:val="single" w:sz="12" w:space="0" w:color="auto"/>
              <w:right w:val="single" w:sz="12" w:space="0" w:color="auto"/>
            </w:tcBorders>
            <w:vAlign w:val="center"/>
          </w:tcPr>
          <w:p w14:paraId="35BAAED0" w14:textId="77777777" w:rsidR="001B5033" w:rsidRPr="00433039" w:rsidRDefault="001B5033" w:rsidP="00940768">
            <w:pPr>
              <w:jc w:val="center"/>
              <w:rPr>
                <w:rFonts w:ascii="Arial" w:hAnsi="Arial"/>
                <w:sz w:val="18"/>
              </w:rPr>
            </w:pPr>
            <w:r w:rsidRPr="00433039">
              <w:rPr>
                <w:rFonts w:ascii="Arial" w:hAnsi="Arial"/>
                <w:sz w:val="18"/>
              </w:rPr>
              <w:t xml:space="preserve">In </w:t>
            </w:r>
          </w:p>
        </w:tc>
      </w:tr>
      <w:tr w:rsidR="001B5033" w:rsidRPr="001B474F" w14:paraId="748491A8" w14:textId="77777777" w:rsidTr="001B5033">
        <w:tc>
          <w:tcPr>
            <w:tcW w:w="1985" w:type="dxa"/>
            <w:vMerge/>
            <w:tcBorders>
              <w:left w:val="single" w:sz="12" w:space="0" w:color="auto"/>
              <w:bottom w:val="single" w:sz="12" w:space="0" w:color="auto"/>
              <w:right w:val="single" w:sz="12" w:space="0" w:color="auto"/>
            </w:tcBorders>
          </w:tcPr>
          <w:p w14:paraId="57C6A5BE" w14:textId="77777777" w:rsidR="001B5033" w:rsidRPr="00433039" w:rsidRDefault="001B5033" w:rsidP="00940768">
            <w:pPr>
              <w:rPr>
                <w:rFonts w:ascii="Arial" w:hAnsi="Arial"/>
                <w:b/>
                <w:sz w:val="18"/>
              </w:rPr>
            </w:pPr>
          </w:p>
        </w:tc>
        <w:tc>
          <w:tcPr>
            <w:tcW w:w="1985" w:type="dxa"/>
            <w:tcBorders>
              <w:top w:val="single" w:sz="12" w:space="0" w:color="auto"/>
              <w:left w:val="single" w:sz="12" w:space="0" w:color="auto"/>
              <w:bottom w:val="single" w:sz="12" w:space="0" w:color="auto"/>
              <w:right w:val="single" w:sz="12" w:space="0" w:color="auto"/>
            </w:tcBorders>
          </w:tcPr>
          <w:p w14:paraId="7AD152FF" w14:textId="77777777" w:rsidR="001B5033" w:rsidRPr="00433039" w:rsidRDefault="001B5033" w:rsidP="00940768">
            <w:pPr>
              <w:rPr>
                <w:rFonts w:ascii="Arial" w:hAnsi="Arial"/>
                <w:sz w:val="18"/>
              </w:rPr>
            </w:pPr>
            <w:r w:rsidRPr="00433039">
              <w:rPr>
                <w:rFonts w:ascii="Arial" w:hAnsi="Arial"/>
                <w:sz w:val="18"/>
              </w:rPr>
              <w:t>Offline</w:t>
            </w:r>
          </w:p>
          <w:p w14:paraId="4B69ECD5" w14:textId="77777777" w:rsidR="001B5033" w:rsidRPr="00433039" w:rsidRDefault="001B5033" w:rsidP="00940768">
            <w:pPr>
              <w:rPr>
                <w:rFonts w:ascii="Arial" w:hAnsi="Arial"/>
                <w:sz w:val="18"/>
              </w:rPr>
            </w:pPr>
            <w:r w:rsidRPr="00433039">
              <w:rPr>
                <w:rFonts w:ascii="Arial" w:hAnsi="Arial"/>
                <w:sz w:val="18"/>
              </w:rPr>
              <w:t>(any premises accessible to the public)</w:t>
            </w: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39AF8C4F" w14:textId="77777777" w:rsidR="001B5033" w:rsidRPr="00433039" w:rsidRDefault="001B5033" w:rsidP="00940768">
            <w:pPr>
              <w:rPr>
                <w:rFonts w:ascii="Arial" w:hAnsi="Arial"/>
                <w:sz w:val="18"/>
              </w:rPr>
            </w:pPr>
            <w:r w:rsidRPr="00433039">
              <w:rPr>
                <w:rFonts w:ascii="Arial" w:hAnsi="Arial"/>
                <w:sz w:val="18"/>
              </w:rPr>
              <w:t>Any form of remote telecommunication</w:t>
            </w:r>
            <w:r w:rsidRPr="00433039">
              <w:rPr>
                <w:rFonts w:ascii="Arial" w:hAnsi="Arial"/>
                <w:b/>
                <w:sz w:val="16"/>
              </w:rPr>
              <w:t>†</w:t>
            </w:r>
          </w:p>
        </w:tc>
        <w:tc>
          <w:tcPr>
            <w:tcW w:w="1701" w:type="dxa"/>
            <w:tcBorders>
              <w:top w:val="single" w:sz="12" w:space="0" w:color="auto"/>
              <w:left w:val="single" w:sz="12" w:space="0" w:color="auto"/>
              <w:bottom w:val="single" w:sz="12" w:space="0" w:color="auto"/>
              <w:right w:val="single" w:sz="12" w:space="0" w:color="auto"/>
            </w:tcBorders>
            <w:vAlign w:val="center"/>
          </w:tcPr>
          <w:p w14:paraId="1EA67FE1" w14:textId="77777777" w:rsidR="001B5033" w:rsidRPr="00433039" w:rsidRDefault="001B5033" w:rsidP="00940768">
            <w:pPr>
              <w:jc w:val="center"/>
              <w:rPr>
                <w:rFonts w:ascii="Arial" w:hAnsi="Arial"/>
                <w:sz w:val="18"/>
              </w:rPr>
            </w:pPr>
            <w:r w:rsidRPr="00433039">
              <w:rPr>
                <w:rFonts w:ascii="Arial" w:hAnsi="Arial"/>
                <w:sz w:val="18"/>
              </w:rPr>
              <w:t>In</w:t>
            </w:r>
          </w:p>
        </w:tc>
      </w:tr>
    </w:tbl>
    <w:p w14:paraId="1CD4DFB5" w14:textId="77777777" w:rsidR="001B5033" w:rsidRPr="00433039" w:rsidRDefault="001B5033" w:rsidP="00940768">
      <w:pPr>
        <w:rPr>
          <w:rFonts w:ascii="Arial" w:hAnsi="Arial"/>
          <w:color w:val="000000" w:themeColor="text1"/>
          <w:sz w:val="16"/>
        </w:rPr>
      </w:pPr>
      <w:r w:rsidRPr="00433039">
        <w:rPr>
          <w:rFonts w:ascii="Arial" w:hAnsi="Arial"/>
          <w:b/>
          <w:color w:val="000000" w:themeColor="text1"/>
          <w:sz w:val="16"/>
        </w:rPr>
        <w:t>±</w:t>
      </w:r>
      <w:r w:rsidRPr="00433039">
        <w:rPr>
          <w:rFonts w:ascii="Arial" w:hAnsi="Arial"/>
          <w:color w:val="000000" w:themeColor="text1"/>
          <w:sz w:val="16"/>
        </w:rPr>
        <w:t xml:space="preserve"> ‘Betting type’ is inclusive of all or any forms or form of betting including betting on racing, sports betting, or any other event or contingency.</w:t>
      </w:r>
    </w:p>
    <w:p w14:paraId="2D96D808" w14:textId="77777777" w:rsidR="001B5033" w:rsidRPr="00433039" w:rsidRDefault="001B5033" w:rsidP="00940768">
      <w:pPr>
        <w:rPr>
          <w:rFonts w:ascii="Arial" w:hAnsi="Arial"/>
          <w:color w:val="000000" w:themeColor="text1"/>
          <w:sz w:val="16"/>
        </w:rPr>
      </w:pPr>
      <w:r w:rsidRPr="00433039">
        <w:rPr>
          <w:rFonts w:ascii="Arial" w:hAnsi="Arial"/>
          <w:b/>
          <w:color w:val="000000" w:themeColor="text1"/>
          <w:sz w:val="16"/>
        </w:rPr>
        <w:t>†</w:t>
      </w:r>
      <w:r w:rsidRPr="00433039">
        <w:rPr>
          <w:rFonts w:ascii="Arial" w:hAnsi="Arial"/>
          <w:color w:val="000000" w:themeColor="text1"/>
          <w:sz w:val="16"/>
        </w:rPr>
        <w:t xml:space="preserve"> This also includes any other ‘place-based betting service’ as defined within the </w:t>
      </w:r>
      <w:r w:rsidRPr="00433039">
        <w:rPr>
          <w:rFonts w:ascii="Arial" w:hAnsi="Arial"/>
          <w:i/>
          <w:color w:val="000000" w:themeColor="text1"/>
          <w:sz w:val="16"/>
        </w:rPr>
        <w:t>Interactive Gambling Act 2001</w:t>
      </w:r>
      <w:r w:rsidRPr="00433039">
        <w:rPr>
          <w:rFonts w:ascii="Arial" w:hAnsi="Arial"/>
          <w:color w:val="000000" w:themeColor="text1"/>
          <w:sz w:val="16"/>
        </w:rPr>
        <w:t xml:space="preserve"> (IGA).</w:t>
      </w:r>
    </w:p>
    <w:p w14:paraId="0EEA6401" w14:textId="77777777" w:rsidR="001B5033" w:rsidRPr="00433039" w:rsidRDefault="001B5033" w:rsidP="00940768">
      <w:pPr>
        <w:rPr>
          <w:rFonts w:ascii="Arial" w:hAnsi="Arial"/>
          <w:color w:val="000000" w:themeColor="text1"/>
          <w:sz w:val="16"/>
        </w:rPr>
      </w:pPr>
      <w:r w:rsidRPr="00433039">
        <w:rPr>
          <w:rFonts w:ascii="Arial" w:hAnsi="Arial"/>
          <w:b/>
          <w:color w:val="000000" w:themeColor="text1"/>
          <w:sz w:val="16"/>
        </w:rPr>
        <w:t>‡</w:t>
      </w:r>
      <w:r w:rsidRPr="00433039">
        <w:rPr>
          <w:rFonts w:ascii="Arial" w:hAnsi="Arial"/>
          <w:color w:val="000000" w:themeColor="text1"/>
          <w:sz w:val="16"/>
        </w:rPr>
        <w:t xml:space="preserve"> The agreed scope generally aligns with what is defined as a ‘regulated interactive gambling service’ that is also an ‘exclude wagering service’ under the IGA</w:t>
      </w:r>
    </w:p>
    <w:p w14:paraId="510B3D93" w14:textId="77777777" w:rsidR="001B5033" w:rsidRPr="00433039" w:rsidRDefault="001B5033" w:rsidP="00940768">
      <w:pPr>
        <w:rPr>
          <w:rFonts w:ascii="Arial" w:hAnsi="Arial"/>
          <w:color w:val="000000" w:themeColor="text1"/>
          <w:sz w:val="16"/>
        </w:rPr>
      </w:pPr>
      <w:r w:rsidRPr="00433039">
        <w:rPr>
          <w:rFonts w:ascii="Arial" w:hAnsi="Arial"/>
          <w:color w:val="000000" w:themeColor="text1"/>
          <w:sz w:val="16"/>
        </w:rPr>
        <w:t>* Note that reference to an on-course bookmaker is the bookmaker who is licensed to conduct betting at the same race course where the racing event for betting is to be held. It also includes operators who are licensed to conduct from a race course other than the race course at which the racing event from the betting is held.</w:t>
      </w:r>
    </w:p>
    <w:p w14:paraId="3746079F" w14:textId="77777777" w:rsidR="001B5033" w:rsidRPr="00433039" w:rsidRDefault="001B5033" w:rsidP="00940768">
      <w:pPr>
        <w:rPr>
          <w:rFonts w:ascii="Arial" w:hAnsi="Arial"/>
          <w:color w:val="000000" w:themeColor="text1"/>
          <w:sz w:val="16"/>
        </w:rPr>
      </w:pPr>
      <w:r w:rsidRPr="00433039">
        <w:rPr>
          <w:rFonts w:ascii="Arial" w:hAnsi="Arial"/>
          <w:color w:val="000000" w:themeColor="text1"/>
          <w:sz w:val="16"/>
        </w:rPr>
        <w:t>** Note off-course bookmakers include on-course bookmakers whose licence is endorsed or approved to conduct wagering, from a private premises, away from the race-course.</w:t>
      </w:r>
    </w:p>
    <w:p w14:paraId="149F22BA" w14:textId="77777777" w:rsidR="008B3E17" w:rsidRPr="00BB3CA6" w:rsidRDefault="008B3E17" w:rsidP="00940768"/>
    <w:sectPr w:rsidR="008B3E17" w:rsidRPr="00BB3CA6" w:rsidSect="00A30CE0">
      <w:type w:val="oddPage"/>
      <w:pgSz w:w="11906" w:h="16838"/>
      <w:pgMar w:top="567" w:right="964" w:bottom="284" w:left="964" w:header="709" w:footer="709" w:gutter="0"/>
      <w:pgBorders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65F239" w16cid:durableId="1E76EDF8"/>
  <w16cid:commentId w16cid:paraId="189E7EB1" w16cid:durableId="1E76EDF9"/>
  <w16cid:commentId w16cid:paraId="136EF930" w16cid:durableId="1E76EDFA"/>
  <w16cid:commentId w16cid:paraId="680EEE60" w16cid:durableId="1E76EDFB"/>
  <w16cid:commentId w16cid:paraId="424F5CF9" w16cid:durableId="1E76EDFC"/>
  <w16cid:commentId w16cid:paraId="79AE8ECD" w16cid:durableId="1E76EDFD"/>
  <w16cid:commentId w16cid:paraId="51C919C4" w16cid:durableId="1E76EDFE"/>
  <w16cid:commentId w16cid:paraId="15E3CEC3" w16cid:durableId="1E76EDFF"/>
  <w16cid:commentId w16cid:paraId="5F7FCE61" w16cid:durableId="1E76EE00"/>
  <w16cid:commentId w16cid:paraId="0D5183DF" w16cid:durableId="1E76EE01"/>
  <w16cid:commentId w16cid:paraId="0B3CBFD5" w16cid:durableId="1E76EE02"/>
  <w16cid:commentId w16cid:paraId="3550AB06" w16cid:durableId="1E76EE03"/>
  <w16cid:commentId w16cid:paraId="5756E6C4" w16cid:durableId="1E76EE04"/>
  <w16cid:commentId w16cid:paraId="15E62003" w16cid:durableId="1E76EE05"/>
  <w16cid:commentId w16cid:paraId="013B591E" w16cid:durableId="1E76EE06"/>
  <w16cid:commentId w16cid:paraId="52B9D657" w16cid:durableId="1E76EE07"/>
  <w16cid:commentId w16cid:paraId="2924E45C" w16cid:durableId="1E76EE08"/>
  <w16cid:commentId w16cid:paraId="07595E2A" w16cid:durableId="1E76EE09"/>
  <w16cid:commentId w16cid:paraId="0A7E2257" w16cid:durableId="1E76EE0A"/>
  <w16cid:commentId w16cid:paraId="23F8161C" w16cid:durableId="1E76EE0B"/>
  <w16cid:commentId w16cid:paraId="7F74F3FA" w16cid:durableId="1E76EE0C"/>
  <w16cid:commentId w16cid:paraId="337D0460" w16cid:durableId="1E76EE0D"/>
  <w16cid:commentId w16cid:paraId="331159AA" w16cid:durableId="1E76EE0E"/>
  <w16cid:commentId w16cid:paraId="3BA9974A" w16cid:durableId="1E76EE0F"/>
  <w16cid:commentId w16cid:paraId="741DC520" w16cid:durableId="1E76EE10"/>
  <w16cid:commentId w16cid:paraId="2A81DB0B" w16cid:durableId="1E76EE11"/>
  <w16cid:commentId w16cid:paraId="52BD0BE9" w16cid:durableId="1E76EE12"/>
  <w16cid:commentId w16cid:paraId="397EDE75" w16cid:durableId="1E76EE13"/>
  <w16cid:commentId w16cid:paraId="69377DDF" w16cid:durableId="1E76EE14"/>
  <w16cid:commentId w16cid:paraId="3127A7C6" w16cid:durableId="1E76EE15"/>
  <w16cid:commentId w16cid:paraId="48737CA0" w16cid:durableId="1E76EE16"/>
  <w16cid:commentId w16cid:paraId="667C6170" w16cid:durableId="1E76EE17"/>
  <w16cid:commentId w16cid:paraId="4CB2FF5F" w16cid:durableId="1E76EE18"/>
  <w16cid:commentId w16cid:paraId="13B1A8BD" w16cid:durableId="1E76EE19"/>
  <w16cid:commentId w16cid:paraId="097E8E14" w16cid:durableId="1E76EE1A"/>
  <w16cid:commentId w16cid:paraId="571D40CC" w16cid:durableId="1E76EE1B"/>
  <w16cid:commentId w16cid:paraId="184BC068" w16cid:durableId="1E76EE1C"/>
  <w16cid:commentId w16cid:paraId="6994E1D1" w16cid:durableId="1E76EE1D"/>
  <w16cid:commentId w16cid:paraId="0FA7F6B4" w16cid:durableId="1E76EE1E"/>
  <w16cid:commentId w16cid:paraId="34E7F26E" w16cid:durableId="1E76EE1F"/>
  <w16cid:commentId w16cid:paraId="226CAD59" w16cid:durableId="1E76EE20"/>
  <w16cid:commentId w16cid:paraId="3E42FF0E" w16cid:durableId="1E76EE21"/>
  <w16cid:commentId w16cid:paraId="2B3FA01E" w16cid:durableId="1E76EE22"/>
  <w16cid:commentId w16cid:paraId="23BD58B1" w16cid:durableId="1E76EE23"/>
  <w16cid:commentId w16cid:paraId="3200518C" w16cid:durableId="1E76EE24"/>
  <w16cid:commentId w16cid:paraId="51453A21" w16cid:durableId="1E76EE25"/>
  <w16cid:commentId w16cid:paraId="67D3EEC2" w16cid:durableId="1E76EE26"/>
  <w16cid:commentId w16cid:paraId="487B8276" w16cid:durableId="1E76EE27"/>
  <w16cid:commentId w16cid:paraId="4BE4412C" w16cid:durableId="1E76EE28"/>
  <w16cid:commentId w16cid:paraId="0EA516EB" w16cid:durableId="1E76EE29"/>
  <w16cid:commentId w16cid:paraId="6E6CF85B" w16cid:durableId="1E76EE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9144D" w14:textId="77777777" w:rsidR="00D730DA" w:rsidRDefault="00D730DA" w:rsidP="00BB3CA6">
      <w:pPr>
        <w:spacing w:after="0" w:line="240" w:lineRule="auto"/>
      </w:pPr>
      <w:r>
        <w:separator/>
      </w:r>
    </w:p>
  </w:endnote>
  <w:endnote w:type="continuationSeparator" w:id="0">
    <w:p w14:paraId="5B7560BB" w14:textId="77777777" w:rsidR="00D730DA" w:rsidRDefault="00D730DA" w:rsidP="00BB3CA6">
      <w:pPr>
        <w:spacing w:after="0" w:line="240" w:lineRule="auto"/>
      </w:pPr>
      <w:r>
        <w:continuationSeparator/>
      </w:r>
    </w:p>
  </w:endnote>
  <w:endnote w:type="continuationNotice" w:id="1">
    <w:p w14:paraId="25812E6D" w14:textId="77777777" w:rsidR="00D730DA" w:rsidRDefault="00D73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45 Lt">
    <w:altName w:val="Arial"/>
    <w:panose1 w:val="00000000000000000000"/>
    <w:charset w:val="00"/>
    <w:family w:val="swiss"/>
    <w:notTrueType/>
    <w:pitch w:val="variable"/>
    <w:sig w:usb0="00000001" w:usb1="5000205B" w:usb2="00000000" w:usb3="00000000" w:csb0="0000009B"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font>
  <w:font w:name="Humnst777 Lt BT">
    <w:altName w:val="Humnst777 Lt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C18CF" w14:textId="77777777" w:rsidR="00D730DA" w:rsidRDefault="00D73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970E5" w14:textId="16CA6D84" w:rsidR="00D730DA" w:rsidRPr="005E445C" w:rsidRDefault="00D730DA">
    <w:pPr>
      <w:pStyle w:val="Footer"/>
      <w:jc w:val="right"/>
      <w:rPr>
        <w:sz w:val="18"/>
      </w:rPr>
    </w:pPr>
    <w:r w:rsidRPr="005E445C">
      <w:rPr>
        <w:sz w:val="18"/>
      </w:rPr>
      <w:fldChar w:fldCharType="begin"/>
    </w:r>
    <w:r w:rsidRPr="005E445C">
      <w:rPr>
        <w:sz w:val="18"/>
      </w:rPr>
      <w:instrText xml:space="preserve"> PAGE   \* MERGEFORMAT </w:instrText>
    </w:r>
    <w:r w:rsidRPr="005E445C">
      <w:rPr>
        <w:sz w:val="18"/>
      </w:rPr>
      <w:fldChar w:fldCharType="separate"/>
    </w:r>
    <w:r w:rsidR="007974DB">
      <w:rPr>
        <w:noProof/>
        <w:sz w:val="18"/>
      </w:rPr>
      <w:t>1</w:t>
    </w:r>
    <w:r w:rsidRPr="005E445C">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3118A" w14:textId="77777777" w:rsidR="00D730DA" w:rsidRDefault="00D73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47783" w14:textId="77777777" w:rsidR="00D730DA" w:rsidRDefault="00D730DA" w:rsidP="00BB3CA6">
      <w:pPr>
        <w:spacing w:after="0" w:line="240" w:lineRule="auto"/>
      </w:pPr>
      <w:r>
        <w:separator/>
      </w:r>
    </w:p>
  </w:footnote>
  <w:footnote w:type="continuationSeparator" w:id="0">
    <w:p w14:paraId="73C43BFB" w14:textId="77777777" w:rsidR="00D730DA" w:rsidRDefault="00D730DA" w:rsidP="00BB3CA6">
      <w:pPr>
        <w:spacing w:after="0" w:line="240" w:lineRule="auto"/>
      </w:pPr>
      <w:r>
        <w:continuationSeparator/>
      </w:r>
    </w:p>
  </w:footnote>
  <w:footnote w:type="continuationNotice" w:id="1">
    <w:p w14:paraId="495FA46F" w14:textId="77777777" w:rsidR="00D730DA" w:rsidRDefault="00D730DA">
      <w:pPr>
        <w:spacing w:after="0" w:line="240" w:lineRule="auto"/>
      </w:pPr>
    </w:p>
  </w:footnote>
  <w:footnote w:id="2">
    <w:p w14:paraId="1DBDF136" w14:textId="77777777" w:rsidR="00D730DA" w:rsidRPr="000B36B2" w:rsidRDefault="00D730DA">
      <w:pPr>
        <w:pStyle w:val="FootnoteText"/>
        <w:rPr>
          <w:sz w:val="18"/>
        </w:rPr>
      </w:pPr>
      <w:r w:rsidRPr="000B36B2">
        <w:rPr>
          <w:rStyle w:val="FootnoteReference"/>
          <w:sz w:val="18"/>
        </w:rPr>
        <w:footnoteRef/>
      </w:r>
      <w:r w:rsidRPr="000B36B2">
        <w:rPr>
          <w:sz w:val="18"/>
        </w:rPr>
        <w:t xml:space="preserve"> </w:t>
      </w:r>
      <w:r w:rsidRPr="00740FF4">
        <w:rPr>
          <w:sz w:val="16"/>
        </w:rPr>
        <w:t>See page 1</w:t>
      </w:r>
      <w:r>
        <w:rPr>
          <w:sz w:val="16"/>
        </w:rPr>
        <w:t>8</w:t>
      </w:r>
      <w:r w:rsidRPr="00740FF4">
        <w:rPr>
          <w:sz w:val="16"/>
        </w:rPr>
        <w:t xml:space="preserve"> for the meaning of a ‘consistent’ consumer protection measure.</w:t>
      </w:r>
      <w:r w:rsidRPr="000B36B2">
        <w:rPr>
          <w:sz w:val="18"/>
        </w:rPr>
        <w:t xml:space="preserve"> </w:t>
      </w:r>
    </w:p>
  </w:footnote>
  <w:footnote w:id="3">
    <w:p w14:paraId="1ADB6F53" w14:textId="77777777" w:rsidR="00D730DA" w:rsidRDefault="00D730DA" w:rsidP="00000DAD">
      <w:pPr>
        <w:pStyle w:val="FootnoteText"/>
      </w:pPr>
      <w:r>
        <w:rPr>
          <w:rStyle w:val="FootnoteReference"/>
        </w:rPr>
        <w:footnoteRef/>
      </w:r>
      <w:r>
        <w:t xml:space="preserve"> </w:t>
      </w:r>
      <w:r w:rsidRPr="00740FF4">
        <w:rPr>
          <w:sz w:val="16"/>
        </w:rPr>
        <w:t xml:space="preserve">Department of Social Services (19 May 2017), </w:t>
      </w:r>
      <w:r w:rsidRPr="00740FF4">
        <w:rPr>
          <w:i/>
          <w:sz w:val="16"/>
        </w:rPr>
        <w:t>Council of Australian Governments</w:t>
      </w:r>
      <w:r w:rsidRPr="00740FF4">
        <w:rPr>
          <w:sz w:val="16"/>
        </w:rPr>
        <w:t xml:space="preserve"> </w:t>
      </w:r>
      <w:r w:rsidRPr="00740FF4">
        <w:rPr>
          <w:i/>
          <w:sz w:val="16"/>
        </w:rPr>
        <w:t>Consultation Regulation Impact Statement</w:t>
      </w:r>
      <w:r w:rsidRPr="00740FF4">
        <w:rPr>
          <w:sz w:val="16"/>
        </w:rPr>
        <w:t>, Appendix A, accessed 16 October 2017 &lt;https://engage.dss.gov.au/illegal-offshore-wagering-consultation-regulation-impact-statement/&gt;</w:t>
      </w:r>
    </w:p>
  </w:footnote>
  <w:footnote w:id="4">
    <w:p w14:paraId="6F4A7A4C" w14:textId="77777777" w:rsidR="00D730DA" w:rsidRPr="00433039" w:rsidRDefault="00D730DA" w:rsidP="00740FF4">
      <w:pPr>
        <w:pStyle w:val="FootnoteText"/>
        <w:rPr>
          <w:sz w:val="16"/>
        </w:rPr>
      </w:pPr>
      <w:r w:rsidRPr="00433039">
        <w:rPr>
          <w:sz w:val="16"/>
        </w:rPr>
        <w:footnoteRef/>
      </w:r>
      <w:r w:rsidRPr="00433039">
        <w:rPr>
          <w:sz w:val="16"/>
        </w:rPr>
        <w:t xml:space="preserve"> Global Betting and Gaming Consultants (GBGC) 2015, Interactive Gambling Dataset 2015, GBGC, Isle of Man.</w:t>
      </w:r>
    </w:p>
  </w:footnote>
  <w:footnote w:id="5">
    <w:p w14:paraId="1742A9D3" w14:textId="77777777" w:rsidR="00D730DA" w:rsidRPr="00433039" w:rsidRDefault="00D730DA" w:rsidP="00433039">
      <w:pPr>
        <w:pStyle w:val="FootnoteText"/>
        <w:rPr>
          <w:sz w:val="16"/>
        </w:rPr>
      </w:pPr>
      <w:r w:rsidRPr="00433039">
        <w:rPr>
          <w:sz w:val="16"/>
        </w:rPr>
        <w:footnoteRef/>
      </w:r>
      <w:r w:rsidRPr="00433039">
        <w:rPr>
          <w:sz w:val="16"/>
        </w:rPr>
        <w:t xml:space="preserve"> Hing, N., Gainsbury, S., Blaszczynski, A., Wood, R., Lubman, D. and Russell, A. 2014, Interactive Gambling, Gambling Research Australia, 93.  </w:t>
      </w:r>
    </w:p>
  </w:footnote>
  <w:footnote w:id="6">
    <w:p w14:paraId="7379D300" w14:textId="77777777" w:rsidR="00D730DA" w:rsidRDefault="00D730DA">
      <w:pPr>
        <w:pStyle w:val="FootnoteText"/>
      </w:pPr>
      <w:r>
        <w:rPr>
          <w:rStyle w:val="FootnoteReference"/>
        </w:rPr>
        <w:footnoteRef/>
      </w:r>
      <w:r>
        <w:t xml:space="preserve"> </w:t>
      </w:r>
      <w:r w:rsidRPr="00740FF4">
        <w:rPr>
          <w:sz w:val="16"/>
        </w:rPr>
        <w:t xml:space="preserve">Hon. Barry O’Farrell (18 December 2015), </w:t>
      </w:r>
      <w:r w:rsidRPr="00740FF4">
        <w:rPr>
          <w:i/>
          <w:sz w:val="16"/>
        </w:rPr>
        <w:t>Review of Illegal Offshore Wagering</w:t>
      </w:r>
      <w:r w:rsidRPr="00740FF4">
        <w:rPr>
          <w:sz w:val="16"/>
        </w:rPr>
        <w:t>, Department of Social Services, accessed 16 October 2017 &lt;https://www.dss.gov.au/sites/default/files/documents/04_2016/review_of_illegal_offshore_wagering_18_december_2015.pdf&gt;</w:t>
      </w:r>
    </w:p>
  </w:footnote>
  <w:footnote w:id="7">
    <w:p w14:paraId="23A08E8E" w14:textId="77777777" w:rsidR="00D730DA" w:rsidRPr="00A4203C" w:rsidRDefault="00D730DA" w:rsidP="00E80045">
      <w:pPr>
        <w:pStyle w:val="Default"/>
        <w:rPr>
          <w:sz w:val="18"/>
          <w:szCs w:val="18"/>
        </w:rPr>
      </w:pPr>
      <w:r w:rsidRPr="00A4203C">
        <w:rPr>
          <w:rStyle w:val="FootnoteReference"/>
          <w:rFonts w:ascii="Arial" w:hAnsi="Arial" w:cs="Arial"/>
          <w:sz w:val="18"/>
          <w:szCs w:val="18"/>
        </w:rPr>
        <w:footnoteRef/>
      </w:r>
      <w:r w:rsidRPr="00A4203C">
        <w:rPr>
          <w:rFonts w:ascii="Arial" w:hAnsi="Arial" w:cs="Arial"/>
          <w:sz w:val="18"/>
          <w:szCs w:val="18"/>
        </w:rPr>
        <w:t xml:space="preserve"> </w:t>
      </w:r>
      <w:r w:rsidRPr="00740FF4">
        <w:rPr>
          <w:sz w:val="16"/>
        </w:rPr>
        <w:t xml:space="preserve">Hon. Barry O’Farrell (18 December 2015), </w:t>
      </w:r>
      <w:r w:rsidRPr="00740FF4">
        <w:rPr>
          <w:i/>
          <w:sz w:val="16"/>
        </w:rPr>
        <w:t>Review of Illegal Offshore Wagering</w:t>
      </w:r>
      <w:r w:rsidRPr="00740FF4">
        <w:rPr>
          <w:sz w:val="16"/>
        </w:rPr>
        <w:t>, Department of Social Services, 1, accessed 16 October 2017 &lt;https://www.dss.gov.au/sites/default/files/documents/04_2016/review_of_illegal_offshore_wagering_18_december_2015.pdf&gt;</w:t>
      </w:r>
      <w:r w:rsidRPr="00A4203C">
        <w:rPr>
          <w:sz w:val="18"/>
          <w:szCs w:val="18"/>
        </w:rPr>
        <w:t xml:space="preserve"> </w:t>
      </w:r>
    </w:p>
  </w:footnote>
  <w:footnote w:id="8">
    <w:p w14:paraId="61899242" w14:textId="77777777" w:rsidR="00D730DA" w:rsidRDefault="00D730DA" w:rsidP="000C1BB9">
      <w:pPr>
        <w:pStyle w:val="FootnoteText"/>
      </w:pPr>
      <w:r w:rsidRPr="00A4203C">
        <w:rPr>
          <w:rStyle w:val="FootnoteReference"/>
          <w:sz w:val="18"/>
        </w:rPr>
        <w:footnoteRef/>
      </w:r>
      <w:r w:rsidRPr="00A4203C">
        <w:rPr>
          <w:sz w:val="18"/>
        </w:rPr>
        <w:t xml:space="preserve"> </w:t>
      </w:r>
      <w:r w:rsidRPr="00740FF4">
        <w:rPr>
          <w:sz w:val="16"/>
        </w:rPr>
        <w:t xml:space="preserve">Hing, N., Gainsbury, S., Blaszczynski, A., Wood, R., Lubman, D. and Russell, A. 2014, </w:t>
      </w:r>
      <w:r w:rsidRPr="00740FF4">
        <w:rPr>
          <w:i/>
          <w:sz w:val="16"/>
        </w:rPr>
        <w:t>Interactive Gambling</w:t>
      </w:r>
      <w:r w:rsidRPr="00740FF4">
        <w:rPr>
          <w:sz w:val="16"/>
        </w:rPr>
        <w:t>, Gambling Research Australia, 93.</w:t>
      </w:r>
      <w:r w:rsidRPr="00742FEC">
        <w:t xml:space="preserve">  </w:t>
      </w:r>
    </w:p>
  </w:footnote>
  <w:footnote w:id="9">
    <w:p w14:paraId="75BCE26A" w14:textId="77777777" w:rsidR="00D730DA" w:rsidRDefault="00D730DA">
      <w:pPr>
        <w:pStyle w:val="FootnoteText"/>
      </w:pPr>
      <w:r>
        <w:rPr>
          <w:rStyle w:val="FootnoteReference"/>
        </w:rPr>
        <w:footnoteRef/>
      </w:r>
      <w:r>
        <w:t xml:space="preserve"> </w:t>
      </w:r>
      <w:r w:rsidRPr="00740FF4">
        <w:rPr>
          <w:sz w:val="16"/>
        </w:rPr>
        <w:t xml:space="preserve">Hon. Barry O’Farrell (18 December 2015), </w:t>
      </w:r>
      <w:r w:rsidRPr="00740FF4">
        <w:rPr>
          <w:i/>
          <w:sz w:val="16"/>
        </w:rPr>
        <w:t>Review of Illegal Offshore Wagering</w:t>
      </w:r>
      <w:r w:rsidRPr="00740FF4">
        <w:rPr>
          <w:sz w:val="16"/>
        </w:rPr>
        <w:t>, Department of Social Services, accessed 16 October 2017 &lt;https://www.dss.gov.au/sites/default/files/documents/04_2016/review_of_illegal_offshore_wagering_18_december_2015.pdf&gt;</w:t>
      </w:r>
    </w:p>
  </w:footnote>
  <w:footnote w:id="10">
    <w:p w14:paraId="6A46E0AF" w14:textId="77777777" w:rsidR="00D730DA" w:rsidRPr="00A4203C" w:rsidRDefault="00D730DA" w:rsidP="00123AAA">
      <w:pPr>
        <w:pStyle w:val="FootnoteText"/>
        <w:rPr>
          <w:sz w:val="18"/>
          <w:szCs w:val="18"/>
        </w:rPr>
      </w:pPr>
      <w:r w:rsidRPr="00A4203C">
        <w:rPr>
          <w:rStyle w:val="FootnoteReference"/>
          <w:sz w:val="18"/>
          <w:szCs w:val="18"/>
        </w:rPr>
        <w:footnoteRef/>
      </w:r>
      <w:r w:rsidRPr="00A4203C">
        <w:rPr>
          <w:sz w:val="18"/>
          <w:szCs w:val="18"/>
        </w:rPr>
        <w:t xml:space="preserve"> </w:t>
      </w:r>
      <w:r w:rsidRPr="00740FF4">
        <w:rPr>
          <w:sz w:val="16"/>
        </w:rPr>
        <w:t xml:space="preserve">Hon. Barry O’Farrell (18 December 2015), </w:t>
      </w:r>
      <w:r w:rsidRPr="00740FF4">
        <w:rPr>
          <w:i/>
          <w:sz w:val="16"/>
        </w:rPr>
        <w:t>Review of Illegal Offshore Wagering</w:t>
      </w:r>
      <w:r w:rsidRPr="00740FF4">
        <w:rPr>
          <w:sz w:val="16"/>
        </w:rPr>
        <w:t>, Department of Social Services, 100, accessed 16 October 2017 &lt;https://www.dss.gov.au/sites/default/files/documents/04_2016/review_of_illegal_offshore_wagering_18_december_2015.pdf&gt;.</w:t>
      </w:r>
    </w:p>
  </w:footnote>
  <w:footnote w:id="11">
    <w:p w14:paraId="3C26943B" w14:textId="77777777" w:rsidR="00D730DA" w:rsidRPr="00A4203C" w:rsidRDefault="00D730DA" w:rsidP="00F016E3">
      <w:pPr>
        <w:pStyle w:val="FootnoteText"/>
        <w:rPr>
          <w:sz w:val="18"/>
          <w:szCs w:val="18"/>
        </w:rPr>
      </w:pPr>
      <w:r w:rsidRPr="00A4203C">
        <w:rPr>
          <w:rStyle w:val="FootnoteReference"/>
          <w:sz w:val="18"/>
          <w:szCs w:val="18"/>
        </w:rPr>
        <w:footnoteRef/>
      </w:r>
      <w:r w:rsidRPr="00A4203C">
        <w:rPr>
          <w:sz w:val="18"/>
          <w:szCs w:val="18"/>
        </w:rPr>
        <w:t xml:space="preserve">  </w:t>
      </w:r>
      <w:r w:rsidRPr="00740FF4">
        <w:rPr>
          <w:sz w:val="16"/>
        </w:rPr>
        <w:t xml:space="preserve">Commonwealth Government (April 2016), </w:t>
      </w:r>
      <w:r w:rsidRPr="00740FF4">
        <w:rPr>
          <w:i/>
          <w:sz w:val="16"/>
        </w:rPr>
        <w:t>Government Response to the 2015 Review of the Impact of Illegal Offshore Wagering</w:t>
      </w:r>
      <w:r w:rsidRPr="00740FF4">
        <w:rPr>
          <w:sz w:val="16"/>
        </w:rPr>
        <w:t>, accessed 16 October 2017 &lt;https://www.dss.gov.au/communities-and-vulnerable-people/programmes-services/gambling/government-response-to-the-2015-Review-of-the-impact-of-illegal-offshore-wagering</w:t>
      </w:r>
      <w:r w:rsidRPr="00A4203C">
        <w:rPr>
          <w:sz w:val="18"/>
          <w:szCs w:val="18"/>
        </w:rPr>
        <w:t>&gt;</w:t>
      </w:r>
    </w:p>
  </w:footnote>
  <w:footnote w:id="12">
    <w:p w14:paraId="2F118289" w14:textId="77777777" w:rsidR="00D730DA" w:rsidRPr="00A0601B" w:rsidRDefault="00D730DA" w:rsidP="00B84A43">
      <w:pPr>
        <w:pStyle w:val="FootnoteText"/>
        <w:rPr>
          <w:sz w:val="18"/>
          <w:szCs w:val="18"/>
        </w:rPr>
      </w:pPr>
      <w:r w:rsidRPr="00A0601B">
        <w:rPr>
          <w:rStyle w:val="FootnoteReference"/>
          <w:sz w:val="18"/>
          <w:szCs w:val="18"/>
        </w:rPr>
        <w:footnoteRef/>
      </w:r>
      <w:r w:rsidRPr="00A0601B">
        <w:rPr>
          <w:sz w:val="18"/>
          <w:szCs w:val="18"/>
        </w:rPr>
        <w:t xml:space="preserve"> </w:t>
      </w:r>
      <w:r w:rsidRPr="00740FF4">
        <w:rPr>
          <w:rFonts w:ascii="Humnst777 Lt BT" w:eastAsia="Calibri" w:hAnsi="Humnst777 Lt BT"/>
          <w:color w:val="000000"/>
          <w:sz w:val="16"/>
        </w:rPr>
        <w:t xml:space="preserve">The 2009 </w:t>
      </w:r>
      <w:r w:rsidRPr="00740FF4">
        <w:rPr>
          <w:rFonts w:ascii="Humnst777 Lt BT" w:eastAsia="Calibri" w:hAnsi="Humnst777 Lt BT"/>
          <w:i/>
          <w:color w:val="000000"/>
          <w:sz w:val="16"/>
        </w:rPr>
        <w:t xml:space="preserve">Intergovernmental Agreement for the Australian Consumer Law </w:t>
      </w:r>
      <w:r w:rsidRPr="00740FF4">
        <w:rPr>
          <w:rFonts w:ascii="Humnst777 Lt BT" w:eastAsia="Calibri" w:hAnsi="Humnst777 Lt BT"/>
          <w:color w:val="000000"/>
          <w:sz w:val="16"/>
        </w:rPr>
        <w:t>(IGA) provides that the Commonwealth, States and Territories should endeavour to repeal, amend or modify any legislation that is inconsistent with or alters the effect of the ACL. This includes sector specific consumer laws such as online gambling regulations.</w:t>
      </w:r>
    </w:p>
  </w:footnote>
  <w:footnote w:id="13">
    <w:p w14:paraId="4DC99936" w14:textId="77777777" w:rsidR="00D730DA" w:rsidRPr="00A0601B" w:rsidRDefault="00D730DA" w:rsidP="00B84A43">
      <w:pPr>
        <w:pStyle w:val="Default"/>
        <w:rPr>
          <w:sz w:val="18"/>
          <w:szCs w:val="18"/>
        </w:rPr>
      </w:pPr>
      <w:r w:rsidRPr="00940768">
        <w:rPr>
          <w:rStyle w:val="FootnoteReference"/>
          <w:sz w:val="18"/>
        </w:rPr>
        <w:footnoteRef/>
      </w:r>
      <w:r w:rsidRPr="00940768">
        <w:rPr>
          <w:sz w:val="18"/>
        </w:rPr>
        <w:t xml:space="preserve"> </w:t>
      </w:r>
      <w:r w:rsidRPr="00740FF4">
        <w:rPr>
          <w:rFonts w:ascii="Humnst777 Lt BT" w:hAnsi="Humnst777 Lt BT"/>
          <w:sz w:val="16"/>
        </w:rPr>
        <w:t xml:space="preserve">Sector-specific consumer laws are intended to provide specific or additional consumer protection, in addition to the generic protections in the ACL. The intention of COAG in agreeing this reform was to ensure that other consumer regulation at the national, state and territory levels complements, rather than duplicates or contradicts, the ACL. See Commonwealth Treasury (March 2011), </w:t>
      </w:r>
      <w:r w:rsidRPr="00740FF4">
        <w:rPr>
          <w:rFonts w:ascii="Humnst777 Lt BT" w:hAnsi="Humnst777 Lt BT"/>
          <w:i/>
          <w:sz w:val="16"/>
        </w:rPr>
        <w:t>Consumer policy in Australia</w:t>
      </w:r>
      <w:r w:rsidRPr="00740FF4">
        <w:rPr>
          <w:rFonts w:ascii="Humnst777 Lt BT" w:hAnsi="Humnst777 Lt BT"/>
          <w:sz w:val="16"/>
        </w:rPr>
        <w:t>, 4 &amp; 6.</w:t>
      </w:r>
    </w:p>
  </w:footnote>
  <w:footnote w:id="14">
    <w:p w14:paraId="4A07857B" w14:textId="77777777" w:rsidR="00D730DA" w:rsidRPr="00A0601B" w:rsidRDefault="00D730DA" w:rsidP="00EA6B1C">
      <w:pPr>
        <w:pStyle w:val="FootnoteText"/>
        <w:rPr>
          <w:sz w:val="18"/>
          <w:szCs w:val="18"/>
        </w:rPr>
      </w:pPr>
      <w:r w:rsidRPr="00A0601B">
        <w:rPr>
          <w:rStyle w:val="FootnoteReference"/>
          <w:sz w:val="18"/>
          <w:szCs w:val="18"/>
        </w:rPr>
        <w:footnoteRef/>
      </w:r>
      <w:r w:rsidRPr="00A0601B">
        <w:rPr>
          <w:sz w:val="18"/>
          <w:szCs w:val="18"/>
        </w:rPr>
        <w:t xml:space="preserve"> </w:t>
      </w:r>
      <w:r w:rsidRPr="00740FF4">
        <w:rPr>
          <w:sz w:val="16"/>
        </w:rPr>
        <w:t xml:space="preserve">Commonwealth and State and Territory Governments (July 2013), Maintaining consistency with the Australian Consumer Law: A guide to maintaining a harmonised and consistent approach when developing and reviewing legislation, accessed 16 October 2017 </w:t>
      </w:r>
      <w:r w:rsidRPr="00740FF4">
        <w:rPr>
          <w:color w:val="1F3864" w:themeColor="accent1" w:themeShade="80"/>
          <w:sz w:val="16"/>
        </w:rPr>
        <w:t>&lt;</w:t>
      </w:r>
      <w:hyperlink r:id="rId1" w:history="1">
        <w:r w:rsidRPr="00740FF4">
          <w:rPr>
            <w:rStyle w:val="Hyperlink"/>
            <w:color w:val="1F3864" w:themeColor="accent1" w:themeShade="80"/>
            <w:sz w:val="16"/>
          </w:rPr>
          <w:t>http://consumerlaw.gov.au/files/2015/09/Guide_Maintaining_consistency_with_the_ACL.pdf</w:t>
        </w:r>
      </w:hyperlink>
      <w:r w:rsidRPr="00740FF4">
        <w:rPr>
          <w:sz w:val="16"/>
        </w:rPr>
        <w:t>&gt;</w:t>
      </w:r>
    </w:p>
  </w:footnote>
  <w:footnote w:id="15">
    <w:p w14:paraId="1D98A9DC" w14:textId="77777777" w:rsidR="00D730DA" w:rsidRPr="00A0601B" w:rsidRDefault="00D730DA">
      <w:pPr>
        <w:pStyle w:val="FootnoteText"/>
        <w:rPr>
          <w:sz w:val="18"/>
          <w:szCs w:val="18"/>
        </w:rPr>
      </w:pPr>
      <w:r w:rsidRPr="00A0601B">
        <w:rPr>
          <w:rStyle w:val="FootnoteReference"/>
          <w:sz w:val="18"/>
          <w:szCs w:val="18"/>
        </w:rPr>
        <w:footnoteRef/>
      </w:r>
      <w:r w:rsidRPr="00A0601B">
        <w:rPr>
          <w:sz w:val="18"/>
          <w:szCs w:val="18"/>
        </w:rPr>
        <w:t xml:space="preserve"> </w:t>
      </w:r>
      <w:r w:rsidRPr="00740FF4">
        <w:rPr>
          <w:sz w:val="16"/>
        </w:rPr>
        <w:t>It should be noted that the policy approach and purpose and objectives of maintaining consistency with the Australian Consumer Law, should not be confused or equated with legal inconsistency under section 109 of the Commonwealth Constitution.</w:t>
      </w:r>
      <w:r w:rsidRPr="00A0601B">
        <w:rPr>
          <w:sz w:val="18"/>
          <w:szCs w:val="18"/>
        </w:rPr>
        <w:t xml:space="preserve"> </w:t>
      </w:r>
    </w:p>
  </w:footnote>
  <w:footnote w:id="16">
    <w:p w14:paraId="04B91F2A" w14:textId="77777777" w:rsidR="00D730DA" w:rsidRPr="00940768" w:rsidRDefault="00D730DA">
      <w:pPr>
        <w:pStyle w:val="FootnoteText"/>
        <w:rPr>
          <w:sz w:val="18"/>
        </w:rPr>
      </w:pPr>
      <w:r w:rsidRPr="00A0601B">
        <w:rPr>
          <w:rStyle w:val="FootnoteReference"/>
          <w:sz w:val="18"/>
          <w:szCs w:val="18"/>
        </w:rPr>
        <w:footnoteRef/>
      </w:r>
      <w:r w:rsidRPr="00A0601B">
        <w:rPr>
          <w:sz w:val="18"/>
          <w:szCs w:val="18"/>
        </w:rPr>
        <w:t xml:space="preserve"> </w:t>
      </w:r>
      <w:r w:rsidRPr="00740FF4">
        <w:rPr>
          <w:sz w:val="16"/>
        </w:rPr>
        <w:t xml:space="preserve">Applying the principles for </w:t>
      </w:r>
      <w:r w:rsidRPr="00740FF4">
        <w:rPr>
          <w:i/>
          <w:sz w:val="16"/>
        </w:rPr>
        <w:t>Maintaining consistency with the Australian Consumer Law</w:t>
      </w:r>
      <w:r w:rsidRPr="00740FF4">
        <w:rPr>
          <w:sz w:val="16"/>
        </w:rPr>
        <w:t xml:space="preserve"> to the gambling specific consumer protection laws and the National Framework provides one practical means of fulfilling broader commitments to remove law which are inconsistent with the generic ACL under the </w:t>
      </w:r>
      <w:r w:rsidRPr="00740FF4">
        <w:rPr>
          <w:i/>
          <w:sz w:val="16"/>
        </w:rPr>
        <w:t>Intergovernmental Agreement for the Australian Consumer Law</w:t>
      </w:r>
      <w:r w:rsidRPr="00740FF4">
        <w:rPr>
          <w:sz w:val="16"/>
        </w:rPr>
        <w:t xml:space="preserve"> (as cited above n 11). Note that references to legislation include any secondary legislation, as well as administrative requirements enacted pursuant to that law.</w:t>
      </w:r>
      <w:r w:rsidRPr="00940768">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B3923" w14:textId="77777777" w:rsidR="00D730DA" w:rsidRDefault="00D73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4F02" w14:textId="77777777" w:rsidR="00D730DA" w:rsidRDefault="007974DB">
    <w:pPr>
      <w:pStyle w:val="Header"/>
    </w:pPr>
    <w:sdt>
      <w:sdtPr>
        <w:id w:val="968752352"/>
        <w:placeholder>
          <w:docPart w:val="1E86ACA7D01646A8AC1F86219E2617EA"/>
        </w:placeholder>
        <w:temporary/>
        <w:showingPlcHdr/>
        <w15:appearance w15:val="hidden"/>
      </w:sdtPr>
      <w:sdtEndPr/>
      <w:sdtContent>
        <w:r w:rsidR="00D730DA" w:rsidRPr="001A66F1">
          <w:rPr>
            <w:color w:val="FFFFFF" w:themeColor="background1"/>
          </w:rPr>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485F5" w14:textId="77777777" w:rsidR="00D730DA" w:rsidRDefault="00D73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119F"/>
    <w:multiLevelType w:val="hybridMultilevel"/>
    <w:tmpl w:val="7ACC6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22B2C"/>
    <w:multiLevelType w:val="hybridMultilevel"/>
    <w:tmpl w:val="A6023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4F0954"/>
    <w:multiLevelType w:val="hybridMultilevel"/>
    <w:tmpl w:val="077C83E8"/>
    <w:lvl w:ilvl="0" w:tplc="E9D29DB6">
      <w:start w:val="1"/>
      <w:numFmt w:val="bullet"/>
      <w:lvlText w:val=""/>
      <w:lvlJc w:val="left"/>
      <w:pPr>
        <w:ind w:left="360" w:hanging="360"/>
      </w:pPr>
      <w:rPr>
        <w:rFonts w:ascii="Wingdings" w:hAnsi="Wingdings" w:hint="default"/>
        <w:sz w:val="28"/>
        <w:szCs w:val="28"/>
      </w:rPr>
    </w:lvl>
    <w:lvl w:ilvl="1" w:tplc="0C090003">
      <w:start w:val="1"/>
      <w:numFmt w:val="bullet"/>
      <w:lvlText w:val="o"/>
      <w:lvlJc w:val="left"/>
      <w:pPr>
        <w:ind w:left="1014" w:hanging="360"/>
      </w:pPr>
      <w:rPr>
        <w:rFonts w:ascii="Courier New" w:hAnsi="Courier New" w:cs="Courier New" w:hint="default"/>
      </w:rPr>
    </w:lvl>
    <w:lvl w:ilvl="2" w:tplc="0C090005">
      <w:start w:val="1"/>
      <w:numFmt w:val="bullet"/>
      <w:lvlText w:val=""/>
      <w:lvlJc w:val="left"/>
      <w:pPr>
        <w:ind w:left="1734" w:hanging="360"/>
      </w:pPr>
      <w:rPr>
        <w:rFonts w:ascii="Wingdings" w:hAnsi="Wingdings" w:hint="default"/>
      </w:rPr>
    </w:lvl>
    <w:lvl w:ilvl="3" w:tplc="0C090001">
      <w:start w:val="1"/>
      <w:numFmt w:val="bullet"/>
      <w:lvlText w:val=""/>
      <w:lvlJc w:val="left"/>
      <w:pPr>
        <w:ind w:left="2454" w:hanging="360"/>
      </w:pPr>
      <w:rPr>
        <w:rFonts w:ascii="Symbol" w:hAnsi="Symbol" w:hint="default"/>
      </w:rPr>
    </w:lvl>
    <w:lvl w:ilvl="4" w:tplc="0C090003">
      <w:start w:val="1"/>
      <w:numFmt w:val="bullet"/>
      <w:lvlText w:val="o"/>
      <w:lvlJc w:val="left"/>
      <w:pPr>
        <w:ind w:left="3174" w:hanging="360"/>
      </w:pPr>
      <w:rPr>
        <w:rFonts w:ascii="Courier New" w:hAnsi="Courier New" w:cs="Courier New" w:hint="default"/>
      </w:rPr>
    </w:lvl>
    <w:lvl w:ilvl="5" w:tplc="0C090005">
      <w:start w:val="1"/>
      <w:numFmt w:val="bullet"/>
      <w:lvlText w:val=""/>
      <w:lvlJc w:val="left"/>
      <w:pPr>
        <w:ind w:left="3894" w:hanging="360"/>
      </w:pPr>
      <w:rPr>
        <w:rFonts w:ascii="Wingdings" w:hAnsi="Wingdings" w:hint="default"/>
      </w:rPr>
    </w:lvl>
    <w:lvl w:ilvl="6" w:tplc="0C090001">
      <w:start w:val="1"/>
      <w:numFmt w:val="bullet"/>
      <w:lvlText w:val=""/>
      <w:lvlJc w:val="left"/>
      <w:pPr>
        <w:ind w:left="4614" w:hanging="360"/>
      </w:pPr>
      <w:rPr>
        <w:rFonts w:ascii="Symbol" w:hAnsi="Symbol" w:hint="default"/>
      </w:rPr>
    </w:lvl>
    <w:lvl w:ilvl="7" w:tplc="0C090003">
      <w:start w:val="1"/>
      <w:numFmt w:val="bullet"/>
      <w:lvlText w:val="o"/>
      <w:lvlJc w:val="left"/>
      <w:pPr>
        <w:ind w:left="5334" w:hanging="360"/>
      </w:pPr>
      <w:rPr>
        <w:rFonts w:ascii="Courier New" w:hAnsi="Courier New" w:cs="Courier New" w:hint="default"/>
      </w:rPr>
    </w:lvl>
    <w:lvl w:ilvl="8" w:tplc="0C090005">
      <w:start w:val="1"/>
      <w:numFmt w:val="bullet"/>
      <w:lvlText w:val=""/>
      <w:lvlJc w:val="left"/>
      <w:pPr>
        <w:ind w:left="6054" w:hanging="360"/>
      </w:pPr>
      <w:rPr>
        <w:rFonts w:ascii="Wingdings" w:hAnsi="Wingdings" w:hint="default"/>
      </w:rPr>
    </w:lvl>
  </w:abstractNum>
  <w:abstractNum w:abstractNumId="3" w15:restartNumberingAfterBreak="0">
    <w:nsid w:val="0D413960"/>
    <w:multiLevelType w:val="hybridMultilevel"/>
    <w:tmpl w:val="0E38C5B2"/>
    <w:lvl w:ilvl="0" w:tplc="FBC0AAC6">
      <w:start w:val="2017"/>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C56502"/>
    <w:multiLevelType w:val="hybridMultilevel"/>
    <w:tmpl w:val="CE5293EE"/>
    <w:lvl w:ilvl="0" w:tplc="4D3ED76C">
      <w:start w:val="1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A4AD5"/>
    <w:multiLevelType w:val="hybridMultilevel"/>
    <w:tmpl w:val="37A8A3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6C65347"/>
    <w:multiLevelType w:val="hybridMultilevel"/>
    <w:tmpl w:val="328C7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D2143E"/>
    <w:multiLevelType w:val="hybridMultilevel"/>
    <w:tmpl w:val="84706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638DD"/>
    <w:multiLevelType w:val="hybridMultilevel"/>
    <w:tmpl w:val="63481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24329C"/>
    <w:multiLevelType w:val="multilevel"/>
    <w:tmpl w:val="A8041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25271"/>
    <w:multiLevelType w:val="hybridMultilevel"/>
    <w:tmpl w:val="22F8C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252736"/>
    <w:multiLevelType w:val="multilevel"/>
    <w:tmpl w:val="D914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11032"/>
    <w:multiLevelType w:val="hybridMultilevel"/>
    <w:tmpl w:val="0ADAC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8D78E7"/>
    <w:multiLevelType w:val="multilevel"/>
    <w:tmpl w:val="5C4AE05C"/>
    <w:lvl w:ilvl="0">
      <w:start w:val="1"/>
      <w:numFmt w:val="lowerRoman"/>
      <w:lvlText w:val="(%1)"/>
      <w:lvlJc w:val="left"/>
      <w:pPr>
        <w:tabs>
          <w:tab w:val="num" w:pos="1418"/>
        </w:tabs>
        <w:ind w:left="1418" w:hanging="284"/>
      </w:pPr>
      <w:rPr>
        <w:rFonts w:cs="Times New Roman"/>
        <w:b w:val="0"/>
        <w:bCs w:val="0"/>
        <w:i w:val="0"/>
        <w:iCs w:val="0"/>
        <w:color w:val="000000"/>
      </w:rPr>
    </w:lvl>
    <w:lvl w:ilvl="1">
      <w:start w:val="1"/>
      <w:numFmt w:val="decimal"/>
      <w:pStyle w:val="Indentednumberpara"/>
      <w:lvlText w:val="(%2)"/>
      <w:lvlJc w:val="left"/>
      <w:pPr>
        <w:tabs>
          <w:tab w:val="num" w:pos="2268"/>
        </w:tabs>
        <w:ind w:left="2268" w:hanging="567"/>
      </w:pPr>
      <w:rPr>
        <w:rFonts w:cs="Times New Roman"/>
        <w:b w:val="0"/>
        <w:bCs w:val="0"/>
        <w:i w:val="0"/>
        <w:iCs w:val="0"/>
        <w:color w:val="000000"/>
      </w:rPr>
    </w:lvl>
    <w:lvl w:ilvl="2">
      <w:start w:val="1"/>
      <w:numFmt w:val="decimal"/>
      <w:lvlText w:val="%3"/>
      <w:lvlJc w:val="left"/>
      <w:pPr>
        <w:tabs>
          <w:tab w:val="num" w:pos="2268"/>
        </w:tabs>
        <w:ind w:left="2268" w:hanging="567"/>
      </w:pPr>
      <w:rPr>
        <w:rFonts w:cs="Times New Roman"/>
        <w:b w:val="0"/>
        <w:bCs w:val="0"/>
        <w:i w:val="0"/>
        <w:iCs w:val="0"/>
        <w:color w:val="000000"/>
      </w:rPr>
    </w:lvl>
    <w:lvl w:ilvl="3">
      <w:start w:val="1"/>
      <w:numFmt w:val="decimal"/>
      <w:lvlText w:val="%4"/>
      <w:lvlJc w:val="left"/>
      <w:pPr>
        <w:tabs>
          <w:tab w:val="num" w:pos="2835"/>
        </w:tabs>
        <w:ind w:left="2835" w:hanging="567"/>
      </w:pPr>
      <w:rPr>
        <w:rFonts w:cs="Times New Roman"/>
        <w:b w:val="0"/>
        <w:bCs w:val="0"/>
        <w:i w:val="0"/>
        <w:iCs w:val="0"/>
        <w:color w:val="000000"/>
      </w:rPr>
    </w:lvl>
    <w:lvl w:ilvl="4">
      <w:start w:val="1"/>
      <w:numFmt w:val="decimal"/>
      <w:lvlText w:val="%5"/>
      <w:lvlJc w:val="left"/>
      <w:pPr>
        <w:tabs>
          <w:tab w:val="num" w:pos="3402"/>
        </w:tabs>
        <w:ind w:left="3402" w:hanging="567"/>
      </w:pPr>
      <w:rPr>
        <w:rFonts w:cs="Times New Roman"/>
        <w:b w:val="0"/>
        <w:bCs w:val="0"/>
        <w:i w:val="0"/>
        <w:iCs w:val="0"/>
        <w:color w:val="000000"/>
      </w:rPr>
    </w:lvl>
    <w:lvl w:ilvl="5">
      <w:start w:val="1"/>
      <w:numFmt w:val="decimal"/>
      <w:lvlText w:val="%6"/>
      <w:lvlJc w:val="left"/>
      <w:pPr>
        <w:tabs>
          <w:tab w:val="num" w:pos="3969"/>
        </w:tabs>
        <w:ind w:left="3969" w:hanging="567"/>
      </w:pPr>
      <w:rPr>
        <w:rFonts w:cs="Times New Roman"/>
        <w:b w:val="0"/>
        <w:bCs w:val="0"/>
        <w:i w:val="0"/>
        <w:iCs w:val="0"/>
        <w:color w:val="000000"/>
      </w:rPr>
    </w:lvl>
    <w:lvl w:ilvl="6">
      <w:start w:val="1"/>
      <w:numFmt w:val="decimal"/>
      <w:lvlText w:val="%7"/>
      <w:lvlJc w:val="left"/>
      <w:pPr>
        <w:tabs>
          <w:tab w:val="num" w:pos="4536"/>
        </w:tabs>
        <w:ind w:left="4536" w:hanging="567"/>
      </w:pPr>
      <w:rPr>
        <w:rFonts w:cs="Times New Roman"/>
        <w:b w:val="0"/>
        <w:bCs w:val="0"/>
        <w:i w:val="0"/>
        <w:iCs w:val="0"/>
        <w:color w:val="000000"/>
      </w:rPr>
    </w:lvl>
    <w:lvl w:ilvl="7">
      <w:start w:val="1"/>
      <w:numFmt w:val="decimal"/>
      <w:lvlText w:val="%8"/>
      <w:lvlJc w:val="left"/>
      <w:pPr>
        <w:tabs>
          <w:tab w:val="num" w:pos="5103"/>
        </w:tabs>
        <w:ind w:left="5103" w:hanging="567"/>
      </w:pPr>
      <w:rPr>
        <w:rFonts w:cs="Times New Roman"/>
        <w:b w:val="0"/>
        <w:bCs w:val="0"/>
        <w:i w:val="0"/>
        <w:iCs w:val="0"/>
        <w:color w:val="000000"/>
      </w:rPr>
    </w:lvl>
    <w:lvl w:ilvl="8">
      <w:start w:val="1"/>
      <w:numFmt w:val="decimal"/>
      <w:lvlText w:val="%9"/>
      <w:lvlJc w:val="left"/>
      <w:pPr>
        <w:tabs>
          <w:tab w:val="num" w:pos="5670"/>
        </w:tabs>
        <w:ind w:left="5670" w:hanging="567"/>
      </w:pPr>
      <w:rPr>
        <w:rFonts w:cs="Times New Roman"/>
        <w:b w:val="0"/>
        <w:bCs w:val="0"/>
        <w:i w:val="0"/>
        <w:iCs w:val="0"/>
        <w:color w:val="000000"/>
      </w:rPr>
    </w:lvl>
  </w:abstractNum>
  <w:abstractNum w:abstractNumId="14" w15:restartNumberingAfterBreak="0">
    <w:nsid w:val="2C574E36"/>
    <w:multiLevelType w:val="hybridMultilevel"/>
    <w:tmpl w:val="1DFA6B0C"/>
    <w:lvl w:ilvl="0" w:tplc="D7EE7202">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A05E0"/>
    <w:multiLevelType w:val="hybridMultilevel"/>
    <w:tmpl w:val="35A8C4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9F31A4"/>
    <w:multiLevelType w:val="hybridMultilevel"/>
    <w:tmpl w:val="17B49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BE4971"/>
    <w:multiLevelType w:val="hybridMultilevel"/>
    <w:tmpl w:val="6A2EE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23316D"/>
    <w:multiLevelType w:val="hybridMultilevel"/>
    <w:tmpl w:val="B4E4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A5561"/>
    <w:multiLevelType w:val="hybridMultilevel"/>
    <w:tmpl w:val="48E86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56541C"/>
    <w:multiLevelType w:val="hybridMultilevel"/>
    <w:tmpl w:val="56463A3E"/>
    <w:lvl w:ilvl="0" w:tplc="0C09000B">
      <w:start w:val="1"/>
      <w:numFmt w:val="bullet"/>
      <w:lvlText w:val=""/>
      <w:lvlJc w:val="left"/>
      <w:pPr>
        <w:ind w:left="237" w:hanging="360"/>
      </w:pPr>
      <w:rPr>
        <w:rFonts w:ascii="Wingdings" w:hAnsi="Wingdings" w:hint="default"/>
      </w:rPr>
    </w:lvl>
    <w:lvl w:ilvl="1" w:tplc="D7E2A44C">
      <w:start w:val="1"/>
      <w:numFmt w:val="bullet"/>
      <w:lvlText w:val="o"/>
      <w:lvlJc w:val="left"/>
      <w:pPr>
        <w:ind w:left="957" w:hanging="360"/>
      </w:pPr>
      <w:rPr>
        <w:rFonts w:ascii="Courier New" w:hAnsi="Courier New" w:cs="Courier New" w:hint="default"/>
        <w:sz w:val="18"/>
        <w:szCs w:val="18"/>
      </w:rPr>
    </w:lvl>
    <w:lvl w:ilvl="2" w:tplc="0C090005">
      <w:start w:val="1"/>
      <w:numFmt w:val="bullet"/>
      <w:lvlText w:val=""/>
      <w:lvlJc w:val="left"/>
      <w:pPr>
        <w:ind w:left="1677" w:hanging="360"/>
      </w:pPr>
      <w:rPr>
        <w:rFonts w:ascii="Wingdings" w:hAnsi="Wingdings" w:hint="default"/>
      </w:rPr>
    </w:lvl>
    <w:lvl w:ilvl="3" w:tplc="0C090001" w:tentative="1">
      <w:start w:val="1"/>
      <w:numFmt w:val="bullet"/>
      <w:lvlText w:val=""/>
      <w:lvlJc w:val="left"/>
      <w:pPr>
        <w:ind w:left="2397" w:hanging="360"/>
      </w:pPr>
      <w:rPr>
        <w:rFonts w:ascii="Symbol" w:hAnsi="Symbol" w:hint="default"/>
      </w:rPr>
    </w:lvl>
    <w:lvl w:ilvl="4" w:tplc="0C090003" w:tentative="1">
      <w:start w:val="1"/>
      <w:numFmt w:val="bullet"/>
      <w:lvlText w:val="o"/>
      <w:lvlJc w:val="left"/>
      <w:pPr>
        <w:ind w:left="3117" w:hanging="360"/>
      </w:pPr>
      <w:rPr>
        <w:rFonts w:ascii="Courier New" w:hAnsi="Courier New" w:cs="Courier New" w:hint="default"/>
      </w:rPr>
    </w:lvl>
    <w:lvl w:ilvl="5" w:tplc="0C090005" w:tentative="1">
      <w:start w:val="1"/>
      <w:numFmt w:val="bullet"/>
      <w:lvlText w:val=""/>
      <w:lvlJc w:val="left"/>
      <w:pPr>
        <w:ind w:left="3837" w:hanging="360"/>
      </w:pPr>
      <w:rPr>
        <w:rFonts w:ascii="Wingdings" w:hAnsi="Wingdings" w:hint="default"/>
      </w:rPr>
    </w:lvl>
    <w:lvl w:ilvl="6" w:tplc="0C090001" w:tentative="1">
      <w:start w:val="1"/>
      <w:numFmt w:val="bullet"/>
      <w:lvlText w:val=""/>
      <w:lvlJc w:val="left"/>
      <w:pPr>
        <w:ind w:left="4557" w:hanging="360"/>
      </w:pPr>
      <w:rPr>
        <w:rFonts w:ascii="Symbol" w:hAnsi="Symbol" w:hint="default"/>
      </w:rPr>
    </w:lvl>
    <w:lvl w:ilvl="7" w:tplc="0C090003" w:tentative="1">
      <w:start w:val="1"/>
      <w:numFmt w:val="bullet"/>
      <w:lvlText w:val="o"/>
      <w:lvlJc w:val="left"/>
      <w:pPr>
        <w:ind w:left="5277" w:hanging="360"/>
      </w:pPr>
      <w:rPr>
        <w:rFonts w:ascii="Courier New" w:hAnsi="Courier New" w:cs="Courier New" w:hint="default"/>
      </w:rPr>
    </w:lvl>
    <w:lvl w:ilvl="8" w:tplc="0C090005" w:tentative="1">
      <w:start w:val="1"/>
      <w:numFmt w:val="bullet"/>
      <w:lvlText w:val=""/>
      <w:lvlJc w:val="left"/>
      <w:pPr>
        <w:ind w:left="5997" w:hanging="360"/>
      </w:pPr>
      <w:rPr>
        <w:rFonts w:ascii="Wingdings" w:hAnsi="Wingdings" w:hint="default"/>
      </w:rPr>
    </w:lvl>
  </w:abstractNum>
  <w:abstractNum w:abstractNumId="21" w15:restartNumberingAfterBreak="0">
    <w:nsid w:val="485516BA"/>
    <w:multiLevelType w:val="hybridMultilevel"/>
    <w:tmpl w:val="2500E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9D6D79"/>
    <w:multiLevelType w:val="multilevel"/>
    <w:tmpl w:val="F74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3069FA"/>
    <w:multiLevelType w:val="hybridMultilevel"/>
    <w:tmpl w:val="14DECE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CE0768"/>
    <w:multiLevelType w:val="hybridMultilevel"/>
    <w:tmpl w:val="6E6A77C2"/>
    <w:lvl w:ilvl="0" w:tplc="0C090005">
      <w:start w:val="1"/>
      <w:numFmt w:val="bullet"/>
      <w:pStyle w:val="AgreementParties"/>
      <w:lvlText w:val=""/>
      <w:lvlJc w:val="left"/>
      <w:pPr>
        <w:tabs>
          <w:tab w:val="num" w:pos="567"/>
        </w:tabs>
        <w:ind w:left="567" w:hanging="567"/>
      </w:pPr>
      <w:rPr>
        <w:rFonts w:ascii="Wingdings" w:hAnsi="Wingdings" w:hint="default"/>
        <w:color w:val="000080"/>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5E146A"/>
    <w:multiLevelType w:val="hybridMultilevel"/>
    <w:tmpl w:val="A43C2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E274B7"/>
    <w:multiLevelType w:val="hybridMultilevel"/>
    <w:tmpl w:val="E3084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C73AEA"/>
    <w:multiLevelType w:val="hybridMultilevel"/>
    <w:tmpl w:val="A17ED13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5C4C20DD"/>
    <w:multiLevelType w:val="hybridMultilevel"/>
    <w:tmpl w:val="E828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BA651D"/>
    <w:multiLevelType w:val="hybridMultilevel"/>
    <w:tmpl w:val="A0D217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0075EF"/>
    <w:multiLevelType w:val="hybridMultilevel"/>
    <w:tmpl w:val="361C4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0D61AE"/>
    <w:multiLevelType w:val="hybridMultilevel"/>
    <w:tmpl w:val="651688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026123"/>
    <w:multiLevelType w:val="multilevel"/>
    <w:tmpl w:val="81CE3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14058B"/>
    <w:multiLevelType w:val="hybridMultilevel"/>
    <w:tmpl w:val="90A6A6CA"/>
    <w:lvl w:ilvl="0" w:tplc="C33433CA">
      <w:start w:val="1"/>
      <w:numFmt w:val="bullet"/>
      <w:lvlText w:val=""/>
      <w:lvlJc w:val="left"/>
      <w:pPr>
        <w:ind w:left="720" w:hanging="360"/>
      </w:pPr>
      <w:rPr>
        <w:rFonts w:ascii="Wingdings" w:hAnsi="Wingdings"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4B80C1A"/>
    <w:multiLevelType w:val="hybridMultilevel"/>
    <w:tmpl w:val="072ED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D51A05"/>
    <w:multiLevelType w:val="hybridMultilevel"/>
    <w:tmpl w:val="7D18A88E"/>
    <w:lvl w:ilvl="0" w:tplc="0C090001">
      <w:start w:val="1"/>
      <w:numFmt w:val="bullet"/>
      <w:lvlText w:val=""/>
      <w:lvlJc w:val="left"/>
      <w:pPr>
        <w:ind w:left="357" w:hanging="360"/>
      </w:pPr>
      <w:rPr>
        <w:rFonts w:ascii="Symbol" w:hAnsi="Symbol" w:hint="default"/>
      </w:rPr>
    </w:lvl>
    <w:lvl w:ilvl="1" w:tplc="D7E2A44C">
      <w:start w:val="1"/>
      <w:numFmt w:val="bullet"/>
      <w:lvlText w:val="o"/>
      <w:lvlJc w:val="left"/>
      <w:pPr>
        <w:ind w:left="1077" w:hanging="360"/>
      </w:pPr>
      <w:rPr>
        <w:rFonts w:ascii="Courier New" w:hAnsi="Courier New" w:cs="Courier New" w:hint="default"/>
        <w:sz w:val="18"/>
        <w:szCs w:val="18"/>
      </w:rPr>
    </w:lvl>
    <w:lvl w:ilvl="2" w:tplc="0C090005">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6" w15:restartNumberingAfterBreak="0">
    <w:nsid w:val="7971389C"/>
    <w:multiLevelType w:val="hybridMultilevel"/>
    <w:tmpl w:val="D290643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177299"/>
    <w:multiLevelType w:val="hybridMultilevel"/>
    <w:tmpl w:val="52E69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102A93"/>
    <w:multiLevelType w:val="hybridMultilevel"/>
    <w:tmpl w:val="F5DCACB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15:restartNumberingAfterBreak="0">
    <w:nsid w:val="7F05366F"/>
    <w:multiLevelType w:val="hybridMultilevel"/>
    <w:tmpl w:val="DD9C6D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1"/>
  </w:num>
  <w:num w:numId="2">
    <w:abstractNumId w:val="1"/>
  </w:num>
  <w:num w:numId="3">
    <w:abstractNumId w:val="26"/>
  </w:num>
  <w:num w:numId="4">
    <w:abstractNumId w:val="17"/>
  </w:num>
  <w:num w:numId="5">
    <w:abstractNumId w:val="29"/>
  </w:num>
  <w:num w:numId="6">
    <w:abstractNumId w:val="23"/>
  </w:num>
  <w:num w:numId="7">
    <w:abstractNumId w:val="35"/>
  </w:num>
  <w:num w:numId="8">
    <w:abstractNumId w:val="11"/>
  </w:num>
  <w:num w:numId="9">
    <w:abstractNumId w:val="6"/>
  </w:num>
  <w:num w:numId="10">
    <w:abstractNumId w:val="28"/>
  </w:num>
  <w:num w:numId="11">
    <w:abstractNumId w:val="10"/>
  </w:num>
  <w:num w:numId="12">
    <w:abstractNumId w:val="12"/>
  </w:num>
  <w:num w:numId="13">
    <w:abstractNumId w:val="19"/>
  </w:num>
  <w:num w:numId="14">
    <w:abstractNumId w:val="32"/>
  </w:num>
  <w:num w:numId="15">
    <w:abstractNumId w:val="9"/>
  </w:num>
  <w:num w:numId="16">
    <w:abstractNumId w:val="4"/>
  </w:num>
  <w:num w:numId="17">
    <w:abstractNumId w:val="18"/>
  </w:num>
  <w:num w:numId="18">
    <w:abstractNumId w:val="21"/>
  </w:num>
  <w:num w:numId="19">
    <w:abstractNumId w:val="38"/>
  </w:num>
  <w:num w:numId="20">
    <w:abstractNumId w:val="25"/>
  </w:num>
  <w:num w:numId="21">
    <w:abstractNumId w:val="1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
  </w:num>
  <w:num w:numId="25">
    <w:abstractNumId w:val="33"/>
  </w:num>
  <w:num w:numId="26">
    <w:abstractNumId w:val="34"/>
  </w:num>
  <w:num w:numId="27">
    <w:abstractNumId w:val="0"/>
  </w:num>
  <w:num w:numId="28">
    <w:abstractNumId w:val="30"/>
  </w:num>
  <w:num w:numId="29">
    <w:abstractNumId w:val="20"/>
  </w:num>
  <w:num w:numId="30">
    <w:abstractNumId w:val="7"/>
  </w:num>
  <w:num w:numId="31">
    <w:abstractNumId w:val="27"/>
  </w:num>
  <w:num w:numId="32">
    <w:abstractNumId w:val="8"/>
  </w:num>
  <w:num w:numId="33">
    <w:abstractNumId w:val="3"/>
  </w:num>
  <w:num w:numId="34">
    <w:abstractNumId w:val="36"/>
  </w:num>
  <w:num w:numId="35">
    <w:abstractNumId w:val="15"/>
  </w:num>
  <w:num w:numId="36">
    <w:abstractNumId w:val="39"/>
  </w:num>
  <w:num w:numId="37">
    <w:abstractNumId w:val="14"/>
  </w:num>
  <w:num w:numId="38">
    <w:abstractNumId w:val="22"/>
  </w:num>
  <w:num w:numId="39">
    <w:abstractNumId w:val="37"/>
  </w:num>
  <w:num w:numId="4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A6"/>
    <w:rsid w:val="00000DAD"/>
    <w:rsid w:val="000024CA"/>
    <w:rsid w:val="00006389"/>
    <w:rsid w:val="000065DF"/>
    <w:rsid w:val="00007EBF"/>
    <w:rsid w:val="00010493"/>
    <w:rsid w:val="00010ACF"/>
    <w:rsid w:val="00012047"/>
    <w:rsid w:val="00013B33"/>
    <w:rsid w:val="000157F4"/>
    <w:rsid w:val="00015A06"/>
    <w:rsid w:val="000161C6"/>
    <w:rsid w:val="000165D7"/>
    <w:rsid w:val="000176BC"/>
    <w:rsid w:val="000178F7"/>
    <w:rsid w:val="00021175"/>
    <w:rsid w:val="00022FF7"/>
    <w:rsid w:val="000253D5"/>
    <w:rsid w:val="0002612E"/>
    <w:rsid w:val="00027FEC"/>
    <w:rsid w:val="000309B3"/>
    <w:rsid w:val="00030C1F"/>
    <w:rsid w:val="00031596"/>
    <w:rsid w:val="00031A67"/>
    <w:rsid w:val="00035A77"/>
    <w:rsid w:val="00035F0F"/>
    <w:rsid w:val="0003735B"/>
    <w:rsid w:val="000373A5"/>
    <w:rsid w:val="00040F2F"/>
    <w:rsid w:val="0004124B"/>
    <w:rsid w:val="0004209A"/>
    <w:rsid w:val="00042AA0"/>
    <w:rsid w:val="000432E5"/>
    <w:rsid w:val="000442EB"/>
    <w:rsid w:val="0004609F"/>
    <w:rsid w:val="0004694A"/>
    <w:rsid w:val="00046DBD"/>
    <w:rsid w:val="00047F5E"/>
    <w:rsid w:val="000501BF"/>
    <w:rsid w:val="00050316"/>
    <w:rsid w:val="00051078"/>
    <w:rsid w:val="000523EA"/>
    <w:rsid w:val="00053825"/>
    <w:rsid w:val="00055A87"/>
    <w:rsid w:val="00055BF1"/>
    <w:rsid w:val="00057686"/>
    <w:rsid w:val="00057B51"/>
    <w:rsid w:val="00057EDB"/>
    <w:rsid w:val="0006167C"/>
    <w:rsid w:val="00062EE4"/>
    <w:rsid w:val="00063774"/>
    <w:rsid w:val="00064B10"/>
    <w:rsid w:val="00067E68"/>
    <w:rsid w:val="000723F3"/>
    <w:rsid w:val="000726CC"/>
    <w:rsid w:val="00080A7D"/>
    <w:rsid w:val="00080C56"/>
    <w:rsid w:val="000834C3"/>
    <w:rsid w:val="000836EA"/>
    <w:rsid w:val="00087ABE"/>
    <w:rsid w:val="00090FDC"/>
    <w:rsid w:val="00091267"/>
    <w:rsid w:val="00091A3C"/>
    <w:rsid w:val="00092198"/>
    <w:rsid w:val="00092C95"/>
    <w:rsid w:val="00094D1F"/>
    <w:rsid w:val="00097F29"/>
    <w:rsid w:val="000A02E7"/>
    <w:rsid w:val="000A17D0"/>
    <w:rsid w:val="000A1879"/>
    <w:rsid w:val="000A1A61"/>
    <w:rsid w:val="000A4DEC"/>
    <w:rsid w:val="000A5EAC"/>
    <w:rsid w:val="000A6258"/>
    <w:rsid w:val="000A7A1B"/>
    <w:rsid w:val="000A7C4C"/>
    <w:rsid w:val="000B0D95"/>
    <w:rsid w:val="000B0F16"/>
    <w:rsid w:val="000B11A9"/>
    <w:rsid w:val="000B121F"/>
    <w:rsid w:val="000B1E21"/>
    <w:rsid w:val="000B1F75"/>
    <w:rsid w:val="000B232A"/>
    <w:rsid w:val="000B36B2"/>
    <w:rsid w:val="000B3DD6"/>
    <w:rsid w:val="000B3DEF"/>
    <w:rsid w:val="000B430D"/>
    <w:rsid w:val="000B4D72"/>
    <w:rsid w:val="000B4E85"/>
    <w:rsid w:val="000B6692"/>
    <w:rsid w:val="000B6F29"/>
    <w:rsid w:val="000B77AC"/>
    <w:rsid w:val="000C082A"/>
    <w:rsid w:val="000C0E7C"/>
    <w:rsid w:val="000C1BB9"/>
    <w:rsid w:val="000C52C4"/>
    <w:rsid w:val="000C5473"/>
    <w:rsid w:val="000C6B83"/>
    <w:rsid w:val="000C6DB4"/>
    <w:rsid w:val="000C7969"/>
    <w:rsid w:val="000D2496"/>
    <w:rsid w:val="000D2788"/>
    <w:rsid w:val="000D2FF3"/>
    <w:rsid w:val="000D4D5B"/>
    <w:rsid w:val="000D4E73"/>
    <w:rsid w:val="000D4FA8"/>
    <w:rsid w:val="000D5C3F"/>
    <w:rsid w:val="000D6719"/>
    <w:rsid w:val="000E0390"/>
    <w:rsid w:val="000E07D0"/>
    <w:rsid w:val="000E0E12"/>
    <w:rsid w:val="000E0E9B"/>
    <w:rsid w:val="000E1019"/>
    <w:rsid w:val="000E10F2"/>
    <w:rsid w:val="000E152E"/>
    <w:rsid w:val="000E1B27"/>
    <w:rsid w:val="000E283F"/>
    <w:rsid w:val="000E3372"/>
    <w:rsid w:val="000E3A2A"/>
    <w:rsid w:val="000E3AAC"/>
    <w:rsid w:val="000E3B96"/>
    <w:rsid w:val="000E3D93"/>
    <w:rsid w:val="000E44F6"/>
    <w:rsid w:val="000E463D"/>
    <w:rsid w:val="000E6016"/>
    <w:rsid w:val="000E7D94"/>
    <w:rsid w:val="000F1DB9"/>
    <w:rsid w:val="000F1F1F"/>
    <w:rsid w:val="000F3091"/>
    <w:rsid w:val="000F5527"/>
    <w:rsid w:val="000F5FD0"/>
    <w:rsid w:val="000F6C5D"/>
    <w:rsid w:val="000F707F"/>
    <w:rsid w:val="0010030F"/>
    <w:rsid w:val="001012AC"/>
    <w:rsid w:val="00102184"/>
    <w:rsid w:val="0010275A"/>
    <w:rsid w:val="0010312F"/>
    <w:rsid w:val="00103AFC"/>
    <w:rsid w:val="00105C7B"/>
    <w:rsid w:val="00106200"/>
    <w:rsid w:val="001065DE"/>
    <w:rsid w:val="001069F6"/>
    <w:rsid w:val="001078F7"/>
    <w:rsid w:val="00110DEB"/>
    <w:rsid w:val="001117C6"/>
    <w:rsid w:val="001124EF"/>
    <w:rsid w:val="00112653"/>
    <w:rsid w:val="001127F2"/>
    <w:rsid w:val="00113C54"/>
    <w:rsid w:val="00117690"/>
    <w:rsid w:val="00117D65"/>
    <w:rsid w:val="00120445"/>
    <w:rsid w:val="001219CD"/>
    <w:rsid w:val="00122B13"/>
    <w:rsid w:val="001231BE"/>
    <w:rsid w:val="001239A9"/>
    <w:rsid w:val="00123AAA"/>
    <w:rsid w:val="00123BEE"/>
    <w:rsid w:val="00124246"/>
    <w:rsid w:val="00127D8A"/>
    <w:rsid w:val="00127DB8"/>
    <w:rsid w:val="001329B9"/>
    <w:rsid w:val="00136B95"/>
    <w:rsid w:val="00137781"/>
    <w:rsid w:val="00141F36"/>
    <w:rsid w:val="001440D7"/>
    <w:rsid w:val="00146137"/>
    <w:rsid w:val="00146C2C"/>
    <w:rsid w:val="001479AC"/>
    <w:rsid w:val="00147BEC"/>
    <w:rsid w:val="0015051D"/>
    <w:rsid w:val="001511BF"/>
    <w:rsid w:val="001519F4"/>
    <w:rsid w:val="001529D6"/>
    <w:rsid w:val="00152BD4"/>
    <w:rsid w:val="00156456"/>
    <w:rsid w:val="001567D6"/>
    <w:rsid w:val="00156F2E"/>
    <w:rsid w:val="00157F99"/>
    <w:rsid w:val="00160B84"/>
    <w:rsid w:val="001635FD"/>
    <w:rsid w:val="00165BC3"/>
    <w:rsid w:val="00166274"/>
    <w:rsid w:val="0016648C"/>
    <w:rsid w:val="001676A5"/>
    <w:rsid w:val="00171286"/>
    <w:rsid w:val="001715EC"/>
    <w:rsid w:val="001725E0"/>
    <w:rsid w:val="00172A00"/>
    <w:rsid w:val="00173FDD"/>
    <w:rsid w:val="001748B7"/>
    <w:rsid w:val="00175922"/>
    <w:rsid w:val="00175CE0"/>
    <w:rsid w:val="00176BE8"/>
    <w:rsid w:val="00176FD1"/>
    <w:rsid w:val="001771B8"/>
    <w:rsid w:val="001776B0"/>
    <w:rsid w:val="00180802"/>
    <w:rsid w:val="001817D7"/>
    <w:rsid w:val="00182659"/>
    <w:rsid w:val="00183332"/>
    <w:rsid w:val="0018348B"/>
    <w:rsid w:val="001843B4"/>
    <w:rsid w:val="0018504C"/>
    <w:rsid w:val="0018769D"/>
    <w:rsid w:val="00193EDE"/>
    <w:rsid w:val="00194424"/>
    <w:rsid w:val="001948EA"/>
    <w:rsid w:val="00194985"/>
    <w:rsid w:val="00195AA7"/>
    <w:rsid w:val="00197CF9"/>
    <w:rsid w:val="00197D31"/>
    <w:rsid w:val="001A0B4E"/>
    <w:rsid w:val="001A1BB5"/>
    <w:rsid w:val="001A21BD"/>
    <w:rsid w:val="001A2439"/>
    <w:rsid w:val="001A3197"/>
    <w:rsid w:val="001A3AC2"/>
    <w:rsid w:val="001A4946"/>
    <w:rsid w:val="001A5314"/>
    <w:rsid w:val="001A6634"/>
    <w:rsid w:val="001A66F1"/>
    <w:rsid w:val="001A6990"/>
    <w:rsid w:val="001A6A89"/>
    <w:rsid w:val="001B161A"/>
    <w:rsid w:val="001B2292"/>
    <w:rsid w:val="001B3A2C"/>
    <w:rsid w:val="001B474F"/>
    <w:rsid w:val="001B482C"/>
    <w:rsid w:val="001B4863"/>
    <w:rsid w:val="001B5033"/>
    <w:rsid w:val="001B5CBB"/>
    <w:rsid w:val="001B74E8"/>
    <w:rsid w:val="001C06C4"/>
    <w:rsid w:val="001C183A"/>
    <w:rsid w:val="001C3CC6"/>
    <w:rsid w:val="001C46D2"/>
    <w:rsid w:val="001C4E60"/>
    <w:rsid w:val="001C4F17"/>
    <w:rsid w:val="001C501B"/>
    <w:rsid w:val="001D02EE"/>
    <w:rsid w:val="001D04FC"/>
    <w:rsid w:val="001D1679"/>
    <w:rsid w:val="001D3249"/>
    <w:rsid w:val="001D38FB"/>
    <w:rsid w:val="001D4131"/>
    <w:rsid w:val="001D4B05"/>
    <w:rsid w:val="001D50E9"/>
    <w:rsid w:val="001D62F0"/>
    <w:rsid w:val="001D73FB"/>
    <w:rsid w:val="001E09BB"/>
    <w:rsid w:val="001E0D3F"/>
    <w:rsid w:val="001E1680"/>
    <w:rsid w:val="001E3089"/>
    <w:rsid w:val="001E3FB3"/>
    <w:rsid w:val="001E42D2"/>
    <w:rsid w:val="001E5B34"/>
    <w:rsid w:val="001E69FC"/>
    <w:rsid w:val="001F0448"/>
    <w:rsid w:val="001F1A33"/>
    <w:rsid w:val="001F2BF9"/>
    <w:rsid w:val="001F2E93"/>
    <w:rsid w:val="001F4DFB"/>
    <w:rsid w:val="001F4FDA"/>
    <w:rsid w:val="001F5FAE"/>
    <w:rsid w:val="001F7159"/>
    <w:rsid w:val="001F7456"/>
    <w:rsid w:val="001F7959"/>
    <w:rsid w:val="001F7A35"/>
    <w:rsid w:val="001F7ADC"/>
    <w:rsid w:val="002001DB"/>
    <w:rsid w:val="00200E99"/>
    <w:rsid w:val="002019DA"/>
    <w:rsid w:val="00201A79"/>
    <w:rsid w:val="00202749"/>
    <w:rsid w:val="00202788"/>
    <w:rsid w:val="00202B83"/>
    <w:rsid w:val="0020327B"/>
    <w:rsid w:val="00203455"/>
    <w:rsid w:val="002049ED"/>
    <w:rsid w:val="002051AC"/>
    <w:rsid w:val="0020584E"/>
    <w:rsid w:val="00206C25"/>
    <w:rsid w:val="00207B76"/>
    <w:rsid w:val="00207BC1"/>
    <w:rsid w:val="0021019D"/>
    <w:rsid w:val="00210736"/>
    <w:rsid w:val="00211057"/>
    <w:rsid w:val="00211608"/>
    <w:rsid w:val="00211DFA"/>
    <w:rsid w:val="00212C8C"/>
    <w:rsid w:val="00212DFC"/>
    <w:rsid w:val="00214052"/>
    <w:rsid w:val="0021557B"/>
    <w:rsid w:val="00215E18"/>
    <w:rsid w:val="0021730B"/>
    <w:rsid w:val="002175CC"/>
    <w:rsid w:val="0022082E"/>
    <w:rsid w:val="002220DC"/>
    <w:rsid w:val="002233CF"/>
    <w:rsid w:val="002240E6"/>
    <w:rsid w:val="002256F9"/>
    <w:rsid w:val="00231521"/>
    <w:rsid w:val="002317CB"/>
    <w:rsid w:val="002319C0"/>
    <w:rsid w:val="00231E9F"/>
    <w:rsid w:val="00234CA0"/>
    <w:rsid w:val="00235C8B"/>
    <w:rsid w:val="00235E2C"/>
    <w:rsid w:val="00240076"/>
    <w:rsid w:val="00240936"/>
    <w:rsid w:val="00240D62"/>
    <w:rsid w:val="00241A55"/>
    <w:rsid w:val="00241FDC"/>
    <w:rsid w:val="00242649"/>
    <w:rsid w:val="00242FEE"/>
    <w:rsid w:val="002432E7"/>
    <w:rsid w:val="00244956"/>
    <w:rsid w:val="002454A9"/>
    <w:rsid w:val="00246DDC"/>
    <w:rsid w:val="00247D35"/>
    <w:rsid w:val="002507B6"/>
    <w:rsid w:val="002521B9"/>
    <w:rsid w:val="00253F5F"/>
    <w:rsid w:val="002549EB"/>
    <w:rsid w:val="0025543B"/>
    <w:rsid w:val="00255A34"/>
    <w:rsid w:val="00257472"/>
    <w:rsid w:val="00257C9C"/>
    <w:rsid w:val="002608E9"/>
    <w:rsid w:val="00260BD6"/>
    <w:rsid w:val="002616A7"/>
    <w:rsid w:val="00261837"/>
    <w:rsid w:val="0026273E"/>
    <w:rsid w:val="00262776"/>
    <w:rsid w:val="00263C20"/>
    <w:rsid w:val="00265F66"/>
    <w:rsid w:val="00267074"/>
    <w:rsid w:val="00267E53"/>
    <w:rsid w:val="00267FE8"/>
    <w:rsid w:val="002724AF"/>
    <w:rsid w:val="00272556"/>
    <w:rsid w:val="0027255F"/>
    <w:rsid w:val="00272F10"/>
    <w:rsid w:val="0027422B"/>
    <w:rsid w:val="002744B2"/>
    <w:rsid w:val="00274996"/>
    <w:rsid w:val="00275F4D"/>
    <w:rsid w:val="002768C7"/>
    <w:rsid w:val="002779D9"/>
    <w:rsid w:val="00277D9C"/>
    <w:rsid w:val="0028085B"/>
    <w:rsid w:val="00280A5F"/>
    <w:rsid w:val="00282668"/>
    <w:rsid w:val="00283B6C"/>
    <w:rsid w:val="0028436F"/>
    <w:rsid w:val="00284370"/>
    <w:rsid w:val="00284475"/>
    <w:rsid w:val="00284D7C"/>
    <w:rsid w:val="00287FF8"/>
    <w:rsid w:val="00290149"/>
    <w:rsid w:val="00290733"/>
    <w:rsid w:val="00290D2B"/>
    <w:rsid w:val="0029133D"/>
    <w:rsid w:val="00291558"/>
    <w:rsid w:val="0029284F"/>
    <w:rsid w:val="00292B8B"/>
    <w:rsid w:val="00293269"/>
    <w:rsid w:val="002935BA"/>
    <w:rsid w:val="00293835"/>
    <w:rsid w:val="00293846"/>
    <w:rsid w:val="00294DF5"/>
    <w:rsid w:val="00295B5F"/>
    <w:rsid w:val="00296574"/>
    <w:rsid w:val="002A0255"/>
    <w:rsid w:val="002A2849"/>
    <w:rsid w:val="002A2D00"/>
    <w:rsid w:val="002A2F85"/>
    <w:rsid w:val="002A3A56"/>
    <w:rsid w:val="002A3B1C"/>
    <w:rsid w:val="002A5EB0"/>
    <w:rsid w:val="002A6F93"/>
    <w:rsid w:val="002A6FCC"/>
    <w:rsid w:val="002A7027"/>
    <w:rsid w:val="002A7878"/>
    <w:rsid w:val="002A7884"/>
    <w:rsid w:val="002A7925"/>
    <w:rsid w:val="002B04E0"/>
    <w:rsid w:val="002B1168"/>
    <w:rsid w:val="002B140C"/>
    <w:rsid w:val="002B141A"/>
    <w:rsid w:val="002B3403"/>
    <w:rsid w:val="002B3CA7"/>
    <w:rsid w:val="002B3DBE"/>
    <w:rsid w:val="002B7F8E"/>
    <w:rsid w:val="002C1040"/>
    <w:rsid w:val="002C1128"/>
    <w:rsid w:val="002C3B9E"/>
    <w:rsid w:val="002C573A"/>
    <w:rsid w:val="002C7615"/>
    <w:rsid w:val="002C765D"/>
    <w:rsid w:val="002D144B"/>
    <w:rsid w:val="002D2C47"/>
    <w:rsid w:val="002D3517"/>
    <w:rsid w:val="002D3CFF"/>
    <w:rsid w:val="002D3EC5"/>
    <w:rsid w:val="002D45BB"/>
    <w:rsid w:val="002D7F68"/>
    <w:rsid w:val="002E0D36"/>
    <w:rsid w:val="002E136F"/>
    <w:rsid w:val="002E1802"/>
    <w:rsid w:val="002E3199"/>
    <w:rsid w:val="002E34FE"/>
    <w:rsid w:val="002E52DE"/>
    <w:rsid w:val="002E6018"/>
    <w:rsid w:val="002E62FC"/>
    <w:rsid w:val="002F0E4A"/>
    <w:rsid w:val="002F1027"/>
    <w:rsid w:val="002F1DCB"/>
    <w:rsid w:val="002F2850"/>
    <w:rsid w:val="002F2F03"/>
    <w:rsid w:val="002F3197"/>
    <w:rsid w:val="002F3566"/>
    <w:rsid w:val="002F3BD6"/>
    <w:rsid w:val="002F466E"/>
    <w:rsid w:val="002F5878"/>
    <w:rsid w:val="003000B6"/>
    <w:rsid w:val="003024AD"/>
    <w:rsid w:val="003028EE"/>
    <w:rsid w:val="0030315F"/>
    <w:rsid w:val="0030318B"/>
    <w:rsid w:val="00304CE2"/>
    <w:rsid w:val="00304E38"/>
    <w:rsid w:val="003052D1"/>
    <w:rsid w:val="00307185"/>
    <w:rsid w:val="0030729E"/>
    <w:rsid w:val="00310686"/>
    <w:rsid w:val="00310E29"/>
    <w:rsid w:val="00311817"/>
    <w:rsid w:val="003122F1"/>
    <w:rsid w:val="003126A7"/>
    <w:rsid w:val="00312DD1"/>
    <w:rsid w:val="003139B9"/>
    <w:rsid w:val="00313F12"/>
    <w:rsid w:val="0031430F"/>
    <w:rsid w:val="00315B33"/>
    <w:rsid w:val="0031749E"/>
    <w:rsid w:val="00317ADC"/>
    <w:rsid w:val="003204B2"/>
    <w:rsid w:val="003219FA"/>
    <w:rsid w:val="003243F3"/>
    <w:rsid w:val="003266C7"/>
    <w:rsid w:val="00326A3C"/>
    <w:rsid w:val="0033008B"/>
    <w:rsid w:val="003309E0"/>
    <w:rsid w:val="0033222D"/>
    <w:rsid w:val="0033295F"/>
    <w:rsid w:val="00334678"/>
    <w:rsid w:val="0033470F"/>
    <w:rsid w:val="003364A2"/>
    <w:rsid w:val="00336FAE"/>
    <w:rsid w:val="00340745"/>
    <w:rsid w:val="00341FF3"/>
    <w:rsid w:val="0034244A"/>
    <w:rsid w:val="00342C35"/>
    <w:rsid w:val="0034428A"/>
    <w:rsid w:val="00346BAB"/>
    <w:rsid w:val="00350E43"/>
    <w:rsid w:val="0035272F"/>
    <w:rsid w:val="00352C29"/>
    <w:rsid w:val="00353DB3"/>
    <w:rsid w:val="00353FE6"/>
    <w:rsid w:val="003547AD"/>
    <w:rsid w:val="00354AB5"/>
    <w:rsid w:val="00354D5D"/>
    <w:rsid w:val="00361ECB"/>
    <w:rsid w:val="00363A18"/>
    <w:rsid w:val="00363ADB"/>
    <w:rsid w:val="00365A6E"/>
    <w:rsid w:val="00366DF8"/>
    <w:rsid w:val="003701AF"/>
    <w:rsid w:val="00370A02"/>
    <w:rsid w:val="003711E5"/>
    <w:rsid w:val="00371607"/>
    <w:rsid w:val="00371C4B"/>
    <w:rsid w:val="00371D43"/>
    <w:rsid w:val="00373844"/>
    <w:rsid w:val="0037421E"/>
    <w:rsid w:val="003742F0"/>
    <w:rsid w:val="00374C5E"/>
    <w:rsid w:val="00375EDC"/>
    <w:rsid w:val="003764E1"/>
    <w:rsid w:val="00380246"/>
    <w:rsid w:val="003807B8"/>
    <w:rsid w:val="003831D4"/>
    <w:rsid w:val="00383361"/>
    <w:rsid w:val="00383F3F"/>
    <w:rsid w:val="003848DB"/>
    <w:rsid w:val="00384CB1"/>
    <w:rsid w:val="00385976"/>
    <w:rsid w:val="003863A4"/>
    <w:rsid w:val="00391360"/>
    <w:rsid w:val="00392E09"/>
    <w:rsid w:val="00395EAA"/>
    <w:rsid w:val="003A1F12"/>
    <w:rsid w:val="003A2BC3"/>
    <w:rsid w:val="003A3C73"/>
    <w:rsid w:val="003A4C9E"/>
    <w:rsid w:val="003A56AE"/>
    <w:rsid w:val="003A5D31"/>
    <w:rsid w:val="003A7EBB"/>
    <w:rsid w:val="003B0E6D"/>
    <w:rsid w:val="003B17D4"/>
    <w:rsid w:val="003B2CBF"/>
    <w:rsid w:val="003B5A89"/>
    <w:rsid w:val="003C1E23"/>
    <w:rsid w:val="003C2772"/>
    <w:rsid w:val="003C2CFC"/>
    <w:rsid w:val="003C2ED6"/>
    <w:rsid w:val="003C31BF"/>
    <w:rsid w:val="003C33F6"/>
    <w:rsid w:val="003C36F5"/>
    <w:rsid w:val="003C3821"/>
    <w:rsid w:val="003C3EDC"/>
    <w:rsid w:val="003C4AF8"/>
    <w:rsid w:val="003C6F6A"/>
    <w:rsid w:val="003C6FAF"/>
    <w:rsid w:val="003C7CAE"/>
    <w:rsid w:val="003C7D84"/>
    <w:rsid w:val="003C7DC8"/>
    <w:rsid w:val="003C7FB6"/>
    <w:rsid w:val="003D0483"/>
    <w:rsid w:val="003D06B3"/>
    <w:rsid w:val="003D0CAB"/>
    <w:rsid w:val="003D0D55"/>
    <w:rsid w:val="003D1C26"/>
    <w:rsid w:val="003D4D8F"/>
    <w:rsid w:val="003D51E4"/>
    <w:rsid w:val="003D5954"/>
    <w:rsid w:val="003E084B"/>
    <w:rsid w:val="003E0FF4"/>
    <w:rsid w:val="003E17B7"/>
    <w:rsid w:val="003E2F04"/>
    <w:rsid w:val="003E36D5"/>
    <w:rsid w:val="003E4CF7"/>
    <w:rsid w:val="003E5B83"/>
    <w:rsid w:val="003E6479"/>
    <w:rsid w:val="003E6D83"/>
    <w:rsid w:val="003E6EB7"/>
    <w:rsid w:val="003E737E"/>
    <w:rsid w:val="003E7614"/>
    <w:rsid w:val="003F0FA9"/>
    <w:rsid w:val="003F122F"/>
    <w:rsid w:val="003F3DC1"/>
    <w:rsid w:val="003F74A4"/>
    <w:rsid w:val="00404B07"/>
    <w:rsid w:val="00404FC4"/>
    <w:rsid w:val="00404FD6"/>
    <w:rsid w:val="00407DC5"/>
    <w:rsid w:val="0041455D"/>
    <w:rsid w:val="00415CD7"/>
    <w:rsid w:val="00417D88"/>
    <w:rsid w:val="004202C1"/>
    <w:rsid w:val="0042039A"/>
    <w:rsid w:val="00421518"/>
    <w:rsid w:val="00423E77"/>
    <w:rsid w:val="00424E05"/>
    <w:rsid w:val="004260CA"/>
    <w:rsid w:val="0042677F"/>
    <w:rsid w:val="00426AFA"/>
    <w:rsid w:val="00427531"/>
    <w:rsid w:val="00433039"/>
    <w:rsid w:val="00433BD6"/>
    <w:rsid w:val="00434960"/>
    <w:rsid w:val="00435FA2"/>
    <w:rsid w:val="004366AB"/>
    <w:rsid w:val="0043748D"/>
    <w:rsid w:val="00437823"/>
    <w:rsid w:val="0044025C"/>
    <w:rsid w:val="004409CA"/>
    <w:rsid w:val="00440B7A"/>
    <w:rsid w:val="00442385"/>
    <w:rsid w:val="004424D6"/>
    <w:rsid w:val="0044558A"/>
    <w:rsid w:val="004458A0"/>
    <w:rsid w:val="004463C1"/>
    <w:rsid w:val="0044643A"/>
    <w:rsid w:val="00446F28"/>
    <w:rsid w:val="00447E9F"/>
    <w:rsid w:val="00450910"/>
    <w:rsid w:val="0045121B"/>
    <w:rsid w:val="004529D2"/>
    <w:rsid w:val="00452B35"/>
    <w:rsid w:val="004536F0"/>
    <w:rsid w:val="00453E87"/>
    <w:rsid w:val="00455FA1"/>
    <w:rsid w:val="00456D34"/>
    <w:rsid w:val="00457706"/>
    <w:rsid w:val="00457C0F"/>
    <w:rsid w:val="00457D69"/>
    <w:rsid w:val="00460A75"/>
    <w:rsid w:val="00462728"/>
    <w:rsid w:val="004644A6"/>
    <w:rsid w:val="004655AC"/>
    <w:rsid w:val="00466268"/>
    <w:rsid w:val="00470CA4"/>
    <w:rsid w:val="0047339D"/>
    <w:rsid w:val="004737D0"/>
    <w:rsid w:val="00474BBC"/>
    <w:rsid w:val="00475322"/>
    <w:rsid w:val="00475914"/>
    <w:rsid w:val="00476189"/>
    <w:rsid w:val="00476D24"/>
    <w:rsid w:val="004805C2"/>
    <w:rsid w:val="00482740"/>
    <w:rsid w:val="00483FE7"/>
    <w:rsid w:val="0048514D"/>
    <w:rsid w:val="004858D7"/>
    <w:rsid w:val="0048599B"/>
    <w:rsid w:val="004860CD"/>
    <w:rsid w:val="00486E38"/>
    <w:rsid w:val="00486FFA"/>
    <w:rsid w:val="00487D2C"/>
    <w:rsid w:val="004909DA"/>
    <w:rsid w:val="00491A37"/>
    <w:rsid w:val="00492507"/>
    <w:rsid w:val="00493AFD"/>
    <w:rsid w:val="004944EB"/>
    <w:rsid w:val="00496014"/>
    <w:rsid w:val="004969EE"/>
    <w:rsid w:val="00497BAD"/>
    <w:rsid w:val="00497BCD"/>
    <w:rsid w:val="004A05C8"/>
    <w:rsid w:val="004A1E32"/>
    <w:rsid w:val="004A23C1"/>
    <w:rsid w:val="004A2555"/>
    <w:rsid w:val="004A2FB7"/>
    <w:rsid w:val="004A5068"/>
    <w:rsid w:val="004A7DED"/>
    <w:rsid w:val="004A7FC0"/>
    <w:rsid w:val="004B006E"/>
    <w:rsid w:val="004B0A82"/>
    <w:rsid w:val="004B15AB"/>
    <w:rsid w:val="004B1D30"/>
    <w:rsid w:val="004B25FB"/>
    <w:rsid w:val="004B285E"/>
    <w:rsid w:val="004B3B4C"/>
    <w:rsid w:val="004B3E84"/>
    <w:rsid w:val="004B4F4C"/>
    <w:rsid w:val="004B6F54"/>
    <w:rsid w:val="004B73A2"/>
    <w:rsid w:val="004B78A7"/>
    <w:rsid w:val="004B7A84"/>
    <w:rsid w:val="004B7D10"/>
    <w:rsid w:val="004C4562"/>
    <w:rsid w:val="004C61EA"/>
    <w:rsid w:val="004C6760"/>
    <w:rsid w:val="004C6E97"/>
    <w:rsid w:val="004C7743"/>
    <w:rsid w:val="004C7FD0"/>
    <w:rsid w:val="004D16F2"/>
    <w:rsid w:val="004D2B1D"/>
    <w:rsid w:val="004D4CFA"/>
    <w:rsid w:val="004D5FD7"/>
    <w:rsid w:val="004E0135"/>
    <w:rsid w:val="004E0D5E"/>
    <w:rsid w:val="004E214D"/>
    <w:rsid w:val="004E6464"/>
    <w:rsid w:val="004E684D"/>
    <w:rsid w:val="004E7418"/>
    <w:rsid w:val="004F1693"/>
    <w:rsid w:val="004F2BC8"/>
    <w:rsid w:val="004F35D0"/>
    <w:rsid w:val="004F7097"/>
    <w:rsid w:val="00501BC5"/>
    <w:rsid w:val="00502484"/>
    <w:rsid w:val="00502FBC"/>
    <w:rsid w:val="005031D8"/>
    <w:rsid w:val="00503606"/>
    <w:rsid w:val="005037D0"/>
    <w:rsid w:val="0050429E"/>
    <w:rsid w:val="00504F3A"/>
    <w:rsid w:val="00507EA7"/>
    <w:rsid w:val="0051062E"/>
    <w:rsid w:val="005133FB"/>
    <w:rsid w:val="00513549"/>
    <w:rsid w:val="00515106"/>
    <w:rsid w:val="0051548C"/>
    <w:rsid w:val="0051551B"/>
    <w:rsid w:val="00516455"/>
    <w:rsid w:val="00516FEA"/>
    <w:rsid w:val="00517531"/>
    <w:rsid w:val="00517B2A"/>
    <w:rsid w:val="00523534"/>
    <w:rsid w:val="005239F5"/>
    <w:rsid w:val="00523DFD"/>
    <w:rsid w:val="005245B3"/>
    <w:rsid w:val="00524C96"/>
    <w:rsid w:val="00525D05"/>
    <w:rsid w:val="0052697D"/>
    <w:rsid w:val="00527779"/>
    <w:rsid w:val="00530BA4"/>
    <w:rsid w:val="005313A8"/>
    <w:rsid w:val="00534C2C"/>
    <w:rsid w:val="005352D8"/>
    <w:rsid w:val="00535A73"/>
    <w:rsid w:val="00535CB7"/>
    <w:rsid w:val="00535FAD"/>
    <w:rsid w:val="005369E5"/>
    <w:rsid w:val="00536BC5"/>
    <w:rsid w:val="00536BEF"/>
    <w:rsid w:val="00536D37"/>
    <w:rsid w:val="00540CC2"/>
    <w:rsid w:val="005437A8"/>
    <w:rsid w:val="0054541C"/>
    <w:rsid w:val="00546577"/>
    <w:rsid w:val="00546E02"/>
    <w:rsid w:val="00546E9E"/>
    <w:rsid w:val="00547E8E"/>
    <w:rsid w:val="00550B50"/>
    <w:rsid w:val="00550F5E"/>
    <w:rsid w:val="005524BB"/>
    <w:rsid w:val="00553850"/>
    <w:rsid w:val="005600B4"/>
    <w:rsid w:val="005618D3"/>
    <w:rsid w:val="00561D8E"/>
    <w:rsid w:val="0056457C"/>
    <w:rsid w:val="0056524B"/>
    <w:rsid w:val="00565616"/>
    <w:rsid w:val="00567062"/>
    <w:rsid w:val="005673D3"/>
    <w:rsid w:val="0056776D"/>
    <w:rsid w:val="0057187E"/>
    <w:rsid w:val="005728B5"/>
    <w:rsid w:val="0057477A"/>
    <w:rsid w:val="0057598F"/>
    <w:rsid w:val="005814FE"/>
    <w:rsid w:val="00581F84"/>
    <w:rsid w:val="005824AD"/>
    <w:rsid w:val="00582BE4"/>
    <w:rsid w:val="00583687"/>
    <w:rsid w:val="00583F9F"/>
    <w:rsid w:val="0058590F"/>
    <w:rsid w:val="00585EEF"/>
    <w:rsid w:val="005871FC"/>
    <w:rsid w:val="005873D4"/>
    <w:rsid w:val="00587BEF"/>
    <w:rsid w:val="0059024C"/>
    <w:rsid w:val="005914B4"/>
    <w:rsid w:val="00592917"/>
    <w:rsid w:val="00593532"/>
    <w:rsid w:val="005949BE"/>
    <w:rsid w:val="00595B5D"/>
    <w:rsid w:val="005A1E63"/>
    <w:rsid w:val="005A2730"/>
    <w:rsid w:val="005A4837"/>
    <w:rsid w:val="005A4E75"/>
    <w:rsid w:val="005B0537"/>
    <w:rsid w:val="005B07FE"/>
    <w:rsid w:val="005B17F4"/>
    <w:rsid w:val="005B2534"/>
    <w:rsid w:val="005B329A"/>
    <w:rsid w:val="005B3308"/>
    <w:rsid w:val="005B33AC"/>
    <w:rsid w:val="005B44D4"/>
    <w:rsid w:val="005B45DA"/>
    <w:rsid w:val="005B5286"/>
    <w:rsid w:val="005B595C"/>
    <w:rsid w:val="005B5E8B"/>
    <w:rsid w:val="005B624E"/>
    <w:rsid w:val="005B64D7"/>
    <w:rsid w:val="005B6739"/>
    <w:rsid w:val="005B6A86"/>
    <w:rsid w:val="005B7C90"/>
    <w:rsid w:val="005B7E89"/>
    <w:rsid w:val="005C0CC6"/>
    <w:rsid w:val="005C0E4C"/>
    <w:rsid w:val="005C20D8"/>
    <w:rsid w:val="005C2D07"/>
    <w:rsid w:val="005C2FE6"/>
    <w:rsid w:val="005C59E0"/>
    <w:rsid w:val="005C7BBA"/>
    <w:rsid w:val="005D0173"/>
    <w:rsid w:val="005D1159"/>
    <w:rsid w:val="005D27C0"/>
    <w:rsid w:val="005D2BE2"/>
    <w:rsid w:val="005D351B"/>
    <w:rsid w:val="005D37F4"/>
    <w:rsid w:val="005D505C"/>
    <w:rsid w:val="005D5DA9"/>
    <w:rsid w:val="005E12F1"/>
    <w:rsid w:val="005E1B06"/>
    <w:rsid w:val="005E294F"/>
    <w:rsid w:val="005E445C"/>
    <w:rsid w:val="005E631B"/>
    <w:rsid w:val="005E6628"/>
    <w:rsid w:val="005E75A6"/>
    <w:rsid w:val="005E75C9"/>
    <w:rsid w:val="005F3685"/>
    <w:rsid w:val="005F45FE"/>
    <w:rsid w:val="005F47ED"/>
    <w:rsid w:val="005F4BBA"/>
    <w:rsid w:val="005F5E40"/>
    <w:rsid w:val="005F61BC"/>
    <w:rsid w:val="00602310"/>
    <w:rsid w:val="00603DEC"/>
    <w:rsid w:val="0060415E"/>
    <w:rsid w:val="00604B11"/>
    <w:rsid w:val="006057B1"/>
    <w:rsid w:val="00605D3A"/>
    <w:rsid w:val="00607C8F"/>
    <w:rsid w:val="00607E37"/>
    <w:rsid w:val="00610025"/>
    <w:rsid w:val="006120A6"/>
    <w:rsid w:val="0061247F"/>
    <w:rsid w:val="00612943"/>
    <w:rsid w:val="0061375E"/>
    <w:rsid w:val="0061483F"/>
    <w:rsid w:val="0061743C"/>
    <w:rsid w:val="00621F33"/>
    <w:rsid w:val="0062473B"/>
    <w:rsid w:val="00626753"/>
    <w:rsid w:val="00626D0F"/>
    <w:rsid w:val="006326DF"/>
    <w:rsid w:val="00632F5E"/>
    <w:rsid w:val="00633409"/>
    <w:rsid w:val="00633A2B"/>
    <w:rsid w:val="0063475A"/>
    <w:rsid w:val="00634D9F"/>
    <w:rsid w:val="0063543F"/>
    <w:rsid w:val="00636212"/>
    <w:rsid w:val="0063757B"/>
    <w:rsid w:val="00637CBF"/>
    <w:rsid w:val="00637FD3"/>
    <w:rsid w:val="00640502"/>
    <w:rsid w:val="0064237D"/>
    <w:rsid w:val="00642CCC"/>
    <w:rsid w:val="00643393"/>
    <w:rsid w:val="00644115"/>
    <w:rsid w:val="00645C70"/>
    <w:rsid w:val="00646702"/>
    <w:rsid w:val="0065063E"/>
    <w:rsid w:val="006508DA"/>
    <w:rsid w:val="006520DA"/>
    <w:rsid w:val="00652620"/>
    <w:rsid w:val="006528AE"/>
    <w:rsid w:val="00652D6F"/>
    <w:rsid w:val="00652DA3"/>
    <w:rsid w:val="00653577"/>
    <w:rsid w:val="006536EF"/>
    <w:rsid w:val="0065562C"/>
    <w:rsid w:val="006566FC"/>
    <w:rsid w:val="00656D96"/>
    <w:rsid w:val="00657263"/>
    <w:rsid w:val="00660C9D"/>
    <w:rsid w:val="00661C6D"/>
    <w:rsid w:val="00662329"/>
    <w:rsid w:val="00663565"/>
    <w:rsid w:val="006644AB"/>
    <w:rsid w:val="0066558C"/>
    <w:rsid w:val="00670939"/>
    <w:rsid w:val="0067109F"/>
    <w:rsid w:val="00671285"/>
    <w:rsid w:val="00674FE7"/>
    <w:rsid w:val="006754BA"/>
    <w:rsid w:val="00675D4F"/>
    <w:rsid w:val="00676070"/>
    <w:rsid w:val="006761F1"/>
    <w:rsid w:val="00676E1D"/>
    <w:rsid w:val="00677D4B"/>
    <w:rsid w:val="00680C6F"/>
    <w:rsid w:val="006824A1"/>
    <w:rsid w:val="006833C2"/>
    <w:rsid w:val="00683F7D"/>
    <w:rsid w:val="0068425F"/>
    <w:rsid w:val="006854C0"/>
    <w:rsid w:val="006858B5"/>
    <w:rsid w:val="006876C4"/>
    <w:rsid w:val="006903EF"/>
    <w:rsid w:val="00693EE3"/>
    <w:rsid w:val="00694A72"/>
    <w:rsid w:val="006953B0"/>
    <w:rsid w:val="006A160A"/>
    <w:rsid w:val="006A4C9E"/>
    <w:rsid w:val="006A529C"/>
    <w:rsid w:val="006A7347"/>
    <w:rsid w:val="006B0585"/>
    <w:rsid w:val="006B1BFC"/>
    <w:rsid w:val="006B2264"/>
    <w:rsid w:val="006B309F"/>
    <w:rsid w:val="006B4A62"/>
    <w:rsid w:val="006C0ED6"/>
    <w:rsid w:val="006C2A10"/>
    <w:rsid w:val="006C3E87"/>
    <w:rsid w:val="006C4168"/>
    <w:rsid w:val="006C5391"/>
    <w:rsid w:val="006C6D4A"/>
    <w:rsid w:val="006C6E6E"/>
    <w:rsid w:val="006D14FF"/>
    <w:rsid w:val="006D342F"/>
    <w:rsid w:val="006D40FD"/>
    <w:rsid w:val="006D5EF7"/>
    <w:rsid w:val="006D724F"/>
    <w:rsid w:val="006E0196"/>
    <w:rsid w:val="006E02AA"/>
    <w:rsid w:val="006E04A0"/>
    <w:rsid w:val="006E2BBB"/>
    <w:rsid w:val="006E30A1"/>
    <w:rsid w:val="006E3CB7"/>
    <w:rsid w:val="006E40B3"/>
    <w:rsid w:val="006E51C5"/>
    <w:rsid w:val="006E5AB2"/>
    <w:rsid w:val="006E61D2"/>
    <w:rsid w:val="006E6E85"/>
    <w:rsid w:val="006F0347"/>
    <w:rsid w:val="006F21FA"/>
    <w:rsid w:val="006F2B4A"/>
    <w:rsid w:val="006F4093"/>
    <w:rsid w:val="006F4D1C"/>
    <w:rsid w:val="006F582E"/>
    <w:rsid w:val="006F61E0"/>
    <w:rsid w:val="006F6851"/>
    <w:rsid w:val="006F6D56"/>
    <w:rsid w:val="006F6E2C"/>
    <w:rsid w:val="006F7E25"/>
    <w:rsid w:val="0070036B"/>
    <w:rsid w:val="00700A76"/>
    <w:rsid w:val="00700C9E"/>
    <w:rsid w:val="00701475"/>
    <w:rsid w:val="00702A16"/>
    <w:rsid w:val="00702E7A"/>
    <w:rsid w:val="00703C77"/>
    <w:rsid w:val="007042B1"/>
    <w:rsid w:val="00705887"/>
    <w:rsid w:val="007058AB"/>
    <w:rsid w:val="00707263"/>
    <w:rsid w:val="0071198E"/>
    <w:rsid w:val="00711FDB"/>
    <w:rsid w:val="007135AF"/>
    <w:rsid w:val="00714998"/>
    <w:rsid w:val="00714D8A"/>
    <w:rsid w:val="00717522"/>
    <w:rsid w:val="00717F2E"/>
    <w:rsid w:val="00720D49"/>
    <w:rsid w:val="007215D5"/>
    <w:rsid w:val="007229D7"/>
    <w:rsid w:val="007232E3"/>
    <w:rsid w:val="0072382B"/>
    <w:rsid w:val="007256FD"/>
    <w:rsid w:val="0072573D"/>
    <w:rsid w:val="007258DD"/>
    <w:rsid w:val="00725BC7"/>
    <w:rsid w:val="00725C70"/>
    <w:rsid w:val="00727C21"/>
    <w:rsid w:val="00733899"/>
    <w:rsid w:val="00734A59"/>
    <w:rsid w:val="007350CD"/>
    <w:rsid w:val="007369B3"/>
    <w:rsid w:val="007370B2"/>
    <w:rsid w:val="0074057F"/>
    <w:rsid w:val="007405C1"/>
    <w:rsid w:val="00740E50"/>
    <w:rsid w:val="00740FF4"/>
    <w:rsid w:val="0074128C"/>
    <w:rsid w:val="00742E17"/>
    <w:rsid w:val="00742FEC"/>
    <w:rsid w:val="00744DE8"/>
    <w:rsid w:val="00746514"/>
    <w:rsid w:val="007467DE"/>
    <w:rsid w:val="0075040A"/>
    <w:rsid w:val="00750C66"/>
    <w:rsid w:val="00751B62"/>
    <w:rsid w:val="00754B0A"/>
    <w:rsid w:val="00756053"/>
    <w:rsid w:val="00756754"/>
    <w:rsid w:val="00760459"/>
    <w:rsid w:val="007607F1"/>
    <w:rsid w:val="00760CAC"/>
    <w:rsid w:val="00760D78"/>
    <w:rsid w:val="00763072"/>
    <w:rsid w:val="00765063"/>
    <w:rsid w:val="007654D0"/>
    <w:rsid w:val="00765D0C"/>
    <w:rsid w:val="0076722B"/>
    <w:rsid w:val="00767234"/>
    <w:rsid w:val="00767342"/>
    <w:rsid w:val="00767756"/>
    <w:rsid w:val="00774D90"/>
    <w:rsid w:val="00776431"/>
    <w:rsid w:val="007773E9"/>
    <w:rsid w:val="0078085C"/>
    <w:rsid w:val="00782539"/>
    <w:rsid w:val="00784EF2"/>
    <w:rsid w:val="00785677"/>
    <w:rsid w:val="007860F5"/>
    <w:rsid w:val="00786333"/>
    <w:rsid w:val="007873BF"/>
    <w:rsid w:val="0079045A"/>
    <w:rsid w:val="00790FDB"/>
    <w:rsid w:val="00791A87"/>
    <w:rsid w:val="00792E7A"/>
    <w:rsid w:val="007935B2"/>
    <w:rsid w:val="00794B92"/>
    <w:rsid w:val="00795AF2"/>
    <w:rsid w:val="007969C6"/>
    <w:rsid w:val="007973FA"/>
    <w:rsid w:val="007974B3"/>
    <w:rsid w:val="007974DB"/>
    <w:rsid w:val="007A0C6E"/>
    <w:rsid w:val="007A1CF5"/>
    <w:rsid w:val="007A4265"/>
    <w:rsid w:val="007A6CEE"/>
    <w:rsid w:val="007A6E75"/>
    <w:rsid w:val="007A7F59"/>
    <w:rsid w:val="007B16B0"/>
    <w:rsid w:val="007B25EB"/>
    <w:rsid w:val="007B42A9"/>
    <w:rsid w:val="007B52B6"/>
    <w:rsid w:val="007B5AF2"/>
    <w:rsid w:val="007B6E7B"/>
    <w:rsid w:val="007B72FD"/>
    <w:rsid w:val="007B7369"/>
    <w:rsid w:val="007C1152"/>
    <w:rsid w:val="007C1DFD"/>
    <w:rsid w:val="007C2441"/>
    <w:rsid w:val="007C28F4"/>
    <w:rsid w:val="007C32DB"/>
    <w:rsid w:val="007C335F"/>
    <w:rsid w:val="007C3964"/>
    <w:rsid w:val="007C43E1"/>
    <w:rsid w:val="007C66BF"/>
    <w:rsid w:val="007D2144"/>
    <w:rsid w:val="007D436C"/>
    <w:rsid w:val="007D4796"/>
    <w:rsid w:val="007D5190"/>
    <w:rsid w:val="007D6192"/>
    <w:rsid w:val="007D683D"/>
    <w:rsid w:val="007E2317"/>
    <w:rsid w:val="007E2DDF"/>
    <w:rsid w:val="007E397D"/>
    <w:rsid w:val="007E3B07"/>
    <w:rsid w:val="007E594A"/>
    <w:rsid w:val="007E60F3"/>
    <w:rsid w:val="007E626B"/>
    <w:rsid w:val="007E65CF"/>
    <w:rsid w:val="007E6880"/>
    <w:rsid w:val="007F240C"/>
    <w:rsid w:val="007F2B0F"/>
    <w:rsid w:val="007F2EA0"/>
    <w:rsid w:val="007F43F3"/>
    <w:rsid w:val="007F54D2"/>
    <w:rsid w:val="007F5D08"/>
    <w:rsid w:val="007F64ED"/>
    <w:rsid w:val="007F6B20"/>
    <w:rsid w:val="007F6CAC"/>
    <w:rsid w:val="007F6CBC"/>
    <w:rsid w:val="00800C62"/>
    <w:rsid w:val="00801F31"/>
    <w:rsid w:val="008021EA"/>
    <w:rsid w:val="00802654"/>
    <w:rsid w:val="00802A3B"/>
    <w:rsid w:val="00804EE9"/>
    <w:rsid w:val="00806075"/>
    <w:rsid w:val="008075D3"/>
    <w:rsid w:val="008104F9"/>
    <w:rsid w:val="0081262F"/>
    <w:rsid w:val="008135F0"/>
    <w:rsid w:val="00813845"/>
    <w:rsid w:val="00814354"/>
    <w:rsid w:val="008151BC"/>
    <w:rsid w:val="0081715B"/>
    <w:rsid w:val="00817E96"/>
    <w:rsid w:val="0082176F"/>
    <w:rsid w:val="00822432"/>
    <w:rsid w:val="00823296"/>
    <w:rsid w:val="00825830"/>
    <w:rsid w:val="00825CBC"/>
    <w:rsid w:val="0082607D"/>
    <w:rsid w:val="008276E8"/>
    <w:rsid w:val="0083075D"/>
    <w:rsid w:val="00830E79"/>
    <w:rsid w:val="00831298"/>
    <w:rsid w:val="0083202E"/>
    <w:rsid w:val="008322B7"/>
    <w:rsid w:val="00832B02"/>
    <w:rsid w:val="00833EE3"/>
    <w:rsid w:val="00834C12"/>
    <w:rsid w:val="00835941"/>
    <w:rsid w:val="00835C7B"/>
    <w:rsid w:val="0083622F"/>
    <w:rsid w:val="00840555"/>
    <w:rsid w:val="0084093D"/>
    <w:rsid w:val="00844487"/>
    <w:rsid w:val="00844AE3"/>
    <w:rsid w:val="008457B8"/>
    <w:rsid w:val="008462EC"/>
    <w:rsid w:val="008468CD"/>
    <w:rsid w:val="00846D5B"/>
    <w:rsid w:val="00847A56"/>
    <w:rsid w:val="00850601"/>
    <w:rsid w:val="00850B61"/>
    <w:rsid w:val="00851FCC"/>
    <w:rsid w:val="0085307B"/>
    <w:rsid w:val="00856A83"/>
    <w:rsid w:val="008573D3"/>
    <w:rsid w:val="00857815"/>
    <w:rsid w:val="0086253F"/>
    <w:rsid w:val="00862679"/>
    <w:rsid w:val="00862739"/>
    <w:rsid w:val="00862F81"/>
    <w:rsid w:val="00863854"/>
    <w:rsid w:val="00864B1F"/>
    <w:rsid w:val="008672E1"/>
    <w:rsid w:val="0087093F"/>
    <w:rsid w:val="00870F27"/>
    <w:rsid w:val="008713D5"/>
    <w:rsid w:val="008716C5"/>
    <w:rsid w:val="00871E8E"/>
    <w:rsid w:val="008724E8"/>
    <w:rsid w:val="00872D1B"/>
    <w:rsid w:val="008733DA"/>
    <w:rsid w:val="00875516"/>
    <w:rsid w:val="00876181"/>
    <w:rsid w:val="00877823"/>
    <w:rsid w:val="00881763"/>
    <w:rsid w:val="00881DD2"/>
    <w:rsid w:val="00884E34"/>
    <w:rsid w:val="00886F9B"/>
    <w:rsid w:val="008871A2"/>
    <w:rsid w:val="00887F59"/>
    <w:rsid w:val="00891810"/>
    <w:rsid w:val="00891C8F"/>
    <w:rsid w:val="00891DB3"/>
    <w:rsid w:val="008924EE"/>
    <w:rsid w:val="00893A1F"/>
    <w:rsid w:val="00897F24"/>
    <w:rsid w:val="008A117E"/>
    <w:rsid w:val="008A1661"/>
    <w:rsid w:val="008A18EC"/>
    <w:rsid w:val="008A3919"/>
    <w:rsid w:val="008A44AF"/>
    <w:rsid w:val="008A48B9"/>
    <w:rsid w:val="008A7AFA"/>
    <w:rsid w:val="008B0E21"/>
    <w:rsid w:val="008B1274"/>
    <w:rsid w:val="008B2C92"/>
    <w:rsid w:val="008B3E17"/>
    <w:rsid w:val="008B5F02"/>
    <w:rsid w:val="008C0D60"/>
    <w:rsid w:val="008C14CF"/>
    <w:rsid w:val="008C1CF5"/>
    <w:rsid w:val="008C3419"/>
    <w:rsid w:val="008C378D"/>
    <w:rsid w:val="008C423C"/>
    <w:rsid w:val="008C491D"/>
    <w:rsid w:val="008C5618"/>
    <w:rsid w:val="008C679D"/>
    <w:rsid w:val="008D0097"/>
    <w:rsid w:val="008D12E2"/>
    <w:rsid w:val="008D1F37"/>
    <w:rsid w:val="008D3174"/>
    <w:rsid w:val="008D45C3"/>
    <w:rsid w:val="008D4FBC"/>
    <w:rsid w:val="008E09C8"/>
    <w:rsid w:val="008E09D7"/>
    <w:rsid w:val="008E5174"/>
    <w:rsid w:val="008E5607"/>
    <w:rsid w:val="008E6FF1"/>
    <w:rsid w:val="008E704A"/>
    <w:rsid w:val="008F26ED"/>
    <w:rsid w:val="008F2B21"/>
    <w:rsid w:val="008F3366"/>
    <w:rsid w:val="008F38E9"/>
    <w:rsid w:val="008F3B6B"/>
    <w:rsid w:val="008F3BF6"/>
    <w:rsid w:val="008F42D7"/>
    <w:rsid w:val="008F4856"/>
    <w:rsid w:val="008F6CD9"/>
    <w:rsid w:val="008F6F12"/>
    <w:rsid w:val="008F79EC"/>
    <w:rsid w:val="00900F54"/>
    <w:rsid w:val="00902ED5"/>
    <w:rsid w:val="00903EF7"/>
    <w:rsid w:val="0090480E"/>
    <w:rsid w:val="00904C87"/>
    <w:rsid w:val="0090561E"/>
    <w:rsid w:val="00905D91"/>
    <w:rsid w:val="00906053"/>
    <w:rsid w:val="00910469"/>
    <w:rsid w:val="00910613"/>
    <w:rsid w:val="00911B3A"/>
    <w:rsid w:val="009126FE"/>
    <w:rsid w:val="00912FD0"/>
    <w:rsid w:val="00913ACF"/>
    <w:rsid w:val="00913C58"/>
    <w:rsid w:val="00914138"/>
    <w:rsid w:val="009156FE"/>
    <w:rsid w:val="009158EB"/>
    <w:rsid w:val="009166D1"/>
    <w:rsid w:val="0091797E"/>
    <w:rsid w:val="0092035A"/>
    <w:rsid w:val="00920615"/>
    <w:rsid w:val="00920C66"/>
    <w:rsid w:val="009212F3"/>
    <w:rsid w:val="0092175A"/>
    <w:rsid w:val="00921C19"/>
    <w:rsid w:val="00921E32"/>
    <w:rsid w:val="0092534E"/>
    <w:rsid w:val="009257F5"/>
    <w:rsid w:val="00925CC2"/>
    <w:rsid w:val="009267D4"/>
    <w:rsid w:val="009276A5"/>
    <w:rsid w:val="00932409"/>
    <w:rsid w:val="00932655"/>
    <w:rsid w:val="00933BE8"/>
    <w:rsid w:val="00933F8A"/>
    <w:rsid w:val="009356E4"/>
    <w:rsid w:val="00935DDE"/>
    <w:rsid w:val="00937852"/>
    <w:rsid w:val="00940768"/>
    <w:rsid w:val="00944DDD"/>
    <w:rsid w:val="00945207"/>
    <w:rsid w:val="009463E0"/>
    <w:rsid w:val="00946E25"/>
    <w:rsid w:val="00947469"/>
    <w:rsid w:val="00950133"/>
    <w:rsid w:val="009509F2"/>
    <w:rsid w:val="00951F9D"/>
    <w:rsid w:val="00953A5E"/>
    <w:rsid w:val="009547E9"/>
    <w:rsid w:val="00955774"/>
    <w:rsid w:val="00955CD3"/>
    <w:rsid w:val="009561BE"/>
    <w:rsid w:val="00956A78"/>
    <w:rsid w:val="0096110A"/>
    <w:rsid w:val="00961749"/>
    <w:rsid w:val="0096263D"/>
    <w:rsid w:val="00963F17"/>
    <w:rsid w:val="009664E7"/>
    <w:rsid w:val="009673AD"/>
    <w:rsid w:val="00970CEA"/>
    <w:rsid w:val="00971A66"/>
    <w:rsid w:val="009725CF"/>
    <w:rsid w:val="0097598A"/>
    <w:rsid w:val="00975AA5"/>
    <w:rsid w:val="009762F7"/>
    <w:rsid w:val="009763C0"/>
    <w:rsid w:val="009802A2"/>
    <w:rsid w:val="009809FE"/>
    <w:rsid w:val="00980A4E"/>
    <w:rsid w:val="009811A9"/>
    <w:rsid w:val="00983A9E"/>
    <w:rsid w:val="00995A28"/>
    <w:rsid w:val="009971FB"/>
    <w:rsid w:val="009A2065"/>
    <w:rsid w:val="009A3CDA"/>
    <w:rsid w:val="009A4569"/>
    <w:rsid w:val="009A4D7F"/>
    <w:rsid w:val="009A51FE"/>
    <w:rsid w:val="009A60A4"/>
    <w:rsid w:val="009A6954"/>
    <w:rsid w:val="009B12F9"/>
    <w:rsid w:val="009B2895"/>
    <w:rsid w:val="009B4350"/>
    <w:rsid w:val="009B5BD8"/>
    <w:rsid w:val="009B6BE4"/>
    <w:rsid w:val="009C32A7"/>
    <w:rsid w:val="009C3D9B"/>
    <w:rsid w:val="009C441C"/>
    <w:rsid w:val="009C471A"/>
    <w:rsid w:val="009C55F2"/>
    <w:rsid w:val="009C5743"/>
    <w:rsid w:val="009C57F0"/>
    <w:rsid w:val="009C7104"/>
    <w:rsid w:val="009D102A"/>
    <w:rsid w:val="009D1067"/>
    <w:rsid w:val="009D4865"/>
    <w:rsid w:val="009D4B0E"/>
    <w:rsid w:val="009D714B"/>
    <w:rsid w:val="009E0416"/>
    <w:rsid w:val="009E1FBF"/>
    <w:rsid w:val="009E291E"/>
    <w:rsid w:val="009E3126"/>
    <w:rsid w:val="009E3A00"/>
    <w:rsid w:val="009E43DE"/>
    <w:rsid w:val="009E4A0E"/>
    <w:rsid w:val="009E5DA6"/>
    <w:rsid w:val="009E65D1"/>
    <w:rsid w:val="009E662F"/>
    <w:rsid w:val="009E6722"/>
    <w:rsid w:val="009F5265"/>
    <w:rsid w:val="009F5AA1"/>
    <w:rsid w:val="009F5FD5"/>
    <w:rsid w:val="009F7C2D"/>
    <w:rsid w:val="00A03DCD"/>
    <w:rsid w:val="00A0601B"/>
    <w:rsid w:val="00A06DA7"/>
    <w:rsid w:val="00A07F15"/>
    <w:rsid w:val="00A122E7"/>
    <w:rsid w:val="00A13195"/>
    <w:rsid w:val="00A13DDC"/>
    <w:rsid w:val="00A15DF5"/>
    <w:rsid w:val="00A15EED"/>
    <w:rsid w:val="00A169B2"/>
    <w:rsid w:val="00A17CD5"/>
    <w:rsid w:val="00A22004"/>
    <w:rsid w:val="00A26869"/>
    <w:rsid w:val="00A2752B"/>
    <w:rsid w:val="00A30087"/>
    <w:rsid w:val="00A30CE0"/>
    <w:rsid w:val="00A314C4"/>
    <w:rsid w:val="00A31EFC"/>
    <w:rsid w:val="00A32418"/>
    <w:rsid w:val="00A33C0A"/>
    <w:rsid w:val="00A3455C"/>
    <w:rsid w:val="00A34A49"/>
    <w:rsid w:val="00A34CA5"/>
    <w:rsid w:val="00A34D51"/>
    <w:rsid w:val="00A35A92"/>
    <w:rsid w:val="00A36AA1"/>
    <w:rsid w:val="00A3700A"/>
    <w:rsid w:val="00A41744"/>
    <w:rsid w:val="00A4203C"/>
    <w:rsid w:val="00A42F00"/>
    <w:rsid w:val="00A42FF4"/>
    <w:rsid w:val="00A43118"/>
    <w:rsid w:val="00A43F31"/>
    <w:rsid w:val="00A44153"/>
    <w:rsid w:val="00A46C74"/>
    <w:rsid w:val="00A47215"/>
    <w:rsid w:val="00A52587"/>
    <w:rsid w:val="00A543D8"/>
    <w:rsid w:val="00A55227"/>
    <w:rsid w:val="00A60C70"/>
    <w:rsid w:val="00A611B6"/>
    <w:rsid w:val="00A623EE"/>
    <w:rsid w:val="00A6246B"/>
    <w:rsid w:val="00A626D9"/>
    <w:rsid w:val="00A63113"/>
    <w:rsid w:val="00A639F6"/>
    <w:rsid w:val="00A70005"/>
    <w:rsid w:val="00A715E8"/>
    <w:rsid w:val="00A71FAA"/>
    <w:rsid w:val="00A724F9"/>
    <w:rsid w:val="00A735ED"/>
    <w:rsid w:val="00A74D59"/>
    <w:rsid w:val="00A74FBC"/>
    <w:rsid w:val="00A75F4C"/>
    <w:rsid w:val="00A7671D"/>
    <w:rsid w:val="00A80ACE"/>
    <w:rsid w:val="00A81E0B"/>
    <w:rsid w:val="00A8235A"/>
    <w:rsid w:val="00A835E8"/>
    <w:rsid w:val="00A8563F"/>
    <w:rsid w:val="00A90A8D"/>
    <w:rsid w:val="00A958C4"/>
    <w:rsid w:val="00A95B83"/>
    <w:rsid w:val="00AA0918"/>
    <w:rsid w:val="00AA162D"/>
    <w:rsid w:val="00AA34E9"/>
    <w:rsid w:val="00AA3E57"/>
    <w:rsid w:val="00AA3FBA"/>
    <w:rsid w:val="00AA46CD"/>
    <w:rsid w:val="00AA5DD2"/>
    <w:rsid w:val="00AA6A67"/>
    <w:rsid w:val="00AA7403"/>
    <w:rsid w:val="00AA758D"/>
    <w:rsid w:val="00AB193B"/>
    <w:rsid w:val="00AB2305"/>
    <w:rsid w:val="00AB333F"/>
    <w:rsid w:val="00AB3E66"/>
    <w:rsid w:val="00AB3F65"/>
    <w:rsid w:val="00AB3FAC"/>
    <w:rsid w:val="00AC0117"/>
    <w:rsid w:val="00AC0C36"/>
    <w:rsid w:val="00AC0EE0"/>
    <w:rsid w:val="00AC190E"/>
    <w:rsid w:val="00AC1EFE"/>
    <w:rsid w:val="00AC2210"/>
    <w:rsid w:val="00AC24EE"/>
    <w:rsid w:val="00AC45F4"/>
    <w:rsid w:val="00AC489F"/>
    <w:rsid w:val="00AC48A5"/>
    <w:rsid w:val="00AC4BE5"/>
    <w:rsid w:val="00AC53C3"/>
    <w:rsid w:val="00AC7450"/>
    <w:rsid w:val="00AC7A71"/>
    <w:rsid w:val="00AD0BC7"/>
    <w:rsid w:val="00AD1825"/>
    <w:rsid w:val="00AD243A"/>
    <w:rsid w:val="00AD27DE"/>
    <w:rsid w:val="00AD298E"/>
    <w:rsid w:val="00AD38CA"/>
    <w:rsid w:val="00AD7159"/>
    <w:rsid w:val="00AD7250"/>
    <w:rsid w:val="00AD74E5"/>
    <w:rsid w:val="00AE166B"/>
    <w:rsid w:val="00AE489C"/>
    <w:rsid w:val="00AE6CFB"/>
    <w:rsid w:val="00AE7341"/>
    <w:rsid w:val="00AF02A2"/>
    <w:rsid w:val="00AF0758"/>
    <w:rsid w:val="00AF0B8D"/>
    <w:rsid w:val="00AF1AA9"/>
    <w:rsid w:val="00AF3DEE"/>
    <w:rsid w:val="00AF58BE"/>
    <w:rsid w:val="00AF6DE0"/>
    <w:rsid w:val="00AF775A"/>
    <w:rsid w:val="00B0003A"/>
    <w:rsid w:val="00B002EB"/>
    <w:rsid w:val="00B01547"/>
    <w:rsid w:val="00B0187E"/>
    <w:rsid w:val="00B01F4E"/>
    <w:rsid w:val="00B0419E"/>
    <w:rsid w:val="00B048AC"/>
    <w:rsid w:val="00B061A9"/>
    <w:rsid w:val="00B064A1"/>
    <w:rsid w:val="00B103A0"/>
    <w:rsid w:val="00B10492"/>
    <w:rsid w:val="00B11ADB"/>
    <w:rsid w:val="00B15DD1"/>
    <w:rsid w:val="00B164A5"/>
    <w:rsid w:val="00B17CAB"/>
    <w:rsid w:val="00B20E7E"/>
    <w:rsid w:val="00B2132F"/>
    <w:rsid w:val="00B2288C"/>
    <w:rsid w:val="00B23CB9"/>
    <w:rsid w:val="00B241CF"/>
    <w:rsid w:val="00B266A9"/>
    <w:rsid w:val="00B30B1E"/>
    <w:rsid w:val="00B31D38"/>
    <w:rsid w:val="00B31DD6"/>
    <w:rsid w:val="00B33992"/>
    <w:rsid w:val="00B348AC"/>
    <w:rsid w:val="00B34C2B"/>
    <w:rsid w:val="00B3536B"/>
    <w:rsid w:val="00B36239"/>
    <w:rsid w:val="00B36A63"/>
    <w:rsid w:val="00B36F98"/>
    <w:rsid w:val="00B41DF2"/>
    <w:rsid w:val="00B4243A"/>
    <w:rsid w:val="00B42FEC"/>
    <w:rsid w:val="00B45A09"/>
    <w:rsid w:val="00B47310"/>
    <w:rsid w:val="00B50970"/>
    <w:rsid w:val="00B513DC"/>
    <w:rsid w:val="00B51D3C"/>
    <w:rsid w:val="00B530B4"/>
    <w:rsid w:val="00B53B1B"/>
    <w:rsid w:val="00B53FE0"/>
    <w:rsid w:val="00B54726"/>
    <w:rsid w:val="00B54E8F"/>
    <w:rsid w:val="00B55952"/>
    <w:rsid w:val="00B56105"/>
    <w:rsid w:val="00B562B9"/>
    <w:rsid w:val="00B56F1A"/>
    <w:rsid w:val="00B57993"/>
    <w:rsid w:val="00B579DF"/>
    <w:rsid w:val="00B60225"/>
    <w:rsid w:val="00B60245"/>
    <w:rsid w:val="00B6127B"/>
    <w:rsid w:val="00B652B9"/>
    <w:rsid w:val="00B65B00"/>
    <w:rsid w:val="00B660A8"/>
    <w:rsid w:val="00B70411"/>
    <w:rsid w:val="00B70C41"/>
    <w:rsid w:val="00B717BF"/>
    <w:rsid w:val="00B71D88"/>
    <w:rsid w:val="00B72315"/>
    <w:rsid w:val="00B7450D"/>
    <w:rsid w:val="00B77780"/>
    <w:rsid w:val="00B81C8B"/>
    <w:rsid w:val="00B82EFF"/>
    <w:rsid w:val="00B84A43"/>
    <w:rsid w:val="00B871DA"/>
    <w:rsid w:val="00B874E1"/>
    <w:rsid w:val="00B9249A"/>
    <w:rsid w:val="00B9350A"/>
    <w:rsid w:val="00B94433"/>
    <w:rsid w:val="00B958FB"/>
    <w:rsid w:val="00B960A7"/>
    <w:rsid w:val="00BA0038"/>
    <w:rsid w:val="00BA1079"/>
    <w:rsid w:val="00BA11ED"/>
    <w:rsid w:val="00BA16CC"/>
    <w:rsid w:val="00BA2A83"/>
    <w:rsid w:val="00BA5B10"/>
    <w:rsid w:val="00BA694F"/>
    <w:rsid w:val="00BB1964"/>
    <w:rsid w:val="00BB1F22"/>
    <w:rsid w:val="00BB3CA6"/>
    <w:rsid w:val="00BB5693"/>
    <w:rsid w:val="00BB5A6F"/>
    <w:rsid w:val="00BB5E6A"/>
    <w:rsid w:val="00BB60AC"/>
    <w:rsid w:val="00BB61AE"/>
    <w:rsid w:val="00BB689B"/>
    <w:rsid w:val="00BB6ABF"/>
    <w:rsid w:val="00BB6CED"/>
    <w:rsid w:val="00BB731B"/>
    <w:rsid w:val="00BC091D"/>
    <w:rsid w:val="00BC0CF6"/>
    <w:rsid w:val="00BC1197"/>
    <w:rsid w:val="00BC14BA"/>
    <w:rsid w:val="00BC31E7"/>
    <w:rsid w:val="00BC3C5E"/>
    <w:rsid w:val="00BC44F3"/>
    <w:rsid w:val="00BC4CC2"/>
    <w:rsid w:val="00BC4FE7"/>
    <w:rsid w:val="00BC527C"/>
    <w:rsid w:val="00BC58E1"/>
    <w:rsid w:val="00BC663C"/>
    <w:rsid w:val="00BC710E"/>
    <w:rsid w:val="00BD0D7C"/>
    <w:rsid w:val="00BD1E4A"/>
    <w:rsid w:val="00BD37E5"/>
    <w:rsid w:val="00BD5260"/>
    <w:rsid w:val="00BD567A"/>
    <w:rsid w:val="00BD56B2"/>
    <w:rsid w:val="00BD5F50"/>
    <w:rsid w:val="00BD6132"/>
    <w:rsid w:val="00BD6688"/>
    <w:rsid w:val="00BD69A7"/>
    <w:rsid w:val="00BD70E7"/>
    <w:rsid w:val="00BD7B9A"/>
    <w:rsid w:val="00BE0847"/>
    <w:rsid w:val="00BE28FF"/>
    <w:rsid w:val="00BE45F8"/>
    <w:rsid w:val="00BE68B8"/>
    <w:rsid w:val="00BE7622"/>
    <w:rsid w:val="00BE78CA"/>
    <w:rsid w:val="00BF2400"/>
    <w:rsid w:val="00BF2B3E"/>
    <w:rsid w:val="00BF3C7D"/>
    <w:rsid w:val="00BF543F"/>
    <w:rsid w:val="00BF56A5"/>
    <w:rsid w:val="00BF6650"/>
    <w:rsid w:val="00C00F93"/>
    <w:rsid w:val="00C03351"/>
    <w:rsid w:val="00C06069"/>
    <w:rsid w:val="00C06DA5"/>
    <w:rsid w:val="00C0725D"/>
    <w:rsid w:val="00C10955"/>
    <w:rsid w:val="00C11853"/>
    <w:rsid w:val="00C122C4"/>
    <w:rsid w:val="00C12433"/>
    <w:rsid w:val="00C15315"/>
    <w:rsid w:val="00C171F9"/>
    <w:rsid w:val="00C174CA"/>
    <w:rsid w:val="00C17CA4"/>
    <w:rsid w:val="00C211B0"/>
    <w:rsid w:val="00C221D3"/>
    <w:rsid w:val="00C22C79"/>
    <w:rsid w:val="00C23C97"/>
    <w:rsid w:val="00C23E64"/>
    <w:rsid w:val="00C2559E"/>
    <w:rsid w:val="00C25984"/>
    <w:rsid w:val="00C25E47"/>
    <w:rsid w:val="00C27F24"/>
    <w:rsid w:val="00C3015A"/>
    <w:rsid w:val="00C303E4"/>
    <w:rsid w:val="00C31B60"/>
    <w:rsid w:val="00C331D6"/>
    <w:rsid w:val="00C3325D"/>
    <w:rsid w:val="00C34E18"/>
    <w:rsid w:val="00C35256"/>
    <w:rsid w:val="00C35800"/>
    <w:rsid w:val="00C35AAA"/>
    <w:rsid w:val="00C35BFB"/>
    <w:rsid w:val="00C37FF4"/>
    <w:rsid w:val="00C424A0"/>
    <w:rsid w:val="00C45764"/>
    <w:rsid w:val="00C47204"/>
    <w:rsid w:val="00C47316"/>
    <w:rsid w:val="00C47A54"/>
    <w:rsid w:val="00C513E3"/>
    <w:rsid w:val="00C51F90"/>
    <w:rsid w:val="00C525F9"/>
    <w:rsid w:val="00C54D88"/>
    <w:rsid w:val="00C5571E"/>
    <w:rsid w:val="00C56BFE"/>
    <w:rsid w:val="00C57AC0"/>
    <w:rsid w:val="00C57D74"/>
    <w:rsid w:val="00C6181A"/>
    <w:rsid w:val="00C62C82"/>
    <w:rsid w:val="00C64749"/>
    <w:rsid w:val="00C65229"/>
    <w:rsid w:val="00C663FB"/>
    <w:rsid w:val="00C664BD"/>
    <w:rsid w:val="00C67C4E"/>
    <w:rsid w:val="00C714B1"/>
    <w:rsid w:val="00C717FD"/>
    <w:rsid w:val="00C71DB3"/>
    <w:rsid w:val="00C729BA"/>
    <w:rsid w:val="00C72E4C"/>
    <w:rsid w:val="00C749A9"/>
    <w:rsid w:val="00C749CB"/>
    <w:rsid w:val="00C74D1C"/>
    <w:rsid w:val="00C77051"/>
    <w:rsid w:val="00C773AD"/>
    <w:rsid w:val="00C77DF1"/>
    <w:rsid w:val="00C80867"/>
    <w:rsid w:val="00C811D8"/>
    <w:rsid w:val="00C827F9"/>
    <w:rsid w:val="00C84EAE"/>
    <w:rsid w:val="00C85BDB"/>
    <w:rsid w:val="00C861A5"/>
    <w:rsid w:val="00C902F5"/>
    <w:rsid w:val="00C91A65"/>
    <w:rsid w:val="00C91B31"/>
    <w:rsid w:val="00C94B4F"/>
    <w:rsid w:val="00C97479"/>
    <w:rsid w:val="00C976C4"/>
    <w:rsid w:val="00CA0CA6"/>
    <w:rsid w:val="00CA128B"/>
    <w:rsid w:val="00CA264C"/>
    <w:rsid w:val="00CA29B9"/>
    <w:rsid w:val="00CA4A92"/>
    <w:rsid w:val="00CA5907"/>
    <w:rsid w:val="00CA7C63"/>
    <w:rsid w:val="00CB0F62"/>
    <w:rsid w:val="00CB1BE2"/>
    <w:rsid w:val="00CB341B"/>
    <w:rsid w:val="00CB4D88"/>
    <w:rsid w:val="00CB4F15"/>
    <w:rsid w:val="00CB6DB1"/>
    <w:rsid w:val="00CB6F3C"/>
    <w:rsid w:val="00CB6F46"/>
    <w:rsid w:val="00CB7749"/>
    <w:rsid w:val="00CB79B1"/>
    <w:rsid w:val="00CC4433"/>
    <w:rsid w:val="00CC538A"/>
    <w:rsid w:val="00CD0F7D"/>
    <w:rsid w:val="00CD2103"/>
    <w:rsid w:val="00CD2DBA"/>
    <w:rsid w:val="00CD455D"/>
    <w:rsid w:val="00CD6AA3"/>
    <w:rsid w:val="00CD6DCE"/>
    <w:rsid w:val="00CD7427"/>
    <w:rsid w:val="00CE0536"/>
    <w:rsid w:val="00CE1BDB"/>
    <w:rsid w:val="00CE2FBB"/>
    <w:rsid w:val="00CE5128"/>
    <w:rsid w:val="00CE65F5"/>
    <w:rsid w:val="00CE68EF"/>
    <w:rsid w:val="00CF125C"/>
    <w:rsid w:val="00CF2054"/>
    <w:rsid w:val="00CF35AA"/>
    <w:rsid w:val="00CF43CB"/>
    <w:rsid w:val="00CF553F"/>
    <w:rsid w:val="00CF6115"/>
    <w:rsid w:val="00CF6FEE"/>
    <w:rsid w:val="00D004EA"/>
    <w:rsid w:val="00D0072B"/>
    <w:rsid w:val="00D00941"/>
    <w:rsid w:val="00D010E0"/>
    <w:rsid w:val="00D01583"/>
    <w:rsid w:val="00D02401"/>
    <w:rsid w:val="00D0310F"/>
    <w:rsid w:val="00D034D2"/>
    <w:rsid w:val="00D05286"/>
    <w:rsid w:val="00D07F51"/>
    <w:rsid w:val="00D102B9"/>
    <w:rsid w:val="00D1042C"/>
    <w:rsid w:val="00D12D39"/>
    <w:rsid w:val="00D14117"/>
    <w:rsid w:val="00D15A9E"/>
    <w:rsid w:val="00D16D3D"/>
    <w:rsid w:val="00D17092"/>
    <w:rsid w:val="00D17F2C"/>
    <w:rsid w:val="00D2126C"/>
    <w:rsid w:val="00D22F26"/>
    <w:rsid w:val="00D24150"/>
    <w:rsid w:val="00D2683A"/>
    <w:rsid w:val="00D26859"/>
    <w:rsid w:val="00D26D32"/>
    <w:rsid w:val="00D27F08"/>
    <w:rsid w:val="00D31C89"/>
    <w:rsid w:val="00D34474"/>
    <w:rsid w:val="00D368C1"/>
    <w:rsid w:val="00D36C2D"/>
    <w:rsid w:val="00D372F6"/>
    <w:rsid w:val="00D37A0D"/>
    <w:rsid w:val="00D40284"/>
    <w:rsid w:val="00D4082C"/>
    <w:rsid w:val="00D411EF"/>
    <w:rsid w:val="00D425AA"/>
    <w:rsid w:val="00D42639"/>
    <w:rsid w:val="00D427DE"/>
    <w:rsid w:val="00D43664"/>
    <w:rsid w:val="00D43D3C"/>
    <w:rsid w:val="00D4444E"/>
    <w:rsid w:val="00D460F8"/>
    <w:rsid w:val="00D46E47"/>
    <w:rsid w:val="00D47A91"/>
    <w:rsid w:val="00D51075"/>
    <w:rsid w:val="00D5183A"/>
    <w:rsid w:val="00D51FD6"/>
    <w:rsid w:val="00D5254D"/>
    <w:rsid w:val="00D52CDE"/>
    <w:rsid w:val="00D5395C"/>
    <w:rsid w:val="00D542BF"/>
    <w:rsid w:val="00D54EDE"/>
    <w:rsid w:val="00D55659"/>
    <w:rsid w:val="00D6051B"/>
    <w:rsid w:val="00D60ABF"/>
    <w:rsid w:val="00D61838"/>
    <w:rsid w:val="00D61AB1"/>
    <w:rsid w:val="00D6435B"/>
    <w:rsid w:val="00D64E5D"/>
    <w:rsid w:val="00D67BA2"/>
    <w:rsid w:val="00D67CEA"/>
    <w:rsid w:val="00D701C3"/>
    <w:rsid w:val="00D709FE"/>
    <w:rsid w:val="00D730DA"/>
    <w:rsid w:val="00D733DD"/>
    <w:rsid w:val="00D77853"/>
    <w:rsid w:val="00D81C5E"/>
    <w:rsid w:val="00D836D8"/>
    <w:rsid w:val="00D839E9"/>
    <w:rsid w:val="00D85BB7"/>
    <w:rsid w:val="00D8638B"/>
    <w:rsid w:val="00D92426"/>
    <w:rsid w:val="00D9426B"/>
    <w:rsid w:val="00D942E8"/>
    <w:rsid w:val="00D947E9"/>
    <w:rsid w:val="00D949EA"/>
    <w:rsid w:val="00D9552B"/>
    <w:rsid w:val="00D95854"/>
    <w:rsid w:val="00D97A00"/>
    <w:rsid w:val="00DA007D"/>
    <w:rsid w:val="00DA0B45"/>
    <w:rsid w:val="00DA0DF8"/>
    <w:rsid w:val="00DA12B5"/>
    <w:rsid w:val="00DA1A00"/>
    <w:rsid w:val="00DA1CE0"/>
    <w:rsid w:val="00DA289A"/>
    <w:rsid w:val="00DA2CB7"/>
    <w:rsid w:val="00DA4A94"/>
    <w:rsid w:val="00DA79B5"/>
    <w:rsid w:val="00DA7B8A"/>
    <w:rsid w:val="00DB1C3C"/>
    <w:rsid w:val="00DB2A4E"/>
    <w:rsid w:val="00DB2CEC"/>
    <w:rsid w:val="00DB35B0"/>
    <w:rsid w:val="00DB3D10"/>
    <w:rsid w:val="00DB4ACD"/>
    <w:rsid w:val="00DB59F4"/>
    <w:rsid w:val="00DB6F21"/>
    <w:rsid w:val="00DC27B2"/>
    <w:rsid w:val="00DC32AB"/>
    <w:rsid w:val="00DC4EFB"/>
    <w:rsid w:val="00DC5623"/>
    <w:rsid w:val="00DC58B5"/>
    <w:rsid w:val="00DC6046"/>
    <w:rsid w:val="00DC6215"/>
    <w:rsid w:val="00DC67E7"/>
    <w:rsid w:val="00DC7051"/>
    <w:rsid w:val="00DC78EF"/>
    <w:rsid w:val="00DC7E96"/>
    <w:rsid w:val="00DD02C3"/>
    <w:rsid w:val="00DD28A0"/>
    <w:rsid w:val="00DD457D"/>
    <w:rsid w:val="00DD5113"/>
    <w:rsid w:val="00DD7035"/>
    <w:rsid w:val="00DD7A4C"/>
    <w:rsid w:val="00DE0D39"/>
    <w:rsid w:val="00DE13F6"/>
    <w:rsid w:val="00DE2A3A"/>
    <w:rsid w:val="00DE2B24"/>
    <w:rsid w:val="00DE4029"/>
    <w:rsid w:val="00DE444F"/>
    <w:rsid w:val="00DE5390"/>
    <w:rsid w:val="00DE73E8"/>
    <w:rsid w:val="00DF0F15"/>
    <w:rsid w:val="00DF1DA7"/>
    <w:rsid w:val="00DF512B"/>
    <w:rsid w:val="00DF6A26"/>
    <w:rsid w:val="00E00258"/>
    <w:rsid w:val="00E00FD6"/>
    <w:rsid w:val="00E019AC"/>
    <w:rsid w:val="00E01F27"/>
    <w:rsid w:val="00E0234C"/>
    <w:rsid w:val="00E02B2F"/>
    <w:rsid w:val="00E02C50"/>
    <w:rsid w:val="00E03F3E"/>
    <w:rsid w:val="00E04602"/>
    <w:rsid w:val="00E05FF0"/>
    <w:rsid w:val="00E07041"/>
    <w:rsid w:val="00E07E64"/>
    <w:rsid w:val="00E11C18"/>
    <w:rsid w:val="00E11D39"/>
    <w:rsid w:val="00E12710"/>
    <w:rsid w:val="00E12725"/>
    <w:rsid w:val="00E1402D"/>
    <w:rsid w:val="00E144A9"/>
    <w:rsid w:val="00E1651F"/>
    <w:rsid w:val="00E16813"/>
    <w:rsid w:val="00E1730E"/>
    <w:rsid w:val="00E20DEE"/>
    <w:rsid w:val="00E21166"/>
    <w:rsid w:val="00E25040"/>
    <w:rsid w:val="00E25EA7"/>
    <w:rsid w:val="00E2619E"/>
    <w:rsid w:val="00E271D7"/>
    <w:rsid w:val="00E30B45"/>
    <w:rsid w:val="00E32002"/>
    <w:rsid w:val="00E3261A"/>
    <w:rsid w:val="00E32E52"/>
    <w:rsid w:val="00E333DD"/>
    <w:rsid w:val="00E339E4"/>
    <w:rsid w:val="00E33D5C"/>
    <w:rsid w:val="00E34352"/>
    <w:rsid w:val="00E34868"/>
    <w:rsid w:val="00E35D98"/>
    <w:rsid w:val="00E36FCA"/>
    <w:rsid w:val="00E3746E"/>
    <w:rsid w:val="00E379EA"/>
    <w:rsid w:val="00E40DB2"/>
    <w:rsid w:val="00E422F6"/>
    <w:rsid w:val="00E426ED"/>
    <w:rsid w:val="00E4297B"/>
    <w:rsid w:val="00E44921"/>
    <w:rsid w:val="00E4570E"/>
    <w:rsid w:val="00E45737"/>
    <w:rsid w:val="00E464CD"/>
    <w:rsid w:val="00E468E5"/>
    <w:rsid w:val="00E502D3"/>
    <w:rsid w:val="00E50FF6"/>
    <w:rsid w:val="00E5394D"/>
    <w:rsid w:val="00E543F3"/>
    <w:rsid w:val="00E54680"/>
    <w:rsid w:val="00E56317"/>
    <w:rsid w:val="00E56394"/>
    <w:rsid w:val="00E56689"/>
    <w:rsid w:val="00E5798B"/>
    <w:rsid w:val="00E605A6"/>
    <w:rsid w:val="00E60A7F"/>
    <w:rsid w:val="00E60E73"/>
    <w:rsid w:val="00E6303D"/>
    <w:rsid w:val="00E633F8"/>
    <w:rsid w:val="00E6455D"/>
    <w:rsid w:val="00E65F3A"/>
    <w:rsid w:val="00E6726E"/>
    <w:rsid w:val="00E6727D"/>
    <w:rsid w:val="00E70399"/>
    <w:rsid w:val="00E70B04"/>
    <w:rsid w:val="00E742CF"/>
    <w:rsid w:val="00E76253"/>
    <w:rsid w:val="00E7643B"/>
    <w:rsid w:val="00E77312"/>
    <w:rsid w:val="00E77A6C"/>
    <w:rsid w:val="00E80045"/>
    <w:rsid w:val="00E803C1"/>
    <w:rsid w:val="00E84992"/>
    <w:rsid w:val="00E853AB"/>
    <w:rsid w:val="00E854D0"/>
    <w:rsid w:val="00E857A4"/>
    <w:rsid w:val="00E86E52"/>
    <w:rsid w:val="00E8793B"/>
    <w:rsid w:val="00E93506"/>
    <w:rsid w:val="00E93C38"/>
    <w:rsid w:val="00E94756"/>
    <w:rsid w:val="00E948C0"/>
    <w:rsid w:val="00E94A09"/>
    <w:rsid w:val="00E962CB"/>
    <w:rsid w:val="00E963D1"/>
    <w:rsid w:val="00E97803"/>
    <w:rsid w:val="00EA09B4"/>
    <w:rsid w:val="00EA11DA"/>
    <w:rsid w:val="00EA31EF"/>
    <w:rsid w:val="00EA3C6F"/>
    <w:rsid w:val="00EA6263"/>
    <w:rsid w:val="00EA673C"/>
    <w:rsid w:val="00EA6B1C"/>
    <w:rsid w:val="00EA7287"/>
    <w:rsid w:val="00EA742E"/>
    <w:rsid w:val="00EB0044"/>
    <w:rsid w:val="00EB1965"/>
    <w:rsid w:val="00EB29FF"/>
    <w:rsid w:val="00EB302D"/>
    <w:rsid w:val="00EB4597"/>
    <w:rsid w:val="00EB4B5A"/>
    <w:rsid w:val="00EB4D40"/>
    <w:rsid w:val="00EB50EA"/>
    <w:rsid w:val="00EC0500"/>
    <w:rsid w:val="00EC07D8"/>
    <w:rsid w:val="00EC1172"/>
    <w:rsid w:val="00EC2942"/>
    <w:rsid w:val="00EC2CA7"/>
    <w:rsid w:val="00EC41B8"/>
    <w:rsid w:val="00EC509C"/>
    <w:rsid w:val="00EC55A7"/>
    <w:rsid w:val="00EC6BFF"/>
    <w:rsid w:val="00EC6C8C"/>
    <w:rsid w:val="00ED2E07"/>
    <w:rsid w:val="00ED3E45"/>
    <w:rsid w:val="00ED7780"/>
    <w:rsid w:val="00EE0C9A"/>
    <w:rsid w:val="00EE0CD0"/>
    <w:rsid w:val="00EE47BB"/>
    <w:rsid w:val="00EE4F6F"/>
    <w:rsid w:val="00EE60AF"/>
    <w:rsid w:val="00EE6A9A"/>
    <w:rsid w:val="00EE78EF"/>
    <w:rsid w:val="00EF05FF"/>
    <w:rsid w:val="00EF1189"/>
    <w:rsid w:val="00EF146B"/>
    <w:rsid w:val="00EF17D2"/>
    <w:rsid w:val="00EF1A59"/>
    <w:rsid w:val="00EF1C42"/>
    <w:rsid w:val="00EF2D48"/>
    <w:rsid w:val="00EF3D8F"/>
    <w:rsid w:val="00EF40FB"/>
    <w:rsid w:val="00EF4CA5"/>
    <w:rsid w:val="00EF4F67"/>
    <w:rsid w:val="00EF5305"/>
    <w:rsid w:val="00EF5CFA"/>
    <w:rsid w:val="00EF5DED"/>
    <w:rsid w:val="00EF60EA"/>
    <w:rsid w:val="00EF6C37"/>
    <w:rsid w:val="00F004FE"/>
    <w:rsid w:val="00F008E0"/>
    <w:rsid w:val="00F00C6E"/>
    <w:rsid w:val="00F016E3"/>
    <w:rsid w:val="00F0209C"/>
    <w:rsid w:val="00F026D2"/>
    <w:rsid w:val="00F02DB1"/>
    <w:rsid w:val="00F03FE1"/>
    <w:rsid w:val="00F05A2F"/>
    <w:rsid w:val="00F07668"/>
    <w:rsid w:val="00F10216"/>
    <w:rsid w:val="00F1300B"/>
    <w:rsid w:val="00F13CE3"/>
    <w:rsid w:val="00F1418F"/>
    <w:rsid w:val="00F14277"/>
    <w:rsid w:val="00F203AA"/>
    <w:rsid w:val="00F225EE"/>
    <w:rsid w:val="00F2271E"/>
    <w:rsid w:val="00F23BF5"/>
    <w:rsid w:val="00F25F07"/>
    <w:rsid w:val="00F26CA5"/>
    <w:rsid w:val="00F27040"/>
    <w:rsid w:val="00F27574"/>
    <w:rsid w:val="00F2780F"/>
    <w:rsid w:val="00F27FB5"/>
    <w:rsid w:val="00F32710"/>
    <w:rsid w:val="00F34519"/>
    <w:rsid w:val="00F36BFE"/>
    <w:rsid w:val="00F37973"/>
    <w:rsid w:val="00F40AD0"/>
    <w:rsid w:val="00F41312"/>
    <w:rsid w:val="00F41A84"/>
    <w:rsid w:val="00F45A91"/>
    <w:rsid w:val="00F468FA"/>
    <w:rsid w:val="00F50F49"/>
    <w:rsid w:val="00F534CE"/>
    <w:rsid w:val="00F5593C"/>
    <w:rsid w:val="00F55D10"/>
    <w:rsid w:val="00F608B1"/>
    <w:rsid w:val="00F61E4C"/>
    <w:rsid w:val="00F621D4"/>
    <w:rsid w:val="00F62A40"/>
    <w:rsid w:val="00F62E3A"/>
    <w:rsid w:val="00F678D4"/>
    <w:rsid w:val="00F714F8"/>
    <w:rsid w:val="00F71823"/>
    <w:rsid w:val="00F73DBE"/>
    <w:rsid w:val="00F74850"/>
    <w:rsid w:val="00F74A56"/>
    <w:rsid w:val="00F80EE2"/>
    <w:rsid w:val="00F81048"/>
    <w:rsid w:val="00F82265"/>
    <w:rsid w:val="00F848EA"/>
    <w:rsid w:val="00F85603"/>
    <w:rsid w:val="00F86D4C"/>
    <w:rsid w:val="00F90EB0"/>
    <w:rsid w:val="00F91A46"/>
    <w:rsid w:val="00F928A9"/>
    <w:rsid w:val="00F93285"/>
    <w:rsid w:val="00F94C2B"/>
    <w:rsid w:val="00F9610A"/>
    <w:rsid w:val="00F96697"/>
    <w:rsid w:val="00F97ECF"/>
    <w:rsid w:val="00F97FD7"/>
    <w:rsid w:val="00FA045F"/>
    <w:rsid w:val="00FA11E3"/>
    <w:rsid w:val="00FA2B41"/>
    <w:rsid w:val="00FA3A77"/>
    <w:rsid w:val="00FA3BE4"/>
    <w:rsid w:val="00FA4557"/>
    <w:rsid w:val="00FA57B6"/>
    <w:rsid w:val="00FB0043"/>
    <w:rsid w:val="00FB122F"/>
    <w:rsid w:val="00FB1D0D"/>
    <w:rsid w:val="00FB32C1"/>
    <w:rsid w:val="00FB3485"/>
    <w:rsid w:val="00FB361C"/>
    <w:rsid w:val="00FB3758"/>
    <w:rsid w:val="00FB4905"/>
    <w:rsid w:val="00FB4D4B"/>
    <w:rsid w:val="00FB53A9"/>
    <w:rsid w:val="00FC0DF2"/>
    <w:rsid w:val="00FC171F"/>
    <w:rsid w:val="00FC24F7"/>
    <w:rsid w:val="00FC312E"/>
    <w:rsid w:val="00FC38DC"/>
    <w:rsid w:val="00FC3BB4"/>
    <w:rsid w:val="00FC3DD1"/>
    <w:rsid w:val="00FC4B58"/>
    <w:rsid w:val="00FC5515"/>
    <w:rsid w:val="00FC694E"/>
    <w:rsid w:val="00FD1417"/>
    <w:rsid w:val="00FD2E4D"/>
    <w:rsid w:val="00FD3185"/>
    <w:rsid w:val="00FD3FAA"/>
    <w:rsid w:val="00FD5A74"/>
    <w:rsid w:val="00FD5B0A"/>
    <w:rsid w:val="00FD6CFC"/>
    <w:rsid w:val="00FD72DD"/>
    <w:rsid w:val="00FE09A1"/>
    <w:rsid w:val="00FE1B96"/>
    <w:rsid w:val="00FE343B"/>
    <w:rsid w:val="00FE5CA2"/>
    <w:rsid w:val="00FF068F"/>
    <w:rsid w:val="00FF200A"/>
    <w:rsid w:val="00FF254D"/>
    <w:rsid w:val="00FF3692"/>
    <w:rsid w:val="00FF43BF"/>
    <w:rsid w:val="00FF6CA0"/>
    <w:rsid w:val="00FF7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E7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F8A"/>
    <w:pPr>
      <w:spacing w:after="160" w:line="259" w:lineRule="auto"/>
    </w:pPr>
    <w:rPr>
      <w:sz w:val="22"/>
      <w:szCs w:val="22"/>
      <w:lang w:eastAsia="en-US"/>
    </w:rPr>
  </w:style>
  <w:style w:type="paragraph" w:styleId="Heading1">
    <w:name w:val="heading 1"/>
    <w:basedOn w:val="Normal"/>
    <w:next w:val="Normal"/>
    <w:link w:val="Heading1Char"/>
    <w:uiPriority w:val="9"/>
    <w:qFormat/>
    <w:rsid w:val="008B3E17"/>
    <w:pPr>
      <w:keepNext/>
      <w:keepLines/>
      <w:spacing w:before="480" w:after="0" w:line="276" w:lineRule="auto"/>
      <w:outlineLvl w:val="0"/>
    </w:pPr>
    <w:rPr>
      <w:rFonts w:ascii="Calibri Light" w:eastAsia="Times New Roman" w:hAnsi="Calibri Light"/>
      <w:b/>
      <w:bCs/>
      <w:color w:val="2F5496"/>
      <w:sz w:val="28"/>
      <w:szCs w:val="28"/>
    </w:rPr>
  </w:style>
  <w:style w:type="paragraph" w:styleId="Heading2">
    <w:name w:val="heading 2"/>
    <w:basedOn w:val="Normal"/>
    <w:next w:val="Normal"/>
    <w:link w:val="Heading2Char"/>
    <w:uiPriority w:val="9"/>
    <w:unhideWhenUsed/>
    <w:qFormat/>
    <w:rsid w:val="0066558C"/>
    <w:pPr>
      <w:keepNext/>
      <w:keepLines/>
      <w:spacing w:before="200" w:after="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
    <w:unhideWhenUsed/>
    <w:qFormat/>
    <w:rsid w:val="00E77312"/>
    <w:pPr>
      <w:keepNext/>
      <w:keepLines/>
      <w:spacing w:before="200" w:after="0"/>
      <w:outlineLvl w:val="2"/>
    </w:pPr>
    <w:rPr>
      <w:rFonts w:ascii="Calibri Light" w:eastAsia="Times New Roman" w:hAnsi="Calibri Light"/>
      <w:b/>
      <w:bCs/>
      <w:color w:val="4472C4"/>
    </w:rPr>
  </w:style>
  <w:style w:type="paragraph" w:styleId="Heading5">
    <w:name w:val="heading 5"/>
    <w:basedOn w:val="Normal"/>
    <w:next w:val="Normal"/>
    <w:link w:val="Heading5Char"/>
    <w:uiPriority w:val="9"/>
    <w:semiHidden/>
    <w:unhideWhenUsed/>
    <w:qFormat/>
    <w:rsid w:val="00F10216"/>
    <w:pPr>
      <w:keepNext/>
      <w:keepLines/>
      <w:spacing w:before="200" w:after="0"/>
      <w:outlineLvl w:val="4"/>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29B9"/>
    <w:pPr>
      <w:spacing w:before="100" w:beforeAutospacing="1" w:after="100" w:afterAutospacing="1" w:line="240" w:lineRule="auto"/>
    </w:pPr>
    <w:rPr>
      <w:rFonts w:ascii="Times New Roman" w:eastAsia="Times New Roman" w:hAnsi="Times New Roman"/>
      <w:sz w:val="24"/>
      <w:szCs w:val="24"/>
      <w:lang w:eastAsia="en-AU"/>
    </w:rPr>
  </w:style>
  <w:style w:type="paragraph" w:styleId="Header">
    <w:name w:val="header"/>
    <w:basedOn w:val="Normal"/>
    <w:link w:val="HeaderChar"/>
    <w:uiPriority w:val="99"/>
    <w:unhideWhenUsed/>
    <w:rsid w:val="00BB3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CA6"/>
  </w:style>
  <w:style w:type="paragraph" w:styleId="Footer">
    <w:name w:val="footer"/>
    <w:basedOn w:val="Normal"/>
    <w:link w:val="FooterChar"/>
    <w:uiPriority w:val="99"/>
    <w:unhideWhenUsed/>
    <w:rsid w:val="00BB3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CA6"/>
  </w:style>
  <w:style w:type="paragraph" w:styleId="ListParagraph">
    <w:name w:val="List Paragraph"/>
    <w:aliases w:val="List Paragraph1,Recommendation,List Paragraph11,L,bullet point list,Key Message Bullets,Bullet List,Bullet list,Bulletr List Paragraph,FooterText,List Paragraph2,List Paragraph21,Listeafsnit1,Listenabsatz,Paragraphe de liste1,numbered"/>
    <w:basedOn w:val="Normal"/>
    <w:link w:val="ListParagraphChar"/>
    <w:uiPriority w:val="34"/>
    <w:qFormat/>
    <w:rsid w:val="00BB3CA6"/>
    <w:pPr>
      <w:ind w:left="720"/>
      <w:contextualSpacing/>
    </w:pPr>
  </w:style>
  <w:style w:type="paragraph" w:styleId="BalloonText">
    <w:name w:val="Balloon Text"/>
    <w:basedOn w:val="Normal"/>
    <w:link w:val="BalloonTextChar"/>
    <w:uiPriority w:val="99"/>
    <w:semiHidden/>
    <w:unhideWhenUsed/>
    <w:rsid w:val="00457D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7D69"/>
    <w:rPr>
      <w:rFonts w:ascii="Tahoma" w:hAnsi="Tahoma" w:cs="Tahoma"/>
      <w:sz w:val="16"/>
      <w:szCs w:val="16"/>
    </w:rPr>
  </w:style>
  <w:style w:type="character" w:styleId="CommentReference">
    <w:name w:val="annotation reference"/>
    <w:uiPriority w:val="99"/>
    <w:semiHidden/>
    <w:unhideWhenUsed/>
    <w:rsid w:val="00457D69"/>
    <w:rPr>
      <w:sz w:val="16"/>
      <w:szCs w:val="16"/>
    </w:rPr>
  </w:style>
  <w:style w:type="paragraph" w:styleId="CommentText">
    <w:name w:val="annotation text"/>
    <w:basedOn w:val="Normal"/>
    <w:link w:val="CommentTextChar"/>
    <w:uiPriority w:val="99"/>
    <w:unhideWhenUsed/>
    <w:rsid w:val="00457D69"/>
    <w:pPr>
      <w:spacing w:line="240" w:lineRule="auto"/>
    </w:pPr>
    <w:rPr>
      <w:sz w:val="20"/>
      <w:szCs w:val="20"/>
    </w:rPr>
  </w:style>
  <w:style w:type="character" w:customStyle="1" w:styleId="CommentTextChar">
    <w:name w:val="Comment Text Char"/>
    <w:link w:val="CommentText"/>
    <w:uiPriority w:val="99"/>
    <w:rsid w:val="00457D69"/>
    <w:rPr>
      <w:sz w:val="20"/>
      <w:szCs w:val="20"/>
    </w:rPr>
  </w:style>
  <w:style w:type="paragraph" w:styleId="CommentSubject">
    <w:name w:val="annotation subject"/>
    <w:basedOn w:val="CommentText"/>
    <w:next w:val="CommentText"/>
    <w:link w:val="CommentSubjectChar"/>
    <w:uiPriority w:val="99"/>
    <w:semiHidden/>
    <w:unhideWhenUsed/>
    <w:rsid w:val="00457D69"/>
    <w:rPr>
      <w:b/>
      <w:bCs/>
    </w:rPr>
  </w:style>
  <w:style w:type="character" w:customStyle="1" w:styleId="CommentSubjectChar">
    <w:name w:val="Comment Subject Char"/>
    <w:link w:val="CommentSubject"/>
    <w:uiPriority w:val="99"/>
    <w:semiHidden/>
    <w:rsid w:val="00457D69"/>
    <w:rPr>
      <w:b/>
      <w:bCs/>
      <w:sz w:val="20"/>
      <w:szCs w:val="20"/>
    </w:rPr>
  </w:style>
  <w:style w:type="character" w:customStyle="1" w:styleId="ListParagraphChar">
    <w:name w:val="List Paragraph Char"/>
    <w:aliases w:val="List Paragraph1 Char,Recommendation Char,List Paragraph11 Char,L Char,bullet point list Char,Key Message Bullets Char,Bullet List Char,Bullet list Char,Bulletr List Paragraph Char,FooterText Char,List Paragraph2 Char,numbered Char"/>
    <w:link w:val="ListParagraph"/>
    <w:uiPriority w:val="34"/>
    <w:locked/>
    <w:rsid w:val="00515106"/>
  </w:style>
  <w:style w:type="paragraph" w:styleId="FootnoteText">
    <w:name w:val="footnote text"/>
    <w:basedOn w:val="Normal"/>
    <w:link w:val="FootnoteTextChar"/>
    <w:uiPriority w:val="99"/>
    <w:unhideWhenUsed/>
    <w:rsid w:val="00F00C6E"/>
    <w:pPr>
      <w:keepLines/>
      <w:spacing w:after="0" w:line="240" w:lineRule="auto"/>
    </w:pPr>
    <w:rPr>
      <w:rFonts w:ascii="Arial" w:eastAsia="Times New Roman" w:hAnsi="Arial"/>
      <w:sz w:val="20"/>
      <w:szCs w:val="20"/>
    </w:rPr>
  </w:style>
  <w:style w:type="character" w:customStyle="1" w:styleId="FootnoteTextChar">
    <w:name w:val="Footnote Text Char"/>
    <w:link w:val="FootnoteText"/>
    <w:uiPriority w:val="99"/>
    <w:rsid w:val="00F00C6E"/>
    <w:rPr>
      <w:rFonts w:ascii="Arial" w:eastAsia="Times New Roman" w:hAnsi="Arial" w:cs="Times New Roman"/>
      <w:sz w:val="20"/>
      <w:szCs w:val="20"/>
    </w:rPr>
  </w:style>
  <w:style w:type="character" w:styleId="FootnoteReference">
    <w:name w:val="footnote reference"/>
    <w:uiPriority w:val="99"/>
    <w:unhideWhenUsed/>
    <w:rsid w:val="00F00C6E"/>
    <w:rPr>
      <w:vertAlign w:val="superscript"/>
    </w:rPr>
  </w:style>
  <w:style w:type="character" w:styleId="BookTitle">
    <w:name w:val="Book Title"/>
    <w:uiPriority w:val="33"/>
    <w:qFormat/>
    <w:rsid w:val="00F00C6E"/>
    <w:rPr>
      <w:i/>
      <w:iCs/>
      <w:smallCaps/>
      <w:spacing w:val="5"/>
    </w:rPr>
  </w:style>
  <w:style w:type="character" w:styleId="Hyperlink">
    <w:name w:val="Hyperlink"/>
    <w:uiPriority w:val="99"/>
    <w:unhideWhenUsed/>
    <w:rsid w:val="00F00C6E"/>
    <w:rPr>
      <w:color w:val="0563C1"/>
      <w:u w:val="single"/>
    </w:rPr>
  </w:style>
  <w:style w:type="character" w:customStyle="1" w:styleId="Heading1Char">
    <w:name w:val="Heading 1 Char"/>
    <w:link w:val="Heading1"/>
    <w:uiPriority w:val="9"/>
    <w:rsid w:val="008B3E17"/>
    <w:rPr>
      <w:rFonts w:ascii="Calibri Light" w:eastAsia="Times New Roman" w:hAnsi="Calibri Light" w:cs="Times New Roman"/>
      <w:b/>
      <w:bCs/>
      <w:color w:val="2F5496"/>
      <w:sz w:val="28"/>
      <w:szCs w:val="28"/>
    </w:rPr>
  </w:style>
  <w:style w:type="paragraph" w:styleId="Title">
    <w:name w:val="Title"/>
    <w:basedOn w:val="Normal"/>
    <w:next w:val="Normal"/>
    <w:link w:val="TitleChar"/>
    <w:uiPriority w:val="10"/>
    <w:qFormat/>
    <w:rsid w:val="008B3E17"/>
    <w:pPr>
      <w:pBdr>
        <w:bottom w:val="single" w:sz="8" w:space="4" w:color="4472C4"/>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10"/>
    <w:rsid w:val="008B3E17"/>
    <w:rPr>
      <w:rFonts w:ascii="Calibri Light" w:eastAsia="Times New Roman" w:hAnsi="Calibri Light" w:cs="Times New Roman"/>
      <w:color w:val="323E4F"/>
      <w:spacing w:val="5"/>
      <w:kern w:val="28"/>
      <w:sz w:val="52"/>
      <w:szCs w:val="52"/>
    </w:rPr>
  </w:style>
  <w:style w:type="paragraph" w:styleId="BodyText">
    <w:name w:val="Body Text"/>
    <w:basedOn w:val="Normal"/>
    <w:link w:val="BodyTextChar"/>
    <w:unhideWhenUsed/>
    <w:rsid w:val="008B3E17"/>
    <w:pPr>
      <w:tabs>
        <w:tab w:val="left" w:pos="6096"/>
      </w:tabs>
      <w:spacing w:after="0" w:line="240" w:lineRule="auto"/>
      <w:jc w:val="both"/>
    </w:pPr>
    <w:rPr>
      <w:rFonts w:ascii="Arial" w:eastAsia="Times New Roman" w:hAnsi="Arial"/>
      <w:sz w:val="24"/>
      <w:szCs w:val="20"/>
    </w:rPr>
  </w:style>
  <w:style w:type="character" w:customStyle="1" w:styleId="BodyTextChar">
    <w:name w:val="Body Text Char"/>
    <w:link w:val="BodyText"/>
    <w:rsid w:val="008B3E17"/>
    <w:rPr>
      <w:rFonts w:ascii="Arial" w:eastAsia="Times New Roman" w:hAnsi="Arial" w:cs="Times New Roman"/>
      <w:sz w:val="24"/>
      <w:szCs w:val="20"/>
    </w:rPr>
  </w:style>
  <w:style w:type="table" w:styleId="TableGrid">
    <w:name w:val="Table Grid"/>
    <w:basedOn w:val="TableNormal"/>
    <w:uiPriority w:val="59"/>
    <w:rsid w:val="008B3E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8B3E17"/>
    <w:rPr>
      <w:i/>
      <w:iCs/>
    </w:rPr>
  </w:style>
  <w:style w:type="paragraph" w:styleId="Revision">
    <w:name w:val="Revision"/>
    <w:hidden/>
    <w:uiPriority w:val="99"/>
    <w:semiHidden/>
    <w:rsid w:val="0022082E"/>
    <w:rPr>
      <w:sz w:val="22"/>
      <w:szCs w:val="22"/>
      <w:lang w:eastAsia="en-US"/>
    </w:rPr>
  </w:style>
  <w:style w:type="paragraph" w:styleId="TOCHeading">
    <w:name w:val="TOC Heading"/>
    <w:basedOn w:val="Heading1"/>
    <w:next w:val="Normal"/>
    <w:uiPriority w:val="39"/>
    <w:semiHidden/>
    <w:unhideWhenUsed/>
    <w:qFormat/>
    <w:rsid w:val="007F5D08"/>
    <w:pPr>
      <w:outlineLvl w:val="9"/>
    </w:pPr>
    <w:rPr>
      <w:lang w:val="en-US" w:eastAsia="ja-JP"/>
    </w:rPr>
  </w:style>
  <w:style w:type="character" w:customStyle="1" w:styleId="Heading2Char">
    <w:name w:val="Heading 2 Char"/>
    <w:link w:val="Heading2"/>
    <w:uiPriority w:val="9"/>
    <w:rsid w:val="0066558C"/>
    <w:rPr>
      <w:rFonts w:ascii="Calibri Light" w:eastAsia="Times New Roman" w:hAnsi="Calibri Light" w:cs="Times New Roman"/>
      <w:b/>
      <w:bCs/>
      <w:color w:val="4472C4"/>
      <w:sz w:val="26"/>
      <w:szCs w:val="26"/>
    </w:rPr>
  </w:style>
  <w:style w:type="character" w:customStyle="1" w:styleId="Heading3Char">
    <w:name w:val="Heading 3 Char"/>
    <w:link w:val="Heading3"/>
    <w:uiPriority w:val="9"/>
    <w:rsid w:val="00E77312"/>
    <w:rPr>
      <w:rFonts w:ascii="Calibri Light" w:eastAsia="Times New Roman" w:hAnsi="Calibri Light" w:cs="Times New Roman"/>
      <w:b/>
      <w:bCs/>
      <w:color w:val="4472C4"/>
    </w:rPr>
  </w:style>
  <w:style w:type="paragraph" w:styleId="NoSpacing">
    <w:name w:val="No Spacing"/>
    <w:basedOn w:val="Normal"/>
    <w:link w:val="NoSpacingChar"/>
    <w:uiPriority w:val="1"/>
    <w:qFormat/>
    <w:rsid w:val="00662329"/>
    <w:pPr>
      <w:spacing w:after="0" w:line="240" w:lineRule="auto"/>
    </w:pPr>
    <w:rPr>
      <w:rFonts w:ascii="Arial" w:hAnsi="Arial"/>
    </w:rPr>
  </w:style>
  <w:style w:type="character" w:customStyle="1" w:styleId="NoSpacingChar">
    <w:name w:val="No Spacing Char"/>
    <w:link w:val="NoSpacing"/>
    <w:uiPriority w:val="1"/>
    <w:rsid w:val="00662329"/>
    <w:rPr>
      <w:rFonts w:ascii="Arial" w:hAnsi="Arial"/>
    </w:rPr>
  </w:style>
  <w:style w:type="character" w:customStyle="1" w:styleId="Heading5Char">
    <w:name w:val="Heading 5 Char"/>
    <w:link w:val="Heading5"/>
    <w:uiPriority w:val="9"/>
    <w:semiHidden/>
    <w:rsid w:val="00F10216"/>
    <w:rPr>
      <w:rFonts w:ascii="Calibri Light" w:eastAsia="Times New Roman" w:hAnsi="Calibri Light" w:cs="Times New Roman"/>
      <w:color w:val="1F3763"/>
    </w:rPr>
  </w:style>
  <w:style w:type="table" w:styleId="LightShading-Accent5">
    <w:name w:val="Light Shading Accent 5"/>
    <w:basedOn w:val="TableNormal"/>
    <w:uiPriority w:val="60"/>
    <w:rsid w:val="00C6181A"/>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FollowedHyperlink">
    <w:name w:val="FollowedHyperlink"/>
    <w:uiPriority w:val="99"/>
    <w:semiHidden/>
    <w:unhideWhenUsed/>
    <w:rsid w:val="00BC091D"/>
    <w:rPr>
      <w:color w:val="954F72"/>
      <w:u w:val="single"/>
    </w:rPr>
  </w:style>
  <w:style w:type="paragraph" w:customStyle="1" w:styleId="Default">
    <w:name w:val="Default"/>
    <w:rsid w:val="00EC41B8"/>
    <w:pPr>
      <w:autoSpaceDE w:val="0"/>
      <w:autoSpaceDN w:val="0"/>
      <w:adjustRightInd w:val="0"/>
    </w:pPr>
    <w:rPr>
      <w:rFonts w:ascii="HelveticaNeueLT Pro 45 Lt" w:hAnsi="HelveticaNeueLT Pro 45 Lt" w:cs="HelveticaNeueLT Pro 45 Lt"/>
      <w:color w:val="000000"/>
      <w:sz w:val="24"/>
      <w:szCs w:val="24"/>
      <w:lang w:eastAsia="en-US"/>
    </w:rPr>
  </w:style>
  <w:style w:type="paragraph" w:customStyle="1" w:styleId="Indentednumberpara">
    <w:name w:val="Indented number para"/>
    <w:basedOn w:val="Normal"/>
    <w:uiPriority w:val="99"/>
    <w:rsid w:val="00AA34E9"/>
    <w:pPr>
      <w:numPr>
        <w:ilvl w:val="1"/>
        <w:numId w:val="22"/>
      </w:numPr>
      <w:spacing w:after="240" w:line="260" w:lineRule="exact"/>
      <w:jc w:val="both"/>
    </w:pPr>
    <w:rPr>
      <w:rFonts w:ascii="Corbel" w:eastAsia="Times New Roman" w:hAnsi="Corbel" w:cs="Corbel"/>
      <w:color w:val="000000"/>
      <w:sz w:val="23"/>
      <w:szCs w:val="23"/>
      <w:lang w:eastAsia="en-AU"/>
    </w:rPr>
  </w:style>
  <w:style w:type="paragraph" w:customStyle="1" w:styleId="AgreementParties">
    <w:name w:val="AgreementParties"/>
    <w:uiPriority w:val="99"/>
    <w:rsid w:val="00AA34E9"/>
    <w:pPr>
      <w:numPr>
        <w:numId w:val="23"/>
      </w:numPr>
      <w:spacing w:before="120" w:after="120"/>
    </w:pPr>
    <w:rPr>
      <w:rFonts w:eastAsia="Times New Roman" w:cs="Consolas"/>
      <w:sz w:val="24"/>
      <w:szCs w:val="30"/>
      <w:lang w:eastAsia="ja-JP"/>
    </w:rPr>
  </w:style>
  <w:style w:type="table" w:styleId="TableGridLight">
    <w:name w:val="Grid Table Light"/>
    <w:basedOn w:val="TableNormal"/>
    <w:uiPriority w:val="40"/>
    <w:rsid w:val="009C57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0C1B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1BB9"/>
    <w:rPr>
      <w:lang w:eastAsia="en-US"/>
    </w:rPr>
  </w:style>
  <w:style w:type="character" w:styleId="EndnoteReference">
    <w:name w:val="endnote reference"/>
    <w:basedOn w:val="DefaultParagraphFont"/>
    <w:uiPriority w:val="99"/>
    <w:semiHidden/>
    <w:unhideWhenUsed/>
    <w:rsid w:val="000C1B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544">
      <w:bodyDiv w:val="1"/>
      <w:marLeft w:val="0"/>
      <w:marRight w:val="0"/>
      <w:marTop w:val="0"/>
      <w:marBottom w:val="0"/>
      <w:divBdr>
        <w:top w:val="none" w:sz="0" w:space="0" w:color="auto"/>
        <w:left w:val="none" w:sz="0" w:space="0" w:color="auto"/>
        <w:bottom w:val="none" w:sz="0" w:space="0" w:color="auto"/>
        <w:right w:val="none" w:sz="0" w:space="0" w:color="auto"/>
      </w:divBdr>
    </w:div>
    <w:div w:id="38166518">
      <w:bodyDiv w:val="1"/>
      <w:marLeft w:val="0"/>
      <w:marRight w:val="0"/>
      <w:marTop w:val="0"/>
      <w:marBottom w:val="0"/>
      <w:divBdr>
        <w:top w:val="none" w:sz="0" w:space="0" w:color="auto"/>
        <w:left w:val="none" w:sz="0" w:space="0" w:color="auto"/>
        <w:bottom w:val="none" w:sz="0" w:space="0" w:color="auto"/>
        <w:right w:val="none" w:sz="0" w:space="0" w:color="auto"/>
      </w:divBdr>
    </w:div>
    <w:div w:id="40910859">
      <w:bodyDiv w:val="1"/>
      <w:marLeft w:val="0"/>
      <w:marRight w:val="0"/>
      <w:marTop w:val="0"/>
      <w:marBottom w:val="0"/>
      <w:divBdr>
        <w:top w:val="none" w:sz="0" w:space="0" w:color="auto"/>
        <w:left w:val="none" w:sz="0" w:space="0" w:color="auto"/>
        <w:bottom w:val="none" w:sz="0" w:space="0" w:color="auto"/>
        <w:right w:val="none" w:sz="0" w:space="0" w:color="auto"/>
      </w:divBdr>
    </w:div>
    <w:div w:id="85003039">
      <w:bodyDiv w:val="1"/>
      <w:marLeft w:val="0"/>
      <w:marRight w:val="0"/>
      <w:marTop w:val="0"/>
      <w:marBottom w:val="0"/>
      <w:divBdr>
        <w:top w:val="none" w:sz="0" w:space="0" w:color="auto"/>
        <w:left w:val="none" w:sz="0" w:space="0" w:color="auto"/>
        <w:bottom w:val="none" w:sz="0" w:space="0" w:color="auto"/>
        <w:right w:val="none" w:sz="0" w:space="0" w:color="auto"/>
      </w:divBdr>
    </w:div>
    <w:div w:id="182595346">
      <w:bodyDiv w:val="1"/>
      <w:marLeft w:val="0"/>
      <w:marRight w:val="0"/>
      <w:marTop w:val="0"/>
      <w:marBottom w:val="0"/>
      <w:divBdr>
        <w:top w:val="none" w:sz="0" w:space="0" w:color="auto"/>
        <w:left w:val="none" w:sz="0" w:space="0" w:color="auto"/>
        <w:bottom w:val="none" w:sz="0" w:space="0" w:color="auto"/>
        <w:right w:val="none" w:sz="0" w:space="0" w:color="auto"/>
      </w:divBdr>
      <w:divsChild>
        <w:div w:id="1651789309">
          <w:marLeft w:val="0"/>
          <w:marRight w:val="0"/>
          <w:marTop w:val="0"/>
          <w:marBottom w:val="0"/>
          <w:divBdr>
            <w:top w:val="none" w:sz="0" w:space="0" w:color="auto"/>
            <w:left w:val="none" w:sz="0" w:space="0" w:color="auto"/>
            <w:bottom w:val="none" w:sz="0" w:space="0" w:color="auto"/>
            <w:right w:val="none" w:sz="0" w:space="0" w:color="auto"/>
          </w:divBdr>
          <w:divsChild>
            <w:div w:id="570193624">
              <w:marLeft w:val="0"/>
              <w:marRight w:val="0"/>
              <w:marTop w:val="0"/>
              <w:marBottom w:val="0"/>
              <w:divBdr>
                <w:top w:val="none" w:sz="0" w:space="0" w:color="auto"/>
                <w:left w:val="none" w:sz="0" w:space="0" w:color="auto"/>
                <w:bottom w:val="none" w:sz="0" w:space="0" w:color="auto"/>
                <w:right w:val="none" w:sz="0" w:space="0" w:color="auto"/>
              </w:divBdr>
              <w:divsChild>
                <w:div w:id="254748856">
                  <w:marLeft w:val="0"/>
                  <w:marRight w:val="0"/>
                  <w:marTop w:val="0"/>
                  <w:marBottom w:val="0"/>
                  <w:divBdr>
                    <w:top w:val="none" w:sz="0" w:space="0" w:color="auto"/>
                    <w:left w:val="none" w:sz="0" w:space="0" w:color="auto"/>
                    <w:bottom w:val="none" w:sz="0" w:space="0" w:color="auto"/>
                    <w:right w:val="none" w:sz="0" w:space="0" w:color="auto"/>
                  </w:divBdr>
                  <w:divsChild>
                    <w:div w:id="8609165">
                      <w:marLeft w:val="0"/>
                      <w:marRight w:val="0"/>
                      <w:marTop w:val="0"/>
                      <w:marBottom w:val="0"/>
                      <w:divBdr>
                        <w:top w:val="none" w:sz="0" w:space="0" w:color="auto"/>
                        <w:left w:val="none" w:sz="0" w:space="0" w:color="auto"/>
                        <w:bottom w:val="none" w:sz="0" w:space="0" w:color="auto"/>
                        <w:right w:val="none" w:sz="0" w:space="0" w:color="auto"/>
                      </w:divBdr>
                      <w:divsChild>
                        <w:div w:id="317154097">
                          <w:marLeft w:val="0"/>
                          <w:marRight w:val="0"/>
                          <w:marTop w:val="0"/>
                          <w:marBottom w:val="0"/>
                          <w:divBdr>
                            <w:top w:val="none" w:sz="0" w:space="0" w:color="auto"/>
                            <w:left w:val="none" w:sz="0" w:space="0" w:color="auto"/>
                            <w:bottom w:val="none" w:sz="0" w:space="0" w:color="auto"/>
                            <w:right w:val="none" w:sz="0" w:space="0" w:color="auto"/>
                          </w:divBdr>
                          <w:divsChild>
                            <w:div w:id="1299646685">
                              <w:marLeft w:val="0"/>
                              <w:marRight w:val="0"/>
                              <w:marTop w:val="0"/>
                              <w:marBottom w:val="0"/>
                              <w:divBdr>
                                <w:top w:val="none" w:sz="0" w:space="0" w:color="auto"/>
                                <w:left w:val="none" w:sz="0" w:space="0" w:color="auto"/>
                                <w:bottom w:val="none" w:sz="0" w:space="0" w:color="auto"/>
                                <w:right w:val="none" w:sz="0" w:space="0" w:color="auto"/>
                              </w:divBdr>
                              <w:divsChild>
                                <w:div w:id="506360412">
                                  <w:marLeft w:val="0"/>
                                  <w:marRight w:val="0"/>
                                  <w:marTop w:val="0"/>
                                  <w:marBottom w:val="0"/>
                                  <w:divBdr>
                                    <w:top w:val="none" w:sz="0" w:space="0" w:color="auto"/>
                                    <w:left w:val="none" w:sz="0" w:space="0" w:color="auto"/>
                                    <w:bottom w:val="none" w:sz="0" w:space="0" w:color="auto"/>
                                    <w:right w:val="none" w:sz="0" w:space="0" w:color="auto"/>
                                  </w:divBdr>
                                  <w:divsChild>
                                    <w:div w:id="1665235877">
                                      <w:marLeft w:val="0"/>
                                      <w:marRight w:val="0"/>
                                      <w:marTop w:val="0"/>
                                      <w:marBottom w:val="0"/>
                                      <w:divBdr>
                                        <w:top w:val="none" w:sz="0" w:space="0" w:color="auto"/>
                                        <w:left w:val="none" w:sz="0" w:space="0" w:color="auto"/>
                                        <w:bottom w:val="none" w:sz="0" w:space="0" w:color="auto"/>
                                        <w:right w:val="none" w:sz="0" w:space="0" w:color="auto"/>
                                      </w:divBdr>
                                      <w:divsChild>
                                        <w:div w:id="1934315655">
                                          <w:marLeft w:val="0"/>
                                          <w:marRight w:val="0"/>
                                          <w:marTop w:val="0"/>
                                          <w:marBottom w:val="0"/>
                                          <w:divBdr>
                                            <w:top w:val="none" w:sz="0" w:space="0" w:color="auto"/>
                                            <w:left w:val="none" w:sz="0" w:space="0" w:color="auto"/>
                                            <w:bottom w:val="none" w:sz="0" w:space="0" w:color="auto"/>
                                            <w:right w:val="none" w:sz="0" w:space="0" w:color="auto"/>
                                          </w:divBdr>
                                          <w:divsChild>
                                            <w:div w:id="2091466579">
                                              <w:marLeft w:val="0"/>
                                              <w:marRight w:val="0"/>
                                              <w:marTop w:val="0"/>
                                              <w:marBottom w:val="0"/>
                                              <w:divBdr>
                                                <w:top w:val="none" w:sz="0" w:space="0" w:color="auto"/>
                                                <w:left w:val="none" w:sz="0" w:space="0" w:color="auto"/>
                                                <w:bottom w:val="none" w:sz="0" w:space="0" w:color="auto"/>
                                                <w:right w:val="none" w:sz="0" w:space="0" w:color="auto"/>
                                              </w:divBdr>
                                              <w:divsChild>
                                                <w:div w:id="987439913">
                                                  <w:marLeft w:val="0"/>
                                                  <w:marRight w:val="0"/>
                                                  <w:marTop w:val="0"/>
                                                  <w:marBottom w:val="0"/>
                                                  <w:divBdr>
                                                    <w:top w:val="none" w:sz="0" w:space="0" w:color="auto"/>
                                                    <w:left w:val="none" w:sz="0" w:space="0" w:color="auto"/>
                                                    <w:bottom w:val="none" w:sz="0" w:space="0" w:color="auto"/>
                                                    <w:right w:val="none" w:sz="0" w:space="0" w:color="auto"/>
                                                  </w:divBdr>
                                                  <w:divsChild>
                                                    <w:div w:id="173737702">
                                                      <w:marLeft w:val="0"/>
                                                      <w:marRight w:val="0"/>
                                                      <w:marTop w:val="0"/>
                                                      <w:marBottom w:val="0"/>
                                                      <w:divBdr>
                                                        <w:top w:val="none" w:sz="0" w:space="0" w:color="auto"/>
                                                        <w:left w:val="none" w:sz="0" w:space="0" w:color="auto"/>
                                                        <w:bottom w:val="none" w:sz="0" w:space="0" w:color="auto"/>
                                                        <w:right w:val="none" w:sz="0" w:space="0" w:color="auto"/>
                                                      </w:divBdr>
                                                      <w:divsChild>
                                                        <w:div w:id="1682702847">
                                                          <w:marLeft w:val="0"/>
                                                          <w:marRight w:val="0"/>
                                                          <w:marTop w:val="0"/>
                                                          <w:marBottom w:val="0"/>
                                                          <w:divBdr>
                                                            <w:top w:val="none" w:sz="0" w:space="0" w:color="auto"/>
                                                            <w:left w:val="none" w:sz="0" w:space="0" w:color="auto"/>
                                                            <w:bottom w:val="none" w:sz="0" w:space="0" w:color="auto"/>
                                                            <w:right w:val="none" w:sz="0" w:space="0" w:color="auto"/>
                                                          </w:divBdr>
                                                          <w:divsChild>
                                                            <w:div w:id="19565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9855504">
      <w:bodyDiv w:val="1"/>
      <w:marLeft w:val="0"/>
      <w:marRight w:val="0"/>
      <w:marTop w:val="0"/>
      <w:marBottom w:val="0"/>
      <w:divBdr>
        <w:top w:val="none" w:sz="0" w:space="0" w:color="auto"/>
        <w:left w:val="none" w:sz="0" w:space="0" w:color="auto"/>
        <w:bottom w:val="none" w:sz="0" w:space="0" w:color="auto"/>
        <w:right w:val="none" w:sz="0" w:space="0" w:color="auto"/>
      </w:divBdr>
    </w:div>
    <w:div w:id="384180315">
      <w:bodyDiv w:val="1"/>
      <w:marLeft w:val="0"/>
      <w:marRight w:val="0"/>
      <w:marTop w:val="0"/>
      <w:marBottom w:val="0"/>
      <w:divBdr>
        <w:top w:val="none" w:sz="0" w:space="0" w:color="auto"/>
        <w:left w:val="none" w:sz="0" w:space="0" w:color="auto"/>
        <w:bottom w:val="none" w:sz="0" w:space="0" w:color="auto"/>
        <w:right w:val="none" w:sz="0" w:space="0" w:color="auto"/>
      </w:divBdr>
    </w:div>
    <w:div w:id="433210389">
      <w:bodyDiv w:val="1"/>
      <w:marLeft w:val="0"/>
      <w:marRight w:val="0"/>
      <w:marTop w:val="0"/>
      <w:marBottom w:val="0"/>
      <w:divBdr>
        <w:top w:val="none" w:sz="0" w:space="0" w:color="auto"/>
        <w:left w:val="none" w:sz="0" w:space="0" w:color="auto"/>
        <w:bottom w:val="none" w:sz="0" w:space="0" w:color="auto"/>
        <w:right w:val="none" w:sz="0" w:space="0" w:color="auto"/>
      </w:divBdr>
      <w:divsChild>
        <w:div w:id="1624775522">
          <w:marLeft w:val="0"/>
          <w:marRight w:val="0"/>
          <w:marTop w:val="0"/>
          <w:marBottom w:val="0"/>
          <w:divBdr>
            <w:top w:val="none" w:sz="0" w:space="0" w:color="auto"/>
            <w:left w:val="none" w:sz="0" w:space="0" w:color="auto"/>
            <w:bottom w:val="none" w:sz="0" w:space="0" w:color="auto"/>
            <w:right w:val="none" w:sz="0" w:space="0" w:color="auto"/>
          </w:divBdr>
          <w:divsChild>
            <w:div w:id="1714380259">
              <w:marLeft w:val="0"/>
              <w:marRight w:val="0"/>
              <w:marTop w:val="0"/>
              <w:marBottom w:val="0"/>
              <w:divBdr>
                <w:top w:val="none" w:sz="0" w:space="0" w:color="auto"/>
                <w:left w:val="none" w:sz="0" w:space="0" w:color="auto"/>
                <w:bottom w:val="none" w:sz="0" w:space="0" w:color="auto"/>
                <w:right w:val="none" w:sz="0" w:space="0" w:color="auto"/>
              </w:divBdr>
              <w:divsChild>
                <w:div w:id="2073960459">
                  <w:marLeft w:val="0"/>
                  <w:marRight w:val="0"/>
                  <w:marTop w:val="0"/>
                  <w:marBottom w:val="0"/>
                  <w:divBdr>
                    <w:top w:val="none" w:sz="0" w:space="0" w:color="auto"/>
                    <w:left w:val="none" w:sz="0" w:space="0" w:color="auto"/>
                    <w:bottom w:val="none" w:sz="0" w:space="0" w:color="auto"/>
                    <w:right w:val="none" w:sz="0" w:space="0" w:color="auto"/>
                  </w:divBdr>
                  <w:divsChild>
                    <w:div w:id="1491826359">
                      <w:marLeft w:val="0"/>
                      <w:marRight w:val="0"/>
                      <w:marTop w:val="0"/>
                      <w:marBottom w:val="0"/>
                      <w:divBdr>
                        <w:top w:val="none" w:sz="0" w:space="0" w:color="auto"/>
                        <w:left w:val="none" w:sz="0" w:space="0" w:color="auto"/>
                        <w:bottom w:val="none" w:sz="0" w:space="0" w:color="auto"/>
                        <w:right w:val="none" w:sz="0" w:space="0" w:color="auto"/>
                      </w:divBdr>
                      <w:divsChild>
                        <w:div w:id="901908343">
                          <w:marLeft w:val="0"/>
                          <w:marRight w:val="0"/>
                          <w:marTop w:val="0"/>
                          <w:marBottom w:val="0"/>
                          <w:divBdr>
                            <w:top w:val="none" w:sz="0" w:space="0" w:color="auto"/>
                            <w:left w:val="none" w:sz="0" w:space="0" w:color="auto"/>
                            <w:bottom w:val="none" w:sz="0" w:space="0" w:color="auto"/>
                            <w:right w:val="none" w:sz="0" w:space="0" w:color="auto"/>
                          </w:divBdr>
                          <w:divsChild>
                            <w:div w:id="1304308407">
                              <w:marLeft w:val="0"/>
                              <w:marRight w:val="0"/>
                              <w:marTop w:val="0"/>
                              <w:marBottom w:val="0"/>
                              <w:divBdr>
                                <w:top w:val="none" w:sz="0" w:space="0" w:color="auto"/>
                                <w:left w:val="none" w:sz="0" w:space="0" w:color="auto"/>
                                <w:bottom w:val="none" w:sz="0" w:space="0" w:color="auto"/>
                                <w:right w:val="none" w:sz="0" w:space="0" w:color="auto"/>
                              </w:divBdr>
                              <w:divsChild>
                                <w:div w:id="1032725855">
                                  <w:marLeft w:val="0"/>
                                  <w:marRight w:val="0"/>
                                  <w:marTop w:val="0"/>
                                  <w:marBottom w:val="0"/>
                                  <w:divBdr>
                                    <w:top w:val="none" w:sz="0" w:space="0" w:color="auto"/>
                                    <w:left w:val="none" w:sz="0" w:space="0" w:color="auto"/>
                                    <w:bottom w:val="none" w:sz="0" w:space="0" w:color="auto"/>
                                    <w:right w:val="none" w:sz="0" w:space="0" w:color="auto"/>
                                  </w:divBdr>
                                  <w:divsChild>
                                    <w:div w:id="815561685">
                                      <w:marLeft w:val="0"/>
                                      <w:marRight w:val="0"/>
                                      <w:marTop w:val="0"/>
                                      <w:marBottom w:val="0"/>
                                      <w:divBdr>
                                        <w:top w:val="none" w:sz="0" w:space="0" w:color="auto"/>
                                        <w:left w:val="none" w:sz="0" w:space="0" w:color="auto"/>
                                        <w:bottom w:val="none" w:sz="0" w:space="0" w:color="auto"/>
                                        <w:right w:val="none" w:sz="0" w:space="0" w:color="auto"/>
                                      </w:divBdr>
                                      <w:divsChild>
                                        <w:div w:id="1001783310">
                                          <w:marLeft w:val="0"/>
                                          <w:marRight w:val="0"/>
                                          <w:marTop w:val="0"/>
                                          <w:marBottom w:val="0"/>
                                          <w:divBdr>
                                            <w:top w:val="none" w:sz="0" w:space="0" w:color="auto"/>
                                            <w:left w:val="none" w:sz="0" w:space="0" w:color="auto"/>
                                            <w:bottom w:val="none" w:sz="0" w:space="0" w:color="auto"/>
                                            <w:right w:val="none" w:sz="0" w:space="0" w:color="auto"/>
                                          </w:divBdr>
                                          <w:divsChild>
                                            <w:div w:id="1203983481">
                                              <w:marLeft w:val="0"/>
                                              <w:marRight w:val="0"/>
                                              <w:marTop w:val="0"/>
                                              <w:marBottom w:val="0"/>
                                              <w:divBdr>
                                                <w:top w:val="none" w:sz="0" w:space="0" w:color="auto"/>
                                                <w:left w:val="none" w:sz="0" w:space="0" w:color="auto"/>
                                                <w:bottom w:val="none" w:sz="0" w:space="0" w:color="auto"/>
                                                <w:right w:val="none" w:sz="0" w:space="0" w:color="auto"/>
                                              </w:divBdr>
                                              <w:divsChild>
                                                <w:div w:id="190261866">
                                                  <w:marLeft w:val="0"/>
                                                  <w:marRight w:val="0"/>
                                                  <w:marTop w:val="0"/>
                                                  <w:marBottom w:val="0"/>
                                                  <w:divBdr>
                                                    <w:top w:val="none" w:sz="0" w:space="0" w:color="auto"/>
                                                    <w:left w:val="none" w:sz="0" w:space="0" w:color="auto"/>
                                                    <w:bottom w:val="none" w:sz="0" w:space="0" w:color="auto"/>
                                                    <w:right w:val="none" w:sz="0" w:space="0" w:color="auto"/>
                                                  </w:divBdr>
                                                  <w:divsChild>
                                                    <w:div w:id="2042128495">
                                                      <w:marLeft w:val="0"/>
                                                      <w:marRight w:val="0"/>
                                                      <w:marTop w:val="0"/>
                                                      <w:marBottom w:val="0"/>
                                                      <w:divBdr>
                                                        <w:top w:val="none" w:sz="0" w:space="0" w:color="auto"/>
                                                        <w:left w:val="none" w:sz="0" w:space="0" w:color="auto"/>
                                                        <w:bottom w:val="none" w:sz="0" w:space="0" w:color="auto"/>
                                                        <w:right w:val="none" w:sz="0" w:space="0" w:color="auto"/>
                                                      </w:divBdr>
                                                      <w:divsChild>
                                                        <w:div w:id="1365055760">
                                                          <w:marLeft w:val="0"/>
                                                          <w:marRight w:val="0"/>
                                                          <w:marTop w:val="0"/>
                                                          <w:marBottom w:val="0"/>
                                                          <w:divBdr>
                                                            <w:top w:val="none" w:sz="0" w:space="0" w:color="auto"/>
                                                            <w:left w:val="none" w:sz="0" w:space="0" w:color="auto"/>
                                                            <w:bottom w:val="none" w:sz="0" w:space="0" w:color="auto"/>
                                                            <w:right w:val="none" w:sz="0" w:space="0" w:color="auto"/>
                                                          </w:divBdr>
                                                          <w:divsChild>
                                                            <w:div w:id="5349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9396287">
      <w:bodyDiv w:val="1"/>
      <w:marLeft w:val="0"/>
      <w:marRight w:val="0"/>
      <w:marTop w:val="0"/>
      <w:marBottom w:val="0"/>
      <w:divBdr>
        <w:top w:val="none" w:sz="0" w:space="0" w:color="auto"/>
        <w:left w:val="none" w:sz="0" w:space="0" w:color="auto"/>
        <w:bottom w:val="none" w:sz="0" w:space="0" w:color="auto"/>
        <w:right w:val="none" w:sz="0" w:space="0" w:color="auto"/>
      </w:divBdr>
    </w:div>
    <w:div w:id="474225981">
      <w:bodyDiv w:val="1"/>
      <w:marLeft w:val="0"/>
      <w:marRight w:val="0"/>
      <w:marTop w:val="0"/>
      <w:marBottom w:val="0"/>
      <w:divBdr>
        <w:top w:val="none" w:sz="0" w:space="0" w:color="auto"/>
        <w:left w:val="none" w:sz="0" w:space="0" w:color="auto"/>
        <w:bottom w:val="none" w:sz="0" w:space="0" w:color="auto"/>
        <w:right w:val="none" w:sz="0" w:space="0" w:color="auto"/>
      </w:divBdr>
      <w:divsChild>
        <w:div w:id="1179271834">
          <w:marLeft w:val="0"/>
          <w:marRight w:val="0"/>
          <w:marTop w:val="0"/>
          <w:marBottom w:val="0"/>
          <w:divBdr>
            <w:top w:val="none" w:sz="0" w:space="0" w:color="auto"/>
            <w:left w:val="none" w:sz="0" w:space="0" w:color="auto"/>
            <w:bottom w:val="none" w:sz="0" w:space="0" w:color="auto"/>
            <w:right w:val="none" w:sz="0" w:space="0" w:color="auto"/>
          </w:divBdr>
          <w:divsChild>
            <w:div w:id="1092973841">
              <w:marLeft w:val="0"/>
              <w:marRight w:val="0"/>
              <w:marTop w:val="0"/>
              <w:marBottom w:val="0"/>
              <w:divBdr>
                <w:top w:val="none" w:sz="0" w:space="0" w:color="auto"/>
                <w:left w:val="none" w:sz="0" w:space="0" w:color="auto"/>
                <w:bottom w:val="none" w:sz="0" w:space="0" w:color="auto"/>
                <w:right w:val="none" w:sz="0" w:space="0" w:color="auto"/>
              </w:divBdr>
              <w:divsChild>
                <w:div w:id="341398032">
                  <w:marLeft w:val="0"/>
                  <w:marRight w:val="0"/>
                  <w:marTop w:val="0"/>
                  <w:marBottom w:val="0"/>
                  <w:divBdr>
                    <w:top w:val="none" w:sz="0" w:space="0" w:color="auto"/>
                    <w:left w:val="none" w:sz="0" w:space="0" w:color="auto"/>
                    <w:bottom w:val="none" w:sz="0" w:space="0" w:color="auto"/>
                    <w:right w:val="none" w:sz="0" w:space="0" w:color="auto"/>
                  </w:divBdr>
                  <w:divsChild>
                    <w:div w:id="1075661523">
                      <w:marLeft w:val="0"/>
                      <w:marRight w:val="0"/>
                      <w:marTop w:val="0"/>
                      <w:marBottom w:val="0"/>
                      <w:divBdr>
                        <w:top w:val="none" w:sz="0" w:space="0" w:color="auto"/>
                        <w:left w:val="none" w:sz="0" w:space="0" w:color="auto"/>
                        <w:bottom w:val="none" w:sz="0" w:space="0" w:color="auto"/>
                        <w:right w:val="none" w:sz="0" w:space="0" w:color="auto"/>
                      </w:divBdr>
                      <w:divsChild>
                        <w:div w:id="1483346270">
                          <w:marLeft w:val="0"/>
                          <w:marRight w:val="0"/>
                          <w:marTop w:val="0"/>
                          <w:marBottom w:val="0"/>
                          <w:divBdr>
                            <w:top w:val="none" w:sz="0" w:space="0" w:color="auto"/>
                            <w:left w:val="none" w:sz="0" w:space="0" w:color="auto"/>
                            <w:bottom w:val="none" w:sz="0" w:space="0" w:color="auto"/>
                            <w:right w:val="none" w:sz="0" w:space="0" w:color="auto"/>
                          </w:divBdr>
                          <w:divsChild>
                            <w:div w:id="2146659161">
                              <w:marLeft w:val="0"/>
                              <w:marRight w:val="0"/>
                              <w:marTop w:val="0"/>
                              <w:marBottom w:val="0"/>
                              <w:divBdr>
                                <w:top w:val="none" w:sz="0" w:space="0" w:color="auto"/>
                                <w:left w:val="none" w:sz="0" w:space="0" w:color="auto"/>
                                <w:bottom w:val="none" w:sz="0" w:space="0" w:color="auto"/>
                                <w:right w:val="none" w:sz="0" w:space="0" w:color="auto"/>
                              </w:divBdr>
                              <w:divsChild>
                                <w:div w:id="456483997">
                                  <w:marLeft w:val="0"/>
                                  <w:marRight w:val="0"/>
                                  <w:marTop w:val="0"/>
                                  <w:marBottom w:val="0"/>
                                  <w:divBdr>
                                    <w:top w:val="none" w:sz="0" w:space="0" w:color="auto"/>
                                    <w:left w:val="none" w:sz="0" w:space="0" w:color="auto"/>
                                    <w:bottom w:val="none" w:sz="0" w:space="0" w:color="auto"/>
                                    <w:right w:val="none" w:sz="0" w:space="0" w:color="auto"/>
                                  </w:divBdr>
                                  <w:divsChild>
                                    <w:div w:id="1864785724">
                                      <w:marLeft w:val="0"/>
                                      <w:marRight w:val="0"/>
                                      <w:marTop w:val="0"/>
                                      <w:marBottom w:val="0"/>
                                      <w:divBdr>
                                        <w:top w:val="none" w:sz="0" w:space="0" w:color="auto"/>
                                        <w:left w:val="none" w:sz="0" w:space="0" w:color="auto"/>
                                        <w:bottom w:val="none" w:sz="0" w:space="0" w:color="auto"/>
                                        <w:right w:val="none" w:sz="0" w:space="0" w:color="auto"/>
                                      </w:divBdr>
                                      <w:divsChild>
                                        <w:div w:id="1809859935">
                                          <w:marLeft w:val="0"/>
                                          <w:marRight w:val="0"/>
                                          <w:marTop w:val="0"/>
                                          <w:marBottom w:val="0"/>
                                          <w:divBdr>
                                            <w:top w:val="none" w:sz="0" w:space="0" w:color="auto"/>
                                            <w:left w:val="none" w:sz="0" w:space="0" w:color="auto"/>
                                            <w:bottom w:val="none" w:sz="0" w:space="0" w:color="auto"/>
                                            <w:right w:val="none" w:sz="0" w:space="0" w:color="auto"/>
                                          </w:divBdr>
                                          <w:divsChild>
                                            <w:div w:id="93787370">
                                              <w:marLeft w:val="0"/>
                                              <w:marRight w:val="0"/>
                                              <w:marTop w:val="0"/>
                                              <w:marBottom w:val="0"/>
                                              <w:divBdr>
                                                <w:top w:val="none" w:sz="0" w:space="0" w:color="auto"/>
                                                <w:left w:val="none" w:sz="0" w:space="0" w:color="auto"/>
                                                <w:bottom w:val="none" w:sz="0" w:space="0" w:color="auto"/>
                                                <w:right w:val="none" w:sz="0" w:space="0" w:color="auto"/>
                                              </w:divBdr>
                                              <w:divsChild>
                                                <w:div w:id="476648993">
                                                  <w:marLeft w:val="0"/>
                                                  <w:marRight w:val="0"/>
                                                  <w:marTop w:val="0"/>
                                                  <w:marBottom w:val="0"/>
                                                  <w:divBdr>
                                                    <w:top w:val="none" w:sz="0" w:space="0" w:color="auto"/>
                                                    <w:left w:val="none" w:sz="0" w:space="0" w:color="auto"/>
                                                    <w:bottom w:val="none" w:sz="0" w:space="0" w:color="auto"/>
                                                    <w:right w:val="none" w:sz="0" w:space="0" w:color="auto"/>
                                                  </w:divBdr>
                                                  <w:divsChild>
                                                    <w:div w:id="1256742092">
                                                      <w:marLeft w:val="0"/>
                                                      <w:marRight w:val="0"/>
                                                      <w:marTop w:val="0"/>
                                                      <w:marBottom w:val="0"/>
                                                      <w:divBdr>
                                                        <w:top w:val="none" w:sz="0" w:space="0" w:color="auto"/>
                                                        <w:left w:val="none" w:sz="0" w:space="0" w:color="auto"/>
                                                        <w:bottom w:val="none" w:sz="0" w:space="0" w:color="auto"/>
                                                        <w:right w:val="none" w:sz="0" w:space="0" w:color="auto"/>
                                                      </w:divBdr>
                                                      <w:divsChild>
                                                        <w:div w:id="138235761">
                                                          <w:marLeft w:val="0"/>
                                                          <w:marRight w:val="0"/>
                                                          <w:marTop w:val="0"/>
                                                          <w:marBottom w:val="0"/>
                                                          <w:divBdr>
                                                            <w:top w:val="none" w:sz="0" w:space="0" w:color="auto"/>
                                                            <w:left w:val="none" w:sz="0" w:space="0" w:color="auto"/>
                                                            <w:bottom w:val="none" w:sz="0" w:space="0" w:color="auto"/>
                                                            <w:right w:val="none" w:sz="0" w:space="0" w:color="auto"/>
                                                          </w:divBdr>
                                                          <w:divsChild>
                                                            <w:div w:id="11552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3906003">
      <w:bodyDiv w:val="1"/>
      <w:marLeft w:val="0"/>
      <w:marRight w:val="0"/>
      <w:marTop w:val="0"/>
      <w:marBottom w:val="0"/>
      <w:divBdr>
        <w:top w:val="none" w:sz="0" w:space="0" w:color="auto"/>
        <w:left w:val="none" w:sz="0" w:space="0" w:color="auto"/>
        <w:bottom w:val="none" w:sz="0" w:space="0" w:color="auto"/>
        <w:right w:val="none" w:sz="0" w:space="0" w:color="auto"/>
      </w:divBdr>
      <w:divsChild>
        <w:div w:id="1018199326">
          <w:marLeft w:val="0"/>
          <w:marRight w:val="0"/>
          <w:marTop w:val="240"/>
          <w:marBottom w:val="480"/>
          <w:divBdr>
            <w:top w:val="none" w:sz="0" w:space="0" w:color="auto"/>
            <w:left w:val="none" w:sz="0" w:space="0" w:color="auto"/>
            <w:bottom w:val="none" w:sz="0" w:space="0" w:color="auto"/>
            <w:right w:val="none" w:sz="0" w:space="0" w:color="auto"/>
          </w:divBdr>
          <w:divsChild>
            <w:div w:id="950625926">
              <w:marLeft w:val="0"/>
              <w:marRight w:val="0"/>
              <w:marTop w:val="0"/>
              <w:marBottom w:val="0"/>
              <w:divBdr>
                <w:top w:val="none" w:sz="0" w:space="0" w:color="auto"/>
                <w:left w:val="none" w:sz="0" w:space="0" w:color="auto"/>
                <w:bottom w:val="none" w:sz="0" w:space="0" w:color="auto"/>
                <w:right w:val="none" w:sz="0" w:space="0" w:color="auto"/>
              </w:divBdr>
              <w:divsChild>
                <w:div w:id="162864625">
                  <w:marLeft w:val="0"/>
                  <w:marRight w:val="0"/>
                  <w:marTop w:val="0"/>
                  <w:marBottom w:val="0"/>
                  <w:divBdr>
                    <w:top w:val="none" w:sz="0" w:space="0" w:color="auto"/>
                    <w:left w:val="none" w:sz="0" w:space="0" w:color="auto"/>
                    <w:bottom w:val="none" w:sz="0" w:space="0" w:color="auto"/>
                    <w:right w:val="none" w:sz="0" w:space="0" w:color="auto"/>
                  </w:divBdr>
                  <w:divsChild>
                    <w:div w:id="1723358498">
                      <w:marLeft w:val="0"/>
                      <w:marRight w:val="0"/>
                      <w:marTop w:val="0"/>
                      <w:marBottom w:val="0"/>
                      <w:divBdr>
                        <w:top w:val="none" w:sz="0" w:space="0" w:color="auto"/>
                        <w:left w:val="none" w:sz="0" w:space="0" w:color="auto"/>
                        <w:bottom w:val="none" w:sz="0" w:space="0" w:color="auto"/>
                        <w:right w:val="none" w:sz="0" w:space="0" w:color="auto"/>
                      </w:divBdr>
                      <w:divsChild>
                        <w:div w:id="310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82320">
      <w:bodyDiv w:val="1"/>
      <w:marLeft w:val="0"/>
      <w:marRight w:val="0"/>
      <w:marTop w:val="0"/>
      <w:marBottom w:val="0"/>
      <w:divBdr>
        <w:top w:val="none" w:sz="0" w:space="0" w:color="auto"/>
        <w:left w:val="none" w:sz="0" w:space="0" w:color="auto"/>
        <w:bottom w:val="none" w:sz="0" w:space="0" w:color="auto"/>
        <w:right w:val="none" w:sz="0" w:space="0" w:color="auto"/>
      </w:divBdr>
      <w:divsChild>
        <w:div w:id="6294116">
          <w:marLeft w:val="0"/>
          <w:marRight w:val="0"/>
          <w:marTop w:val="0"/>
          <w:marBottom w:val="0"/>
          <w:divBdr>
            <w:top w:val="none" w:sz="0" w:space="0" w:color="auto"/>
            <w:left w:val="none" w:sz="0" w:space="0" w:color="auto"/>
            <w:bottom w:val="none" w:sz="0" w:space="0" w:color="auto"/>
            <w:right w:val="none" w:sz="0" w:space="0" w:color="auto"/>
          </w:divBdr>
          <w:divsChild>
            <w:div w:id="1267230510">
              <w:marLeft w:val="0"/>
              <w:marRight w:val="0"/>
              <w:marTop w:val="0"/>
              <w:marBottom w:val="0"/>
              <w:divBdr>
                <w:top w:val="none" w:sz="0" w:space="0" w:color="auto"/>
                <w:left w:val="none" w:sz="0" w:space="0" w:color="auto"/>
                <w:bottom w:val="none" w:sz="0" w:space="0" w:color="auto"/>
                <w:right w:val="none" w:sz="0" w:space="0" w:color="auto"/>
              </w:divBdr>
              <w:divsChild>
                <w:div w:id="542058547">
                  <w:marLeft w:val="0"/>
                  <w:marRight w:val="0"/>
                  <w:marTop w:val="0"/>
                  <w:marBottom w:val="0"/>
                  <w:divBdr>
                    <w:top w:val="none" w:sz="0" w:space="0" w:color="auto"/>
                    <w:left w:val="none" w:sz="0" w:space="0" w:color="auto"/>
                    <w:bottom w:val="none" w:sz="0" w:space="0" w:color="auto"/>
                    <w:right w:val="none" w:sz="0" w:space="0" w:color="auto"/>
                  </w:divBdr>
                  <w:divsChild>
                    <w:div w:id="107966840">
                      <w:marLeft w:val="0"/>
                      <w:marRight w:val="0"/>
                      <w:marTop w:val="0"/>
                      <w:marBottom w:val="0"/>
                      <w:divBdr>
                        <w:top w:val="none" w:sz="0" w:space="0" w:color="auto"/>
                        <w:left w:val="none" w:sz="0" w:space="0" w:color="auto"/>
                        <w:bottom w:val="none" w:sz="0" w:space="0" w:color="auto"/>
                        <w:right w:val="none" w:sz="0" w:space="0" w:color="auto"/>
                      </w:divBdr>
                      <w:divsChild>
                        <w:div w:id="2077311591">
                          <w:marLeft w:val="0"/>
                          <w:marRight w:val="0"/>
                          <w:marTop w:val="0"/>
                          <w:marBottom w:val="0"/>
                          <w:divBdr>
                            <w:top w:val="none" w:sz="0" w:space="0" w:color="auto"/>
                            <w:left w:val="none" w:sz="0" w:space="0" w:color="auto"/>
                            <w:bottom w:val="none" w:sz="0" w:space="0" w:color="auto"/>
                            <w:right w:val="none" w:sz="0" w:space="0" w:color="auto"/>
                          </w:divBdr>
                          <w:divsChild>
                            <w:div w:id="349137574">
                              <w:marLeft w:val="0"/>
                              <w:marRight w:val="0"/>
                              <w:marTop w:val="0"/>
                              <w:marBottom w:val="0"/>
                              <w:divBdr>
                                <w:top w:val="none" w:sz="0" w:space="0" w:color="auto"/>
                                <w:left w:val="none" w:sz="0" w:space="0" w:color="auto"/>
                                <w:bottom w:val="none" w:sz="0" w:space="0" w:color="auto"/>
                                <w:right w:val="none" w:sz="0" w:space="0" w:color="auto"/>
                              </w:divBdr>
                              <w:divsChild>
                                <w:div w:id="1651329039">
                                  <w:marLeft w:val="0"/>
                                  <w:marRight w:val="0"/>
                                  <w:marTop w:val="0"/>
                                  <w:marBottom w:val="0"/>
                                  <w:divBdr>
                                    <w:top w:val="none" w:sz="0" w:space="0" w:color="auto"/>
                                    <w:left w:val="none" w:sz="0" w:space="0" w:color="auto"/>
                                    <w:bottom w:val="none" w:sz="0" w:space="0" w:color="auto"/>
                                    <w:right w:val="none" w:sz="0" w:space="0" w:color="auto"/>
                                  </w:divBdr>
                                  <w:divsChild>
                                    <w:div w:id="640422025">
                                      <w:marLeft w:val="0"/>
                                      <w:marRight w:val="0"/>
                                      <w:marTop w:val="0"/>
                                      <w:marBottom w:val="0"/>
                                      <w:divBdr>
                                        <w:top w:val="none" w:sz="0" w:space="0" w:color="auto"/>
                                        <w:left w:val="none" w:sz="0" w:space="0" w:color="auto"/>
                                        <w:bottom w:val="none" w:sz="0" w:space="0" w:color="auto"/>
                                        <w:right w:val="none" w:sz="0" w:space="0" w:color="auto"/>
                                      </w:divBdr>
                                      <w:divsChild>
                                        <w:div w:id="539436309">
                                          <w:marLeft w:val="0"/>
                                          <w:marRight w:val="0"/>
                                          <w:marTop w:val="0"/>
                                          <w:marBottom w:val="0"/>
                                          <w:divBdr>
                                            <w:top w:val="none" w:sz="0" w:space="0" w:color="auto"/>
                                            <w:left w:val="none" w:sz="0" w:space="0" w:color="auto"/>
                                            <w:bottom w:val="none" w:sz="0" w:space="0" w:color="auto"/>
                                            <w:right w:val="none" w:sz="0" w:space="0" w:color="auto"/>
                                          </w:divBdr>
                                          <w:divsChild>
                                            <w:div w:id="1459958682">
                                              <w:marLeft w:val="0"/>
                                              <w:marRight w:val="0"/>
                                              <w:marTop w:val="0"/>
                                              <w:marBottom w:val="0"/>
                                              <w:divBdr>
                                                <w:top w:val="none" w:sz="0" w:space="0" w:color="auto"/>
                                                <w:left w:val="none" w:sz="0" w:space="0" w:color="auto"/>
                                                <w:bottom w:val="none" w:sz="0" w:space="0" w:color="auto"/>
                                                <w:right w:val="none" w:sz="0" w:space="0" w:color="auto"/>
                                              </w:divBdr>
                                              <w:divsChild>
                                                <w:div w:id="1342927435">
                                                  <w:marLeft w:val="0"/>
                                                  <w:marRight w:val="0"/>
                                                  <w:marTop w:val="0"/>
                                                  <w:marBottom w:val="0"/>
                                                  <w:divBdr>
                                                    <w:top w:val="none" w:sz="0" w:space="0" w:color="auto"/>
                                                    <w:left w:val="none" w:sz="0" w:space="0" w:color="auto"/>
                                                    <w:bottom w:val="none" w:sz="0" w:space="0" w:color="auto"/>
                                                    <w:right w:val="none" w:sz="0" w:space="0" w:color="auto"/>
                                                  </w:divBdr>
                                                  <w:divsChild>
                                                    <w:div w:id="2142569915">
                                                      <w:marLeft w:val="0"/>
                                                      <w:marRight w:val="0"/>
                                                      <w:marTop w:val="0"/>
                                                      <w:marBottom w:val="0"/>
                                                      <w:divBdr>
                                                        <w:top w:val="none" w:sz="0" w:space="0" w:color="auto"/>
                                                        <w:left w:val="none" w:sz="0" w:space="0" w:color="auto"/>
                                                        <w:bottom w:val="none" w:sz="0" w:space="0" w:color="auto"/>
                                                        <w:right w:val="none" w:sz="0" w:space="0" w:color="auto"/>
                                                      </w:divBdr>
                                                      <w:divsChild>
                                                        <w:div w:id="221865778">
                                                          <w:marLeft w:val="0"/>
                                                          <w:marRight w:val="0"/>
                                                          <w:marTop w:val="0"/>
                                                          <w:marBottom w:val="0"/>
                                                          <w:divBdr>
                                                            <w:top w:val="none" w:sz="0" w:space="0" w:color="auto"/>
                                                            <w:left w:val="none" w:sz="0" w:space="0" w:color="auto"/>
                                                            <w:bottom w:val="none" w:sz="0" w:space="0" w:color="auto"/>
                                                            <w:right w:val="none" w:sz="0" w:space="0" w:color="auto"/>
                                                          </w:divBdr>
                                                          <w:divsChild>
                                                            <w:div w:id="16591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9903366">
      <w:bodyDiv w:val="1"/>
      <w:marLeft w:val="0"/>
      <w:marRight w:val="0"/>
      <w:marTop w:val="0"/>
      <w:marBottom w:val="0"/>
      <w:divBdr>
        <w:top w:val="none" w:sz="0" w:space="0" w:color="auto"/>
        <w:left w:val="none" w:sz="0" w:space="0" w:color="auto"/>
        <w:bottom w:val="none" w:sz="0" w:space="0" w:color="auto"/>
        <w:right w:val="none" w:sz="0" w:space="0" w:color="auto"/>
      </w:divBdr>
    </w:div>
    <w:div w:id="920062311">
      <w:bodyDiv w:val="1"/>
      <w:marLeft w:val="0"/>
      <w:marRight w:val="0"/>
      <w:marTop w:val="0"/>
      <w:marBottom w:val="0"/>
      <w:divBdr>
        <w:top w:val="none" w:sz="0" w:space="0" w:color="auto"/>
        <w:left w:val="none" w:sz="0" w:space="0" w:color="auto"/>
        <w:bottom w:val="none" w:sz="0" w:space="0" w:color="auto"/>
        <w:right w:val="none" w:sz="0" w:space="0" w:color="auto"/>
      </w:divBdr>
    </w:div>
    <w:div w:id="1068961514">
      <w:bodyDiv w:val="1"/>
      <w:marLeft w:val="0"/>
      <w:marRight w:val="0"/>
      <w:marTop w:val="0"/>
      <w:marBottom w:val="0"/>
      <w:divBdr>
        <w:top w:val="none" w:sz="0" w:space="0" w:color="auto"/>
        <w:left w:val="none" w:sz="0" w:space="0" w:color="auto"/>
        <w:bottom w:val="none" w:sz="0" w:space="0" w:color="auto"/>
        <w:right w:val="none" w:sz="0" w:space="0" w:color="auto"/>
      </w:divBdr>
      <w:divsChild>
        <w:div w:id="1211267029">
          <w:marLeft w:val="0"/>
          <w:marRight w:val="0"/>
          <w:marTop w:val="240"/>
          <w:marBottom w:val="480"/>
          <w:divBdr>
            <w:top w:val="none" w:sz="0" w:space="0" w:color="auto"/>
            <w:left w:val="none" w:sz="0" w:space="0" w:color="auto"/>
            <w:bottom w:val="none" w:sz="0" w:space="0" w:color="auto"/>
            <w:right w:val="none" w:sz="0" w:space="0" w:color="auto"/>
          </w:divBdr>
          <w:divsChild>
            <w:div w:id="2029333449">
              <w:marLeft w:val="0"/>
              <w:marRight w:val="0"/>
              <w:marTop w:val="0"/>
              <w:marBottom w:val="0"/>
              <w:divBdr>
                <w:top w:val="none" w:sz="0" w:space="0" w:color="auto"/>
                <w:left w:val="none" w:sz="0" w:space="0" w:color="auto"/>
                <w:bottom w:val="none" w:sz="0" w:space="0" w:color="auto"/>
                <w:right w:val="none" w:sz="0" w:space="0" w:color="auto"/>
              </w:divBdr>
              <w:divsChild>
                <w:div w:id="336155774">
                  <w:marLeft w:val="0"/>
                  <w:marRight w:val="0"/>
                  <w:marTop w:val="0"/>
                  <w:marBottom w:val="0"/>
                  <w:divBdr>
                    <w:top w:val="none" w:sz="0" w:space="0" w:color="auto"/>
                    <w:left w:val="none" w:sz="0" w:space="0" w:color="auto"/>
                    <w:bottom w:val="none" w:sz="0" w:space="0" w:color="auto"/>
                    <w:right w:val="none" w:sz="0" w:space="0" w:color="auto"/>
                  </w:divBdr>
                  <w:divsChild>
                    <w:div w:id="1817648828">
                      <w:marLeft w:val="0"/>
                      <w:marRight w:val="0"/>
                      <w:marTop w:val="0"/>
                      <w:marBottom w:val="0"/>
                      <w:divBdr>
                        <w:top w:val="none" w:sz="0" w:space="0" w:color="auto"/>
                        <w:left w:val="none" w:sz="0" w:space="0" w:color="auto"/>
                        <w:bottom w:val="none" w:sz="0" w:space="0" w:color="auto"/>
                        <w:right w:val="none" w:sz="0" w:space="0" w:color="auto"/>
                      </w:divBdr>
                      <w:divsChild>
                        <w:div w:id="14136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571529">
      <w:bodyDiv w:val="1"/>
      <w:marLeft w:val="0"/>
      <w:marRight w:val="0"/>
      <w:marTop w:val="0"/>
      <w:marBottom w:val="0"/>
      <w:divBdr>
        <w:top w:val="none" w:sz="0" w:space="0" w:color="auto"/>
        <w:left w:val="none" w:sz="0" w:space="0" w:color="auto"/>
        <w:bottom w:val="none" w:sz="0" w:space="0" w:color="auto"/>
        <w:right w:val="none" w:sz="0" w:space="0" w:color="auto"/>
      </w:divBdr>
    </w:div>
    <w:div w:id="1104960228">
      <w:bodyDiv w:val="1"/>
      <w:marLeft w:val="0"/>
      <w:marRight w:val="0"/>
      <w:marTop w:val="0"/>
      <w:marBottom w:val="0"/>
      <w:divBdr>
        <w:top w:val="none" w:sz="0" w:space="0" w:color="auto"/>
        <w:left w:val="none" w:sz="0" w:space="0" w:color="auto"/>
        <w:bottom w:val="none" w:sz="0" w:space="0" w:color="auto"/>
        <w:right w:val="none" w:sz="0" w:space="0" w:color="auto"/>
      </w:divBdr>
    </w:div>
    <w:div w:id="1228342874">
      <w:bodyDiv w:val="1"/>
      <w:marLeft w:val="0"/>
      <w:marRight w:val="0"/>
      <w:marTop w:val="0"/>
      <w:marBottom w:val="0"/>
      <w:divBdr>
        <w:top w:val="none" w:sz="0" w:space="0" w:color="auto"/>
        <w:left w:val="none" w:sz="0" w:space="0" w:color="auto"/>
        <w:bottom w:val="none" w:sz="0" w:space="0" w:color="auto"/>
        <w:right w:val="none" w:sz="0" w:space="0" w:color="auto"/>
      </w:divBdr>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
    <w:div w:id="1452632159">
      <w:bodyDiv w:val="1"/>
      <w:marLeft w:val="0"/>
      <w:marRight w:val="0"/>
      <w:marTop w:val="0"/>
      <w:marBottom w:val="0"/>
      <w:divBdr>
        <w:top w:val="none" w:sz="0" w:space="0" w:color="auto"/>
        <w:left w:val="none" w:sz="0" w:space="0" w:color="auto"/>
        <w:bottom w:val="none" w:sz="0" w:space="0" w:color="auto"/>
        <w:right w:val="none" w:sz="0" w:space="0" w:color="auto"/>
      </w:divBdr>
    </w:div>
    <w:div w:id="1587222983">
      <w:bodyDiv w:val="1"/>
      <w:marLeft w:val="0"/>
      <w:marRight w:val="0"/>
      <w:marTop w:val="0"/>
      <w:marBottom w:val="0"/>
      <w:divBdr>
        <w:top w:val="none" w:sz="0" w:space="0" w:color="auto"/>
        <w:left w:val="none" w:sz="0" w:space="0" w:color="auto"/>
        <w:bottom w:val="none" w:sz="0" w:space="0" w:color="auto"/>
        <w:right w:val="none" w:sz="0" w:space="0" w:color="auto"/>
      </w:divBdr>
      <w:divsChild>
        <w:div w:id="900747162">
          <w:marLeft w:val="0"/>
          <w:marRight w:val="0"/>
          <w:marTop w:val="0"/>
          <w:marBottom w:val="0"/>
          <w:divBdr>
            <w:top w:val="none" w:sz="0" w:space="0" w:color="auto"/>
            <w:left w:val="none" w:sz="0" w:space="0" w:color="auto"/>
            <w:bottom w:val="none" w:sz="0" w:space="0" w:color="auto"/>
            <w:right w:val="none" w:sz="0" w:space="0" w:color="auto"/>
          </w:divBdr>
          <w:divsChild>
            <w:div w:id="132529001">
              <w:marLeft w:val="0"/>
              <w:marRight w:val="0"/>
              <w:marTop w:val="0"/>
              <w:marBottom w:val="0"/>
              <w:divBdr>
                <w:top w:val="none" w:sz="0" w:space="0" w:color="auto"/>
                <w:left w:val="none" w:sz="0" w:space="0" w:color="auto"/>
                <w:bottom w:val="none" w:sz="0" w:space="0" w:color="auto"/>
                <w:right w:val="none" w:sz="0" w:space="0" w:color="auto"/>
              </w:divBdr>
              <w:divsChild>
                <w:div w:id="643391184">
                  <w:marLeft w:val="0"/>
                  <w:marRight w:val="0"/>
                  <w:marTop w:val="0"/>
                  <w:marBottom w:val="0"/>
                  <w:divBdr>
                    <w:top w:val="none" w:sz="0" w:space="0" w:color="auto"/>
                    <w:left w:val="none" w:sz="0" w:space="0" w:color="auto"/>
                    <w:bottom w:val="none" w:sz="0" w:space="0" w:color="auto"/>
                    <w:right w:val="none" w:sz="0" w:space="0" w:color="auto"/>
                  </w:divBdr>
                  <w:divsChild>
                    <w:div w:id="351421205">
                      <w:marLeft w:val="0"/>
                      <w:marRight w:val="0"/>
                      <w:marTop w:val="0"/>
                      <w:marBottom w:val="0"/>
                      <w:divBdr>
                        <w:top w:val="none" w:sz="0" w:space="0" w:color="auto"/>
                        <w:left w:val="none" w:sz="0" w:space="0" w:color="auto"/>
                        <w:bottom w:val="none" w:sz="0" w:space="0" w:color="auto"/>
                        <w:right w:val="none" w:sz="0" w:space="0" w:color="auto"/>
                      </w:divBdr>
                      <w:divsChild>
                        <w:div w:id="440302424">
                          <w:marLeft w:val="0"/>
                          <w:marRight w:val="0"/>
                          <w:marTop w:val="0"/>
                          <w:marBottom w:val="0"/>
                          <w:divBdr>
                            <w:top w:val="none" w:sz="0" w:space="0" w:color="auto"/>
                            <w:left w:val="none" w:sz="0" w:space="0" w:color="auto"/>
                            <w:bottom w:val="none" w:sz="0" w:space="0" w:color="auto"/>
                            <w:right w:val="none" w:sz="0" w:space="0" w:color="auto"/>
                          </w:divBdr>
                          <w:divsChild>
                            <w:div w:id="1222450392">
                              <w:marLeft w:val="0"/>
                              <w:marRight w:val="0"/>
                              <w:marTop w:val="0"/>
                              <w:marBottom w:val="0"/>
                              <w:divBdr>
                                <w:top w:val="none" w:sz="0" w:space="0" w:color="auto"/>
                                <w:left w:val="none" w:sz="0" w:space="0" w:color="auto"/>
                                <w:bottom w:val="none" w:sz="0" w:space="0" w:color="auto"/>
                                <w:right w:val="none" w:sz="0" w:space="0" w:color="auto"/>
                              </w:divBdr>
                              <w:divsChild>
                                <w:div w:id="2123259539">
                                  <w:marLeft w:val="0"/>
                                  <w:marRight w:val="0"/>
                                  <w:marTop w:val="0"/>
                                  <w:marBottom w:val="0"/>
                                  <w:divBdr>
                                    <w:top w:val="none" w:sz="0" w:space="0" w:color="auto"/>
                                    <w:left w:val="none" w:sz="0" w:space="0" w:color="auto"/>
                                    <w:bottom w:val="none" w:sz="0" w:space="0" w:color="auto"/>
                                    <w:right w:val="none" w:sz="0" w:space="0" w:color="auto"/>
                                  </w:divBdr>
                                  <w:divsChild>
                                    <w:div w:id="756053831">
                                      <w:marLeft w:val="0"/>
                                      <w:marRight w:val="0"/>
                                      <w:marTop w:val="0"/>
                                      <w:marBottom w:val="0"/>
                                      <w:divBdr>
                                        <w:top w:val="none" w:sz="0" w:space="0" w:color="auto"/>
                                        <w:left w:val="none" w:sz="0" w:space="0" w:color="auto"/>
                                        <w:bottom w:val="none" w:sz="0" w:space="0" w:color="auto"/>
                                        <w:right w:val="none" w:sz="0" w:space="0" w:color="auto"/>
                                      </w:divBdr>
                                      <w:divsChild>
                                        <w:div w:id="1583174299">
                                          <w:marLeft w:val="0"/>
                                          <w:marRight w:val="0"/>
                                          <w:marTop w:val="0"/>
                                          <w:marBottom w:val="0"/>
                                          <w:divBdr>
                                            <w:top w:val="none" w:sz="0" w:space="0" w:color="auto"/>
                                            <w:left w:val="none" w:sz="0" w:space="0" w:color="auto"/>
                                            <w:bottom w:val="none" w:sz="0" w:space="0" w:color="auto"/>
                                            <w:right w:val="none" w:sz="0" w:space="0" w:color="auto"/>
                                          </w:divBdr>
                                          <w:divsChild>
                                            <w:div w:id="1187334478">
                                              <w:marLeft w:val="0"/>
                                              <w:marRight w:val="0"/>
                                              <w:marTop w:val="0"/>
                                              <w:marBottom w:val="0"/>
                                              <w:divBdr>
                                                <w:top w:val="none" w:sz="0" w:space="0" w:color="auto"/>
                                                <w:left w:val="none" w:sz="0" w:space="0" w:color="auto"/>
                                                <w:bottom w:val="none" w:sz="0" w:space="0" w:color="auto"/>
                                                <w:right w:val="none" w:sz="0" w:space="0" w:color="auto"/>
                                              </w:divBdr>
                                              <w:divsChild>
                                                <w:div w:id="2022733901">
                                                  <w:marLeft w:val="0"/>
                                                  <w:marRight w:val="0"/>
                                                  <w:marTop w:val="0"/>
                                                  <w:marBottom w:val="0"/>
                                                  <w:divBdr>
                                                    <w:top w:val="none" w:sz="0" w:space="0" w:color="auto"/>
                                                    <w:left w:val="none" w:sz="0" w:space="0" w:color="auto"/>
                                                    <w:bottom w:val="none" w:sz="0" w:space="0" w:color="auto"/>
                                                    <w:right w:val="none" w:sz="0" w:space="0" w:color="auto"/>
                                                  </w:divBdr>
                                                  <w:divsChild>
                                                    <w:div w:id="710498747">
                                                      <w:marLeft w:val="0"/>
                                                      <w:marRight w:val="0"/>
                                                      <w:marTop w:val="0"/>
                                                      <w:marBottom w:val="0"/>
                                                      <w:divBdr>
                                                        <w:top w:val="none" w:sz="0" w:space="0" w:color="auto"/>
                                                        <w:left w:val="none" w:sz="0" w:space="0" w:color="auto"/>
                                                        <w:bottom w:val="none" w:sz="0" w:space="0" w:color="auto"/>
                                                        <w:right w:val="none" w:sz="0" w:space="0" w:color="auto"/>
                                                      </w:divBdr>
                                                      <w:divsChild>
                                                        <w:div w:id="1136028110">
                                                          <w:marLeft w:val="0"/>
                                                          <w:marRight w:val="0"/>
                                                          <w:marTop w:val="0"/>
                                                          <w:marBottom w:val="0"/>
                                                          <w:divBdr>
                                                            <w:top w:val="none" w:sz="0" w:space="0" w:color="auto"/>
                                                            <w:left w:val="none" w:sz="0" w:space="0" w:color="auto"/>
                                                            <w:bottom w:val="none" w:sz="0" w:space="0" w:color="auto"/>
                                                            <w:right w:val="none" w:sz="0" w:space="0" w:color="auto"/>
                                                          </w:divBdr>
                                                          <w:divsChild>
                                                            <w:div w:id="350303087">
                                                              <w:marLeft w:val="0"/>
                                                              <w:marRight w:val="0"/>
                                                              <w:marTop w:val="0"/>
                                                              <w:marBottom w:val="0"/>
                                                              <w:divBdr>
                                                                <w:top w:val="none" w:sz="0" w:space="0" w:color="auto"/>
                                                                <w:left w:val="none" w:sz="0" w:space="0" w:color="auto"/>
                                                                <w:bottom w:val="none" w:sz="0" w:space="0" w:color="auto"/>
                                                                <w:right w:val="none" w:sz="0" w:space="0" w:color="auto"/>
                                                              </w:divBdr>
                                                              <w:divsChild>
                                                                <w:div w:id="10107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8772629">
      <w:bodyDiv w:val="1"/>
      <w:marLeft w:val="0"/>
      <w:marRight w:val="0"/>
      <w:marTop w:val="0"/>
      <w:marBottom w:val="0"/>
      <w:divBdr>
        <w:top w:val="none" w:sz="0" w:space="0" w:color="auto"/>
        <w:left w:val="none" w:sz="0" w:space="0" w:color="auto"/>
        <w:bottom w:val="none" w:sz="0" w:space="0" w:color="auto"/>
        <w:right w:val="none" w:sz="0" w:space="0" w:color="auto"/>
      </w:divBdr>
    </w:div>
    <w:div w:id="1790079587">
      <w:bodyDiv w:val="1"/>
      <w:marLeft w:val="0"/>
      <w:marRight w:val="0"/>
      <w:marTop w:val="0"/>
      <w:marBottom w:val="0"/>
      <w:divBdr>
        <w:top w:val="none" w:sz="0" w:space="0" w:color="auto"/>
        <w:left w:val="none" w:sz="0" w:space="0" w:color="auto"/>
        <w:bottom w:val="none" w:sz="0" w:space="0" w:color="auto"/>
        <w:right w:val="none" w:sz="0" w:space="0" w:color="auto"/>
      </w:divBdr>
      <w:divsChild>
        <w:div w:id="400324342">
          <w:marLeft w:val="0"/>
          <w:marRight w:val="0"/>
          <w:marTop w:val="240"/>
          <w:marBottom w:val="480"/>
          <w:divBdr>
            <w:top w:val="none" w:sz="0" w:space="0" w:color="auto"/>
            <w:left w:val="none" w:sz="0" w:space="0" w:color="auto"/>
            <w:bottom w:val="none" w:sz="0" w:space="0" w:color="auto"/>
            <w:right w:val="none" w:sz="0" w:space="0" w:color="auto"/>
          </w:divBdr>
          <w:divsChild>
            <w:div w:id="1918049389">
              <w:marLeft w:val="0"/>
              <w:marRight w:val="0"/>
              <w:marTop w:val="0"/>
              <w:marBottom w:val="0"/>
              <w:divBdr>
                <w:top w:val="none" w:sz="0" w:space="0" w:color="auto"/>
                <w:left w:val="none" w:sz="0" w:space="0" w:color="auto"/>
                <w:bottom w:val="none" w:sz="0" w:space="0" w:color="auto"/>
                <w:right w:val="none" w:sz="0" w:space="0" w:color="auto"/>
              </w:divBdr>
              <w:divsChild>
                <w:div w:id="1619991714">
                  <w:marLeft w:val="0"/>
                  <w:marRight w:val="0"/>
                  <w:marTop w:val="0"/>
                  <w:marBottom w:val="0"/>
                  <w:divBdr>
                    <w:top w:val="none" w:sz="0" w:space="0" w:color="auto"/>
                    <w:left w:val="none" w:sz="0" w:space="0" w:color="auto"/>
                    <w:bottom w:val="none" w:sz="0" w:space="0" w:color="auto"/>
                    <w:right w:val="none" w:sz="0" w:space="0" w:color="auto"/>
                  </w:divBdr>
                  <w:divsChild>
                    <w:div w:id="2120568069">
                      <w:marLeft w:val="0"/>
                      <w:marRight w:val="0"/>
                      <w:marTop w:val="0"/>
                      <w:marBottom w:val="0"/>
                      <w:divBdr>
                        <w:top w:val="none" w:sz="0" w:space="0" w:color="auto"/>
                        <w:left w:val="none" w:sz="0" w:space="0" w:color="auto"/>
                        <w:bottom w:val="none" w:sz="0" w:space="0" w:color="auto"/>
                        <w:right w:val="none" w:sz="0" w:space="0" w:color="auto"/>
                      </w:divBdr>
                      <w:divsChild>
                        <w:div w:id="2530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352893">
      <w:bodyDiv w:val="1"/>
      <w:marLeft w:val="0"/>
      <w:marRight w:val="0"/>
      <w:marTop w:val="0"/>
      <w:marBottom w:val="0"/>
      <w:divBdr>
        <w:top w:val="none" w:sz="0" w:space="0" w:color="auto"/>
        <w:left w:val="none" w:sz="0" w:space="0" w:color="auto"/>
        <w:bottom w:val="none" w:sz="0" w:space="0" w:color="auto"/>
        <w:right w:val="none" w:sz="0" w:space="0" w:color="auto"/>
      </w:divBdr>
    </w:div>
    <w:div w:id="1978292136">
      <w:bodyDiv w:val="1"/>
      <w:marLeft w:val="0"/>
      <w:marRight w:val="0"/>
      <w:marTop w:val="0"/>
      <w:marBottom w:val="0"/>
      <w:divBdr>
        <w:top w:val="none" w:sz="0" w:space="0" w:color="auto"/>
        <w:left w:val="none" w:sz="0" w:space="0" w:color="auto"/>
        <w:bottom w:val="none" w:sz="0" w:space="0" w:color="auto"/>
        <w:right w:val="none" w:sz="0" w:space="0" w:color="auto"/>
      </w:divBdr>
    </w:div>
    <w:div w:id="1990283941">
      <w:bodyDiv w:val="1"/>
      <w:marLeft w:val="0"/>
      <w:marRight w:val="0"/>
      <w:marTop w:val="0"/>
      <w:marBottom w:val="0"/>
      <w:divBdr>
        <w:top w:val="none" w:sz="0" w:space="0" w:color="auto"/>
        <w:left w:val="none" w:sz="0" w:space="0" w:color="auto"/>
        <w:bottom w:val="none" w:sz="0" w:space="0" w:color="auto"/>
        <w:right w:val="none" w:sz="0" w:space="0" w:color="auto"/>
      </w:divBdr>
      <w:divsChild>
        <w:div w:id="1615012726">
          <w:marLeft w:val="0"/>
          <w:marRight w:val="0"/>
          <w:marTop w:val="240"/>
          <w:marBottom w:val="480"/>
          <w:divBdr>
            <w:top w:val="none" w:sz="0" w:space="0" w:color="auto"/>
            <w:left w:val="none" w:sz="0" w:space="0" w:color="auto"/>
            <w:bottom w:val="none" w:sz="0" w:space="0" w:color="auto"/>
            <w:right w:val="none" w:sz="0" w:space="0" w:color="auto"/>
          </w:divBdr>
          <w:divsChild>
            <w:div w:id="825703334">
              <w:marLeft w:val="0"/>
              <w:marRight w:val="0"/>
              <w:marTop w:val="0"/>
              <w:marBottom w:val="0"/>
              <w:divBdr>
                <w:top w:val="none" w:sz="0" w:space="0" w:color="auto"/>
                <w:left w:val="none" w:sz="0" w:space="0" w:color="auto"/>
                <w:bottom w:val="none" w:sz="0" w:space="0" w:color="auto"/>
                <w:right w:val="none" w:sz="0" w:space="0" w:color="auto"/>
              </w:divBdr>
              <w:divsChild>
                <w:div w:id="1926451667">
                  <w:marLeft w:val="0"/>
                  <w:marRight w:val="0"/>
                  <w:marTop w:val="0"/>
                  <w:marBottom w:val="0"/>
                  <w:divBdr>
                    <w:top w:val="none" w:sz="0" w:space="0" w:color="auto"/>
                    <w:left w:val="none" w:sz="0" w:space="0" w:color="auto"/>
                    <w:bottom w:val="none" w:sz="0" w:space="0" w:color="auto"/>
                    <w:right w:val="none" w:sz="0" w:space="0" w:color="auto"/>
                  </w:divBdr>
                  <w:divsChild>
                    <w:div w:id="1580552918">
                      <w:marLeft w:val="0"/>
                      <w:marRight w:val="0"/>
                      <w:marTop w:val="0"/>
                      <w:marBottom w:val="0"/>
                      <w:divBdr>
                        <w:top w:val="none" w:sz="0" w:space="0" w:color="auto"/>
                        <w:left w:val="none" w:sz="0" w:space="0" w:color="auto"/>
                        <w:bottom w:val="none" w:sz="0" w:space="0" w:color="auto"/>
                        <w:right w:val="none" w:sz="0" w:space="0" w:color="auto"/>
                      </w:divBdr>
                      <w:divsChild>
                        <w:div w:id="3617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905394">
      <w:bodyDiv w:val="1"/>
      <w:marLeft w:val="0"/>
      <w:marRight w:val="0"/>
      <w:marTop w:val="0"/>
      <w:marBottom w:val="0"/>
      <w:divBdr>
        <w:top w:val="none" w:sz="0" w:space="0" w:color="auto"/>
        <w:left w:val="none" w:sz="0" w:space="0" w:color="auto"/>
        <w:bottom w:val="none" w:sz="0" w:space="0" w:color="auto"/>
        <w:right w:val="none" w:sz="0" w:space="0" w:color="auto"/>
      </w:divBdr>
    </w:div>
    <w:div w:id="2051958145">
      <w:bodyDiv w:val="1"/>
      <w:marLeft w:val="0"/>
      <w:marRight w:val="0"/>
      <w:marTop w:val="0"/>
      <w:marBottom w:val="0"/>
      <w:divBdr>
        <w:top w:val="none" w:sz="0" w:space="0" w:color="auto"/>
        <w:left w:val="none" w:sz="0" w:space="0" w:color="auto"/>
        <w:bottom w:val="none" w:sz="0" w:space="0" w:color="auto"/>
        <w:right w:val="none" w:sz="0" w:space="0" w:color="auto"/>
      </w:divBdr>
    </w:div>
    <w:div w:id="206440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onsumerlaw.gov.au/files/2015/09/Guide_Maintaining_consistency_with_the_AC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nsumerlaw.gov.au/files/2015/09/Guide_Maintaining_consistency_with_the_AC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6ACA7D01646A8AC1F86219E2617EA"/>
        <w:category>
          <w:name w:val="General"/>
          <w:gallery w:val="placeholder"/>
        </w:category>
        <w:types>
          <w:type w:val="bbPlcHdr"/>
        </w:types>
        <w:behaviors>
          <w:behavior w:val="content"/>
        </w:behaviors>
        <w:guid w:val="{2826A7B5-D3DB-4183-9C96-79B5DB838371}"/>
      </w:docPartPr>
      <w:docPartBody>
        <w:p w:rsidR="001E471F" w:rsidRDefault="000C7A2A" w:rsidP="000C7A2A">
          <w:pPr>
            <w:pStyle w:val="1E86ACA7D01646A8AC1F86219E2617E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45 Lt">
    <w:altName w:val="Arial"/>
    <w:panose1 w:val="00000000000000000000"/>
    <w:charset w:val="00"/>
    <w:family w:val="swiss"/>
    <w:notTrueType/>
    <w:pitch w:val="variable"/>
    <w:sig w:usb0="00000001" w:usb1="5000205B" w:usb2="00000000" w:usb3="00000000" w:csb0="0000009B"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font>
  <w:font w:name="Humnst777 Lt BT">
    <w:altName w:val="Humnst777 Lt B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2A"/>
    <w:rsid w:val="0004014C"/>
    <w:rsid w:val="000C7A2A"/>
    <w:rsid w:val="001E471F"/>
    <w:rsid w:val="002024D5"/>
    <w:rsid w:val="00306E69"/>
    <w:rsid w:val="00466CE8"/>
    <w:rsid w:val="004A6B03"/>
    <w:rsid w:val="00504316"/>
    <w:rsid w:val="0053012A"/>
    <w:rsid w:val="006321E2"/>
    <w:rsid w:val="006B3219"/>
    <w:rsid w:val="00730623"/>
    <w:rsid w:val="0079255D"/>
    <w:rsid w:val="007B1A2E"/>
    <w:rsid w:val="008B3186"/>
    <w:rsid w:val="008D621D"/>
    <w:rsid w:val="00D51307"/>
    <w:rsid w:val="00DD0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86ACA7D01646A8AC1F86219E2617EA">
    <w:name w:val="1E86ACA7D01646A8AC1F86219E2617EA"/>
    <w:rsid w:val="000C7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B959-E3A0-48BF-86BA-60269DC8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5875</Words>
  <Characters>34146</Characters>
  <Application>Microsoft Office Word</Application>
  <DocSecurity>0</DocSecurity>
  <Lines>944</Lines>
  <Paragraphs>368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39835</CharactersWithSpaces>
  <SharedDoc>false</SharedDoc>
  <HLinks>
    <vt:vector size="12" baseType="variant">
      <vt:variant>
        <vt:i4>589860</vt:i4>
      </vt:variant>
      <vt:variant>
        <vt:i4>0</vt:i4>
      </vt:variant>
      <vt:variant>
        <vt:i4>0</vt:i4>
      </vt:variant>
      <vt:variant>
        <vt:i4>5</vt:i4>
      </vt:variant>
      <vt:variant>
        <vt:lpwstr>http://consumerlaw.gov.au/files/2015/09/Guide_Maintaining_consistency_with_the_ACL.pdf</vt:lpwstr>
      </vt:variant>
      <vt:variant>
        <vt:lpwstr/>
      </vt:variant>
      <vt:variant>
        <vt:i4>589860</vt:i4>
      </vt:variant>
      <vt:variant>
        <vt:i4>6</vt:i4>
      </vt:variant>
      <vt:variant>
        <vt:i4>0</vt:i4>
      </vt:variant>
      <vt:variant>
        <vt:i4>5</vt:i4>
      </vt:variant>
      <vt:variant>
        <vt:lpwstr>http://consumerlaw.gov.au/files/2015/09/Guide_Maintaining_consistency_with_the_ACL.pdf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2022-05-03T21:27:00Z</dcterms:created>
  <dcterms:modified xsi:type="dcterms:W3CDTF">2022-05-03T21:32:00Z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A75B210E018446DD95F2C6CB8F093369</vt:lpwstr>
  </property>
  <property fmtid="{D5CDD505-2E9C-101B-9397-08002B2CF9AE}" pid="10" name="PM_ProtectiveMarkingValue_Footer">
    <vt:lpwstr>OFFICIAL</vt:lpwstr>
  </property>
  <property fmtid="{D5CDD505-2E9C-101B-9397-08002B2CF9AE}" pid="11" name="PM_Originator_Hash_SHA1">
    <vt:lpwstr>6F5018836B4C608AF2F2EE53953C042DEF5E4449</vt:lpwstr>
  </property>
  <property fmtid="{D5CDD505-2E9C-101B-9397-08002B2CF9AE}" pid="12" name="PM_OriginationTimeStamp">
    <vt:lpwstr>2022-05-03T21:31:37Z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130AFAF13912CF1FDF9BA02CEDD97640</vt:lpwstr>
  </property>
  <property fmtid="{D5CDD505-2E9C-101B-9397-08002B2CF9AE}" pid="22" name="PM_Hash_Salt">
    <vt:lpwstr>B6E17C931656997128BA8B76D8A74073</vt:lpwstr>
  </property>
  <property fmtid="{D5CDD505-2E9C-101B-9397-08002B2CF9AE}" pid="23" name="PM_Hash_SHA1">
    <vt:lpwstr>BFBA1A2E6A0F01100C994AAE4728FDC8DA783998</vt:lpwstr>
  </property>
  <property fmtid="{D5CDD505-2E9C-101B-9397-08002B2CF9AE}" pid="24" name="PM_OriginatorUserAccountName_SHA256">
    <vt:lpwstr>763325135A6C686151668AC503244355FA8DB0625156C4C8A2C8244578D4D9C6</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y fmtid="{D5CDD505-2E9C-101B-9397-08002B2CF9AE}" pid="27" name="PM_SecurityClassification_Prev">
    <vt:lpwstr>OFFICIAL</vt:lpwstr>
  </property>
  <property fmtid="{D5CDD505-2E9C-101B-9397-08002B2CF9AE}" pid="28" name="PM_Qualifier_Prev">
    <vt:lpwstr/>
  </property>
</Properties>
</file>