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90A9" w14:textId="0AD7959B" w:rsidR="00FB67F8" w:rsidRPr="00E91E56" w:rsidRDefault="009D1866" w:rsidP="00932AFC">
      <w:pPr>
        <w:pStyle w:val="Heading1"/>
        <w:bidi/>
        <w:rPr>
          <w:rFonts w:ascii="Dubai" w:hAnsi="Dubai" w:cs="Dubai"/>
          <w:lang w:bidi="fa-IR"/>
        </w:rPr>
      </w:pPr>
      <w:r w:rsidRPr="00E91E56">
        <w:rPr>
          <w:rFonts w:ascii="Dubai" w:hAnsi="Dubai" w:cs="Dubai"/>
          <w:rtl/>
          <w:lang w:val="fa-IR" w:bidi="fa-IR"/>
        </w:rPr>
        <w:t>چارچوب ملی حمایت</w:t>
      </w:r>
      <w:r w:rsidR="00265239">
        <w:rPr>
          <w:rFonts w:ascii="Dubai" w:hAnsi="Dubai" w:cs="Dubai"/>
          <w:rtl/>
          <w:lang w:val="fa-IR" w:bidi="fa-IR"/>
        </w:rPr>
        <w:br/>
      </w:r>
      <w:r w:rsidRPr="00E91E56">
        <w:rPr>
          <w:rFonts w:ascii="Dubai" w:hAnsi="Dubai" w:cs="Dubai"/>
          <w:rtl/>
          <w:lang w:val="fa-IR" w:bidi="fa-IR"/>
        </w:rPr>
        <w:t>از معلولیت</w:t>
      </w:r>
    </w:p>
    <w:p w14:paraId="6D144D5D" w14:textId="77777777" w:rsidR="0060224D" w:rsidRDefault="0060224D" w:rsidP="0060224D">
      <w:pPr>
        <w:pStyle w:val="BasicParagraph"/>
        <w:bidi/>
        <w:spacing w:after="454" w:line="216" w:lineRule="auto"/>
        <w:rPr>
          <w:rFonts w:ascii="Dubai" w:hAnsi="Dubai" w:cs="Dubai"/>
          <w:color w:val="27412A"/>
          <w:sz w:val="66"/>
          <w:szCs w:val="66"/>
          <w:lang w:val="fa-IR" w:bidi="fa-IR"/>
        </w:rPr>
      </w:pPr>
      <w:r>
        <w:rPr>
          <w:rFonts w:ascii="Dubai" w:hAnsi="Dubai" w:cs="Dubai"/>
          <w:color w:val="27412A"/>
          <w:sz w:val="66"/>
          <w:szCs w:val="66"/>
          <w:rtl/>
          <w:lang w:val="fa-IR" w:bidi="fa-IR"/>
        </w:rPr>
        <w:t>2025-2023</w:t>
      </w:r>
    </w:p>
    <w:p w14:paraId="784606BD" w14:textId="44340EFD" w:rsidR="00F24ED3" w:rsidRPr="00F24ED3" w:rsidRDefault="00F24ED3" w:rsidP="00F24ED3">
      <w:pPr>
        <w:bidi/>
        <w:rPr>
          <w:rFonts w:ascii="Dubai" w:hAnsi="Dubai" w:cs="Dubai"/>
        </w:rPr>
      </w:pPr>
      <w:r>
        <w:rPr>
          <w:rFonts w:ascii="Dubai" w:hAnsi="Dubai" w:cs="Dubai" w:hint="cs"/>
          <w:lang w:val="ar"/>
        </w:rPr>
        <w:t>Farsi</w:t>
      </w:r>
      <w:r w:rsidRPr="00EB7A63">
        <w:rPr>
          <w:rFonts w:ascii="Dubai" w:hAnsi="Dubai" w:cs="Dubai"/>
          <w:rtl/>
          <w:lang w:val="ar"/>
        </w:rPr>
        <w:t xml:space="preserve"> | </w:t>
      </w:r>
      <w:r>
        <w:rPr>
          <w:rFonts w:ascii="Dubai" w:hAnsi="Dubai" w:cs="Dubai" w:hint="cs"/>
          <w:rtl/>
          <w:lang w:val="ar"/>
        </w:rPr>
        <w:t>فارسی</w:t>
      </w:r>
    </w:p>
    <w:p w14:paraId="7721556F" w14:textId="5C77AE28" w:rsidR="00315673" w:rsidRPr="00E91E56" w:rsidRDefault="00315673" w:rsidP="00F24ED3">
      <w:pPr>
        <w:spacing w:before="3400"/>
        <w:jc w:val="right"/>
        <w:rPr>
          <w:rFonts w:ascii="Dubai" w:hAnsi="Dubai" w:cs="Dubai"/>
          <w:lang w:bidi="fa-IR"/>
        </w:rPr>
      </w:pPr>
      <w:r w:rsidRPr="00E91E56">
        <w:rPr>
          <w:rFonts w:ascii="Dubai" w:hAnsi="Dubai" w:cs="Dubai"/>
          <w:noProof/>
          <w:color w:val="C10077"/>
          <w:lang w:val="en-GB" w:eastAsia="en-GB"/>
        </w:rPr>
        <w:drawing>
          <wp:inline distT="0" distB="0" distL="0" distR="0" wp14:anchorId="33304C5C" wp14:editId="76612585">
            <wp:extent cx="1335405" cy="1097280"/>
            <wp:effectExtent l="0" t="0" r="0" b="7620"/>
            <wp:docPr id="4" name="Picture 4" descr="این تصویر مربوط به برند مشترک استراتژی است. این لوگو، کادری پیکانی است که عنوان استراتژی معلولیت استرالیا 2021-2031 را در خود دارد. حروف &quot;i&quot; در عنوان به رنگ های متفاوت برای نشان دادن تنوع افراد دارای معلولیت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این تصویر مربوط به برند مشترک استراتژی است. این لوگو، کادری پیکانی است که عنوان استراتژی معلولیت استرالیا 2021-2031 را در خود دارد. حروف &quot;i&quot; در عنوان به رنگ های متفاوت برای نشان دادن تنوع افراد دارای معلولیت است."/>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54D78579" w14:textId="6A64C928" w:rsidR="00315673" w:rsidRPr="00E91E56" w:rsidRDefault="009D1866" w:rsidP="0082538D">
      <w:pPr>
        <w:bidi/>
        <w:ind w:left="108" w:right="4111"/>
        <w:rPr>
          <w:rFonts w:ascii="Dubai" w:hAnsi="Dubai" w:cs="Dubai"/>
          <w:sz w:val="22"/>
          <w:szCs w:val="22"/>
          <w:lang w:val="en-US" w:bidi="fa-IR"/>
        </w:rPr>
      </w:pPr>
      <w:r w:rsidRPr="00E91E56">
        <w:rPr>
          <w:rFonts w:ascii="Dubai" w:hAnsi="Dubai" w:cs="Dubai"/>
          <w:i/>
          <w:iCs/>
          <w:sz w:val="22"/>
          <w:szCs w:val="22"/>
          <w:rtl/>
          <w:lang w:val="fa-IR" w:bidi="fa-IR"/>
        </w:rPr>
        <w:t xml:space="preserve">چارچوب ملی </w:t>
      </w:r>
      <w:r w:rsidR="005A596C">
        <w:rPr>
          <w:rFonts w:ascii="Dubai" w:hAnsi="Dubai" w:cs="Dubai"/>
          <w:i/>
          <w:iCs/>
          <w:sz w:val="22"/>
          <w:szCs w:val="22"/>
          <w:lang w:val="fa-IR" w:bidi="fa-IR"/>
        </w:rPr>
        <w:t>2023-2025</w:t>
      </w:r>
      <w:r w:rsidR="007B2EFB" w:rsidRPr="00E91E56">
        <w:rPr>
          <w:rFonts w:ascii="Dubai" w:hAnsi="Dubai" w:cs="Dubai"/>
          <w:i/>
          <w:iCs/>
          <w:sz w:val="22"/>
          <w:szCs w:val="22"/>
          <w:rtl/>
          <w:lang w:val="fa-IR" w:bidi="fa-IR"/>
        </w:rPr>
        <w:t xml:space="preserve"> </w:t>
      </w:r>
      <w:r w:rsidRPr="00E91E56">
        <w:rPr>
          <w:rFonts w:ascii="Dubai" w:hAnsi="Dubai" w:cs="Dubai"/>
          <w:i/>
          <w:iCs/>
          <w:sz w:val="22"/>
          <w:szCs w:val="22"/>
          <w:rtl/>
          <w:lang w:val="fa-IR" w:bidi="fa-IR"/>
        </w:rPr>
        <w:t xml:space="preserve">حمایت از معلولیت </w:t>
      </w:r>
      <w:r w:rsidRPr="00E91E56">
        <w:rPr>
          <w:rFonts w:ascii="Dubai" w:hAnsi="Dubai" w:cs="Dubai"/>
          <w:sz w:val="22"/>
          <w:szCs w:val="22"/>
          <w:rtl/>
          <w:lang w:val="fa-IR" w:bidi="fa-IR"/>
        </w:rPr>
        <w:t>یک طرح همبسته، تحت</w:t>
      </w:r>
      <w:r w:rsidRPr="00E91E56">
        <w:rPr>
          <w:rFonts w:ascii="Dubai" w:hAnsi="Dubai" w:cs="Dubai"/>
          <w:i/>
          <w:iCs/>
          <w:sz w:val="22"/>
          <w:szCs w:val="22"/>
          <w:rtl/>
          <w:lang w:val="fa-IR" w:bidi="fa-IR"/>
        </w:rPr>
        <w:t xml:space="preserve"> استراتژی معلولیت</w:t>
      </w:r>
      <w:r w:rsidR="0082538D">
        <w:rPr>
          <w:rFonts w:ascii="Dubai" w:hAnsi="Dubai" w:cs="Dubai"/>
          <w:i/>
          <w:iCs/>
          <w:sz w:val="22"/>
          <w:szCs w:val="22"/>
          <w:lang w:val="fa-IR" w:bidi="fa-IR"/>
        </w:rPr>
        <w:t>2021-2031</w:t>
      </w:r>
      <w:r w:rsidRPr="00E91E56">
        <w:rPr>
          <w:rFonts w:ascii="Dubai" w:hAnsi="Dubai" w:cs="Dubai"/>
          <w:i/>
          <w:iCs/>
          <w:sz w:val="22"/>
          <w:szCs w:val="22"/>
          <w:rtl/>
          <w:lang w:val="fa-IR" w:bidi="fa-IR"/>
        </w:rPr>
        <w:t xml:space="preserve"> استرالیا است</w:t>
      </w:r>
      <w:r w:rsidRPr="00E91E56">
        <w:rPr>
          <w:rFonts w:ascii="Dubai" w:hAnsi="Dubai" w:cs="Dubai"/>
          <w:sz w:val="22"/>
          <w:szCs w:val="22"/>
          <w:rtl/>
          <w:lang w:val="fa-IR" w:bidi="fa-IR"/>
        </w:rPr>
        <w:t>.</w:t>
      </w:r>
    </w:p>
    <w:p w14:paraId="6B28606D" w14:textId="77777777" w:rsidR="00386EEF" w:rsidRPr="00E91E56" w:rsidRDefault="009D1866" w:rsidP="002204C6">
      <w:pPr>
        <w:pStyle w:val="Heading2"/>
        <w:bidi/>
        <w:rPr>
          <w:rFonts w:ascii="Dubai" w:hAnsi="Dubai" w:cs="Dubai"/>
          <w:lang w:bidi="fa-IR"/>
        </w:rPr>
      </w:pPr>
      <w:r w:rsidRPr="00E91E56">
        <w:rPr>
          <w:rFonts w:ascii="Dubai" w:hAnsi="Dubai" w:cs="Dubai"/>
          <w:rtl/>
          <w:lang w:val="fa-IR" w:bidi="fa-IR"/>
        </w:rPr>
        <w:lastRenderedPageBreak/>
        <w:t>مقدمه</w:t>
      </w:r>
    </w:p>
    <w:p w14:paraId="07081DE7" w14:textId="77777777" w:rsidR="005F494A" w:rsidRPr="00E91E56" w:rsidRDefault="009D1866" w:rsidP="005F494A">
      <w:pPr>
        <w:pStyle w:val="06Bodycopy"/>
        <w:bidi/>
        <w:rPr>
          <w:rFonts w:ascii="Dubai" w:hAnsi="Dubai" w:cs="Dubai"/>
          <w:lang w:bidi="fa-IR"/>
        </w:rPr>
      </w:pPr>
      <w:r w:rsidRPr="00E91E56">
        <w:rPr>
          <w:rFonts w:ascii="Dubai" w:hAnsi="Dubai" w:cs="Dubai"/>
          <w:rtl/>
          <w:lang w:val="fa-IR" w:bidi="fa-IR"/>
        </w:rPr>
        <w:t>حمایت از معلولیت با حصول اطمینان از حفظ، ارتقاء و ارزش نهادن به حقوق افراد دارای معلولیت، از آنها حمایت می کند. این امر می تواند افراد دارای معلولیت را قادر سازد تا فعالانه در تصمیم گیری و فرآیندهایی که حقوق، رفاه و منافع آنها را بهبود می بخشد، شرکت کنند. این شامل حمایت از خدمات حمایت برای برخی از افراد دارای معلولیت به منظور مشارکت در تصمیماتی است که بر زندگی آنها تأثیر می گذارد، به ویژه در مورد دسترسی به خدمات و پشتیبانی.</w:t>
      </w:r>
    </w:p>
    <w:p w14:paraId="5D6FD466" w14:textId="596AED61" w:rsidR="005F494A" w:rsidRPr="00E91E56" w:rsidRDefault="009D1866" w:rsidP="005F494A">
      <w:pPr>
        <w:pStyle w:val="06Bodycopy"/>
        <w:bidi/>
        <w:rPr>
          <w:rFonts w:ascii="Dubai" w:hAnsi="Dubai" w:cs="Dubai"/>
          <w:lang w:bidi="fa-IR"/>
        </w:rPr>
      </w:pPr>
      <w:r w:rsidRPr="00E91E56">
        <w:rPr>
          <w:rFonts w:ascii="Dubai" w:hAnsi="Dubai" w:cs="Dubai"/>
          <w:rtl/>
          <w:lang w:val="fa-IR" w:bidi="fa-IR"/>
        </w:rPr>
        <w:t xml:space="preserve">چارچوب ملی حمایت از معلولیت 2025-2023 (چارچوب) یک تعهد مشترک بین دولت‌های استرالیا، ایالتها و قلمروها برای حمایت از معلولیت است تا اطمینان حاصل شود که همه افراد دارای معلولیت در سراسر کشور به خدمات حمایتی دسترسی دارند. این چارچوب به دولت‌ها اجازه می‌دهد تا در راستای همسویی خدمات و استانداردهای حمایتی برای بهبود نتایج و دسترسی افراد دارای معلولیت عمل کنند.  </w:t>
      </w:r>
    </w:p>
    <w:p w14:paraId="263430B6" w14:textId="77777777" w:rsidR="005F494A" w:rsidRPr="00E91E56" w:rsidRDefault="009D1866" w:rsidP="005F494A">
      <w:pPr>
        <w:pStyle w:val="06Bodycopy"/>
        <w:bidi/>
        <w:rPr>
          <w:rFonts w:ascii="Dubai" w:hAnsi="Dubai" w:cs="Dubai"/>
          <w:lang w:bidi="fa-IR"/>
        </w:rPr>
      </w:pPr>
      <w:r w:rsidRPr="00E91E56">
        <w:rPr>
          <w:rFonts w:ascii="Dubai" w:hAnsi="Dubai" w:cs="Dubai"/>
          <w:rtl/>
          <w:lang w:val="fa-IR" w:bidi="fa-IR"/>
        </w:rPr>
        <w:t>در سال 2008، وزرای معلولیت از مقامات دولت استرالیا، ایالت ها و قلمروها درخواست کردند که یک چارچوب ملی سازگار برای حمایت ایجاد کنند که حمایت فردی و سیستمی، تعاریف مشترک و نتایج مطلوب و مسائل مربوط به داده ها را پوشش دهد. چارچوب ملی حمایت از معلولیت در سال 2012 (چارچوب 2012) نتایج کلیدی را برای هدایت ارائه حمایت از افراد دارای معلولیت و بهبود بیشتر ثبات در بین برنامه های حمایتی با بودجه دولت ایجاد کرد.</w:t>
      </w:r>
    </w:p>
    <w:p w14:paraId="3B3D7FEC" w14:textId="77777777" w:rsidR="005F494A" w:rsidRPr="00E91E56" w:rsidRDefault="009D1866" w:rsidP="005F494A">
      <w:pPr>
        <w:pStyle w:val="06Bodycopy"/>
        <w:bidi/>
        <w:rPr>
          <w:rFonts w:ascii="Dubai" w:hAnsi="Dubai" w:cs="Dubai"/>
          <w:lang w:bidi="fa-IR"/>
        </w:rPr>
      </w:pPr>
      <w:r w:rsidRPr="00E91E56">
        <w:rPr>
          <w:rFonts w:ascii="Dubai" w:hAnsi="Dubai" w:cs="Dubai"/>
          <w:rtl/>
          <w:lang w:val="fa-IR" w:bidi="fa-IR"/>
        </w:rPr>
        <w:t>از زمانی که چارچوب 2012 ایجاد شد، یک تغییر مداوم در استرالیا به سمت شناخت و پاسخگویی به معلولیت از طریق مدل اجتماعی معلولیت و رویکردهای مبتنی بر حقوق وجود داشته است. این امر از زمان ایجاد چارچوب در سال 2012 در تغییر قابل توجهی در سیاست و چشم انداز برنامه معلولیت در تمام سطوح دولت انعکاس داشته است. ارائه دهندگان حمایت فردی و سیستمی، با چالش هایی مواجه هستند که در سیستم های حمایت اجتماعیِ پیچیده و مرتبطی که توسط دولت های استرالیا، ایالت ها و قلمروها اداره می شوند، عمل می کنند. این سیستم ها شامل، اما نه محدود به طرح ملی بیمه معلولیت و حمایت های اصلی مانند رفاه، مراقبت های بهداشتی، مسکن و بی خانمانی، آموزش، اشتغال و عدالت است.</w:t>
      </w:r>
    </w:p>
    <w:p w14:paraId="4161575A" w14:textId="2A5B7FB4" w:rsidR="005F494A" w:rsidRPr="00E91E56" w:rsidRDefault="009D1866" w:rsidP="0056060C">
      <w:pPr>
        <w:pStyle w:val="06Bodycopy"/>
        <w:bidi/>
        <w:rPr>
          <w:rFonts w:ascii="Dubai" w:hAnsi="Dubai" w:cs="Dubai"/>
          <w:lang w:bidi="fa-IR"/>
        </w:rPr>
      </w:pPr>
      <w:r w:rsidRPr="00E91E56">
        <w:rPr>
          <w:rFonts w:ascii="Dubai" w:hAnsi="Dubai" w:cs="Dubai"/>
          <w:rtl/>
          <w:lang w:val="fa-IR" w:bidi="fa-IR"/>
        </w:rPr>
        <w:t xml:space="preserve">چارچوب 2012 با مشورت افراد دارای معلولیت، خانواده ها و مراقبان، ارائه دهندگان حمایت از معلولیت، سازمان های نماینده معلولان و ارگان های مطرح، برای حمایت از اجرای </w:t>
      </w:r>
      <w:r w:rsidRPr="00E91E56">
        <w:rPr>
          <w:rFonts w:ascii="Dubai" w:hAnsi="Dubai" w:cs="Dubai"/>
          <w:i/>
          <w:iCs/>
          <w:rtl/>
          <w:lang w:val="fa-IR" w:bidi="fa-IR"/>
        </w:rPr>
        <w:t>استراتژی معلولیت</w:t>
      </w:r>
      <w:r w:rsidR="0056060C">
        <w:rPr>
          <w:rFonts w:ascii="Dubai" w:hAnsi="Dubai" w:cs="Dubai"/>
          <w:i/>
          <w:iCs/>
          <w:lang w:val="fa-IR" w:bidi="fa-IR"/>
        </w:rPr>
        <w:t xml:space="preserve"> 2021-2031</w:t>
      </w:r>
      <w:r w:rsidRPr="00E91E56">
        <w:rPr>
          <w:rFonts w:ascii="Dubai" w:hAnsi="Dubai" w:cs="Dubai"/>
          <w:i/>
          <w:iCs/>
          <w:rtl/>
          <w:lang w:val="fa-IR" w:bidi="fa-IR"/>
        </w:rPr>
        <w:t xml:space="preserve"> استرالیا (استراتژی) بازنگری شده است.</w:t>
      </w:r>
      <w:r w:rsidRPr="00E91E56">
        <w:rPr>
          <w:rFonts w:ascii="Dubai" w:hAnsi="Dubai" w:cs="Dubai"/>
          <w:rtl/>
          <w:lang w:val="fa-IR" w:bidi="fa-IR"/>
        </w:rPr>
        <w:t xml:space="preserve"> این استراتژی کمک به حمایت از حفظ حقوق مردم و غلبه بر موانع در مسیر شمول و مشارکت آنها در جامعه را به رسمیت میشناسد. تحت این استراتژی، حوزه پیامد ایمنی، حقوق و عدالت، حمایت از معلولیت را به عنوان راهی مهم برای توانمندسازی و حمایت از افراد دارای معلولیت برای کفالت و حمایت از حقوق خود می شناسد. هدف این حوزه نتیجه تضمین این است که «حقوق افراد دارای معلولیت ارتقا یافته، حمایت و محافظت ‌شود و نیز افراد دارای معلولیت احساس امنیت ‌کنند و از برابری در برابر قانون برخوردار ‌شوند». </w:t>
      </w:r>
    </w:p>
    <w:p w14:paraId="4E60F0A2" w14:textId="133EF290" w:rsidR="00727E1B" w:rsidRPr="00F24ED3" w:rsidRDefault="009D1866" w:rsidP="00AB2B25">
      <w:pPr>
        <w:pStyle w:val="Heading2"/>
        <w:bidi/>
        <w:rPr>
          <w:rFonts w:cs="Tahoma"/>
          <w:lang w:bidi="fa-IR"/>
        </w:rPr>
      </w:pPr>
      <w:r w:rsidRPr="00E91E56">
        <w:rPr>
          <w:rFonts w:ascii="Dubai" w:hAnsi="Dubai" w:cs="Dubai"/>
          <w:rtl/>
          <w:lang w:val="fa-IR" w:bidi="fa-IR"/>
        </w:rPr>
        <w:t xml:space="preserve">اساس و </w:t>
      </w:r>
      <w:r w:rsidR="00AB2B25">
        <w:rPr>
          <w:rFonts w:cs="Tahoma" w:hint="cs"/>
          <w:rtl/>
          <w:lang w:val="fa-IR" w:bidi="fa-IR"/>
        </w:rPr>
        <w:t>بنیان</w:t>
      </w:r>
    </w:p>
    <w:p w14:paraId="77FC67FD" w14:textId="77777777" w:rsidR="005F494A" w:rsidRPr="00E91E56" w:rsidRDefault="009D1866" w:rsidP="005F494A">
      <w:pPr>
        <w:pStyle w:val="06Bodycopy"/>
        <w:bidi/>
        <w:rPr>
          <w:rFonts w:ascii="Dubai" w:hAnsi="Dubai" w:cs="Dubai"/>
          <w:lang w:bidi="fa-IR"/>
        </w:rPr>
      </w:pPr>
      <w:bookmarkStart w:id="0" w:name="_Toc88808789"/>
      <w:r w:rsidRPr="00E91E56">
        <w:rPr>
          <w:rFonts w:ascii="Dubai" w:hAnsi="Dubai" w:cs="Dubai"/>
          <w:rtl/>
          <w:lang w:val="fa-IR" w:bidi="fa-IR"/>
        </w:rPr>
        <w:t>افراد دارای معلولیت اغلب با موانعی روبرو می شوند که مانع از توانایی آنها برای مشارکت در جامعه می شود که منجر به نتایج ناخوشایند درزندگی می شود. این شامل موانع فیزیکی، ارتباطی، نگرشی، اقتصادی و سیستمی می باشد. این حمایت به افراد دارای معلولیت کمک می‌کند و ظرفیتی برای تصمیم‌گیری و مشارکت در تصمیم‌گیری‌هایی که زندگی آنها را تحت تأثیر قرار می‌دهد، فراهم می‌کند تا اطمینان حاصل شود که حقوقشان ارتقایافته و از آنها حمایت می‌شود.</w:t>
      </w:r>
    </w:p>
    <w:p w14:paraId="292E5FC1" w14:textId="77777777" w:rsidR="005F494A" w:rsidRPr="00E91E56" w:rsidRDefault="009D1866" w:rsidP="005F494A">
      <w:pPr>
        <w:pStyle w:val="06Bodycopy"/>
        <w:bidi/>
        <w:rPr>
          <w:rFonts w:ascii="Dubai" w:hAnsi="Dubai" w:cs="Dubai"/>
          <w:lang w:bidi="fa-IR"/>
        </w:rPr>
      </w:pPr>
      <w:r w:rsidRPr="00E91E56">
        <w:rPr>
          <w:rFonts w:ascii="Dubai" w:hAnsi="Dubai" w:cs="Dubai"/>
          <w:rtl/>
          <w:lang w:val="fa-IR" w:bidi="fa-IR"/>
        </w:rPr>
        <w:lastRenderedPageBreak/>
        <w:t>چارچوب تأیید می کند که انواع مختلفی از حمایت از معلولیت وجود دارد که می تواند از افراد دارای معلولیت پشتیبانی کند، و این پذیرش شامل حمایت های غیررسمی نیز می شود که ممکن است از طریق خانواده ها، دوستان و مراقبان افراد دارای معلولیت ارائه شود. با این حال، محدوده چارچوب براساس ارائه حمایت از معلولیت است که توسط دولت های استرالیا، ایالت ها و قلمروها تأمین می شود.</w:t>
      </w:r>
    </w:p>
    <w:p w14:paraId="731C38EA" w14:textId="77777777" w:rsidR="005F494A" w:rsidRPr="00E91E56" w:rsidRDefault="009D1866" w:rsidP="005F494A">
      <w:pPr>
        <w:pStyle w:val="06Bodycopy"/>
        <w:bidi/>
        <w:rPr>
          <w:rFonts w:ascii="Dubai" w:hAnsi="Dubai" w:cs="Dubai"/>
          <w:lang w:bidi="fa-IR"/>
        </w:rPr>
      </w:pPr>
      <w:r w:rsidRPr="00E91E56">
        <w:rPr>
          <w:rFonts w:ascii="Dubai" w:hAnsi="Dubai" w:cs="Dubai"/>
          <w:rtl/>
          <w:lang w:val="fa-IR" w:bidi="fa-IR"/>
        </w:rPr>
        <w:t xml:space="preserve">چارچوب تشخیص می دهد که تجربه معلولیت اغلب آسیب هایی را به همراه دارد و بر چگونگی و اینکه آیا افراد دارای معلولیت می توانند به منابع، خدمات و پشتیبانی ها دسترسی داشته باشند یا خیر تأثیر می گذارد. همه اعضای جامعه از جمله افراد دارای معلولیت ممکن است تبعیض بیشتری را بر اساس نژاد، جنس، هویت جنسی، گرایش جنسی، اختلال، طبقه، مذهب، سن، منشاء اجتماعی و سایر نشانگرهای هویتی، تجربه کنند. </w:t>
      </w:r>
    </w:p>
    <w:p w14:paraId="1CC065FE" w14:textId="77777777" w:rsidR="005F494A" w:rsidRPr="00E91E56" w:rsidRDefault="009D1866" w:rsidP="005F494A">
      <w:pPr>
        <w:pStyle w:val="06Bodycopy"/>
        <w:bidi/>
        <w:rPr>
          <w:rFonts w:ascii="Dubai" w:hAnsi="Dubai" w:cs="Dubai"/>
          <w:lang w:bidi="fa-IR"/>
        </w:rPr>
      </w:pPr>
      <w:r w:rsidRPr="00E91E56">
        <w:rPr>
          <w:rFonts w:ascii="Dubai" w:hAnsi="Dubai" w:cs="Dubai"/>
          <w:rtl/>
          <w:lang w:val="fa-IR" w:bidi="fa-IR"/>
        </w:rPr>
        <w:t xml:space="preserve">چارچوب مبتنی بر یک رویکرد شخص محور و مبتنی بر حقوق است که به موجب آن سیاست ها و برنامه ها با نظرات افراد دارای معلولیت طراحی می شوند، بر روی یک فرد و نقاط قوت، نیازها، علایق و اهداف او متمرکز می شوند و حقوق افراد دارای معلولیت را منعکس می کنند.  </w:t>
      </w:r>
    </w:p>
    <w:bookmarkEnd w:id="0"/>
    <w:p w14:paraId="1C1573DA" w14:textId="77777777" w:rsidR="00727E1B" w:rsidRPr="00E91E56" w:rsidRDefault="009D1866" w:rsidP="002204C6">
      <w:pPr>
        <w:pStyle w:val="Heading2"/>
        <w:bidi/>
        <w:rPr>
          <w:rFonts w:ascii="Dubai" w:hAnsi="Dubai" w:cs="Dubai"/>
          <w:lang w:bidi="fa-IR"/>
        </w:rPr>
      </w:pPr>
      <w:r w:rsidRPr="00E91E56">
        <w:rPr>
          <w:rFonts w:ascii="Dubai" w:hAnsi="Dubai" w:cs="Dubai"/>
          <w:rtl/>
          <w:lang w:val="fa-IR" w:bidi="fa-IR"/>
        </w:rPr>
        <w:t>تعاریف</w:t>
      </w:r>
    </w:p>
    <w:p w14:paraId="7E0A3CF8" w14:textId="77777777" w:rsidR="00141CC7" w:rsidRPr="00E91E56" w:rsidRDefault="009D1866" w:rsidP="00141CC7">
      <w:pPr>
        <w:pStyle w:val="06Bodycopy"/>
        <w:bidi/>
        <w:rPr>
          <w:rFonts w:ascii="Dubai" w:hAnsi="Dubai" w:cs="Dubai"/>
          <w:lang w:bidi="fa-IR"/>
        </w:rPr>
      </w:pPr>
      <w:bookmarkStart w:id="1" w:name="_Toc88808790"/>
      <w:r w:rsidRPr="00E91E56">
        <w:rPr>
          <w:rFonts w:ascii="Dubai" w:hAnsi="Dubai" w:cs="Dubai"/>
          <w:rtl/>
          <w:lang w:val="fa-IR" w:bidi="fa-IR"/>
        </w:rPr>
        <w:t>تعاریف زیر در این چارچوب برای توصیف حمایت از معلولیت استفاده می شود. این لیست کاملی از انواع حمایت از معلولیت نیست که ممکن است در هر حوزه قضایی موجود باشد:</w:t>
      </w:r>
    </w:p>
    <w:p w14:paraId="69D200EF" w14:textId="77777777" w:rsidR="00141CC7" w:rsidRPr="00E91E56" w:rsidRDefault="009D1866" w:rsidP="00141CC7">
      <w:pPr>
        <w:pStyle w:val="06Bodycopy"/>
        <w:bidi/>
        <w:rPr>
          <w:rFonts w:ascii="Dubai" w:hAnsi="Dubai" w:cs="Dubai"/>
          <w:lang w:bidi="fa-IR"/>
        </w:rPr>
      </w:pPr>
      <w:r w:rsidRPr="00E91E56">
        <w:rPr>
          <w:rFonts w:ascii="Dubai" w:hAnsi="Dubai" w:cs="Dubai"/>
          <w:b/>
          <w:bCs/>
          <w:rtl/>
          <w:lang w:val="fa-IR" w:bidi="fa-IR"/>
        </w:rPr>
        <w:t>حمایت از معلولیت</w:t>
      </w:r>
      <w:r w:rsidRPr="00E91E56">
        <w:rPr>
          <w:rFonts w:ascii="Dubai" w:hAnsi="Dubai" w:cs="Dubai"/>
          <w:rtl/>
          <w:lang w:val="fa-IR" w:bidi="fa-IR"/>
        </w:rPr>
        <w:t xml:space="preserve">، افراد دارای معلولیت را قادر می‌سازد تا در فرآیندهای تصمیم‌گیری که حقوق بشری آنها را حفظ و بهبود می‌دهد، شرکت کنند. </w:t>
      </w:r>
    </w:p>
    <w:p w14:paraId="387AC0FE" w14:textId="77777777" w:rsidR="00141CC7" w:rsidRPr="00E91E56" w:rsidRDefault="009D1866" w:rsidP="00141CC7">
      <w:pPr>
        <w:pStyle w:val="06Bodycopy"/>
        <w:bidi/>
        <w:rPr>
          <w:rFonts w:ascii="Dubai" w:hAnsi="Dubai" w:cs="Dubai"/>
          <w:lang w:bidi="fa-IR"/>
        </w:rPr>
      </w:pPr>
      <w:r w:rsidRPr="00E91E56">
        <w:rPr>
          <w:rFonts w:ascii="Dubai" w:hAnsi="Dubai" w:cs="Dubai"/>
          <w:b/>
          <w:bCs/>
          <w:rtl/>
          <w:lang w:val="fa-IR" w:bidi="fa-IR"/>
        </w:rPr>
        <w:t>حمایت فردی</w:t>
      </w:r>
      <w:r w:rsidRPr="00E91E56">
        <w:rPr>
          <w:rFonts w:ascii="Dubai" w:hAnsi="Dubai" w:cs="Dubai"/>
          <w:rtl/>
          <w:lang w:val="fa-IR" w:bidi="fa-IR"/>
        </w:rPr>
        <w:t xml:space="preserve"> رویکردی تک به تک است که توسط یک وکیل حرفه ای، خویشاوند، دوست یا داوطلب انجام می شود تا از مواردی از رفتار یا بدرفتاری ناعادلانه جلوگیری نموده یا به آن رسیدگی شود. </w:t>
      </w:r>
    </w:p>
    <w:p w14:paraId="584AA6E4" w14:textId="77777777" w:rsidR="00141CC7" w:rsidRPr="00E91E56" w:rsidRDefault="009D1866" w:rsidP="00141CC7">
      <w:pPr>
        <w:pStyle w:val="06Bodycopy"/>
        <w:bidi/>
        <w:rPr>
          <w:rFonts w:ascii="Dubai" w:hAnsi="Dubai" w:cs="Dubai"/>
          <w:lang w:bidi="fa-IR"/>
        </w:rPr>
      </w:pPr>
      <w:r w:rsidRPr="00E91E56">
        <w:rPr>
          <w:rFonts w:ascii="Dubai" w:hAnsi="Dubai" w:cs="Dubai"/>
          <w:b/>
          <w:bCs/>
          <w:rtl/>
          <w:lang w:val="fa-IR" w:bidi="fa-IR"/>
        </w:rPr>
        <w:t>حمایت سیستمی</w:t>
      </w:r>
      <w:r w:rsidRPr="00E91E56">
        <w:rPr>
          <w:rFonts w:ascii="Dubai" w:hAnsi="Dubai" w:cs="Dubai"/>
          <w:rtl/>
          <w:lang w:val="fa-IR" w:bidi="fa-IR"/>
        </w:rPr>
        <w:t xml:space="preserve"> شامل تلاش برای تغییرات اجتماعی بلندمدت برای اطمینان از تامین حقوق و منافع جمعی افراد دارای معلولیت از طریق قوانین، سیاست‌ها و اقدامات است. </w:t>
      </w:r>
    </w:p>
    <w:p w14:paraId="42F151C5" w14:textId="77777777" w:rsidR="00141CC7" w:rsidRPr="00E91E56" w:rsidRDefault="009D1866" w:rsidP="00141CC7">
      <w:pPr>
        <w:pStyle w:val="06Bodycopy"/>
        <w:bidi/>
        <w:rPr>
          <w:rFonts w:ascii="Dubai" w:hAnsi="Dubai" w:cs="Dubai"/>
          <w:lang w:bidi="fa-IR"/>
        </w:rPr>
      </w:pPr>
      <w:r w:rsidRPr="00E91E56">
        <w:rPr>
          <w:rFonts w:ascii="Dubai" w:hAnsi="Dubai" w:cs="Dubai"/>
          <w:b/>
          <w:bCs/>
          <w:rtl/>
          <w:lang w:val="fa-IR" w:bidi="fa-IR"/>
        </w:rPr>
        <w:t>دفاع از خود</w:t>
      </w:r>
      <w:r w:rsidRPr="00E91E56">
        <w:rPr>
          <w:rFonts w:ascii="Dubai" w:hAnsi="Dubai" w:cs="Dubai"/>
          <w:rtl/>
          <w:lang w:val="fa-IR" w:bidi="fa-IR"/>
        </w:rPr>
        <w:t xml:space="preserve"> توسط یک فرد معلول انجام می شود که صحبت می کند و خودش را نمایندگی می نماید. پشتیبانی و آموزش برای حمایت از خود از طریق گروه های مبتنی بر جامعه در دسترس است. </w:t>
      </w:r>
    </w:p>
    <w:p w14:paraId="3EDABD58" w14:textId="77777777" w:rsidR="00141CC7" w:rsidRPr="00E91E56" w:rsidRDefault="009D1866" w:rsidP="00141CC7">
      <w:pPr>
        <w:pStyle w:val="06Bodycopy"/>
        <w:bidi/>
        <w:rPr>
          <w:rFonts w:ascii="Dubai" w:hAnsi="Dubai" w:cs="Dubai"/>
          <w:lang w:bidi="fa-IR"/>
        </w:rPr>
      </w:pPr>
      <w:r w:rsidRPr="00E91E56">
        <w:rPr>
          <w:rFonts w:ascii="Dubai" w:hAnsi="Dubai" w:cs="Dubai"/>
          <w:b/>
          <w:bCs/>
          <w:rtl/>
          <w:lang w:val="fa-IR" w:bidi="fa-IR"/>
        </w:rPr>
        <w:t>وکالت حقوقی</w:t>
      </w:r>
      <w:r w:rsidRPr="00E91E56">
        <w:rPr>
          <w:rFonts w:ascii="Dubai" w:hAnsi="Dubai" w:cs="Dubai"/>
          <w:rtl/>
          <w:lang w:val="fa-IR" w:bidi="fa-IR"/>
        </w:rPr>
        <w:t xml:space="preserve"> با پرداختن به جنبه های قانونی تبعیض، بدرفتاری و بی توجهی، از حقوق و منافع افراد دارای معلولیت حمایت می کند.</w:t>
      </w:r>
    </w:p>
    <w:bookmarkEnd w:id="1"/>
    <w:p w14:paraId="689EBD72" w14:textId="77777777" w:rsidR="00727E1B" w:rsidRPr="00E91E56" w:rsidRDefault="009D1866" w:rsidP="002204C6">
      <w:pPr>
        <w:pStyle w:val="Heading2"/>
        <w:bidi/>
        <w:rPr>
          <w:rFonts w:ascii="Dubai" w:hAnsi="Dubai" w:cs="Dubai"/>
          <w:lang w:bidi="fa-IR"/>
        </w:rPr>
      </w:pPr>
      <w:r w:rsidRPr="00E91E56">
        <w:rPr>
          <w:rFonts w:ascii="Dubai" w:hAnsi="Dubai" w:cs="Dubai"/>
          <w:rtl/>
          <w:lang w:val="fa-IR" w:bidi="fa-IR"/>
        </w:rPr>
        <w:t>هدف</w:t>
      </w:r>
    </w:p>
    <w:p w14:paraId="2CD6AE82" w14:textId="77777777" w:rsidR="003654A8" w:rsidRPr="00E91E56" w:rsidRDefault="009D1866" w:rsidP="003654A8">
      <w:pPr>
        <w:pStyle w:val="06Bodycopy"/>
        <w:bidi/>
        <w:rPr>
          <w:rFonts w:ascii="Dubai" w:hAnsi="Dubai" w:cs="Dubai"/>
          <w:lang w:bidi="fa-IR"/>
        </w:rPr>
      </w:pPr>
      <w:r w:rsidRPr="00E91E56">
        <w:rPr>
          <w:rFonts w:ascii="Dubai" w:hAnsi="Dubai" w:cs="Dubai"/>
          <w:rtl/>
          <w:lang w:val="fa-IR" w:bidi="fa-IR"/>
        </w:rPr>
        <w:t>از طریق این چارچوب، دولت‌های استرالیا، ایالت ها و قلمروها، به اهداف زیر به عنوان هدف بلندمدت برای تلاش در ارائه حمایت از معلولیت در استرالیا متعهد می‌شوند:</w:t>
      </w:r>
    </w:p>
    <w:p w14:paraId="42F180E0" w14:textId="77777777" w:rsidR="003654A8" w:rsidRPr="00E91E56" w:rsidRDefault="009D1866" w:rsidP="003654A8">
      <w:pPr>
        <w:pStyle w:val="06Bodycopy"/>
        <w:bidi/>
        <w:rPr>
          <w:rFonts w:ascii="Dubai" w:hAnsi="Dubai" w:cs="Dubai"/>
          <w:i/>
          <w:iCs/>
          <w:lang w:bidi="fa-IR"/>
        </w:rPr>
      </w:pPr>
      <w:r w:rsidRPr="00E91E56">
        <w:rPr>
          <w:rFonts w:ascii="Dubai" w:hAnsi="Dubai" w:cs="Dubai"/>
          <w:i/>
          <w:iCs/>
          <w:rtl/>
          <w:lang w:val="fa-IR" w:bidi="fa-IR"/>
        </w:rPr>
        <w:t>افراد دارای معلولیت به حمایت مؤثر از معلولیت دسترسی دارند که ترویج، حمایت و تضمین برخورداری کامل و برابر آنها از کلیه حقوق بشر، امکان مشارکت و شمول کامل آنها در جامعه را می‌دهد.</w:t>
      </w:r>
    </w:p>
    <w:p w14:paraId="45E9EE70" w14:textId="77777777" w:rsidR="00386EEF" w:rsidRPr="00E91E56" w:rsidRDefault="009D1866" w:rsidP="002204C6">
      <w:pPr>
        <w:pStyle w:val="Heading2"/>
        <w:bidi/>
        <w:rPr>
          <w:rFonts w:ascii="Dubai" w:hAnsi="Dubai" w:cs="Dubai"/>
          <w:lang w:bidi="fa-IR"/>
        </w:rPr>
      </w:pPr>
      <w:r w:rsidRPr="00E91E56">
        <w:rPr>
          <w:rFonts w:ascii="Dubai" w:hAnsi="Dubai" w:cs="Dubai"/>
          <w:rtl/>
          <w:lang w:val="fa-IR" w:bidi="fa-IR"/>
        </w:rPr>
        <w:lastRenderedPageBreak/>
        <w:t>اصول</w:t>
      </w:r>
    </w:p>
    <w:p w14:paraId="3A6D0918" w14:textId="77777777" w:rsidR="00386EEF" w:rsidRPr="00E91E56" w:rsidRDefault="009D1866" w:rsidP="00386EEF">
      <w:pPr>
        <w:bidi/>
        <w:rPr>
          <w:rFonts w:ascii="Dubai" w:hAnsi="Dubai" w:cs="Dubai"/>
          <w:sz w:val="22"/>
          <w:szCs w:val="22"/>
          <w:lang w:bidi="fa-IR"/>
        </w:rPr>
      </w:pPr>
      <w:bookmarkStart w:id="2" w:name="_Toc88808791"/>
      <w:r w:rsidRPr="00E91E56">
        <w:rPr>
          <w:rFonts w:ascii="Dubai" w:hAnsi="Dubai" w:cs="Dubai"/>
          <w:sz w:val="22"/>
          <w:szCs w:val="22"/>
          <w:rtl/>
          <w:lang w:val="fa-IR" w:bidi="fa-IR"/>
        </w:rPr>
        <w:t>این چارچوب با اجرای قوانین و سیاست‌های ملی سازگار است که شامل موارد زیر است، و از آن حمایت می‌کند:</w:t>
      </w:r>
    </w:p>
    <w:p w14:paraId="04029F5C" w14:textId="77777777" w:rsidR="00386EEF" w:rsidRPr="00E91E56" w:rsidRDefault="009D1866" w:rsidP="00695E82">
      <w:pPr>
        <w:pStyle w:val="AlphaParagraph"/>
        <w:numPr>
          <w:ilvl w:val="0"/>
          <w:numId w:val="2"/>
        </w:numPr>
        <w:bidi/>
        <w:spacing w:before="120"/>
        <w:ind w:left="641" w:hanging="357"/>
        <w:rPr>
          <w:rFonts w:ascii="Dubai" w:hAnsi="Dubai" w:cs="Dubai"/>
          <w:i/>
          <w:iCs/>
          <w:color w:val="auto"/>
          <w:sz w:val="22"/>
          <w:szCs w:val="22"/>
          <w:lang w:bidi="fa-IR"/>
        </w:rPr>
      </w:pPr>
      <w:r w:rsidRPr="00E91E56">
        <w:rPr>
          <w:rFonts w:ascii="Dubai" w:hAnsi="Dubai" w:cs="Dubai"/>
          <w:i/>
          <w:iCs/>
          <w:color w:val="auto"/>
          <w:sz w:val="22"/>
          <w:szCs w:val="22"/>
          <w:rtl/>
          <w:lang w:val="fa-IR" w:bidi="fa-IR"/>
        </w:rPr>
        <w:t xml:space="preserve">کنوانسیون سازمان ملل متحد در مورد حقوق افراد دارای معلولیت </w:t>
      </w:r>
    </w:p>
    <w:p w14:paraId="73A84464" w14:textId="77777777" w:rsidR="00386EEF" w:rsidRPr="00E91E56" w:rsidRDefault="009D1866" w:rsidP="00386EEF">
      <w:pPr>
        <w:pStyle w:val="AlphaParagraph"/>
        <w:numPr>
          <w:ilvl w:val="0"/>
          <w:numId w:val="2"/>
        </w:numPr>
        <w:bidi/>
        <w:rPr>
          <w:rFonts w:ascii="Dubai" w:hAnsi="Dubai" w:cs="Dubai"/>
          <w:i/>
          <w:iCs/>
          <w:color w:val="auto"/>
          <w:sz w:val="22"/>
          <w:szCs w:val="22"/>
          <w:lang w:bidi="fa-IR"/>
        </w:rPr>
      </w:pPr>
      <w:r w:rsidRPr="00E91E56">
        <w:rPr>
          <w:rFonts w:ascii="Dubai" w:hAnsi="Dubai" w:cs="Dubai"/>
          <w:i/>
          <w:iCs/>
          <w:color w:val="auto"/>
          <w:sz w:val="22"/>
          <w:szCs w:val="22"/>
          <w:rtl/>
          <w:lang w:val="fa-IR" w:bidi="fa-IR"/>
        </w:rPr>
        <w:t>قانون تبعیض معلولیت 1992</w:t>
      </w:r>
    </w:p>
    <w:p w14:paraId="1954A478" w14:textId="77777777" w:rsidR="00386EEF" w:rsidRPr="00E91E56" w:rsidRDefault="009D1866" w:rsidP="00386EEF">
      <w:pPr>
        <w:pStyle w:val="AlphaParagraph"/>
        <w:numPr>
          <w:ilvl w:val="0"/>
          <w:numId w:val="2"/>
        </w:numPr>
        <w:bidi/>
        <w:rPr>
          <w:rFonts w:ascii="Dubai" w:hAnsi="Dubai" w:cs="Dubai"/>
          <w:i/>
          <w:iCs/>
          <w:color w:val="auto"/>
          <w:sz w:val="22"/>
          <w:szCs w:val="22"/>
          <w:lang w:bidi="fa-IR"/>
        </w:rPr>
      </w:pPr>
      <w:r w:rsidRPr="00E91E56">
        <w:rPr>
          <w:rFonts w:ascii="Dubai" w:hAnsi="Dubai" w:cs="Dubai"/>
          <w:i/>
          <w:iCs/>
          <w:color w:val="auto"/>
          <w:sz w:val="22"/>
          <w:szCs w:val="22"/>
          <w:rtl/>
          <w:lang w:val="fa-IR" w:bidi="fa-IR"/>
        </w:rPr>
        <w:t>استراتژی معلولیت استرالیا 2031-2021</w:t>
      </w:r>
    </w:p>
    <w:p w14:paraId="5F36580C" w14:textId="77777777" w:rsidR="00386EEF" w:rsidRPr="00E91E56" w:rsidRDefault="009D1866" w:rsidP="002204C6">
      <w:pPr>
        <w:pStyle w:val="AlphaParagraph"/>
        <w:numPr>
          <w:ilvl w:val="0"/>
          <w:numId w:val="2"/>
        </w:numPr>
        <w:bidi/>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موافقتنامه ملی کاهش شکاف </w:t>
      </w:r>
    </w:p>
    <w:p w14:paraId="42DCB700" w14:textId="77777777" w:rsidR="00386EEF" w:rsidRPr="00E91E56" w:rsidRDefault="009D1866" w:rsidP="00386EEF">
      <w:pPr>
        <w:pStyle w:val="AlphaParagraph"/>
        <w:numPr>
          <w:ilvl w:val="0"/>
          <w:numId w:val="2"/>
        </w:numPr>
        <w:bidi/>
        <w:rPr>
          <w:rFonts w:ascii="Dubai" w:hAnsi="Dubai" w:cs="Dubai"/>
          <w:color w:val="auto"/>
          <w:sz w:val="22"/>
          <w:szCs w:val="22"/>
          <w:lang w:bidi="fa-IR"/>
        </w:rPr>
      </w:pPr>
      <w:r w:rsidRPr="00E91E56">
        <w:rPr>
          <w:rFonts w:ascii="Dubai" w:hAnsi="Dubai" w:cs="Dubai"/>
          <w:color w:val="auto"/>
          <w:sz w:val="22"/>
          <w:szCs w:val="22"/>
          <w:rtl/>
          <w:lang w:val="fa-IR" w:bidi="fa-IR"/>
        </w:rPr>
        <w:t xml:space="preserve">چارچوب کیفیت و حفاظت NDIS  </w:t>
      </w:r>
    </w:p>
    <w:p w14:paraId="28655165" w14:textId="77777777" w:rsidR="00386EEF" w:rsidRPr="00E91E56" w:rsidRDefault="009D1866" w:rsidP="002204C6">
      <w:pPr>
        <w:bidi/>
        <w:spacing w:after="340"/>
        <w:rPr>
          <w:rFonts w:ascii="Dubai" w:hAnsi="Dubai" w:cs="Dubai"/>
          <w:sz w:val="22"/>
          <w:szCs w:val="22"/>
          <w:lang w:bidi="fa-IR"/>
        </w:rPr>
      </w:pPr>
      <w:r w:rsidRPr="00E91E56">
        <w:rPr>
          <w:rFonts w:ascii="Dubai" w:hAnsi="Dubai" w:cs="Dubai"/>
          <w:sz w:val="22"/>
          <w:szCs w:val="22"/>
          <w:rtl/>
          <w:lang w:val="fa-IR" w:bidi="fa-IR"/>
        </w:rPr>
        <w:t xml:space="preserve">از طریق این چارچوب، دولت‌های استرالیا، ایالت ها و قلمروها، اصول زیر را برای هدایت ارائه حمایت از افراد دارای معلولیت در سطح ملی می‌پذیرند و اتخاذ می‌کنند:  </w:t>
      </w:r>
    </w:p>
    <w:p w14:paraId="51F053BA" w14:textId="77777777" w:rsidR="00386EEF" w:rsidRPr="00E91E56" w:rsidRDefault="009D1866" w:rsidP="004F0B57">
      <w:pPr>
        <w:pStyle w:val="Heading3"/>
        <w:bidi/>
        <w:rPr>
          <w:rFonts w:ascii="Dubai" w:hAnsi="Dubai" w:cs="Dubai"/>
          <w:lang w:bidi="fa-IR"/>
        </w:rPr>
      </w:pPr>
      <w:r w:rsidRPr="00E91E56">
        <w:rPr>
          <w:rFonts w:ascii="Dubai" w:hAnsi="Dubai" w:cs="Dubai"/>
          <w:rtl/>
          <w:lang w:val="fa-IR" w:bidi="fa-IR"/>
        </w:rPr>
        <w:t>پیش فرض حقوق و توانایی</w:t>
      </w:r>
    </w:p>
    <w:p w14:paraId="0BC8DDB7"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همه مردم حق دارند عاری از خشونت، بدرفتاری، بی توجهی، تبعیض و استثمار بمانند.</w:t>
      </w:r>
    </w:p>
    <w:p w14:paraId="33EE7279"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همه مردم حق برخورداری از تکریم و احترام دارند.</w:t>
      </w:r>
    </w:p>
    <w:p w14:paraId="5DAA6040"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همه مردم حق ارتباط و دسترسی به اطلاعات را دارند.</w:t>
      </w:r>
    </w:p>
    <w:p w14:paraId="6C3B5E59"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 xml:space="preserve">همه مردم حق دارند با خیال راحت هرگونه شکایت یا مشقت را بدون ترس از عواقب آن، پیگیری کنند. </w:t>
      </w:r>
    </w:p>
    <w:p w14:paraId="3C9F7A23"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همه مردم حق حفظ حریم خصوصی و رازداری دارند.</w:t>
      </w:r>
    </w:p>
    <w:p w14:paraId="4D1D69A7"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 xml:space="preserve">همه بزرگسالان حق برابر دارند که تصمیماتی بگیرند که بر زندگی آنها تأثیر بگذارد و به آن تصمیمات احترام گذاشته شود. </w:t>
      </w:r>
    </w:p>
    <w:p w14:paraId="7C6B1CCE"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فرض بر این است که همه بزرگسالان دارای معلولیت توانایی تصمیم گیری و مشارکت در تصمیم گیری هایی را دارند که بر تمام جنبه های زندگی آنها تأثیر می گذارد.</w:t>
      </w:r>
    </w:p>
    <w:p w14:paraId="343D15AE"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 xml:space="preserve">همه کودکان و جوانان دارای معلولیت از حق یکسانی برخوردارند تا در تصمیماتی که بر زندگی آنها تأثیر می گذارد، تا جایی که بتوانند مشارکت کنند. </w:t>
      </w:r>
    </w:p>
    <w:p w14:paraId="26757E04"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تصمیماتی که بر افراد دارای معلولیت تأثیر می گذارد، از جمله افرادی که ممکن است برای تصمیم گیری نیاز به حمایت داشته باشند، باید مطابق با اراده، ترجیحات و حقوق آنها اتخاذ شود. </w:t>
      </w:r>
    </w:p>
    <w:p w14:paraId="04703613" w14:textId="77777777" w:rsidR="00386EEF" w:rsidRPr="00E91E56" w:rsidRDefault="009D1866" w:rsidP="00265239">
      <w:pPr>
        <w:pStyle w:val="AlphaParagraph"/>
        <w:numPr>
          <w:ilvl w:val="0"/>
          <w:numId w:val="2"/>
        </w:numPr>
        <w:bidi/>
        <w:spacing w:line="240" w:lineRule="auto"/>
        <w:rPr>
          <w:rFonts w:ascii="Dubai" w:hAnsi="Dubai" w:cs="Dubai"/>
          <w:color w:val="auto"/>
          <w:sz w:val="22"/>
          <w:szCs w:val="22"/>
          <w:lang w:bidi="fa-IR"/>
        </w:rPr>
      </w:pPr>
      <w:r w:rsidRPr="00E91E56">
        <w:rPr>
          <w:rFonts w:ascii="Dubai" w:hAnsi="Dubai" w:cs="Dubai"/>
          <w:color w:val="auto"/>
          <w:sz w:val="22"/>
          <w:szCs w:val="22"/>
          <w:rtl/>
          <w:lang w:val="fa-IR" w:bidi="fa-IR"/>
        </w:rPr>
        <w:t>تصمیماتی که بر افراد دارای معلولیت تأثیر می گذارد که توسط تصمیم گیرندگان جایگزین منصوب می شود، باید تا حد امکان، اراده، ترجیحات و حقوق آنها را در نظر بگیرد.</w:t>
      </w:r>
    </w:p>
    <w:p w14:paraId="5FD7297A" w14:textId="77777777" w:rsidR="00386EEF" w:rsidRPr="00E91E56" w:rsidRDefault="009D1866" w:rsidP="004F0B57">
      <w:pPr>
        <w:pStyle w:val="Heading3"/>
        <w:bidi/>
        <w:rPr>
          <w:rFonts w:ascii="Dubai" w:hAnsi="Dubai" w:cs="Dubai"/>
          <w:lang w:bidi="fa-IR"/>
        </w:rPr>
      </w:pPr>
      <w:r w:rsidRPr="00E91E56">
        <w:rPr>
          <w:rFonts w:ascii="Dubai" w:hAnsi="Dubai" w:cs="Dubai"/>
          <w:rtl/>
          <w:lang w:val="fa-IR" w:bidi="fa-IR"/>
        </w:rPr>
        <w:t>پادمان و عدالت</w:t>
      </w:r>
    </w:p>
    <w:p w14:paraId="5C5F1E76" w14:textId="77777777" w:rsidR="00386EEF" w:rsidRPr="00E91E56" w:rsidRDefault="009D1866" w:rsidP="00265239">
      <w:pPr>
        <w:pStyle w:val="AlphaParagraph"/>
        <w:numPr>
          <w:ilvl w:val="0"/>
          <w:numId w:val="2"/>
        </w:numPr>
        <w:bidi/>
        <w:spacing w:line="240" w:lineRule="auto"/>
        <w:rPr>
          <w:rFonts w:ascii="Dubai" w:hAnsi="Dubai" w:cs="Dubai"/>
          <w:sz w:val="22"/>
          <w:szCs w:val="22"/>
          <w:lang w:bidi="fa-IR"/>
        </w:rPr>
      </w:pPr>
      <w:r w:rsidRPr="00E91E56">
        <w:rPr>
          <w:rFonts w:ascii="Dubai" w:hAnsi="Dubai" w:cs="Dubai"/>
          <w:sz w:val="22"/>
          <w:szCs w:val="22"/>
          <w:rtl/>
          <w:lang w:val="fa-IR" w:bidi="fa-IR"/>
        </w:rPr>
        <w:t>حمایت از معلولیت ابزاری ضروری برای حفظ حقوق بشر افراد دارای معلولیت است.</w:t>
      </w:r>
    </w:p>
    <w:p w14:paraId="48207959" w14:textId="77777777" w:rsidR="00386EEF" w:rsidRPr="00E91E56" w:rsidRDefault="009D1866" w:rsidP="00265239">
      <w:pPr>
        <w:pStyle w:val="AlphaParagraph"/>
        <w:numPr>
          <w:ilvl w:val="0"/>
          <w:numId w:val="2"/>
        </w:numPr>
        <w:bidi/>
        <w:spacing w:line="240" w:lineRule="auto"/>
        <w:rPr>
          <w:rFonts w:ascii="Dubai" w:hAnsi="Dubai" w:cs="Dubai"/>
          <w:sz w:val="22"/>
          <w:szCs w:val="22"/>
          <w:lang w:bidi="fa-IR"/>
        </w:rPr>
      </w:pPr>
      <w:r w:rsidRPr="00E91E56">
        <w:rPr>
          <w:rFonts w:ascii="Dubai" w:hAnsi="Dubai" w:cs="Dubai"/>
          <w:sz w:val="22"/>
          <w:szCs w:val="22"/>
          <w:rtl/>
          <w:lang w:val="fa-IR" w:bidi="fa-IR"/>
        </w:rPr>
        <w:lastRenderedPageBreak/>
        <w:t>حقوق همه افراد دارای معلولیت ترویج، پاسداری و حمایت می شود.</w:t>
      </w:r>
    </w:p>
    <w:p w14:paraId="20DC1510" w14:textId="53E3D8C9" w:rsidR="00386EEF" w:rsidRPr="00E91E56" w:rsidRDefault="009D1866" w:rsidP="00903004">
      <w:pPr>
        <w:pStyle w:val="AlphaParagraph"/>
        <w:numPr>
          <w:ilvl w:val="0"/>
          <w:numId w:val="2"/>
        </w:numPr>
        <w:bidi/>
        <w:spacing w:line="240" w:lineRule="auto"/>
        <w:rPr>
          <w:rFonts w:ascii="Dubai" w:hAnsi="Dubai" w:cs="Dubai"/>
          <w:sz w:val="22"/>
          <w:szCs w:val="22"/>
          <w:lang w:bidi="fa-IR"/>
        </w:rPr>
      </w:pPr>
      <w:r w:rsidRPr="00E91E56">
        <w:rPr>
          <w:rFonts w:ascii="Dubai" w:hAnsi="Dubai" w:cs="Dubai"/>
          <w:sz w:val="22"/>
          <w:szCs w:val="22"/>
          <w:rtl/>
          <w:lang w:val="fa-IR" w:bidi="fa-IR"/>
        </w:rPr>
        <w:t xml:space="preserve">همه افراد دارای معلولیت احساس امنیت می کنند و از برابری در </w:t>
      </w:r>
      <w:r w:rsidR="00903004">
        <w:rPr>
          <w:rFonts w:ascii="Dubai" w:hAnsi="Dubai" w:cs="Dubai" w:hint="cs"/>
          <w:sz w:val="22"/>
          <w:szCs w:val="22"/>
          <w:rtl/>
          <w:lang w:val="fa-IR" w:bidi="fa-IR"/>
        </w:rPr>
        <w:t>مقابل</w:t>
      </w:r>
      <w:r w:rsidRPr="00E91E56">
        <w:rPr>
          <w:rFonts w:ascii="Dubai" w:hAnsi="Dubai" w:cs="Dubai"/>
          <w:sz w:val="22"/>
          <w:szCs w:val="22"/>
          <w:rtl/>
          <w:lang w:val="fa-IR" w:bidi="fa-IR"/>
        </w:rPr>
        <w:t xml:space="preserve"> قانون برخوردارند. </w:t>
      </w:r>
    </w:p>
    <w:p w14:paraId="3620D676" w14:textId="77777777" w:rsidR="00386EEF" w:rsidRPr="00E91E56" w:rsidRDefault="009D1866" w:rsidP="00265239">
      <w:pPr>
        <w:pStyle w:val="AlphaParagraph"/>
        <w:numPr>
          <w:ilvl w:val="0"/>
          <w:numId w:val="2"/>
        </w:numPr>
        <w:bidi/>
        <w:spacing w:line="240" w:lineRule="auto"/>
        <w:ind w:left="641" w:hanging="357"/>
        <w:rPr>
          <w:rFonts w:ascii="Dubai" w:hAnsi="Dubai" w:cs="Dubai"/>
          <w:sz w:val="22"/>
          <w:szCs w:val="22"/>
          <w:lang w:bidi="fa-IR"/>
        </w:rPr>
      </w:pPr>
      <w:r w:rsidRPr="00E91E56">
        <w:rPr>
          <w:rFonts w:ascii="Dubai" w:hAnsi="Dubai" w:cs="Dubai"/>
          <w:sz w:val="22"/>
          <w:szCs w:val="22"/>
          <w:rtl/>
          <w:lang w:val="fa-IR" w:bidi="fa-IR"/>
        </w:rPr>
        <w:t>افراد برای شناسایی و درک زمانی که مورد خشونت، بدرفتاری، بی‌توجهی و استثمار قرار گرفته‌اند و درک اینکه چه اقداماتی می‌توانند در پاسخ به آنچه تجربه کرده‌اند انجام دهند، حمایت می‌شوند.</w:t>
      </w:r>
    </w:p>
    <w:p w14:paraId="24D049EE"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حمایت از معلولیت شامل مشاوره حقوقی و وکالت است که توسط خدمات حقوقی حرفه ای ارائه می شود، در صورتی که برای کمک به افراد دارای معلولیت برای اعمال حقوق خود لازم باشد.</w:t>
      </w:r>
    </w:p>
    <w:p w14:paraId="65B0F9DD" w14:textId="77777777" w:rsidR="00386EEF" w:rsidRPr="00E91E56" w:rsidRDefault="009D1866" w:rsidP="004F0B57">
      <w:pPr>
        <w:pStyle w:val="Heading3"/>
        <w:bidi/>
        <w:rPr>
          <w:rFonts w:ascii="Dubai" w:hAnsi="Dubai" w:cs="Dubai"/>
          <w:lang w:bidi="fa-IR"/>
        </w:rPr>
      </w:pPr>
      <w:r w:rsidRPr="00E91E56">
        <w:rPr>
          <w:rFonts w:ascii="Dubai" w:hAnsi="Dubai" w:cs="Dubai"/>
          <w:rtl/>
          <w:lang w:val="fa-IR" w:bidi="fa-IR"/>
        </w:rPr>
        <w:t>مشارکت، شمول و دسترسی به پشتیبانی</w:t>
      </w:r>
    </w:p>
    <w:p w14:paraId="516E7B49"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حمایت از معلولیت ابزاری ضروری برای تقویت همکاری و مشارکت کامل و مؤثر همه افراد دارای معلولیت در جامعه است.</w:t>
      </w:r>
    </w:p>
    <w:p w14:paraId="167C7DDB"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تسهیل ارتباط موثر و مناسب با افراد دارای معلولیت جزء ضروری حمایت از معلولیت است. </w:t>
      </w:r>
    </w:p>
    <w:p w14:paraId="40F50856"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همه افراد دارای معلولیت بدون در نظر گرفتن جایی که در استرالیا زندگی می کنند، حق دسترسی به کمک های حمایتی با کیفیت و مستقل را دارند.</w:t>
      </w:r>
    </w:p>
    <w:p w14:paraId="134D938D"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حمایت از معلولیت دسترسی به امکانات مورد نیاز افراد دارای معلولیت از نظر مکان، ارتباط، فرهنگ و فناوری را در نظر می گیرد. </w:t>
      </w:r>
    </w:p>
    <w:p w14:paraId="22224691" w14:textId="77777777" w:rsidR="00386EEF" w:rsidRPr="00E91E56" w:rsidRDefault="009D1866" w:rsidP="004F0B57">
      <w:pPr>
        <w:pStyle w:val="Heading3"/>
        <w:bidi/>
        <w:rPr>
          <w:rFonts w:ascii="Dubai" w:hAnsi="Dubai" w:cs="Dubai"/>
          <w:lang w:bidi="fa-IR"/>
        </w:rPr>
      </w:pPr>
      <w:r w:rsidRPr="00E91E56">
        <w:rPr>
          <w:rFonts w:ascii="Dubai" w:hAnsi="Dubai" w:cs="Dubai"/>
          <w:rtl/>
          <w:lang w:val="fa-IR" w:bidi="fa-IR"/>
        </w:rPr>
        <w:t>تصمیم گیری فردی</w:t>
      </w:r>
    </w:p>
    <w:p w14:paraId="17F9E0F3" w14:textId="77777777" w:rsidR="00386EEF" w:rsidRPr="00E91E56" w:rsidRDefault="009D1866" w:rsidP="00386EEF">
      <w:pPr>
        <w:pStyle w:val="AlphaParagraph"/>
        <w:numPr>
          <w:ilvl w:val="0"/>
          <w:numId w:val="2"/>
        </w:numPr>
        <w:bidi/>
        <w:rPr>
          <w:rFonts w:ascii="Dubai" w:hAnsi="Dubai" w:cs="Dubai"/>
          <w:color w:val="auto"/>
          <w:sz w:val="22"/>
          <w:szCs w:val="22"/>
          <w:lang w:bidi="fa-IR"/>
        </w:rPr>
      </w:pPr>
      <w:r w:rsidRPr="00E91E56">
        <w:rPr>
          <w:rFonts w:ascii="Dubai" w:hAnsi="Dubai" w:cs="Dubai"/>
          <w:color w:val="auto"/>
          <w:sz w:val="22"/>
          <w:szCs w:val="22"/>
          <w:rtl/>
          <w:lang w:val="fa-IR" w:bidi="fa-IR"/>
        </w:rPr>
        <w:t>حمایت از معلولیت باید بر اساس اراده، ترجیحات و حقوق فرد دارای معلولیت انجام شود.</w:t>
      </w:r>
    </w:p>
    <w:p w14:paraId="68378D90" w14:textId="77777777" w:rsidR="00386EEF" w:rsidRPr="00E91E56" w:rsidRDefault="009D1866" w:rsidP="00386EEF">
      <w:pPr>
        <w:pStyle w:val="AlphaParagraph"/>
        <w:numPr>
          <w:ilvl w:val="0"/>
          <w:numId w:val="2"/>
        </w:numPr>
        <w:bidi/>
        <w:rPr>
          <w:rFonts w:ascii="Dubai" w:hAnsi="Dubai" w:cs="Dubai"/>
          <w:color w:val="auto"/>
          <w:sz w:val="22"/>
          <w:szCs w:val="22"/>
          <w:lang w:bidi="fa-IR"/>
        </w:rPr>
      </w:pPr>
      <w:r w:rsidRPr="00E91E56">
        <w:rPr>
          <w:rFonts w:ascii="Dubai" w:hAnsi="Dubai" w:cs="Dubai"/>
          <w:color w:val="auto"/>
          <w:sz w:val="22"/>
          <w:szCs w:val="22"/>
          <w:rtl/>
          <w:lang w:val="fa-IR" w:bidi="fa-IR"/>
        </w:rPr>
        <w:t xml:space="preserve">با رعایت اصل </w:t>
      </w:r>
      <w:r w:rsidRPr="00E91E56">
        <w:rPr>
          <w:rFonts w:ascii="Dubai" w:hAnsi="Dubai" w:cs="Dubai"/>
          <w:i/>
          <w:iCs/>
          <w:color w:val="auto"/>
          <w:sz w:val="22"/>
          <w:szCs w:val="22"/>
          <w:rtl/>
          <w:lang w:val="fa-IR" w:bidi="fa-IR"/>
        </w:rPr>
        <w:t>"هیچ چیز درباره ما، بدون ما"</w:t>
      </w:r>
      <w:r w:rsidRPr="00E91E56">
        <w:rPr>
          <w:rFonts w:ascii="Dubai" w:hAnsi="Dubai" w:cs="Dubai"/>
          <w:color w:val="auto"/>
          <w:sz w:val="22"/>
          <w:szCs w:val="22"/>
          <w:rtl/>
          <w:lang w:val="fa-IR" w:bidi="fa-IR"/>
        </w:rPr>
        <w:t>، مدافعان معلولیت باید:</w:t>
      </w:r>
    </w:p>
    <w:p w14:paraId="363EAB80" w14:textId="77777777" w:rsidR="00386EEF" w:rsidRPr="00E91E56" w:rsidRDefault="009D1866" w:rsidP="00265239">
      <w:pPr>
        <w:pStyle w:val="AlphaParagraph"/>
        <w:numPr>
          <w:ilvl w:val="0"/>
          <w:numId w:val="4"/>
        </w:numPr>
        <w:bidi/>
        <w:spacing w:line="240" w:lineRule="auto"/>
        <w:ind w:left="1066"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از شنیده شدن صدای افراد و درک آنها اطمینان حاصل کنند </w:t>
      </w:r>
    </w:p>
    <w:p w14:paraId="1D460D57" w14:textId="77777777" w:rsidR="00386EEF" w:rsidRPr="00E91E56" w:rsidRDefault="009D1866" w:rsidP="00265239">
      <w:pPr>
        <w:pStyle w:val="AlphaParagraph"/>
        <w:numPr>
          <w:ilvl w:val="0"/>
          <w:numId w:val="4"/>
        </w:numPr>
        <w:bidi/>
        <w:spacing w:line="240" w:lineRule="auto"/>
        <w:ind w:left="1066"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افراد را برای استفاده از صدای خود از طریق یک رویکرد شخص محور با شناسایی نقاط قوت یک فرد، و استفاده از این نقاط قوت برای به حداکثر رساندن مشارکت خود در تصمیم گیری ها و نتایج توانمند سازند و </w:t>
      </w:r>
    </w:p>
    <w:p w14:paraId="237A9328" w14:textId="77777777" w:rsidR="00386EEF" w:rsidRPr="00E91E56" w:rsidRDefault="009D1866" w:rsidP="00265239">
      <w:pPr>
        <w:pStyle w:val="AlphaParagraph"/>
        <w:numPr>
          <w:ilvl w:val="0"/>
          <w:numId w:val="4"/>
        </w:numPr>
        <w:bidi/>
        <w:spacing w:line="240" w:lineRule="auto"/>
        <w:ind w:left="1066"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با ایجاد ظرفیت برای افراد برای دفاع از خود استقلال آنها را تقویت کنند. </w:t>
      </w:r>
    </w:p>
    <w:p w14:paraId="306C2320" w14:textId="77777777" w:rsidR="00386EEF" w:rsidRPr="00E91E56" w:rsidRDefault="009D1866" w:rsidP="004F0B57">
      <w:pPr>
        <w:pStyle w:val="Heading3"/>
        <w:bidi/>
        <w:rPr>
          <w:rFonts w:ascii="Dubai" w:hAnsi="Dubai" w:cs="Dubai"/>
          <w:lang w:bidi="fa-IR"/>
        </w:rPr>
      </w:pPr>
      <w:r w:rsidRPr="00E91E56">
        <w:rPr>
          <w:rFonts w:ascii="Dubai" w:hAnsi="Dubai" w:cs="Dubai"/>
          <w:rtl/>
          <w:lang w:val="fa-IR" w:bidi="fa-IR"/>
        </w:rPr>
        <w:t>شمول و دسترسی برای افراد دارای معلولیت ملل نخست</w:t>
      </w:r>
    </w:p>
    <w:p w14:paraId="3F8C41F1" w14:textId="77777777" w:rsidR="00386EEF" w:rsidRPr="00E91E56" w:rsidRDefault="009D1866" w:rsidP="00386EEF">
      <w:pPr>
        <w:pStyle w:val="AlphaParagraph"/>
        <w:numPr>
          <w:ilvl w:val="0"/>
          <w:numId w:val="2"/>
        </w:numPr>
        <w:bidi/>
        <w:rPr>
          <w:rFonts w:ascii="Dubai" w:hAnsi="Dubai" w:cs="Dubai"/>
          <w:color w:val="auto"/>
          <w:sz w:val="22"/>
          <w:szCs w:val="22"/>
          <w:lang w:bidi="fa-IR"/>
        </w:rPr>
      </w:pPr>
      <w:r w:rsidRPr="00E91E56">
        <w:rPr>
          <w:rFonts w:ascii="Dubai" w:hAnsi="Dubai" w:cs="Dubai"/>
          <w:color w:val="auto"/>
          <w:sz w:val="22"/>
          <w:szCs w:val="22"/>
          <w:rtl/>
          <w:lang w:val="fa-IR" w:bidi="fa-IR"/>
        </w:rPr>
        <w:t xml:space="preserve">همراستایی با توافقنامه ملی کاهش شکاف: </w:t>
      </w:r>
    </w:p>
    <w:p w14:paraId="02CA80B0" w14:textId="77777777" w:rsidR="00386EEF" w:rsidRPr="00E91E56" w:rsidRDefault="009D1866" w:rsidP="00265239">
      <w:pPr>
        <w:pStyle w:val="AlphaParagraph"/>
        <w:numPr>
          <w:ilvl w:val="0"/>
          <w:numId w:val="3"/>
        </w:numPr>
        <w:bidi/>
        <w:spacing w:line="240" w:lineRule="auto"/>
        <w:ind w:left="1003"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نظرات و تخصص افراد دارای معلولیت ملل نخست در طراحی و ارائه کمک های حمایتی که بر آنها تأثیر می گذارد شنیده می شود </w:t>
      </w:r>
    </w:p>
    <w:p w14:paraId="2DB79404" w14:textId="16BCFC2F" w:rsidR="00386EEF" w:rsidRPr="00E91E56" w:rsidRDefault="009D1866" w:rsidP="00265239">
      <w:pPr>
        <w:pStyle w:val="AlphaParagraph"/>
        <w:numPr>
          <w:ilvl w:val="0"/>
          <w:numId w:val="3"/>
        </w:numPr>
        <w:bidi/>
        <w:spacing w:line="240" w:lineRule="auto"/>
        <w:ind w:left="1003" w:hanging="357"/>
        <w:rPr>
          <w:rFonts w:ascii="Dubai" w:hAnsi="Dubai" w:cs="Dubai"/>
          <w:color w:val="auto"/>
          <w:sz w:val="22"/>
          <w:szCs w:val="22"/>
          <w:lang w:bidi="fa-IR"/>
        </w:rPr>
      </w:pPr>
      <w:r w:rsidRPr="00E91E56">
        <w:rPr>
          <w:rFonts w:ascii="Dubai" w:hAnsi="Dubai" w:cs="Dubai"/>
          <w:color w:val="auto"/>
          <w:sz w:val="22"/>
          <w:szCs w:val="22"/>
          <w:rtl/>
          <w:lang w:val="fa-IR" w:bidi="fa-IR"/>
        </w:rPr>
        <w:t>مشارکت ها و فرآیندهای تصمیم گیری مشترک مسیری ضروری است که از طریق آن افراد دارای معلولیت ملل نخست می توانند طراحی و اجرای حمایت از معلولیت</w:t>
      </w:r>
      <w:r w:rsidR="006C6865">
        <w:rPr>
          <w:rFonts w:ascii="Dubai" w:hAnsi="Dubai" w:cs="Dubai" w:hint="cs"/>
          <w:color w:val="auto"/>
          <w:sz w:val="22"/>
          <w:szCs w:val="22"/>
          <w:rtl/>
          <w:lang w:val="fa-IR" w:bidi="fa-IR"/>
        </w:rPr>
        <w:t>ِ</w:t>
      </w:r>
      <w:r w:rsidRPr="00E91E56">
        <w:rPr>
          <w:rFonts w:ascii="Dubai" w:hAnsi="Dubai" w:cs="Dubai"/>
          <w:color w:val="auto"/>
          <w:sz w:val="22"/>
          <w:szCs w:val="22"/>
          <w:rtl/>
          <w:lang w:val="fa-IR" w:bidi="fa-IR"/>
        </w:rPr>
        <w:t xml:space="preserve"> قابل اعتماد، مناسب</w:t>
      </w:r>
      <w:r w:rsidR="006C6865">
        <w:rPr>
          <w:rFonts w:ascii="Dubai" w:hAnsi="Dubai" w:cs="Dubai" w:hint="cs"/>
          <w:color w:val="auto"/>
          <w:sz w:val="22"/>
          <w:szCs w:val="22"/>
          <w:rtl/>
          <w:lang w:val="fa-IR" w:bidi="fa-IR"/>
        </w:rPr>
        <w:t xml:space="preserve"> با</w:t>
      </w:r>
      <w:r w:rsidRPr="00E91E56">
        <w:rPr>
          <w:rFonts w:ascii="Dubai" w:hAnsi="Dubai" w:cs="Dubai"/>
          <w:color w:val="auto"/>
          <w:sz w:val="22"/>
          <w:szCs w:val="22"/>
          <w:rtl/>
          <w:lang w:val="fa-IR" w:bidi="fa-IR"/>
        </w:rPr>
        <w:t>فرهنگ، در دسترس و فراگیر را هدایت کنند.</w:t>
      </w:r>
    </w:p>
    <w:p w14:paraId="76B61A25" w14:textId="77777777" w:rsidR="00386EEF" w:rsidRPr="00E91E56" w:rsidRDefault="009D1866" w:rsidP="00265239">
      <w:pPr>
        <w:pStyle w:val="AlphaParagraph"/>
        <w:numPr>
          <w:ilvl w:val="0"/>
          <w:numId w:val="3"/>
        </w:numPr>
        <w:bidi/>
        <w:spacing w:line="240" w:lineRule="auto"/>
        <w:ind w:left="1003" w:hanging="357"/>
        <w:rPr>
          <w:rFonts w:ascii="Dubai" w:hAnsi="Dubai" w:cs="Dubai"/>
          <w:color w:val="auto"/>
          <w:sz w:val="22"/>
          <w:szCs w:val="22"/>
          <w:lang w:bidi="fa-IR"/>
        </w:rPr>
      </w:pPr>
      <w:r w:rsidRPr="00E91E56">
        <w:rPr>
          <w:rFonts w:ascii="Dubai" w:hAnsi="Dubai" w:cs="Dubai"/>
          <w:color w:val="auto"/>
          <w:sz w:val="22"/>
          <w:szCs w:val="22"/>
          <w:rtl/>
          <w:lang w:val="fa-IR" w:bidi="fa-IR"/>
        </w:rPr>
        <w:lastRenderedPageBreak/>
        <w:t>بخش تحت کنترل جامعه ملل نخست یک مسیر ضروری است که از طریق آن افراد دارای معلولیت ملل نخست می توانند به کمک های حمایتی مناسب از نظر فرهنگی دسترسی داشته باشند</w:t>
      </w:r>
    </w:p>
    <w:p w14:paraId="4315F33B" w14:textId="77777777" w:rsidR="00386EEF" w:rsidRPr="00E91E56" w:rsidRDefault="009D1866" w:rsidP="00265239">
      <w:pPr>
        <w:pStyle w:val="AlphaParagraph"/>
        <w:numPr>
          <w:ilvl w:val="0"/>
          <w:numId w:val="3"/>
        </w:numPr>
        <w:bidi/>
        <w:spacing w:line="240" w:lineRule="auto"/>
        <w:ind w:left="1003" w:hanging="357"/>
        <w:rPr>
          <w:rFonts w:ascii="Dubai" w:hAnsi="Dubai" w:cs="Dubai"/>
          <w:color w:val="auto"/>
          <w:sz w:val="22"/>
          <w:szCs w:val="22"/>
          <w:lang w:bidi="fa-IR"/>
        </w:rPr>
      </w:pPr>
      <w:r w:rsidRPr="00E91E56">
        <w:rPr>
          <w:rFonts w:ascii="Dubai" w:hAnsi="Dubai" w:cs="Dubai"/>
          <w:color w:val="auto"/>
          <w:sz w:val="22"/>
          <w:szCs w:val="22"/>
          <w:rtl/>
          <w:lang w:val="fa-IR" w:bidi="fa-IR"/>
        </w:rPr>
        <w:t>خدمات اصلی حمایت از معلولیت، با شناخت نقاط قوت، دانش و عاملیت آنها، حمایت‌های معنادار و ایمن از لحاظ فرهنگی را برای افراد دارای معلولیت ارائه می‌دهند</w:t>
      </w:r>
    </w:p>
    <w:p w14:paraId="3C20E697" w14:textId="77777777" w:rsidR="00386EEF" w:rsidRPr="00E91E56" w:rsidRDefault="009D1866" w:rsidP="00265239">
      <w:pPr>
        <w:pStyle w:val="AlphaParagraph"/>
        <w:numPr>
          <w:ilvl w:val="0"/>
          <w:numId w:val="3"/>
        </w:numPr>
        <w:bidi/>
        <w:spacing w:line="240" w:lineRule="auto"/>
        <w:ind w:left="1003" w:hanging="357"/>
        <w:rPr>
          <w:rFonts w:ascii="Dubai" w:hAnsi="Dubai" w:cs="Dubai"/>
          <w:color w:val="auto"/>
          <w:sz w:val="22"/>
          <w:szCs w:val="22"/>
          <w:lang w:bidi="fa-IR"/>
        </w:rPr>
      </w:pPr>
      <w:r w:rsidRPr="00E91E56">
        <w:rPr>
          <w:rFonts w:ascii="Dubai" w:hAnsi="Dubai" w:cs="Dubai"/>
          <w:color w:val="auto"/>
          <w:sz w:val="22"/>
          <w:szCs w:val="22"/>
          <w:rtl/>
          <w:lang w:val="fa-IR" w:bidi="fa-IR"/>
        </w:rPr>
        <w:t>افراد دارای معلولیت، جوامع و سازمان‌های ملل متحد برای تصمیم‌گیری بهتر در مورد حمایت از معلولیت با دسترسی و توانایی استفاده از داده‌ها و اطلاعات محلی مرتبط حمایت می‌شوند.</w:t>
      </w:r>
    </w:p>
    <w:p w14:paraId="553B059F" w14:textId="6B234FCB" w:rsidR="00386EEF" w:rsidRPr="00E91E56" w:rsidRDefault="009D1866" w:rsidP="003505C4">
      <w:pPr>
        <w:pStyle w:val="Heading3"/>
        <w:bidi/>
        <w:rPr>
          <w:rFonts w:ascii="Dubai" w:hAnsi="Dubai" w:cs="Dubai"/>
          <w:lang w:bidi="fa-IR"/>
        </w:rPr>
      </w:pPr>
      <w:r w:rsidRPr="00E91E56">
        <w:rPr>
          <w:rFonts w:ascii="Dubai" w:hAnsi="Dubai" w:cs="Dubai"/>
          <w:rtl/>
          <w:lang w:val="fa-IR" w:bidi="fa-IR"/>
        </w:rPr>
        <w:t xml:space="preserve">درک و احترام به </w:t>
      </w:r>
      <w:r w:rsidR="003505C4">
        <w:rPr>
          <w:rFonts w:ascii="Dubai" w:hAnsi="Dubai" w:cs="Dubai" w:hint="cs"/>
          <w:rtl/>
          <w:lang w:val="fa-IR" w:bidi="fa-IR"/>
        </w:rPr>
        <w:t>گوناگونی</w:t>
      </w:r>
      <w:r w:rsidRPr="00E91E56">
        <w:rPr>
          <w:rFonts w:ascii="Dubai" w:hAnsi="Dubai" w:cs="Dubai"/>
          <w:rtl/>
          <w:lang w:val="fa-IR" w:bidi="fa-IR"/>
        </w:rPr>
        <w:t xml:space="preserve"> و تفاوت ها</w:t>
      </w:r>
    </w:p>
    <w:p w14:paraId="54538BA3"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 xml:space="preserve">حمایت از معلولیت باید تشخیص دهد که افراد دارای معلولیت یک گروه همگن نیستند و نیازها و شرایط فردی آنها باید درک، تصدیق و برآورده شود. </w:t>
      </w:r>
    </w:p>
    <w:p w14:paraId="2420D51E" w14:textId="77777777" w:rsidR="00386EEF" w:rsidRPr="00E91E56" w:rsidRDefault="009D1866" w:rsidP="00265239">
      <w:pPr>
        <w:pStyle w:val="AlphaParagraph"/>
        <w:numPr>
          <w:ilvl w:val="0"/>
          <w:numId w:val="2"/>
        </w:numPr>
        <w:bidi/>
        <w:spacing w:line="240" w:lineRule="auto"/>
        <w:ind w:left="641" w:hanging="357"/>
        <w:rPr>
          <w:rFonts w:ascii="Dubai" w:hAnsi="Dubai" w:cs="Dubai"/>
          <w:color w:val="auto"/>
          <w:sz w:val="22"/>
          <w:szCs w:val="22"/>
          <w:lang w:bidi="fa-IR"/>
        </w:rPr>
      </w:pPr>
      <w:r w:rsidRPr="00E91E56">
        <w:rPr>
          <w:rFonts w:ascii="Dubai" w:hAnsi="Dubai" w:cs="Dubai"/>
          <w:color w:val="auto"/>
          <w:sz w:val="22"/>
          <w:szCs w:val="22"/>
          <w:rtl/>
          <w:lang w:val="fa-IR" w:bidi="fa-IR"/>
        </w:rPr>
        <w:t>حمایت از معلولیت باید به تمام انواع تبعیض هایی که توسط یک فرد دارای معلولیت تجربه می شود، از جمله اشکال مختلف تبعیض و آسیب های ناشی از نژاد، جنس، هویت جنسی، گرایش جنسی، اختلال، طبقه، مذهب، سن، منشاء اجتماعی و سایر نشانگرهای هویتی را مورد توجه قرار دهد.</w:t>
      </w:r>
    </w:p>
    <w:bookmarkEnd w:id="2"/>
    <w:p w14:paraId="1A9C9EC4" w14:textId="77777777" w:rsidR="00727E1B" w:rsidRPr="00E91E56" w:rsidRDefault="009D1866" w:rsidP="002204C6">
      <w:pPr>
        <w:pStyle w:val="Heading2"/>
        <w:bidi/>
        <w:rPr>
          <w:rFonts w:ascii="Dubai" w:hAnsi="Dubai" w:cs="Dubai"/>
          <w:lang w:bidi="fa-IR"/>
        </w:rPr>
      </w:pPr>
      <w:r w:rsidRPr="00E91E56">
        <w:rPr>
          <w:rFonts w:ascii="Dubai" w:hAnsi="Dubai" w:cs="Dubai"/>
          <w:rtl/>
          <w:lang w:val="fa-IR" w:bidi="fa-IR"/>
        </w:rPr>
        <w:t>نتایج</w:t>
      </w:r>
    </w:p>
    <w:p w14:paraId="058387E5" w14:textId="77777777" w:rsidR="00926AC8" w:rsidRPr="00E91E56" w:rsidRDefault="009D1866" w:rsidP="004F0B57">
      <w:pPr>
        <w:keepNext/>
        <w:bidi/>
        <w:spacing w:after="240"/>
        <w:rPr>
          <w:rFonts w:ascii="Dubai" w:hAnsi="Dubai" w:cs="Dubai"/>
          <w:sz w:val="22"/>
          <w:szCs w:val="22"/>
          <w:lang w:bidi="fa-IR"/>
        </w:rPr>
      </w:pPr>
      <w:r w:rsidRPr="00E91E56">
        <w:rPr>
          <w:rFonts w:ascii="Dubai" w:hAnsi="Dubai" w:cs="Dubai"/>
          <w:sz w:val="22"/>
          <w:szCs w:val="22"/>
          <w:rtl/>
          <w:lang w:val="fa-IR" w:bidi="fa-IR"/>
        </w:rPr>
        <w:t>کمک های حمایت از معلولیت در راستای این چارچوب به نتایج زیر کمک می کند:</w:t>
      </w:r>
    </w:p>
    <w:p w14:paraId="220102A2"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همه استرالیایی ها از حقوق و آزادی های یکسانی برخوردار هستند.</w:t>
      </w:r>
    </w:p>
    <w:p w14:paraId="1BCEBB4C"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همه افراد دارای معلولیت از افزایش انتخاب، کنترل و رفاه لذت می برند، از حق خود برای تصمیم گیری استفاده می کنند، در تمام فرآیندهای تصمیم گیری که بر زندگی آنها تأثیر می گذارد، مشارکت می کنند و حمایت لازم برای تصمیم گیری را دریافت می کنند.</w:t>
      </w:r>
    </w:p>
    <w:p w14:paraId="64F42029" w14:textId="77777777" w:rsidR="004F0B5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همه افراد دارای معلولیت می توانند در تمام جنبه های زندگی مدنی، سیاسی، اقتصادی، اجتماعی و فرهنگی جوامع ما شرکت کنند.</w:t>
      </w:r>
    </w:p>
    <w:p w14:paraId="04829EAA" w14:textId="77777777" w:rsidR="00926AC8" w:rsidRPr="00E91E56" w:rsidRDefault="009D1866" w:rsidP="00265239">
      <w:pPr>
        <w:numPr>
          <w:ilvl w:val="0"/>
          <w:numId w:val="5"/>
        </w:numPr>
        <w:bidi/>
        <w:spacing w:before="240" w:after="180"/>
        <w:ind w:left="714" w:hanging="357"/>
        <w:rPr>
          <w:rFonts w:ascii="Dubai" w:hAnsi="Dubai" w:cs="Dubai"/>
          <w:sz w:val="22"/>
          <w:szCs w:val="22"/>
          <w:lang w:bidi="fa-IR"/>
        </w:rPr>
      </w:pPr>
      <w:r w:rsidRPr="00E91E56">
        <w:rPr>
          <w:rFonts w:ascii="Dubai" w:hAnsi="Dubai" w:cs="Dubai"/>
          <w:sz w:val="22"/>
          <w:szCs w:val="22"/>
          <w:rtl/>
          <w:lang w:val="fa-IR" w:bidi="fa-IR"/>
        </w:rPr>
        <w:t>همه افراد دارای معلولیت بدون توجه به جایی که زندگی می کنند، می توانند به حمایت با کیفیت و مستقل دسترسی داشته باشند.</w:t>
      </w:r>
    </w:p>
    <w:p w14:paraId="220D841A"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همه افراد دارای معلولیت، از جمله آنهایی که آسیب های متعددی را تجربه می کنند، برای داشتن تعاملات موثر و دسترسی به حمایت ها و خدمات معلولیت و/یا خدمات و تسهیلات اصلی از جمله دسترسی حمایتی، انعطاف پذیر و به موقع به عدالت و وکالت حقوقی حمایت می شوند.</w:t>
      </w:r>
    </w:p>
    <w:p w14:paraId="7B919097"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همه افراد دارای معلولیت توانمند شده اند و فرصت هایی برای بیان دیدگاه ها و خواسته های خود در مورد حمایت ها و خدماتی که به آنها دسترسی دارند و اینکه چگونه ارائه خدمات می تواند بهبود یابد را دارند. و هنگام ارائه بازخورد یا شکایت در رابطه با پشتیبانی ها و خدماتی که خریداری می کنند یا ارائه می کنند، می توانند به مکانیزم شکایت و پشتیبانی و مشاوره مستقل دسترسی داشته باشند.</w:t>
      </w:r>
    </w:p>
    <w:p w14:paraId="1A64E512"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lastRenderedPageBreak/>
        <w:t xml:space="preserve">افراد دارای معلولیت ملل نخست در نحوه طراحی و ارائه حمایت سهم بیشتری دارند; مانند دسترسی به حمایت از معلولیت مناسب با فرهنگ و زبان و از نظر فرهنگی ایمن، همچنین دسترسی به سازمان های جامعه محور که حمایت از معلولیت را ارائه می کنند و دسترسی به داده ها و اطلاعات محلی مرتبط که برای آنها قابل استفاده باشد. </w:t>
      </w:r>
    </w:p>
    <w:p w14:paraId="2BB4B2E4" w14:textId="7530C68B"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همه افراد دارای معلولیت، از جمله افراد دارای معلولیت از جوامع م</w:t>
      </w:r>
      <w:r w:rsidR="00BF30D9">
        <w:rPr>
          <w:rFonts w:ascii="Dubai" w:hAnsi="Dubai" w:cs="Dubai" w:hint="cs"/>
          <w:sz w:val="22"/>
          <w:szCs w:val="22"/>
          <w:rtl/>
          <w:lang w:val="fa-IR" w:bidi="fa-IR"/>
        </w:rPr>
        <w:t>تنوع</w:t>
      </w:r>
      <w:r w:rsidRPr="00E91E56">
        <w:rPr>
          <w:rFonts w:ascii="Dubai" w:hAnsi="Dubai" w:cs="Dubai"/>
          <w:sz w:val="22"/>
          <w:szCs w:val="22"/>
          <w:rtl/>
          <w:lang w:val="fa-IR" w:bidi="fa-IR"/>
        </w:rPr>
        <w:t xml:space="preserve"> از نظر فرهنگی و زبانی، به حمایت از معلولیت مناسب با فرهنگ و زبان و فرهنگ ایمن دسترسی دارند که مشارکت و ارائه اطلاعات از طریق جوامع محلی مربوطه را نشان می دهد. </w:t>
      </w:r>
    </w:p>
    <w:p w14:paraId="4E3F9604"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همه افراد دارای معلولیت، از جمله زنان و دختران، و افرادی که خود را لزبین، همجنس‌گرا، دوجنس‌گرا، تراجنسیتی، دگرباش یا پرسشگر، غیر باینری یا دارای تنوع جنسیتی، بین‌جنسیتی یا غیرجنسی معرفی می‌کنند، به حمایت از معلولیت ایمن، حساس به جنسیت و فراگیر دسترسی دارند و پشتیبانی می شوند.</w:t>
      </w:r>
    </w:p>
    <w:p w14:paraId="786AF257"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جمعیت شناسی افراد دارای معلولیت که حمایت فردی دریافت می کنند، منعکس کننده تنوع جوامعی است که خدمات حمایتی در آنها فعالیت می کنند.</w:t>
      </w:r>
    </w:p>
    <w:p w14:paraId="39DFDA1C"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افراد دارای معلولیت این فرصت را دارند که به طور فعال در تمام جنبه های توسعه، ارائه و ارزیابی معلولیت و سیاست ها، برنامه ها و خدمات دولتی که بر آنها تأثیر می گذارد، مشارکت داشته باشند.</w:t>
      </w:r>
    </w:p>
    <w:p w14:paraId="5BBF2A3A" w14:textId="77777777" w:rsidR="00926AC8" w:rsidRPr="00E91E56" w:rsidRDefault="009D1866" w:rsidP="00265239">
      <w:pPr>
        <w:numPr>
          <w:ilvl w:val="0"/>
          <w:numId w:val="5"/>
        </w:numPr>
        <w:bidi/>
        <w:spacing w:after="240"/>
        <w:ind w:left="720"/>
        <w:jc w:val="both"/>
        <w:rPr>
          <w:rFonts w:ascii="Dubai" w:hAnsi="Dubai" w:cs="Dubai"/>
          <w:sz w:val="22"/>
          <w:szCs w:val="22"/>
          <w:lang w:bidi="fa-IR"/>
        </w:rPr>
      </w:pPr>
      <w:r w:rsidRPr="00E91E56">
        <w:rPr>
          <w:rFonts w:ascii="Dubai" w:hAnsi="Dubai" w:cs="Dubai"/>
          <w:sz w:val="22"/>
          <w:szCs w:val="22"/>
          <w:rtl/>
          <w:lang w:val="fa-IR" w:bidi="fa-IR"/>
        </w:rPr>
        <w:t>آگاهی جامعه در مورد حقوق افراد دارای معلولیت، نقاط قوت و کمک های مثبتی که آنها به جامعه و اجتماعات عرضه می کنند، و حضور و ارزش کمک های حمایتی افزایش یافته است.</w:t>
      </w:r>
    </w:p>
    <w:p w14:paraId="4FC3ECE7" w14:textId="77777777" w:rsidR="00926AC8" w:rsidRPr="00E91E56" w:rsidRDefault="009D1866" w:rsidP="00265239">
      <w:pPr>
        <w:pStyle w:val="AlphaParagraph"/>
        <w:numPr>
          <w:ilvl w:val="0"/>
          <w:numId w:val="2"/>
        </w:numPr>
        <w:bidi/>
        <w:spacing w:line="240" w:lineRule="auto"/>
        <w:ind w:left="720"/>
        <w:rPr>
          <w:rFonts w:ascii="Dubai" w:hAnsi="Dubai" w:cs="Dubai"/>
          <w:color w:val="auto"/>
          <w:sz w:val="22"/>
          <w:szCs w:val="22"/>
          <w:lang w:bidi="fa-IR"/>
        </w:rPr>
      </w:pPr>
      <w:r w:rsidRPr="00E91E56">
        <w:rPr>
          <w:rFonts w:ascii="Dubai" w:hAnsi="Dubai" w:cs="Dubai"/>
          <w:color w:val="auto"/>
          <w:sz w:val="22"/>
          <w:szCs w:val="22"/>
          <w:rtl/>
          <w:lang w:val="fa-IR" w:bidi="fa-IR"/>
        </w:rPr>
        <w:t xml:space="preserve">مدیریت و برنامه ریزی در مورد حمایت از معلولیت با رویکرد ملی سازگار و مبتنی بر شواهد به داده ها، و در نظر گرفتن نحوه پیوند، هماهنگی و ارتباط حمایتی با سایر سیستم های حمایت کننده از افراد دارای معلولیت، اطلاع رسانی می شود. </w:t>
      </w:r>
    </w:p>
    <w:p w14:paraId="2A644119" w14:textId="77777777" w:rsidR="00E00279" w:rsidRPr="00E91E56" w:rsidRDefault="009D1866" w:rsidP="002204C6">
      <w:pPr>
        <w:pStyle w:val="Heading2"/>
        <w:bidi/>
        <w:rPr>
          <w:rFonts w:ascii="Dubai" w:hAnsi="Dubai" w:cs="Dubai"/>
          <w:lang w:bidi="fa-IR"/>
        </w:rPr>
      </w:pPr>
      <w:r w:rsidRPr="00E91E56">
        <w:rPr>
          <w:rFonts w:ascii="Dubai" w:hAnsi="Dubai" w:cs="Dubai"/>
          <w:rtl/>
          <w:lang w:val="fa-IR" w:bidi="fa-IR"/>
        </w:rPr>
        <w:t>اجرا</w:t>
      </w:r>
    </w:p>
    <w:p w14:paraId="63221420" w14:textId="77777777" w:rsidR="00E00279" w:rsidRPr="00E91E56" w:rsidRDefault="009D1866" w:rsidP="00307367">
      <w:pPr>
        <w:pStyle w:val="06Bodycopy"/>
        <w:bidi/>
        <w:rPr>
          <w:rFonts w:ascii="Dubai" w:hAnsi="Dubai" w:cs="Dubai"/>
          <w:lang w:bidi="fa-IR"/>
        </w:rPr>
      </w:pPr>
      <w:r w:rsidRPr="00E91E56">
        <w:rPr>
          <w:rFonts w:ascii="Dubai" w:hAnsi="Dubai" w:cs="Dubai"/>
          <w:rtl/>
          <w:lang w:val="fa-IR" w:bidi="fa-IR"/>
        </w:rPr>
        <w:t xml:space="preserve">این چارچوب توسط یک برنامه کاری حمایت از معلولیت (برنامه کاری) پشتیبانی می شود که اجرای هدف، اصول و نتایج آن را هدایت می کند. برنامه کاری اقداماتی را که باید توسط حوزه های قضایی معرفی شده برای حمایت از دولت های استرالیا، ایالت ها و قلمروها برای شفاف ماندن و پاسخگو بودن نسبت به اصول و نتایج تحت چارچوب انجام شود، تشریح می کند. </w:t>
      </w:r>
    </w:p>
    <w:p w14:paraId="2D6B0ABC" w14:textId="77777777" w:rsidR="00E00279" w:rsidRPr="00E91E56" w:rsidRDefault="009D1866" w:rsidP="00307367">
      <w:pPr>
        <w:pStyle w:val="06Bodycopy"/>
        <w:bidi/>
        <w:rPr>
          <w:rFonts w:ascii="Dubai" w:hAnsi="Dubai" w:cs="Dubai"/>
          <w:lang w:bidi="fa-IR"/>
        </w:rPr>
      </w:pPr>
      <w:r w:rsidRPr="00E91E56">
        <w:rPr>
          <w:rFonts w:ascii="Dubai" w:hAnsi="Dubai" w:cs="Dubai"/>
          <w:rtl/>
          <w:lang w:val="fa-IR" w:bidi="fa-IR"/>
        </w:rPr>
        <w:t xml:space="preserve">برنامه کاری به طور مشترک توسط دولت های استرالیا، ایالت ها و قلمروها تهیه شده است و از طریق تعامل با افراد دارای معلولیت اطلاع رسانی شده است. در صورت لزوم، برنامه کاری با برنامه‌های اقدام هدفمند استراتژی معلولیت استرالیا و سایر قوانین، سیاست‌ها و برنامه‌های مربوط به ارائه حمایت از معلولیت مطابقت پیدا می کند. </w:t>
      </w:r>
    </w:p>
    <w:p w14:paraId="7E87927A" w14:textId="77777777" w:rsidR="00E00279" w:rsidRPr="00E91E56" w:rsidRDefault="009D1866" w:rsidP="00307367">
      <w:pPr>
        <w:pStyle w:val="06Bodycopy"/>
        <w:bidi/>
        <w:rPr>
          <w:rFonts w:ascii="Dubai" w:hAnsi="Dubai" w:cs="Dubai"/>
          <w:lang w:bidi="fa-IR"/>
        </w:rPr>
      </w:pPr>
      <w:r w:rsidRPr="00E91E56">
        <w:rPr>
          <w:rFonts w:ascii="Dubai" w:hAnsi="Dubai" w:cs="Dubai"/>
          <w:rtl/>
          <w:lang w:val="fa-IR" w:bidi="fa-IR"/>
        </w:rPr>
        <w:t xml:space="preserve">برنامه کاری، مشاوره‌های عمومی بیشتر و یافته‌های کمیسیون سلطنتی در مورد خشونت، بدرفتاری، غفلت و بهره‌کشی از افراد دارای معلولیت، به‌روزرسانی‌هایی برای یک چارچوب جدید که در سال 2026 آغاز می‌شود را اطلاع‌رسانی می‌کند. </w:t>
      </w:r>
    </w:p>
    <w:p w14:paraId="320B5DC3" w14:textId="77777777" w:rsidR="004720E7" w:rsidRPr="00E91E56" w:rsidRDefault="009D1866" w:rsidP="00265239">
      <w:pPr>
        <w:pStyle w:val="Heading2"/>
        <w:bidi/>
        <w:rPr>
          <w:rFonts w:ascii="Dubai" w:hAnsi="Dubai" w:cs="Dubai"/>
          <w:lang w:bidi="fa-IR"/>
        </w:rPr>
      </w:pPr>
      <w:r w:rsidRPr="00E91E56">
        <w:rPr>
          <w:rFonts w:ascii="Dubai" w:hAnsi="Dubai" w:cs="Dubai"/>
          <w:rtl/>
          <w:lang w:val="fa-IR" w:bidi="fa-IR"/>
        </w:rPr>
        <w:lastRenderedPageBreak/>
        <w:t>مسئولیت ها، اصلاحات و دستورالعمل های سیاست</w:t>
      </w:r>
    </w:p>
    <w:p w14:paraId="7918DD06" w14:textId="77777777" w:rsidR="004720E7" w:rsidRPr="00E91E56" w:rsidRDefault="009D1866" w:rsidP="00265239">
      <w:pPr>
        <w:keepNext/>
        <w:bidi/>
        <w:spacing w:after="240" w:line="260" w:lineRule="exact"/>
        <w:jc w:val="both"/>
        <w:rPr>
          <w:rFonts w:ascii="Dubai" w:hAnsi="Dubai" w:cs="Dubai"/>
          <w:sz w:val="22"/>
          <w:szCs w:val="22"/>
          <w:lang w:bidi="fa-IR"/>
        </w:rPr>
      </w:pPr>
      <w:r w:rsidRPr="00E91E56">
        <w:rPr>
          <w:rFonts w:ascii="Dubai" w:hAnsi="Dubai" w:cs="Dubai"/>
          <w:sz w:val="22"/>
          <w:szCs w:val="22"/>
          <w:rtl/>
          <w:lang w:val="fa-IR" w:bidi="fa-IR"/>
        </w:rPr>
        <w:t>در موافقت با این چارچوب، دولت های استرالیا، ایالت ها و قلمروها متعهد می شوند که:</w:t>
      </w:r>
    </w:p>
    <w:p w14:paraId="49E4318E"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 xml:space="preserve">مسئولیت حمایت از معلولین در حوزه قضایی خود را به عهده بگیرند. چگونگی توسعه، تأمین مالی و مدیریت هر برنامه حمایتی، تصمیم و مسئولیت بعدی بر عهده دولت تأمین کننده است. </w:t>
      </w:r>
    </w:p>
    <w:p w14:paraId="524DF086"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 xml:space="preserve">برای دستیابی به یک شبکه موثر حمایت از معلولیت در سراسر استرالیا همکاری کنند. این شامل حمایت از ظرفیت سازی حامیان معلولیت و توسعه نتایج ملی سازگار برای حمایت از معلولیت است. </w:t>
      </w:r>
    </w:p>
    <w:p w14:paraId="131119A7"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 xml:space="preserve">حصول اطمینان از اینکه افراد دارای معلولیت در مرکز طراحی و اجرای سیاست ها و اصلاحاتی هستند که بر آنها تأثیر می گذارد. این شامل اجرای رویکردهای شخص محور و اصول طراحی مشترک است.   </w:t>
      </w:r>
    </w:p>
    <w:p w14:paraId="1211CE66"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سیاست های جاری و جهت گیری های اصلاحی در ارائه حمایت از معلولیت برای دستیابی به هدف و نتایج این چارچوب.</w:t>
      </w:r>
    </w:p>
    <w:p w14:paraId="5027D168"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ایجاد آگاهی در سراسر بخش معلولیت و جامعه نسبت به حقوق افراد دارای معلولیت.</w:t>
      </w:r>
    </w:p>
    <w:p w14:paraId="22995F05"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ایجاد آگاهی در مورد اهمیت حمایت از معلولیت.</w:t>
      </w:r>
    </w:p>
    <w:p w14:paraId="70DF0D4B"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 xml:space="preserve">اطمینان از اینکه بودجه حمایت از معلولیت شفاف و پاسخگو است و از نتایج عادلانه حمایت می کند، از جمله شناسایی و رسیدگی به شکاف های پوشش جغرافیایی و خدمات.   </w:t>
      </w:r>
    </w:p>
    <w:p w14:paraId="380DE537"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 xml:space="preserve">جمع آوری، استفاده و گزارش داده های ملی سازگار و مبتنی بر شواهد برای اداره و برنامه ریزی حمایت از معلولیت و بهبود سیستم های خدمات.  </w:t>
      </w:r>
    </w:p>
    <w:p w14:paraId="081F4946" w14:textId="77777777" w:rsidR="004720E7"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بهبود هماهنگی و ارتباط بین سازمان‌های حمایت از معلولیت، خدمات معلولیت، آژانس ملی بیمه معلولیت، خدمات اصلی، خدمات مبتنی بر جامعه و دولت‌ها برای حمایت از نتایج بهتر برای افراد دارای معلولیت، از جمله بهبود پیوند بین حمایت فردی و سیستمی.</w:t>
      </w:r>
    </w:p>
    <w:p w14:paraId="334AB130" w14:textId="77777777" w:rsidR="000540A1" w:rsidRPr="00E91E56" w:rsidRDefault="009D1866" w:rsidP="00265239">
      <w:pPr>
        <w:numPr>
          <w:ilvl w:val="0"/>
          <w:numId w:val="5"/>
        </w:numPr>
        <w:bidi/>
        <w:spacing w:after="240"/>
        <w:ind w:left="714" w:hanging="357"/>
        <w:jc w:val="both"/>
        <w:rPr>
          <w:rFonts w:ascii="Dubai" w:hAnsi="Dubai" w:cs="Dubai"/>
          <w:sz w:val="22"/>
          <w:szCs w:val="22"/>
          <w:lang w:bidi="fa-IR"/>
        </w:rPr>
      </w:pPr>
      <w:r w:rsidRPr="00E91E56">
        <w:rPr>
          <w:rFonts w:ascii="Dubai" w:hAnsi="Dubai" w:cs="Dubai"/>
          <w:sz w:val="22"/>
          <w:szCs w:val="22"/>
          <w:rtl/>
          <w:lang w:val="fa-IR" w:bidi="fa-IR"/>
        </w:rPr>
        <w:t>اجرای خدمات حمایت از معلولیت که برای افراد دارای معلولیت ملل نخست فراگیر، در دسترس و از نظر فرهنگی ایمن است، در راستای موافقتنامه ملی در مورد رفع شکاف و اصلاحات اولویت کم کردن شکاف.</w:t>
      </w:r>
    </w:p>
    <w:sectPr w:rsidR="000540A1" w:rsidRPr="00E91E56" w:rsidSect="00A1035D">
      <w:footerReference w:type="even" r:id="rId9"/>
      <w:footerReference w:type="default" r:id="rId10"/>
      <w:endnotePr>
        <w:numFmt w:val="decimal"/>
      </w:endnotePr>
      <w:pgSz w:w="11900" w:h="16840"/>
      <w:pgMar w:top="1361" w:right="1077" w:bottom="1361" w:left="1077"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F639" w14:textId="77777777" w:rsidR="00FA56E0" w:rsidRDefault="00FA56E0">
      <w:r>
        <w:separator/>
      </w:r>
    </w:p>
  </w:endnote>
  <w:endnote w:type="continuationSeparator" w:id="0">
    <w:p w14:paraId="7F196EFE" w14:textId="77777777" w:rsidR="00FA56E0" w:rsidRDefault="00F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9C79E36F-8BC5-4EFC-BD53-AC0707CC68AD}"/>
  </w:font>
  <w:font w:name="Helvetica">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Nunito Sans">
    <w:altName w:val="Courier New"/>
    <w:panose1 w:val="00000500000000000000"/>
    <w:charset w:val="00"/>
    <w:family w:val="auto"/>
    <w:pitch w:val="variable"/>
    <w:sig w:usb0="A00002FF" w:usb1="5000204B" w:usb2="00000000" w:usb3="00000000" w:csb0="00000197" w:csb1="00000000"/>
  </w:font>
  <w:font w:name="Filson Pro Medium">
    <w:altName w:val="Times New Roman"/>
    <w:panose1 w:val="02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panose1 w:val="00000700000000000000"/>
    <w:charset w:val="00"/>
    <w:family w:val="auto"/>
    <w:pitch w:val="variable"/>
    <w:sig w:usb0="A00002FF" w:usb1="5000204B" w:usb2="00000000" w:usb3="00000000" w:csb0="00000197" w:csb1="00000000"/>
  </w:font>
  <w:font w:name="Nunito Sans ExtraLight">
    <w:panose1 w:val="000003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altName w:val="Noto Nastaliq Urdu"/>
    <w:panose1 w:val="020B0503030403030204"/>
    <w:charset w:val="00"/>
    <w:family w:val="swiss"/>
    <w:pitch w:val="variable"/>
    <w:sig w:usb0="80002067" w:usb1="80000000" w:usb2="00000008" w:usb3="00000000" w:csb0="00000041" w:csb1="00000000"/>
    <w:embedRegular r:id="rId2" w:fontKey="{B0FF0B23-6418-4C35-9C62-D1510FA6823F}"/>
    <w:embedBold r:id="rId3" w:fontKey="{11464D8A-912E-4AE5-9E72-1D834415E5F6}"/>
    <w:embedItalic r:id="rId4" w:fontKey="{3B38E1CD-BF52-4035-82DB-4710EB63521E}"/>
  </w:font>
  <w:font w:name="Tahoma">
    <w:panose1 w:val="020B0604030504040204"/>
    <w:charset w:val="00"/>
    <w:family w:val="swiss"/>
    <w:pitch w:val="variable"/>
    <w:sig w:usb0="E1002EFF" w:usb1="C000605B" w:usb2="00000029" w:usb3="00000000" w:csb0="000101FF" w:csb1="00000000"/>
    <w:embedBold r:id="rId5" w:subsetted="1" w:fontKey="{F7CE2889-DDA9-4432-A1B3-AB70E3E756B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896932"/>
      <w:docPartObj>
        <w:docPartGallery w:val="Page Numbers (Bottom of Page)"/>
        <w:docPartUnique/>
      </w:docPartObj>
    </w:sdtPr>
    <w:sdtContent>
      <w:p w14:paraId="6FFBF175" w14:textId="77777777" w:rsidR="003D61F6" w:rsidRDefault="009D1866"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2F6AFB7C" w14:textId="77777777" w:rsidR="003D61F6" w:rsidRDefault="009D1866"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p w14:paraId="363E7FC4" w14:textId="77777777" w:rsidR="003D61F6" w:rsidRDefault="003D61F6" w:rsidP="00AF76E3">
    <w:pPr>
      <w:pStyle w:val="Footer"/>
      <w:ind w:right="360"/>
    </w:pPr>
  </w:p>
  <w:p w14:paraId="16B85321"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Dubai" w:hAnsi="Dubai" w:cs="Dubai"/>
      </w:rPr>
      <w:id w:val="-1649741699"/>
      <w:docPartObj>
        <w:docPartGallery w:val="Page Numbers (Bottom of Page)"/>
        <w:docPartUnique/>
      </w:docPartObj>
    </w:sdtPr>
    <w:sdtEndPr>
      <w:rPr>
        <w:rStyle w:val="PageNumber"/>
        <w:sz w:val="18"/>
        <w:szCs w:val="18"/>
      </w:rPr>
    </w:sdtEndPr>
    <w:sdtContent>
      <w:p w14:paraId="6902B785" w14:textId="77777777" w:rsidR="003D61F6" w:rsidRPr="00E91E56" w:rsidRDefault="009D1866" w:rsidP="0098269B">
        <w:pPr>
          <w:pStyle w:val="Footer"/>
          <w:framePr w:wrap="none" w:vAnchor="text" w:hAnchor="page" w:x="1021" w:y="8"/>
          <w:rPr>
            <w:rStyle w:val="PageNumber"/>
            <w:rFonts w:ascii="Dubai" w:hAnsi="Dubai" w:cs="Dubai"/>
            <w:sz w:val="18"/>
            <w:szCs w:val="18"/>
          </w:rPr>
        </w:pPr>
        <w:r w:rsidRPr="00E91E56">
          <w:rPr>
            <w:rStyle w:val="PageNumber"/>
            <w:rFonts w:ascii="Dubai" w:hAnsi="Dubai" w:cs="Dubai"/>
            <w:sz w:val="18"/>
            <w:szCs w:val="18"/>
          </w:rPr>
          <w:fldChar w:fldCharType="begin"/>
        </w:r>
        <w:r w:rsidRPr="00E91E56">
          <w:rPr>
            <w:rStyle w:val="PageNumber"/>
            <w:rFonts w:ascii="Dubai" w:hAnsi="Dubai" w:cs="Dubai"/>
            <w:sz w:val="18"/>
            <w:szCs w:val="18"/>
          </w:rPr>
          <w:instrText xml:space="preserve"> PAGE </w:instrText>
        </w:r>
        <w:r w:rsidRPr="00E91E56">
          <w:rPr>
            <w:rStyle w:val="PageNumber"/>
            <w:rFonts w:ascii="Dubai" w:hAnsi="Dubai" w:cs="Dubai"/>
            <w:sz w:val="18"/>
            <w:szCs w:val="18"/>
          </w:rPr>
          <w:fldChar w:fldCharType="separate"/>
        </w:r>
        <w:r w:rsidR="00311734">
          <w:rPr>
            <w:rStyle w:val="PageNumber"/>
            <w:rFonts w:ascii="Dubai" w:hAnsi="Dubai" w:cs="Dubai"/>
            <w:noProof/>
            <w:sz w:val="18"/>
            <w:szCs w:val="18"/>
          </w:rPr>
          <w:t>8</w:t>
        </w:r>
        <w:r w:rsidRPr="00E91E56">
          <w:rPr>
            <w:rStyle w:val="PageNumber"/>
            <w:rFonts w:ascii="Dubai" w:hAnsi="Dubai" w:cs="Dubai"/>
            <w:sz w:val="18"/>
            <w:szCs w:val="18"/>
          </w:rPr>
          <w:fldChar w:fldCharType="end"/>
        </w:r>
      </w:p>
    </w:sdtContent>
  </w:sdt>
  <w:p w14:paraId="284757B0" w14:textId="77777777" w:rsidR="003D61F6" w:rsidRPr="00E91E56" w:rsidRDefault="009D1866" w:rsidP="0098269B">
    <w:pPr>
      <w:pStyle w:val="BasicParagraph"/>
      <w:bidi/>
      <w:ind w:right="360"/>
      <w:rPr>
        <w:rFonts w:ascii="Dubai" w:hAnsi="Dubai" w:cs="Dubai"/>
        <w:sz w:val="16"/>
        <w:szCs w:val="16"/>
      </w:rPr>
    </w:pPr>
    <w:r w:rsidRPr="00E91E56">
      <w:rPr>
        <w:rFonts w:ascii="Dubai" w:hAnsi="Dubai" w:cs="Dubai"/>
        <w:sz w:val="16"/>
        <w:szCs w:val="16"/>
        <w:rtl/>
        <w:lang w:val="fa-IR" w:bidi="fa-IR"/>
      </w:rPr>
      <w:t xml:space="preserve">چارچوب ملی حمایت از معلولیت </w:t>
    </w:r>
    <w:r w:rsidRPr="00E91E56">
      <w:rPr>
        <w:rFonts w:ascii="Dubai" w:hAnsi="Dubai" w:cs="Dubai"/>
        <w:sz w:val="16"/>
        <w:szCs w:val="16"/>
        <w:rtl/>
        <w:lang w:val="fa-IR"/>
      </w:rPr>
      <w:t>2023-2025</w:t>
    </w:r>
  </w:p>
  <w:p w14:paraId="53FBC3C4" w14:textId="77777777" w:rsidR="003D61F6" w:rsidRPr="00E91E56" w:rsidRDefault="003D61F6">
    <w:pPr>
      <w:pStyle w:val="Footer"/>
      <w:rPr>
        <w:rFonts w:ascii="Dubai" w:hAnsi="Dubai" w:cs="Dubai"/>
      </w:rPr>
    </w:pPr>
  </w:p>
  <w:p w14:paraId="7C922552" w14:textId="77777777" w:rsidR="003D61F6" w:rsidRPr="00E91E56" w:rsidRDefault="003D61F6">
    <w:pPr>
      <w:rPr>
        <w:rFonts w:ascii="Dubai" w:hAnsi="Dubai" w:cs="Duba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5759" w14:textId="77777777" w:rsidR="00FA56E0" w:rsidRDefault="00FA56E0">
      <w:r>
        <w:separator/>
      </w:r>
    </w:p>
  </w:footnote>
  <w:footnote w:type="continuationSeparator" w:id="0">
    <w:p w14:paraId="08230FB7" w14:textId="77777777" w:rsidR="00FA56E0" w:rsidRDefault="00FA5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AE4"/>
    <w:multiLevelType w:val="hybridMultilevel"/>
    <w:tmpl w:val="C728D3C2"/>
    <w:lvl w:ilvl="0" w:tplc="6554C460">
      <w:numFmt w:val="bullet"/>
      <w:lvlText w:val="-"/>
      <w:lvlJc w:val="left"/>
      <w:pPr>
        <w:ind w:left="1070" w:hanging="360"/>
      </w:pPr>
      <w:rPr>
        <w:rFonts w:ascii="Arial" w:eastAsia="Times New Roman" w:hAnsi="Arial" w:cs="Arial" w:hint="default"/>
      </w:rPr>
    </w:lvl>
    <w:lvl w:ilvl="1" w:tplc="4392C2F0" w:tentative="1">
      <w:start w:val="1"/>
      <w:numFmt w:val="lowerLetter"/>
      <w:lvlText w:val="%2."/>
      <w:lvlJc w:val="left"/>
      <w:pPr>
        <w:ind w:left="2150" w:hanging="360"/>
      </w:pPr>
    </w:lvl>
    <w:lvl w:ilvl="2" w:tplc="04FCAB2A" w:tentative="1">
      <w:start w:val="1"/>
      <w:numFmt w:val="lowerRoman"/>
      <w:lvlText w:val="%3."/>
      <w:lvlJc w:val="right"/>
      <w:pPr>
        <w:ind w:left="2870" w:hanging="180"/>
      </w:pPr>
    </w:lvl>
    <w:lvl w:ilvl="3" w:tplc="FFA404C0" w:tentative="1">
      <w:start w:val="1"/>
      <w:numFmt w:val="decimal"/>
      <w:lvlText w:val="%4."/>
      <w:lvlJc w:val="left"/>
      <w:pPr>
        <w:ind w:left="3590" w:hanging="360"/>
      </w:pPr>
    </w:lvl>
    <w:lvl w:ilvl="4" w:tplc="A3161F9E" w:tentative="1">
      <w:start w:val="1"/>
      <w:numFmt w:val="lowerLetter"/>
      <w:lvlText w:val="%5."/>
      <w:lvlJc w:val="left"/>
      <w:pPr>
        <w:ind w:left="4310" w:hanging="360"/>
      </w:pPr>
    </w:lvl>
    <w:lvl w:ilvl="5" w:tplc="5E708B08" w:tentative="1">
      <w:start w:val="1"/>
      <w:numFmt w:val="lowerRoman"/>
      <w:lvlText w:val="%6."/>
      <w:lvlJc w:val="right"/>
      <w:pPr>
        <w:ind w:left="5030" w:hanging="180"/>
      </w:pPr>
    </w:lvl>
    <w:lvl w:ilvl="6" w:tplc="396E9B44" w:tentative="1">
      <w:start w:val="1"/>
      <w:numFmt w:val="decimal"/>
      <w:lvlText w:val="%7."/>
      <w:lvlJc w:val="left"/>
      <w:pPr>
        <w:ind w:left="5750" w:hanging="360"/>
      </w:pPr>
    </w:lvl>
    <w:lvl w:ilvl="7" w:tplc="EE98BEDA" w:tentative="1">
      <w:start w:val="1"/>
      <w:numFmt w:val="lowerLetter"/>
      <w:lvlText w:val="%8."/>
      <w:lvlJc w:val="left"/>
      <w:pPr>
        <w:ind w:left="6470" w:hanging="360"/>
      </w:pPr>
    </w:lvl>
    <w:lvl w:ilvl="8" w:tplc="36385848" w:tentative="1">
      <w:start w:val="1"/>
      <w:numFmt w:val="lowerRoman"/>
      <w:lvlText w:val="%9."/>
      <w:lvlJc w:val="right"/>
      <w:pPr>
        <w:ind w:left="7190" w:hanging="180"/>
      </w:pPr>
    </w:lvl>
  </w:abstractNum>
  <w:abstractNum w:abstractNumId="1" w15:restartNumberingAfterBreak="0">
    <w:nsid w:val="16AA1C7C"/>
    <w:multiLevelType w:val="hybridMultilevel"/>
    <w:tmpl w:val="F0CA18C0"/>
    <w:lvl w:ilvl="0" w:tplc="700AD1E2">
      <w:numFmt w:val="bullet"/>
      <w:lvlText w:val="-"/>
      <w:lvlJc w:val="left"/>
      <w:pPr>
        <w:ind w:left="1070" w:hanging="360"/>
      </w:pPr>
      <w:rPr>
        <w:rFonts w:ascii="Arial" w:eastAsia="Times New Roman" w:hAnsi="Arial" w:cs="Arial" w:hint="default"/>
        <w:b w:val="0"/>
        <w:color w:val="auto"/>
      </w:rPr>
    </w:lvl>
    <w:lvl w:ilvl="1" w:tplc="67F0E2F8" w:tentative="1">
      <w:start w:val="1"/>
      <w:numFmt w:val="lowerLetter"/>
      <w:lvlText w:val="%2."/>
      <w:lvlJc w:val="left"/>
      <w:pPr>
        <w:ind w:left="1866" w:hanging="360"/>
      </w:pPr>
    </w:lvl>
    <w:lvl w:ilvl="2" w:tplc="07B06EF4" w:tentative="1">
      <w:start w:val="1"/>
      <w:numFmt w:val="lowerRoman"/>
      <w:lvlText w:val="%3."/>
      <w:lvlJc w:val="right"/>
      <w:pPr>
        <w:ind w:left="2586" w:hanging="180"/>
      </w:pPr>
    </w:lvl>
    <w:lvl w:ilvl="3" w:tplc="FEA6E4DE" w:tentative="1">
      <w:start w:val="1"/>
      <w:numFmt w:val="decimal"/>
      <w:lvlText w:val="%4."/>
      <w:lvlJc w:val="left"/>
      <w:pPr>
        <w:ind w:left="3306" w:hanging="360"/>
      </w:pPr>
    </w:lvl>
    <w:lvl w:ilvl="4" w:tplc="CEFAF766" w:tentative="1">
      <w:start w:val="1"/>
      <w:numFmt w:val="lowerLetter"/>
      <w:lvlText w:val="%5."/>
      <w:lvlJc w:val="left"/>
      <w:pPr>
        <w:ind w:left="4026" w:hanging="360"/>
      </w:pPr>
    </w:lvl>
    <w:lvl w:ilvl="5" w:tplc="ABD46258" w:tentative="1">
      <w:start w:val="1"/>
      <w:numFmt w:val="lowerRoman"/>
      <w:lvlText w:val="%6."/>
      <w:lvlJc w:val="right"/>
      <w:pPr>
        <w:ind w:left="4746" w:hanging="180"/>
      </w:pPr>
    </w:lvl>
    <w:lvl w:ilvl="6" w:tplc="56D838EA" w:tentative="1">
      <w:start w:val="1"/>
      <w:numFmt w:val="decimal"/>
      <w:lvlText w:val="%7."/>
      <w:lvlJc w:val="left"/>
      <w:pPr>
        <w:ind w:left="5466" w:hanging="360"/>
      </w:pPr>
    </w:lvl>
    <w:lvl w:ilvl="7" w:tplc="DCE82E0A" w:tentative="1">
      <w:start w:val="1"/>
      <w:numFmt w:val="lowerLetter"/>
      <w:lvlText w:val="%8."/>
      <w:lvlJc w:val="left"/>
      <w:pPr>
        <w:ind w:left="6186" w:hanging="360"/>
      </w:pPr>
    </w:lvl>
    <w:lvl w:ilvl="8" w:tplc="7F22D8D6" w:tentative="1">
      <w:start w:val="1"/>
      <w:numFmt w:val="lowerRoman"/>
      <w:lvlText w:val="%9."/>
      <w:lvlJc w:val="right"/>
      <w:pPr>
        <w:ind w:left="6906" w:hanging="180"/>
      </w:pPr>
    </w:lvl>
  </w:abstractNum>
  <w:abstractNum w:abstractNumId="2" w15:restartNumberingAfterBreak="0">
    <w:nsid w:val="3AFD4966"/>
    <w:multiLevelType w:val="hybridMultilevel"/>
    <w:tmpl w:val="5E9C160E"/>
    <w:lvl w:ilvl="0" w:tplc="8D962A74">
      <w:start w:val="1"/>
      <w:numFmt w:val="bullet"/>
      <w:lvlText w:val=""/>
      <w:lvlJc w:val="left"/>
      <w:pPr>
        <w:ind w:left="644" w:hanging="360"/>
      </w:pPr>
      <w:rPr>
        <w:rFonts w:ascii="Symbol" w:hAnsi="Symbol" w:hint="default"/>
        <w:b w:val="0"/>
        <w:color w:val="auto"/>
      </w:rPr>
    </w:lvl>
    <w:lvl w:ilvl="1" w:tplc="EC644DAA" w:tentative="1">
      <w:start w:val="1"/>
      <w:numFmt w:val="lowerLetter"/>
      <w:lvlText w:val="%2."/>
      <w:lvlJc w:val="left"/>
      <w:pPr>
        <w:ind w:left="1440" w:hanging="360"/>
      </w:pPr>
    </w:lvl>
    <w:lvl w:ilvl="2" w:tplc="EAB4914E" w:tentative="1">
      <w:start w:val="1"/>
      <w:numFmt w:val="lowerRoman"/>
      <w:lvlText w:val="%3."/>
      <w:lvlJc w:val="right"/>
      <w:pPr>
        <w:ind w:left="2160" w:hanging="180"/>
      </w:pPr>
    </w:lvl>
    <w:lvl w:ilvl="3" w:tplc="F4C61B06" w:tentative="1">
      <w:start w:val="1"/>
      <w:numFmt w:val="decimal"/>
      <w:lvlText w:val="%4."/>
      <w:lvlJc w:val="left"/>
      <w:pPr>
        <w:ind w:left="2880" w:hanging="360"/>
      </w:pPr>
    </w:lvl>
    <w:lvl w:ilvl="4" w:tplc="3E8E4960" w:tentative="1">
      <w:start w:val="1"/>
      <w:numFmt w:val="lowerLetter"/>
      <w:lvlText w:val="%5."/>
      <w:lvlJc w:val="left"/>
      <w:pPr>
        <w:ind w:left="3600" w:hanging="360"/>
      </w:pPr>
    </w:lvl>
    <w:lvl w:ilvl="5" w:tplc="770C7F1E" w:tentative="1">
      <w:start w:val="1"/>
      <w:numFmt w:val="lowerRoman"/>
      <w:lvlText w:val="%6."/>
      <w:lvlJc w:val="right"/>
      <w:pPr>
        <w:ind w:left="4320" w:hanging="180"/>
      </w:pPr>
    </w:lvl>
    <w:lvl w:ilvl="6" w:tplc="3CBEC488" w:tentative="1">
      <w:start w:val="1"/>
      <w:numFmt w:val="decimal"/>
      <w:lvlText w:val="%7."/>
      <w:lvlJc w:val="left"/>
      <w:pPr>
        <w:ind w:left="5040" w:hanging="360"/>
      </w:pPr>
    </w:lvl>
    <w:lvl w:ilvl="7" w:tplc="2B8CFFEE" w:tentative="1">
      <w:start w:val="1"/>
      <w:numFmt w:val="lowerLetter"/>
      <w:lvlText w:val="%8."/>
      <w:lvlJc w:val="left"/>
      <w:pPr>
        <w:ind w:left="5760" w:hanging="360"/>
      </w:pPr>
    </w:lvl>
    <w:lvl w:ilvl="8" w:tplc="0018FAF0" w:tentative="1">
      <w:start w:val="1"/>
      <w:numFmt w:val="lowerRoman"/>
      <w:lvlText w:val="%9."/>
      <w:lvlJc w:val="right"/>
      <w:pPr>
        <w:ind w:left="6480" w:hanging="180"/>
      </w:pPr>
    </w:lvl>
  </w:abstractNum>
  <w:abstractNum w:abstractNumId="3" w15:restartNumberingAfterBreak="0">
    <w:nsid w:val="4BC2249E"/>
    <w:multiLevelType w:val="hybridMultilevel"/>
    <w:tmpl w:val="1CF08CA4"/>
    <w:lvl w:ilvl="0" w:tplc="3BCA3E6A">
      <w:start w:val="1"/>
      <w:numFmt w:val="bullet"/>
      <w:lvlText w:val=""/>
      <w:lvlJc w:val="left"/>
      <w:pPr>
        <w:ind w:left="360" w:hanging="360"/>
      </w:pPr>
      <w:rPr>
        <w:rFonts w:ascii="Symbol" w:hAnsi="Symbol" w:hint="default"/>
      </w:rPr>
    </w:lvl>
    <w:lvl w:ilvl="1" w:tplc="BFFE2F2E">
      <w:start w:val="1"/>
      <w:numFmt w:val="lowerLetter"/>
      <w:lvlText w:val="%2."/>
      <w:lvlJc w:val="left"/>
      <w:pPr>
        <w:ind w:left="1440" w:hanging="360"/>
      </w:pPr>
    </w:lvl>
    <w:lvl w:ilvl="2" w:tplc="44D0605A" w:tentative="1">
      <w:start w:val="1"/>
      <w:numFmt w:val="lowerRoman"/>
      <w:lvlText w:val="%3."/>
      <w:lvlJc w:val="right"/>
      <w:pPr>
        <w:ind w:left="2160" w:hanging="180"/>
      </w:pPr>
    </w:lvl>
    <w:lvl w:ilvl="3" w:tplc="F0F47B6A" w:tentative="1">
      <w:start w:val="1"/>
      <w:numFmt w:val="decimal"/>
      <w:lvlText w:val="%4."/>
      <w:lvlJc w:val="left"/>
      <w:pPr>
        <w:ind w:left="2880" w:hanging="360"/>
      </w:pPr>
    </w:lvl>
    <w:lvl w:ilvl="4" w:tplc="2BEECC92" w:tentative="1">
      <w:start w:val="1"/>
      <w:numFmt w:val="lowerLetter"/>
      <w:lvlText w:val="%5."/>
      <w:lvlJc w:val="left"/>
      <w:pPr>
        <w:ind w:left="3600" w:hanging="360"/>
      </w:pPr>
    </w:lvl>
    <w:lvl w:ilvl="5" w:tplc="9C98E14C" w:tentative="1">
      <w:start w:val="1"/>
      <w:numFmt w:val="lowerRoman"/>
      <w:lvlText w:val="%6."/>
      <w:lvlJc w:val="right"/>
      <w:pPr>
        <w:ind w:left="4320" w:hanging="180"/>
      </w:pPr>
    </w:lvl>
    <w:lvl w:ilvl="6" w:tplc="D2E4193C" w:tentative="1">
      <w:start w:val="1"/>
      <w:numFmt w:val="decimal"/>
      <w:lvlText w:val="%7."/>
      <w:lvlJc w:val="left"/>
      <w:pPr>
        <w:ind w:left="5040" w:hanging="360"/>
      </w:pPr>
    </w:lvl>
    <w:lvl w:ilvl="7" w:tplc="90B84C4A" w:tentative="1">
      <w:start w:val="1"/>
      <w:numFmt w:val="lowerLetter"/>
      <w:lvlText w:val="%8."/>
      <w:lvlJc w:val="left"/>
      <w:pPr>
        <w:ind w:left="5760" w:hanging="360"/>
      </w:pPr>
    </w:lvl>
    <w:lvl w:ilvl="8" w:tplc="364EA1C2" w:tentative="1">
      <w:start w:val="1"/>
      <w:numFmt w:val="lowerRoman"/>
      <w:lvlText w:val="%9."/>
      <w:lvlJc w:val="right"/>
      <w:pPr>
        <w:ind w:left="6480" w:hanging="180"/>
      </w:pPr>
    </w:lvl>
  </w:abstractNum>
  <w:abstractNum w:abstractNumId="4" w15:restartNumberingAfterBreak="0">
    <w:nsid w:val="6F1306FE"/>
    <w:multiLevelType w:val="hybridMultilevel"/>
    <w:tmpl w:val="9C6693C2"/>
    <w:lvl w:ilvl="0" w:tplc="DCE026EC">
      <w:start w:val="1"/>
      <w:numFmt w:val="bullet"/>
      <w:pStyle w:val="06bDOTPOINTS"/>
      <w:lvlText w:val=""/>
      <w:lvlJc w:val="left"/>
      <w:pPr>
        <w:ind w:left="720" w:hanging="360"/>
      </w:pPr>
      <w:rPr>
        <w:rFonts w:ascii="Symbol" w:hAnsi="Symbol" w:hint="default"/>
      </w:rPr>
    </w:lvl>
    <w:lvl w:ilvl="1" w:tplc="BA30719E" w:tentative="1">
      <w:start w:val="1"/>
      <w:numFmt w:val="bullet"/>
      <w:lvlText w:val="o"/>
      <w:lvlJc w:val="left"/>
      <w:pPr>
        <w:ind w:left="1440" w:hanging="360"/>
      </w:pPr>
      <w:rPr>
        <w:rFonts w:ascii="Courier New" w:hAnsi="Courier New" w:cs="Courier New" w:hint="default"/>
      </w:rPr>
    </w:lvl>
    <w:lvl w:ilvl="2" w:tplc="340E536A" w:tentative="1">
      <w:start w:val="1"/>
      <w:numFmt w:val="bullet"/>
      <w:lvlText w:val=""/>
      <w:lvlJc w:val="left"/>
      <w:pPr>
        <w:ind w:left="2160" w:hanging="360"/>
      </w:pPr>
      <w:rPr>
        <w:rFonts w:ascii="Wingdings" w:hAnsi="Wingdings" w:hint="default"/>
      </w:rPr>
    </w:lvl>
    <w:lvl w:ilvl="3" w:tplc="9C260142" w:tentative="1">
      <w:start w:val="1"/>
      <w:numFmt w:val="bullet"/>
      <w:lvlText w:val=""/>
      <w:lvlJc w:val="left"/>
      <w:pPr>
        <w:ind w:left="2880" w:hanging="360"/>
      </w:pPr>
      <w:rPr>
        <w:rFonts w:ascii="Symbol" w:hAnsi="Symbol" w:hint="default"/>
      </w:rPr>
    </w:lvl>
    <w:lvl w:ilvl="4" w:tplc="9C8AFAC2" w:tentative="1">
      <w:start w:val="1"/>
      <w:numFmt w:val="bullet"/>
      <w:lvlText w:val="o"/>
      <w:lvlJc w:val="left"/>
      <w:pPr>
        <w:ind w:left="3600" w:hanging="360"/>
      </w:pPr>
      <w:rPr>
        <w:rFonts w:ascii="Courier New" w:hAnsi="Courier New" w:cs="Courier New" w:hint="default"/>
      </w:rPr>
    </w:lvl>
    <w:lvl w:ilvl="5" w:tplc="92F08DE4" w:tentative="1">
      <w:start w:val="1"/>
      <w:numFmt w:val="bullet"/>
      <w:lvlText w:val=""/>
      <w:lvlJc w:val="left"/>
      <w:pPr>
        <w:ind w:left="4320" w:hanging="360"/>
      </w:pPr>
      <w:rPr>
        <w:rFonts w:ascii="Wingdings" w:hAnsi="Wingdings" w:hint="default"/>
      </w:rPr>
    </w:lvl>
    <w:lvl w:ilvl="6" w:tplc="EECEDB22" w:tentative="1">
      <w:start w:val="1"/>
      <w:numFmt w:val="bullet"/>
      <w:lvlText w:val=""/>
      <w:lvlJc w:val="left"/>
      <w:pPr>
        <w:ind w:left="5040" w:hanging="360"/>
      </w:pPr>
      <w:rPr>
        <w:rFonts w:ascii="Symbol" w:hAnsi="Symbol" w:hint="default"/>
      </w:rPr>
    </w:lvl>
    <w:lvl w:ilvl="7" w:tplc="3B1883FC" w:tentative="1">
      <w:start w:val="1"/>
      <w:numFmt w:val="bullet"/>
      <w:lvlText w:val="o"/>
      <w:lvlJc w:val="left"/>
      <w:pPr>
        <w:ind w:left="5760" w:hanging="360"/>
      </w:pPr>
      <w:rPr>
        <w:rFonts w:ascii="Courier New" w:hAnsi="Courier New" w:cs="Courier New" w:hint="default"/>
      </w:rPr>
    </w:lvl>
    <w:lvl w:ilvl="8" w:tplc="041870FE" w:tentative="1">
      <w:start w:val="1"/>
      <w:numFmt w:val="bullet"/>
      <w:lvlText w:val=""/>
      <w:lvlJc w:val="left"/>
      <w:pPr>
        <w:ind w:left="6480" w:hanging="360"/>
      </w:pPr>
      <w:rPr>
        <w:rFonts w:ascii="Wingdings" w:hAnsi="Wingdings" w:hint="default"/>
      </w:rPr>
    </w:lvl>
  </w:abstractNum>
  <w:abstractNum w:abstractNumId="5" w15:restartNumberingAfterBreak="0">
    <w:nsid w:val="6F921064"/>
    <w:multiLevelType w:val="hybridMultilevel"/>
    <w:tmpl w:val="E3C2369E"/>
    <w:lvl w:ilvl="0" w:tplc="50ECDE8E">
      <w:numFmt w:val="bullet"/>
      <w:lvlText w:val="-"/>
      <w:lvlJc w:val="left"/>
      <w:pPr>
        <w:ind w:left="1004" w:hanging="360"/>
      </w:pPr>
      <w:rPr>
        <w:rFonts w:ascii="Arial" w:eastAsia="Times New Roman" w:hAnsi="Arial" w:cs="Arial" w:hint="default"/>
      </w:rPr>
    </w:lvl>
    <w:lvl w:ilvl="1" w:tplc="89E47AEC" w:tentative="1">
      <w:start w:val="1"/>
      <w:numFmt w:val="bullet"/>
      <w:lvlText w:val="o"/>
      <w:lvlJc w:val="left"/>
      <w:pPr>
        <w:ind w:left="1724" w:hanging="360"/>
      </w:pPr>
      <w:rPr>
        <w:rFonts w:ascii="Courier New" w:hAnsi="Courier New" w:cs="Courier New" w:hint="default"/>
      </w:rPr>
    </w:lvl>
    <w:lvl w:ilvl="2" w:tplc="1DE06396" w:tentative="1">
      <w:start w:val="1"/>
      <w:numFmt w:val="bullet"/>
      <w:lvlText w:val=""/>
      <w:lvlJc w:val="left"/>
      <w:pPr>
        <w:ind w:left="2444" w:hanging="360"/>
      </w:pPr>
      <w:rPr>
        <w:rFonts w:ascii="Wingdings" w:hAnsi="Wingdings" w:hint="default"/>
      </w:rPr>
    </w:lvl>
    <w:lvl w:ilvl="3" w:tplc="06FE9588" w:tentative="1">
      <w:start w:val="1"/>
      <w:numFmt w:val="bullet"/>
      <w:lvlText w:val=""/>
      <w:lvlJc w:val="left"/>
      <w:pPr>
        <w:ind w:left="3164" w:hanging="360"/>
      </w:pPr>
      <w:rPr>
        <w:rFonts w:ascii="Symbol" w:hAnsi="Symbol" w:hint="default"/>
      </w:rPr>
    </w:lvl>
    <w:lvl w:ilvl="4" w:tplc="0DE8B892" w:tentative="1">
      <w:start w:val="1"/>
      <w:numFmt w:val="bullet"/>
      <w:lvlText w:val="o"/>
      <w:lvlJc w:val="left"/>
      <w:pPr>
        <w:ind w:left="3884" w:hanging="360"/>
      </w:pPr>
      <w:rPr>
        <w:rFonts w:ascii="Courier New" w:hAnsi="Courier New" w:cs="Courier New" w:hint="default"/>
      </w:rPr>
    </w:lvl>
    <w:lvl w:ilvl="5" w:tplc="29EEEA56" w:tentative="1">
      <w:start w:val="1"/>
      <w:numFmt w:val="bullet"/>
      <w:lvlText w:val=""/>
      <w:lvlJc w:val="left"/>
      <w:pPr>
        <w:ind w:left="4604" w:hanging="360"/>
      </w:pPr>
      <w:rPr>
        <w:rFonts w:ascii="Wingdings" w:hAnsi="Wingdings" w:hint="default"/>
      </w:rPr>
    </w:lvl>
    <w:lvl w:ilvl="6" w:tplc="91EEC220" w:tentative="1">
      <w:start w:val="1"/>
      <w:numFmt w:val="bullet"/>
      <w:lvlText w:val=""/>
      <w:lvlJc w:val="left"/>
      <w:pPr>
        <w:ind w:left="5324" w:hanging="360"/>
      </w:pPr>
      <w:rPr>
        <w:rFonts w:ascii="Symbol" w:hAnsi="Symbol" w:hint="default"/>
      </w:rPr>
    </w:lvl>
    <w:lvl w:ilvl="7" w:tplc="D5B6575A" w:tentative="1">
      <w:start w:val="1"/>
      <w:numFmt w:val="bullet"/>
      <w:lvlText w:val="o"/>
      <w:lvlJc w:val="left"/>
      <w:pPr>
        <w:ind w:left="6044" w:hanging="360"/>
      </w:pPr>
      <w:rPr>
        <w:rFonts w:ascii="Courier New" w:hAnsi="Courier New" w:cs="Courier New" w:hint="default"/>
      </w:rPr>
    </w:lvl>
    <w:lvl w:ilvl="8" w:tplc="98B24FF6" w:tentative="1">
      <w:start w:val="1"/>
      <w:numFmt w:val="bullet"/>
      <w:lvlText w:val=""/>
      <w:lvlJc w:val="left"/>
      <w:pPr>
        <w:ind w:left="6764" w:hanging="360"/>
      </w:pPr>
      <w:rPr>
        <w:rFonts w:ascii="Wingdings" w:hAnsi="Wingdings" w:hint="default"/>
      </w:rPr>
    </w:lvl>
  </w:abstractNum>
  <w:num w:numId="1" w16cid:durableId="93405661">
    <w:abstractNumId w:val="4"/>
  </w:num>
  <w:num w:numId="2" w16cid:durableId="132333596">
    <w:abstractNumId w:val="2"/>
  </w:num>
  <w:num w:numId="3" w16cid:durableId="394276316">
    <w:abstractNumId w:val="5"/>
  </w:num>
  <w:num w:numId="4" w16cid:durableId="2113738398">
    <w:abstractNumId w:val="1"/>
  </w:num>
  <w:num w:numId="5" w16cid:durableId="2094471627">
    <w:abstractNumId w:val="3"/>
  </w:num>
  <w:num w:numId="6" w16cid:durableId="9031050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31521"/>
    <w:rsid w:val="00041D03"/>
    <w:rsid w:val="00042BBE"/>
    <w:rsid w:val="000540A1"/>
    <w:rsid w:val="000679DD"/>
    <w:rsid w:val="00071879"/>
    <w:rsid w:val="000C46F5"/>
    <w:rsid w:val="000D0F67"/>
    <w:rsid w:val="000F7A83"/>
    <w:rsid w:val="00141CC7"/>
    <w:rsid w:val="00144563"/>
    <w:rsid w:val="00145E13"/>
    <w:rsid w:val="001B0B6B"/>
    <w:rsid w:val="001C4040"/>
    <w:rsid w:val="001C4AA6"/>
    <w:rsid w:val="001E7786"/>
    <w:rsid w:val="001F603A"/>
    <w:rsid w:val="00210069"/>
    <w:rsid w:val="00210918"/>
    <w:rsid w:val="00215B66"/>
    <w:rsid w:val="002204C6"/>
    <w:rsid w:val="00265239"/>
    <w:rsid w:val="002C7E24"/>
    <w:rsid w:val="002E7FB3"/>
    <w:rsid w:val="00303A15"/>
    <w:rsid w:val="00307367"/>
    <w:rsid w:val="00311734"/>
    <w:rsid w:val="00315673"/>
    <w:rsid w:val="00322BBA"/>
    <w:rsid w:val="00322E6B"/>
    <w:rsid w:val="003505C4"/>
    <w:rsid w:val="003571FA"/>
    <w:rsid w:val="003654A8"/>
    <w:rsid w:val="00375641"/>
    <w:rsid w:val="003769BE"/>
    <w:rsid w:val="00386EEF"/>
    <w:rsid w:val="0039582F"/>
    <w:rsid w:val="003C2F88"/>
    <w:rsid w:val="003C7C09"/>
    <w:rsid w:val="003D61F6"/>
    <w:rsid w:val="003D7EAA"/>
    <w:rsid w:val="00415BBB"/>
    <w:rsid w:val="00451E1F"/>
    <w:rsid w:val="00455364"/>
    <w:rsid w:val="00461812"/>
    <w:rsid w:val="004720E7"/>
    <w:rsid w:val="00482074"/>
    <w:rsid w:val="00492FAA"/>
    <w:rsid w:val="004E05A9"/>
    <w:rsid w:val="004F0B57"/>
    <w:rsid w:val="005033C8"/>
    <w:rsid w:val="00503A27"/>
    <w:rsid w:val="00504A7F"/>
    <w:rsid w:val="005316D3"/>
    <w:rsid w:val="0056060C"/>
    <w:rsid w:val="0056753A"/>
    <w:rsid w:val="005A596C"/>
    <w:rsid w:val="005B4163"/>
    <w:rsid w:val="005C5142"/>
    <w:rsid w:val="005D6660"/>
    <w:rsid w:val="005E1C46"/>
    <w:rsid w:val="005F494A"/>
    <w:rsid w:val="0060224D"/>
    <w:rsid w:val="00621360"/>
    <w:rsid w:val="00630F1C"/>
    <w:rsid w:val="0063669B"/>
    <w:rsid w:val="0064253E"/>
    <w:rsid w:val="006457CF"/>
    <w:rsid w:val="0066068F"/>
    <w:rsid w:val="00664B16"/>
    <w:rsid w:val="00670F24"/>
    <w:rsid w:val="00685A57"/>
    <w:rsid w:val="00692827"/>
    <w:rsid w:val="00695E82"/>
    <w:rsid w:val="006A0C77"/>
    <w:rsid w:val="006A1E62"/>
    <w:rsid w:val="006C63F1"/>
    <w:rsid w:val="006C6865"/>
    <w:rsid w:val="006E096B"/>
    <w:rsid w:val="006F0F74"/>
    <w:rsid w:val="006F2C22"/>
    <w:rsid w:val="00705A45"/>
    <w:rsid w:val="00711D48"/>
    <w:rsid w:val="00721FF9"/>
    <w:rsid w:val="007274FF"/>
    <w:rsid w:val="00727E1B"/>
    <w:rsid w:val="00737410"/>
    <w:rsid w:val="007713DF"/>
    <w:rsid w:val="007B2EFB"/>
    <w:rsid w:val="007D6616"/>
    <w:rsid w:val="007E3FF8"/>
    <w:rsid w:val="007F10B4"/>
    <w:rsid w:val="007F1111"/>
    <w:rsid w:val="00803306"/>
    <w:rsid w:val="00812276"/>
    <w:rsid w:val="0082538D"/>
    <w:rsid w:val="00850B4C"/>
    <w:rsid w:val="0085325C"/>
    <w:rsid w:val="00862AF0"/>
    <w:rsid w:val="00865621"/>
    <w:rsid w:val="008A36F2"/>
    <w:rsid w:val="008B5AAE"/>
    <w:rsid w:val="00900C9C"/>
    <w:rsid w:val="00903004"/>
    <w:rsid w:val="009051DA"/>
    <w:rsid w:val="00916541"/>
    <w:rsid w:val="00926AC8"/>
    <w:rsid w:val="00932AFC"/>
    <w:rsid w:val="00935E13"/>
    <w:rsid w:val="00937BCE"/>
    <w:rsid w:val="009474A4"/>
    <w:rsid w:val="0097687F"/>
    <w:rsid w:val="0098269B"/>
    <w:rsid w:val="00983825"/>
    <w:rsid w:val="009916D0"/>
    <w:rsid w:val="00994F5C"/>
    <w:rsid w:val="009A1C89"/>
    <w:rsid w:val="009D1866"/>
    <w:rsid w:val="00A079E1"/>
    <w:rsid w:val="00A1035D"/>
    <w:rsid w:val="00A54734"/>
    <w:rsid w:val="00A61549"/>
    <w:rsid w:val="00A743C9"/>
    <w:rsid w:val="00A75809"/>
    <w:rsid w:val="00AB2B25"/>
    <w:rsid w:val="00AC12F6"/>
    <w:rsid w:val="00AC2603"/>
    <w:rsid w:val="00AF76E3"/>
    <w:rsid w:val="00B0123F"/>
    <w:rsid w:val="00B15152"/>
    <w:rsid w:val="00B15E7C"/>
    <w:rsid w:val="00B16A34"/>
    <w:rsid w:val="00B310DE"/>
    <w:rsid w:val="00B32446"/>
    <w:rsid w:val="00B3434E"/>
    <w:rsid w:val="00B40FCD"/>
    <w:rsid w:val="00B45D5A"/>
    <w:rsid w:val="00B57854"/>
    <w:rsid w:val="00B8199E"/>
    <w:rsid w:val="00BD3AF3"/>
    <w:rsid w:val="00BE4A8F"/>
    <w:rsid w:val="00BF30D9"/>
    <w:rsid w:val="00BF55F4"/>
    <w:rsid w:val="00C663DD"/>
    <w:rsid w:val="00CC5864"/>
    <w:rsid w:val="00CF2EE9"/>
    <w:rsid w:val="00CF5FD3"/>
    <w:rsid w:val="00D27719"/>
    <w:rsid w:val="00D333F9"/>
    <w:rsid w:val="00D415B1"/>
    <w:rsid w:val="00D53486"/>
    <w:rsid w:val="00D5423B"/>
    <w:rsid w:val="00DB1738"/>
    <w:rsid w:val="00DD5DA8"/>
    <w:rsid w:val="00E00279"/>
    <w:rsid w:val="00E31551"/>
    <w:rsid w:val="00E369CA"/>
    <w:rsid w:val="00E46C60"/>
    <w:rsid w:val="00E473EE"/>
    <w:rsid w:val="00E57535"/>
    <w:rsid w:val="00E63284"/>
    <w:rsid w:val="00E71CAC"/>
    <w:rsid w:val="00E772C6"/>
    <w:rsid w:val="00E91E56"/>
    <w:rsid w:val="00E92A41"/>
    <w:rsid w:val="00EA0E36"/>
    <w:rsid w:val="00F24ED3"/>
    <w:rsid w:val="00F62C12"/>
    <w:rsid w:val="00F62F6C"/>
    <w:rsid w:val="00F8384D"/>
    <w:rsid w:val="00F87A2F"/>
    <w:rsid w:val="00FA56E0"/>
    <w:rsid w:val="00FB5F65"/>
    <w:rsid w:val="00FB67F8"/>
    <w:rsid w:val="00FC7FF9"/>
    <w:rsid w:val="00FD5EB5"/>
    <w:rsid w:val="00FF0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DFC3"/>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asicParagraph"/>
    <w:next w:val="Normal"/>
    <w:link w:val="Heading1Char"/>
    <w:uiPriority w:val="9"/>
    <w:qFormat/>
    <w:rsid w:val="00932AFC"/>
    <w:pPr>
      <w:spacing w:before="3000" w:line="216" w:lineRule="auto"/>
      <w:outlineLvl w:val="0"/>
    </w:pPr>
    <w:rPr>
      <w:rFonts w:ascii="Calibri" w:hAnsi="Calibri" w:cs="Calibri"/>
      <w:b/>
      <w:bCs/>
      <w:color w:val="27412A"/>
      <w:sz w:val="105"/>
      <w:szCs w:val="105"/>
    </w:rPr>
  </w:style>
  <w:style w:type="paragraph" w:styleId="Heading2">
    <w:name w:val="heading 2"/>
    <w:basedOn w:val="02HEADING2"/>
    <w:next w:val="Normal"/>
    <w:link w:val="Heading2Char"/>
    <w:uiPriority w:val="9"/>
    <w:unhideWhenUsed/>
    <w:qFormat/>
    <w:rsid w:val="002204C6"/>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AlphaParagraph"/>
    <w:next w:val="Normal"/>
    <w:link w:val="Heading3Char"/>
    <w:uiPriority w:val="9"/>
    <w:unhideWhenUsed/>
    <w:qFormat/>
    <w:rsid w:val="004F0B57"/>
    <w:pPr>
      <w:tabs>
        <w:tab w:val="clear" w:pos="360"/>
      </w:tabs>
      <w:spacing w:after="120"/>
      <w:outlineLvl w:val="2"/>
    </w:pPr>
    <w:rPr>
      <w:rFonts w:asciiTheme="minorHAnsi" w:hAnsiTheme="minorHAnsi" w:cstheme="minorHAns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C6"/>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2AFC"/>
    <w:rPr>
      <w:rFonts w:ascii="Calibri" w:hAnsi="Calibri" w:cs="Calibri"/>
      <w:b/>
      <w:bCs/>
      <w:color w:val="27412A"/>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4F0B57"/>
    <w:rPr>
      <w:rFonts w:eastAsia="Times New Roman" w:cstheme="minorHAnsi"/>
      <w:b/>
      <w:bCs/>
      <w:sz w:val="22"/>
      <w:szCs w:val="22"/>
      <w:lang w:eastAsia="en-AU"/>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99"/>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99"/>
    <w:qFormat/>
    <w:locked/>
    <w:rsid w:val="004720E7"/>
    <w:rPr>
      <w:rFonts w:ascii="Arial" w:eastAsia="Times New Roman" w:hAnsi="Arial" w:cs="Times New Roman"/>
      <w:spacing w:val="4"/>
      <w:lang w:eastAsia="en-AU"/>
    </w:rPr>
  </w:style>
  <w:style w:type="paragraph" w:styleId="Revision">
    <w:name w:val="Revision"/>
    <w:hidden/>
    <w:uiPriority w:val="99"/>
    <w:semiHidden/>
    <w:rsid w:val="00F2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DBA2-15A3-6547-951E-D0281210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چارچوب ملی حمایت از معلولیت</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ملی حمایت از معلولیت</dc:title>
  <dc:creator>Gillian Worrall</dc:creator>
  <cp:keywords>[SEC=OFFICIAL]</cp:keywords>
  <cp:lastModifiedBy>Thomas Kiorgaard</cp:lastModifiedBy>
  <cp:revision>7</cp:revision>
  <cp:lastPrinted>2021-11-28T05:12:00Z</cp:lastPrinted>
  <dcterms:created xsi:type="dcterms:W3CDTF">2023-04-26T00:58:00Z</dcterms:created>
  <dcterms:modified xsi:type="dcterms:W3CDTF">2023-05-03T00:45:00Z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4782142355D10DEEECA5B9D561CCB8D9</vt:lpwstr>
  </property>
  <property fmtid="{D5CDD505-2E9C-101B-9397-08002B2CF9AE}" pid="6" name="PM_Hash_Salt_Prev">
    <vt:lpwstr>8E3B9F32D4554A75463C91D616EC26B0</vt:lpwstr>
  </property>
  <property fmtid="{D5CDD505-2E9C-101B-9397-08002B2CF9AE}" pid="7" name="PM_Hash_SHA1">
    <vt:lpwstr>9C23874C9EECD0DE2D4EAC2E5E83D79FD1528FC5</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2023-04-04T07:34:21Z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9A871A84A018A9C09249D842291126ECB30B0C64F9A6D5563556D28ED4520401</vt:lpwstr>
  </property>
  <property fmtid="{D5CDD505-2E9C-101B-9397-08002B2CF9AE}" pid="17" name="PM_Originator_Hash_SHA1">
    <vt:lpwstr>467FFC2DD3BBFF50F75C0AE688D6167A2BB23723</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