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15C" w:rsidRPr="00514109" w:rsidRDefault="00A02860" w:rsidP="00067EC5">
      <w:pPr>
        <w:pStyle w:val="CoverOutcomeHeadline"/>
      </w:pPr>
      <w:r>
        <w:t xml:space="preserve">Ministerial review of the </w:t>
      </w:r>
      <w:r w:rsidR="00830272">
        <w:t>E</w:t>
      </w:r>
      <w:r w:rsidR="000873FF">
        <w:t xml:space="preserve">arly </w:t>
      </w:r>
      <w:r w:rsidR="00830272">
        <w:t>Y</w:t>
      </w:r>
      <w:r w:rsidR="000873FF">
        <w:t xml:space="preserve">ears </w:t>
      </w:r>
      <w:r w:rsidR="00830272">
        <w:t>Q</w:t>
      </w:r>
      <w:r w:rsidR="000873FF">
        <w:t xml:space="preserve">uality </w:t>
      </w:r>
      <w:r w:rsidR="00830272">
        <w:t>F</w:t>
      </w:r>
      <w:r w:rsidR="000873FF">
        <w:t>und</w:t>
      </w:r>
    </w:p>
    <w:p w:rsidR="00E27E5B" w:rsidRPr="000619A2" w:rsidRDefault="00731B5D" w:rsidP="00F323DC">
      <w:pPr>
        <w:pStyle w:val="Covertitle"/>
        <w:framePr w:wrap="notBeside"/>
      </w:pPr>
      <w:r>
        <w:t xml:space="preserve">Department of Education </w:t>
      </w:r>
    </w:p>
    <w:p w:rsidR="00E27E5B" w:rsidRDefault="009C16F4" w:rsidP="007625E6">
      <w:pPr>
        <w:pStyle w:val="CoverDate"/>
        <w:framePr w:wrap="notBeside"/>
      </w:pPr>
      <w:r>
        <w:t>1</w:t>
      </w:r>
      <w:r w:rsidR="00AF03FA">
        <w:t>2</w:t>
      </w:r>
      <w:r w:rsidR="008624D8">
        <w:t xml:space="preserve"> November 2013</w:t>
      </w:r>
    </w:p>
    <w:p w:rsidR="00E27E5B" w:rsidRPr="007625E6" w:rsidRDefault="00E27E5B" w:rsidP="007625E6">
      <w:pPr>
        <w:pStyle w:val="Coverpulloutframe"/>
        <w:framePr w:wrap="notBeside"/>
      </w:pPr>
    </w:p>
    <w:p w:rsidR="00256EE8" w:rsidRPr="000F76FF" w:rsidRDefault="008624D8" w:rsidP="00A02860">
      <w:pPr>
        <w:pStyle w:val="CoverOutcomeSubtitle"/>
        <w:numPr>
          <w:ilvl w:val="0"/>
          <w:numId w:val="0"/>
        </w:numPr>
        <w:spacing w:before="360"/>
      </w:pPr>
      <w:r>
        <w:t>Final Report</w:t>
      </w:r>
    </w:p>
    <w:p w:rsidR="009B3E02" w:rsidRPr="00514109" w:rsidRDefault="009B3E02" w:rsidP="00275248">
      <w:pPr>
        <w:pStyle w:val="PwCNormal"/>
        <w:numPr>
          <w:ilvl w:val="0"/>
          <w:numId w:val="0"/>
        </w:numPr>
      </w:pPr>
    </w:p>
    <w:p w:rsidR="00695B02" w:rsidRPr="00514109" w:rsidRDefault="00695B02" w:rsidP="00695B02">
      <w:pPr>
        <w:pStyle w:val="PwCNormal"/>
        <w:numPr>
          <w:ilvl w:val="0"/>
          <w:numId w:val="0"/>
        </w:numPr>
        <w:sectPr w:rsidR="00695B02" w:rsidRPr="00514109" w:rsidSect="00A02860">
          <w:headerReference w:type="even" r:id="rId9"/>
          <w:headerReference w:type="default" r:id="rId10"/>
          <w:headerReference w:type="first" r:id="rId11"/>
          <w:pgSz w:w="11907" w:h="16840" w:code="9"/>
          <w:pgMar w:top="2410" w:right="1021" w:bottom="1134" w:left="3317" w:header="397" w:footer="567" w:gutter="227"/>
          <w:pgNumType w:start="1"/>
          <w:cols w:space="708"/>
          <w:titlePg/>
          <w:docGrid w:linePitch="360"/>
        </w:sectPr>
      </w:pPr>
    </w:p>
    <w:p w:rsidR="00FE54C8" w:rsidRDefault="00FE54C8" w:rsidP="00C270FB">
      <w:pPr>
        <w:pStyle w:val="PrefaceTitle"/>
      </w:pPr>
      <w:bookmarkStart w:id="0" w:name="_Toc372100965"/>
      <w:bookmarkStart w:id="1" w:name="_Toc290460141"/>
      <w:bookmarkStart w:id="2" w:name="_Toc292795890"/>
      <w:bookmarkStart w:id="3" w:name="_Toc292795900"/>
      <w:bookmarkStart w:id="4" w:name="_Toc292795947"/>
      <w:bookmarkStart w:id="5" w:name="_Toc292795954"/>
      <w:bookmarkStart w:id="6" w:name="_Toc294534323"/>
      <w:bookmarkStart w:id="7" w:name="_Toc326144379"/>
      <w:bookmarkStart w:id="8" w:name="_Toc326144425"/>
      <w:bookmarkStart w:id="9" w:name="_Toc326144496"/>
      <w:bookmarkStart w:id="10" w:name="_Toc326144518"/>
      <w:bookmarkStart w:id="11" w:name="_Toc326144577"/>
      <w:bookmarkStart w:id="12" w:name="_Toc326144612"/>
      <w:bookmarkStart w:id="13" w:name="_Toc326144706"/>
      <w:bookmarkStart w:id="14" w:name="_Toc369880276"/>
      <w:bookmarkStart w:id="15" w:name="ExecSum"/>
      <w:r>
        <w:lastRenderedPageBreak/>
        <w:t>Disclaimer</w:t>
      </w:r>
      <w:bookmarkEnd w:id="0"/>
    </w:p>
    <w:p w:rsidR="00FE54C8" w:rsidRPr="006F0086" w:rsidRDefault="00FE54C8" w:rsidP="00FE54C8">
      <w:pPr>
        <w:pStyle w:val="PwCNormal"/>
      </w:pPr>
      <w:r w:rsidRPr="006F0086">
        <w:t>This report has been prepared by P</w:t>
      </w:r>
      <w:r>
        <w:t>ricewaterhouseCoopers Australia (P</w:t>
      </w:r>
      <w:r w:rsidRPr="006F0086">
        <w:t>wC</w:t>
      </w:r>
      <w:r>
        <w:t>)</w:t>
      </w:r>
      <w:r w:rsidRPr="006F0086">
        <w:t xml:space="preserve"> at the request of </w:t>
      </w:r>
      <w:r>
        <w:t>the Department of Education (the Department)</w:t>
      </w:r>
      <w:r w:rsidRPr="006F0086">
        <w:t xml:space="preserve"> in our capacity as advisors in accordance with </w:t>
      </w:r>
      <w:r>
        <w:t xml:space="preserve">the Work Order Agreement </w:t>
      </w:r>
      <w:r w:rsidRPr="006F0086">
        <w:t xml:space="preserve">between </w:t>
      </w:r>
      <w:r>
        <w:t>PwC and the Department</w:t>
      </w:r>
      <w:r w:rsidRPr="006F0086">
        <w:t xml:space="preserve">. </w:t>
      </w:r>
    </w:p>
    <w:p w:rsidR="00FE54C8" w:rsidRDefault="00FE54C8" w:rsidP="00FE54C8">
      <w:pPr>
        <w:pStyle w:val="PwCNormal"/>
      </w:pPr>
      <w:r w:rsidRPr="006F0086">
        <w:t>PwC have based this report on information received or obtained</w:t>
      </w:r>
      <w:r>
        <w:t xml:space="preserve"> by PwC</w:t>
      </w:r>
      <w:r w:rsidR="000873FF">
        <w:t xml:space="preserve"> from the Department and through stakeholder consultations</w:t>
      </w:r>
      <w:r w:rsidRPr="006F0086">
        <w:t xml:space="preserve">, on the basis that such information is accurate and, where it is represented by stakeholders as such, complete. PwC has not checked or </w:t>
      </w:r>
      <w:r w:rsidR="000873FF">
        <w:t>verified</w:t>
      </w:r>
      <w:r w:rsidR="000873FF" w:rsidRPr="006F0086">
        <w:t xml:space="preserve"> </w:t>
      </w:r>
      <w:r w:rsidRPr="006F0086">
        <w:t>the accu</w:t>
      </w:r>
      <w:r>
        <w:t>racy of any of this information</w:t>
      </w:r>
      <w:r w:rsidRPr="006F0086">
        <w:t>.</w:t>
      </w:r>
      <w:r>
        <w:t xml:space="preserve"> </w:t>
      </w:r>
      <w:r w:rsidR="000873FF">
        <w:t>PwC accept no responsibility in any way whatsoever for the use of this report by any other persons or for any other purpose.</w:t>
      </w:r>
    </w:p>
    <w:p w:rsidR="00FE54C8" w:rsidRPr="006F0086" w:rsidRDefault="00FE54C8" w:rsidP="00FE54C8">
      <w:pPr>
        <w:pStyle w:val="PwCNormal"/>
      </w:pPr>
      <w:r>
        <w:t>The i</w:t>
      </w:r>
      <w:r w:rsidRPr="006F0086">
        <w:t>nformation contained in this rep</w:t>
      </w:r>
      <w:r>
        <w:t>ort has not been subject to an a</w:t>
      </w:r>
      <w:r w:rsidRPr="006F0086">
        <w:t>udit. The information must not be relied on by third parties, co</w:t>
      </w:r>
      <w:bookmarkStart w:id="16" w:name="_GoBack"/>
      <w:bookmarkEnd w:id="16"/>
      <w:r w:rsidRPr="006F0086">
        <w:t xml:space="preserve">pied, reproduced, distributed, or used, in whole or in part, for any purpose other than detailed in our </w:t>
      </w:r>
      <w:r>
        <w:t>Work Order Agreement</w:t>
      </w:r>
      <w:r w:rsidRPr="006F0086">
        <w:t xml:space="preserve"> without t</w:t>
      </w:r>
      <w:r>
        <w:t>he written permission of the Department</w:t>
      </w:r>
      <w:r w:rsidRPr="006F0086">
        <w:t xml:space="preserve"> and PwC.</w:t>
      </w:r>
      <w:r>
        <w:rPr>
          <w:rStyle w:val="FootnoteReference"/>
          <w:rFonts w:eastAsia="Arial"/>
        </w:rPr>
        <w:footnoteReference w:id="2"/>
      </w:r>
    </w:p>
    <w:p w:rsidR="005A2749" w:rsidRDefault="005A2749" w:rsidP="0025296C">
      <w:pPr>
        <w:pStyle w:val="PwCNormal"/>
        <w:numPr>
          <w:ilvl w:val="0"/>
          <w:numId w:val="0"/>
        </w:numPr>
        <w:sectPr w:rsidR="005A2749" w:rsidSect="0085497F">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588" w:right="1843" w:bottom="1418" w:left="1843" w:header="567" w:footer="567" w:gutter="0"/>
          <w:pgNumType w:fmt="lowerRoman" w:start="1"/>
          <w:cols w:space="227"/>
          <w:titlePg/>
          <w:docGrid w:linePitch="286"/>
        </w:sectPr>
      </w:pPr>
    </w:p>
    <w:p w:rsidR="005A2749" w:rsidRPr="005A2749" w:rsidRDefault="005A2749" w:rsidP="005A2749">
      <w:pPr>
        <w:pStyle w:val="PrefaceTitle"/>
      </w:pPr>
      <w:bookmarkStart w:id="17" w:name="_Toc372100966"/>
      <w:r w:rsidRPr="005A2749">
        <w:lastRenderedPageBreak/>
        <w:t>Acronyms</w:t>
      </w:r>
      <w:bookmarkEnd w:id="17"/>
    </w:p>
    <w:tbl>
      <w:tblPr>
        <w:tblStyle w:val="Tables-APBase"/>
        <w:tblW w:w="0" w:type="auto"/>
        <w:tblLook w:val="04A0" w:firstRow="1" w:lastRow="0" w:firstColumn="1" w:lastColumn="0" w:noHBand="0" w:noVBand="1"/>
      </w:tblPr>
      <w:tblGrid>
        <w:gridCol w:w="1526"/>
        <w:gridCol w:w="6911"/>
      </w:tblGrid>
      <w:tr w:rsidR="0025296C" w:rsidTr="0025296C">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26" w:type="dxa"/>
          </w:tcPr>
          <w:p w:rsidR="0025296C" w:rsidRDefault="0025296C" w:rsidP="00CE672C">
            <w:pPr>
              <w:pStyle w:val="PwCNormal"/>
              <w:numPr>
                <w:ilvl w:val="0"/>
                <w:numId w:val="0"/>
              </w:numPr>
              <w:spacing w:before="60" w:after="60"/>
            </w:pPr>
          </w:p>
        </w:tc>
        <w:tc>
          <w:tcPr>
            <w:tcW w:w="6911" w:type="dxa"/>
          </w:tcPr>
          <w:p w:rsidR="0025296C" w:rsidRDefault="0025296C" w:rsidP="00CE672C">
            <w:pPr>
              <w:pStyle w:val="PwCNormal"/>
              <w:numPr>
                <w:ilvl w:val="0"/>
                <w:numId w:val="0"/>
              </w:numPr>
              <w:spacing w:before="60" w:after="60"/>
              <w:cnfStyle w:val="100000000000" w:firstRow="1" w:lastRow="0" w:firstColumn="0" w:lastColumn="0" w:oddVBand="0" w:evenVBand="0" w:oddHBand="0" w:evenHBand="0" w:firstRowFirstColumn="0" w:firstRowLastColumn="0" w:lastRowFirstColumn="0" w:lastRowLastColumn="0"/>
            </w:pPr>
          </w:p>
        </w:tc>
      </w:tr>
      <w:tr w:rsidR="0025296C" w:rsidTr="0025296C">
        <w:tc>
          <w:tcPr>
            <w:tcW w:w="1526" w:type="dxa"/>
          </w:tcPr>
          <w:p w:rsidR="0025296C" w:rsidRDefault="0025296C" w:rsidP="00CE672C">
            <w:pPr>
              <w:pStyle w:val="BodyText"/>
              <w:spacing w:before="60" w:after="60"/>
            </w:pPr>
            <w:r>
              <w:t>CCB</w:t>
            </w:r>
          </w:p>
        </w:tc>
        <w:tc>
          <w:tcPr>
            <w:tcW w:w="6911" w:type="dxa"/>
          </w:tcPr>
          <w:p w:rsidR="0025296C" w:rsidRDefault="0025296C" w:rsidP="00CE672C">
            <w:pPr>
              <w:pStyle w:val="BodyText"/>
              <w:spacing w:before="60" w:after="60"/>
            </w:pPr>
            <w:r>
              <w:t>Child Care Benefit</w:t>
            </w:r>
          </w:p>
        </w:tc>
      </w:tr>
      <w:tr w:rsidR="0008445E" w:rsidTr="0025296C">
        <w:tc>
          <w:tcPr>
            <w:tcW w:w="1526" w:type="dxa"/>
          </w:tcPr>
          <w:p w:rsidR="0008445E" w:rsidRDefault="0008445E" w:rsidP="00CE672C">
            <w:pPr>
              <w:pStyle w:val="BodyText"/>
              <w:spacing w:before="60" w:after="60"/>
            </w:pPr>
            <w:r>
              <w:t>CGG</w:t>
            </w:r>
            <w:r w:rsidR="00F37B3A">
              <w:t>s</w:t>
            </w:r>
          </w:p>
        </w:tc>
        <w:tc>
          <w:tcPr>
            <w:tcW w:w="6911" w:type="dxa"/>
          </w:tcPr>
          <w:p w:rsidR="0008445E" w:rsidRDefault="0008445E" w:rsidP="00CE672C">
            <w:pPr>
              <w:pStyle w:val="BodyText"/>
              <w:spacing w:before="60" w:after="60"/>
            </w:pPr>
            <w:r>
              <w:t>Commonwealth Grant Guidelines</w:t>
            </w:r>
          </w:p>
        </w:tc>
      </w:tr>
      <w:tr w:rsidR="0025296C" w:rsidTr="0025296C">
        <w:tc>
          <w:tcPr>
            <w:tcW w:w="1526" w:type="dxa"/>
          </w:tcPr>
          <w:p w:rsidR="0025296C" w:rsidRDefault="0025296C" w:rsidP="00CE672C">
            <w:pPr>
              <w:pStyle w:val="BodyText"/>
              <w:spacing w:before="60" w:after="60"/>
            </w:pPr>
            <w:r>
              <w:t>DEEWR</w:t>
            </w:r>
          </w:p>
        </w:tc>
        <w:tc>
          <w:tcPr>
            <w:tcW w:w="6911" w:type="dxa"/>
          </w:tcPr>
          <w:p w:rsidR="0025296C" w:rsidRDefault="0025296C" w:rsidP="00CE672C">
            <w:pPr>
              <w:pStyle w:val="BodyText"/>
              <w:spacing w:before="60" w:after="60"/>
            </w:pPr>
            <w:r>
              <w:t>Department of Education, Employment and Workplace Relations</w:t>
            </w:r>
          </w:p>
        </w:tc>
      </w:tr>
      <w:tr w:rsidR="0025296C" w:rsidTr="0025296C">
        <w:tc>
          <w:tcPr>
            <w:tcW w:w="1526" w:type="dxa"/>
          </w:tcPr>
          <w:p w:rsidR="0025296C" w:rsidRDefault="0025296C" w:rsidP="00CE672C">
            <w:pPr>
              <w:pStyle w:val="BodyText"/>
              <w:spacing w:before="60" w:after="60"/>
            </w:pPr>
            <w:r>
              <w:t>ECEC</w:t>
            </w:r>
          </w:p>
        </w:tc>
        <w:tc>
          <w:tcPr>
            <w:tcW w:w="6911" w:type="dxa"/>
          </w:tcPr>
          <w:p w:rsidR="0025296C" w:rsidRDefault="0025296C" w:rsidP="00CE672C">
            <w:pPr>
              <w:pStyle w:val="BodyText"/>
              <w:spacing w:before="60" w:after="60"/>
            </w:pPr>
            <w:r>
              <w:t>early childhood education and care</w:t>
            </w:r>
          </w:p>
        </w:tc>
      </w:tr>
      <w:tr w:rsidR="0025296C" w:rsidTr="0025296C">
        <w:tc>
          <w:tcPr>
            <w:tcW w:w="1526" w:type="dxa"/>
          </w:tcPr>
          <w:p w:rsidR="0025296C" w:rsidRDefault="0025296C" w:rsidP="00CE672C">
            <w:pPr>
              <w:pStyle w:val="BodyText"/>
              <w:spacing w:before="60" w:after="60"/>
            </w:pPr>
            <w:r>
              <w:t>ECT</w:t>
            </w:r>
          </w:p>
        </w:tc>
        <w:tc>
          <w:tcPr>
            <w:tcW w:w="6911" w:type="dxa"/>
          </w:tcPr>
          <w:p w:rsidR="0025296C" w:rsidRDefault="008C2464" w:rsidP="00CE672C">
            <w:pPr>
              <w:pStyle w:val="BodyText"/>
              <w:spacing w:before="60" w:after="60"/>
            </w:pPr>
            <w:r>
              <w:t>e</w:t>
            </w:r>
            <w:r w:rsidR="0025296C">
              <w:t xml:space="preserve">arly </w:t>
            </w:r>
            <w:r>
              <w:t>c</w:t>
            </w:r>
            <w:r w:rsidR="0025296C">
              <w:t xml:space="preserve">hildhood </w:t>
            </w:r>
            <w:r>
              <w:t>t</w:t>
            </w:r>
            <w:r w:rsidR="0025296C">
              <w:t>eacher</w:t>
            </w:r>
          </w:p>
        </w:tc>
      </w:tr>
      <w:tr w:rsidR="0025296C" w:rsidTr="0025296C">
        <w:tc>
          <w:tcPr>
            <w:tcW w:w="1526" w:type="dxa"/>
          </w:tcPr>
          <w:p w:rsidR="0025296C" w:rsidRDefault="0025296C" w:rsidP="00CE672C">
            <w:pPr>
              <w:pStyle w:val="BodyText"/>
              <w:spacing w:before="60" w:after="60"/>
            </w:pPr>
            <w:r>
              <w:t>EQYF</w:t>
            </w:r>
          </w:p>
        </w:tc>
        <w:tc>
          <w:tcPr>
            <w:tcW w:w="6911" w:type="dxa"/>
          </w:tcPr>
          <w:p w:rsidR="0025296C" w:rsidRDefault="0025296C" w:rsidP="00CE672C">
            <w:pPr>
              <w:pStyle w:val="BodyText"/>
              <w:spacing w:before="60" w:after="60"/>
            </w:pPr>
            <w:r>
              <w:t>Early Years Quality Fund</w:t>
            </w:r>
          </w:p>
        </w:tc>
      </w:tr>
      <w:tr w:rsidR="0025296C" w:rsidTr="0025296C">
        <w:tc>
          <w:tcPr>
            <w:tcW w:w="1526" w:type="dxa"/>
          </w:tcPr>
          <w:p w:rsidR="0025296C" w:rsidRDefault="0025296C" w:rsidP="00CE672C">
            <w:pPr>
              <w:pStyle w:val="BodyText"/>
              <w:spacing w:before="60" w:after="60"/>
            </w:pPr>
            <w:r>
              <w:t>FAQs</w:t>
            </w:r>
          </w:p>
        </w:tc>
        <w:tc>
          <w:tcPr>
            <w:tcW w:w="6911" w:type="dxa"/>
          </w:tcPr>
          <w:p w:rsidR="0025296C" w:rsidRDefault="0025296C" w:rsidP="00CE672C">
            <w:pPr>
              <w:pStyle w:val="BodyText"/>
              <w:spacing w:before="60" w:after="60"/>
            </w:pPr>
            <w:r>
              <w:t>Frequently Asked Questions</w:t>
            </w:r>
          </w:p>
        </w:tc>
      </w:tr>
      <w:tr w:rsidR="0025296C" w:rsidTr="0025296C">
        <w:tc>
          <w:tcPr>
            <w:tcW w:w="1526" w:type="dxa"/>
          </w:tcPr>
          <w:p w:rsidR="0025296C" w:rsidRDefault="0025296C" w:rsidP="00CE672C">
            <w:pPr>
              <w:pStyle w:val="BodyText"/>
              <w:spacing w:before="60" w:after="60"/>
            </w:pPr>
            <w:r>
              <w:t>FDC</w:t>
            </w:r>
          </w:p>
        </w:tc>
        <w:tc>
          <w:tcPr>
            <w:tcW w:w="6911" w:type="dxa"/>
          </w:tcPr>
          <w:p w:rsidR="0025296C" w:rsidRDefault="0025296C" w:rsidP="00CE672C">
            <w:pPr>
              <w:pStyle w:val="BodyText"/>
              <w:spacing w:before="60" w:after="60"/>
            </w:pPr>
            <w:r>
              <w:t>family day care</w:t>
            </w:r>
          </w:p>
        </w:tc>
      </w:tr>
      <w:tr w:rsidR="0025296C" w:rsidTr="0025296C">
        <w:tc>
          <w:tcPr>
            <w:tcW w:w="1526" w:type="dxa"/>
          </w:tcPr>
          <w:p w:rsidR="0025296C" w:rsidRDefault="0025296C" w:rsidP="00CE672C">
            <w:pPr>
              <w:pStyle w:val="BodyText"/>
              <w:spacing w:before="60" w:after="60"/>
            </w:pPr>
            <w:r>
              <w:t>IGC</w:t>
            </w:r>
          </w:p>
        </w:tc>
        <w:tc>
          <w:tcPr>
            <w:tcW w:w="6911" w:type="dxa"/>
          </w:tcPr>
          <w:p w:rsidR="0025296C" w:rsidRDefault="0025296C" w:rsidP="00CE672C">
            <w:pPr>
              <w:pStyle w:val="BodyText"/>
              <w:spacing w:before="60" w:after="60"/>
            </w:pPr>
            <w:r>
              <w:t xml:space="preserve">Internal Governance </w:t>
            </w:r>
            <w:r w:rsidR="008739E8">
              <w:t>Committee</w:t>
            </w:r>
          </w:p>
        </w:tc>
      </w:tr>
      <w:tr w:rsidR="0025296C" w:rsidTr="0025296C">
        <w:tc>
          <w:tcPr>
            <w:tcW w:w="1526" w:type="dxa"/>
          </w:tcPr>
          <w:p w:rsidR="0025296C" w:rsidRDefault="0025296C" w:rsidP="00CE672C">
            <w:pPr>
              <w:pStyle w:val="BodyText"/>
              <w:spacing w:before="60" w:after="60"/>
            </w:pPr>
            <w:r>
              <w:t>LDC</w:t>
            </w:r>
          </w:p>
        </w:tc>
        <w:tc>
          <w:tcPr>
            <w:tcW w:w="6911" w:type="dxa"/>
          </w:tcPr>
          <w:p w:rsidR="0025296C" w:rsidRDefault="0025296C" w:rsidP="00CE672C">
            <w:pPr>
              <w:pStyle w:val="BodyText"/>
              <w:spacing w:before="60" w:after="60"/>
            </w:pPr>
            <w:r>
              <w:t>long day care</w:t>
            </w:r>
          </w:p>
        </w:tc>
      </w:tr>
      <w:tr w:rsidR="0025296C" w:rsidTr="0025296C">
        <w:tc>
          <w:tcPr>
            <w:tcW w:w="1526" w:type="dxa"/>
          </w:tcPr>
          <w:p w:rsidR="0025296C" w:rsidRDefault="0025296C" w:rsidP="00CE672C">
            <w:pPr>
              <w:pStyle w:val="BodyText"/>
              <w:spacing w:before="60" w:after="60"/>
            </w:pPr>
            <w:r>
              <w:t>NQF</w:t>
            </w:r>
          </w:p>
        </w:tc>
        <w:tc>
          <w:tcPr>
            <w:tcW w:w="6911" w:type="dxa"/>
          </w:tcPr>
          <w:p w:rsidR="0025296C" w:rsidRDefault="0025296C" w:rsidP="00CE672C">
            <w:pPr>
              <w:pStyle w:val="BodyText"/>
              <w:spacing w:before="60" w:after="60"/>
            </w:pPr>
            <w:r>
              <w:t>National Quality Framework</w:t>
            </w:r>
          </w:p>
        </w:tc>
      </w:tr>
      <w:tr w:rsidR="0025296C" w:rsidTr="0025296C">
        <w:tc>
          <w:tcPr>
            <w:tcW w:w="1526" w:type="dxa"/>
          </w:tcPr>
          <w:p w:rsidR="0025296C" w:rsidRDefault="0025296C" w:rsidP="00CE672C">
            <w:pPr>
              <w:pStyle w:val="BodyText"/>
              <w:spacing w:before="60" w:after="60"/>
            </w:pPr>
            <w:r>
              <w:t>OSHC</w:t>
            </w:r>
          </w:p>
        </w:tc>
        <w:tc>
          <w:tcPr>
            <w:tcW w:w="6911" w:type="dxa"/>
          </w:tcPr>
          <w:p w:rsidR="0025296C" w:rsidRDefault="0025296C" w:rsidP="00CE672C">
            <w:pPr>
              <w:pStyle w:val="BodyText"/>
              <w:spacing w:before="60" w:after="60"/>
            </w:pPr>
            <w:r>
              <w:t>Outside of School Hours Care</w:t>
            </w:r>
          </w:p>
        </w:tc>
      </w:tr>
    </w:tbl>
    <w:p w:rsidR="005A2749" w:rsidRDefault="005A2749" w:rsidP="0025296C">
      <w:pPr>
        <w:pStyle w:val="PwCNormal"/>
        <w:numPr>
          <w:ilvl w:val="0"/>
          <w:numId w:val="0"/>
        </w:numPr>
        <w:sectPr w:rsidR="005A2749" w:rsidSect="005A2749">
          <w:pgSz w:w="11907" w:h="16840" w:code="9"/>
          <w:pgMar w:top="1588" w:right="1843" w:bottom="1418" w:left="1843" w:header="567" w:footer="567" w:gutter="0"/>
          <w:pgNumType w:fmt="lowerRoman" w:start="2"/>
          <w:cols w:space="227"/>
          <w:titlePg/>
          <w:docGrid w:linePitch="286"/>
        </w:sectPr>
      </w:pPr>
    </w:p>
    <w:p w:rsidR="00C270FB" w:rsidRDefault="00B84244" w:rsidP="00C270FB">
      <w:pPr>
        <w:pStyle w:val="PrefaceTitle"/>
      </w:pPr>
      <w:bookmarkStart w:id="18" w:name="_Toc372100967"/>
      <w:bookmarkEnd w:id="1"/>
      <w:bookmarkEnd w:id="2"/>
      <w:bookmarkEnd w:id="3"/>
      <w:bookmarkEnd w:id="4"/>
      <w:bookmarkEnd w:id="5"/>
      <w:bookmarkEnd w:id="6"/>
      <w:bookmarkEnd w:id="7"/>
      <w:bookmarkEnd w:id="8"/>
      <w:bookmarkEnd w:id="9"/>
      <w:bookmarkEnd w:id="10"/>
      <w:bookmarkEnd w:id="11"/>
      <w:bookmarkEnd w:id="12"/>
      <w:bookmarkEnd w:id="13"/>
      <w:bookmarkEnd w:id="14"/>
      <w:r>
        <w:lastRenderedPageBreak/>
        <w:t>Overview of</w:t>
      </w:r>
      <w:r w:rsidR="00781210">
        <w:t xml:space="preserve"> findings</w:t>
      </w:r>
      <w:bookmarkEnd w:id="18"/>
    </w:p>
    <w:p w:rsidR="00390AE6" w:rsidRDefault="00DC475E" w:rsidP="00390AE6">
      <w:r>
        <w:rPr>
          <w:lang w:val="en-GB"/>
        </w:rPr>
        <w:t xml:space="preserve">On 19 March 2013, the </w:t>
      </w:r>
      <w:r w:rsidR="00845BF0">
        <w:rPr>
          <w:lang w:val="en-GB"/>
        </w:rPr>
        <w:t>Australian Government announced the Early Years Quality Fund (EYQF). The EYQF provides $300 million over two years to early childhood education and care (ECEC) providers</w:t>
      </w:r>
      <w:r w:rsidR="00654A2C">
        <w:rPr>
          <w:lang w:val="en-GB"/>
        </w:rPr>
        <w:t xml:space="preserve">. </w:t>
      </w:r>
      <w:r w:rsidR="00390AE6">
        <w:t>The objective of this program</w:t>
      </w:r>
      <w:r w:rsidR="00B25401">
        <w:t>, as announced in a joint media release by Ministers Garrett and Ellis,</w:t>
      </w:r>
      <w:r w:rsidR="00390AE6">
        <w:t xml:space="preserve"> was </w:t>
      </w:r>
      <w:r w:rsidR="00B25401">
        <w:t>to further support the effective implementation of the National Quality Framework (NQF), including the requirements relating to educator qualification requirements commencing in 2014.</w:t>
      </w:r>
      <w:r w:rsidR="00B25401">
        <w:rPr>
          <w:rStyle w:val="FootnoteReference"/>
        </w:rPr>
        <w:footnoteReference w:id="3"/>
      </w:r>
    </w:p>
    <w:p w:rsidR="00845BF0" w:rsidRPr="00FE26D6" w:rsidRDefault="00C76A2D" w:rsidP="00845BF0">
      <w:pPr>
        <w:pStyle w:val="PwCNormal"/>
        <w:spacing w:before="120"/>
        <w:rPr>
          <w:lang w:val="en-GB"/>
        </w:rPr>
      </w:pPr>
      <w:r>
        <w:rPr>
          <w:lang w:val="en-GB"/>
        </w:rPr>
        <w:t>P</w:t>
      </w:r>
      <w:r w:rsidR="00845BF0" w:rsidRPr="007E4C05">
        <w:rPr>
          <w:lang w:val="en-GB"/>
        </w:rPr>
        <w:t>rior to the Australian Government</w:t>
      </w:r>
      <w:r w:rsidR="00845BF0">
        <w:rPr>
          <w:lang w:val="en-GB"/>
        </w:rPr>
        <w:t xml:space="preserve"> </w:t>
      </w:r>
      <w:r w:rsidR="00845BF0" w:rsidRPr="007E4C05">
        <w:rPr>
          <w:lang w:val="en-GB"/>
        </w:rPr>
        <w:t xml:space="preserve">entering caretaker mode, </w:t>
      </w:r>
      <w:r w:rsidR="00417F74">
        <w:rPr>
          <w:lang w:val="en-GB"/>
        </w:rPr>
        <w:t xml:space="preserve">453 letters of offer were issued </w:t>
      </w:r>
      <w:r w:rsidR="00845BF0" w:rsidRPr="00FE26D6">
        <w:rPr>
          <w:lang w:val="en-GB"/>
        </w:rPr>
        <w:t xml:space="preserve">by the </w:t>
      </w:r>
      <w:r w:rsidRPr="00FE26D6">
        <w:rPr>
          <w:lang w:val="en-GB"/>
        </w:rPr>
        <w:t xml:space="preserve">then </w:t>
      </w:r>
      <w:r w:rsidR="00845BF0" w:rsidRPr="00FE26D6">
        <w:rPr>
          <w:lang w:val="en-GB"/>
        </w:rPr>
        <w:t>Department</w:t>
      </w:r>
      <w:r w:rsidRPr="00FE26D6">
        <w:rPr>
          <w:lang w:val="en-GB"/>
        </w:rPr>
        <w:t xml:space="preserve"> of Education, Employment and Workplace Relations</w:t>
      </w:r>
      <w:r w:rsidR="00F34F3D">
        <w:rPr>
          <w:lang w:val="en-GB"/>
        </w:rPr>
        <w:t xml:space="preserve"> to ECEC providers who had applied for the EYQF</w:t>
      </w:r>
      <w:r w:rsidR="0062482E">
        <w:rPr>
          <w:lang w:val="en-GB"/>
        </w:rPr>
        <w:t>.</w:t>
      </w:r>
      <w:r w:rsidR="00417F74">
        <w:rPr>
          <w:lang w:val="en-GB"/>
        </w:rPr>
        <w:t xml:space="preserve"> Funding agreements were executed with </w:t>
      </w:r>
      <w:r w:rsidR="00B71FAA">
        <w:rPr>
          <w:lang w:val="en-GB"/>
        </w:rPr>
        <w:t>12</w:t>
      </w:r>
      <w:r w:rsidR="00417F74">
        <w:rPr>
          <w:lang w:val="en-GB"/>
        </w:rPr>
        <w:t xml:space="preserve"> of those providers.</w:t>
      </w:r>
      <w:r w:rsidR="008223EB">
        <w:rPr>
          <w:lang w:val="en-GB"/>
        </w:rPr>
        <w:t xml:space="preserve"> However, no funds have been paid from th</w:t>
      </w:r>
      <w:r w:rsidR="004E5E8A">
        <w:rPr>
          <w:lang w:val="en-GB"/>
        </w:rPr>
        <w:t>e EYQF Special Account as of 31 </w:t>
      </w:r>
      <w:r w:rsidR="008223EB">
        <w:rPr>
          <w:lang w:val="en-GB"/>
        </w:rPr>
        <w:t>October 2013.</w:t>
      </w:r>
    </w:p>
    <w:p w:rsidR="0062482E" w:rsidRDefault="00D44624" w:rsidP="00845BF0">
      <w:pPr>
        <w:pStyle w:val="PwCNormal"/>
        <w:numPr>
          <w:ilvl w:val="0"/>
          <w:numId w:val="0"/>
        </w:numPr>
        <w:rPr>
          <w:lang w:val="en-GB"/>
        </w:rPr>
      </w:pPr>
      <w:r w:rsidRPr="00FE26D6">
        <w:rPr>
          <w:lang w:val="en-GB"/>
        </w:rPr>
        <w:t xml:space="preserve">On </w:t>
      </w:r>
      <w:r w:rsidR="004327E7" w:rsidRPr="00FE26D6">
        <w:rPr>
          <w:lang w:val="en-GB"/>
        </w:rPr>
        <w:t>10</w:t>
      </w:r>
      <w:r w:rsidRPr="00FE26D6">
        <w:rPr>
          <w:lang w:val="en-GB"/>
        </w:rPr>
        <w:t xml:space="preserve"> October 2013, </w:t>
      </w:r>
      <w:r w:rsidR="00C76A2D" w:rsidRPr="00FE26D6">
        <w:rPr>
          <w:lang w:val="en-GB"/>
        </w:rPr>
        <w:t>PwC w</w:t>
      </w:r>
      <w:r w:rsidR="00DC475E" w:rsidRPr="00FE26D6">
        <w:rPr>
          <w:lang w:val="en-GB"/>
        </w:rPr>
        <w:t>as</w:t>
      </w:r>
      <w:r w:rsidR="00C76A2D" w:rsidRPr="00FE26D6">
        <w:rPr>
          <w:lang w:val="en-GB"/>
        </w:rPr>
        <w:t xml:space="preserve"> engaged to undertake</w:t>
      </w:r>
      <w:r w:rsidR="00845BF0" w:rsidRPr="00FE26D6">
        <w:rPr>
          <w:lang w:val="en-GB"/>
        </w:rPr>
        <w:t xml:space="preserve"> a review of the imp</w:t>
      </w:r>
      <w:r w:rsidR="00C76A2D" w:rsidRPr="00FE26D6">
        <w:rPr>
          <w:lang w:val="en-GB"/>
        </w:rPr>
        <w:t xml:space="preserve">lementation process of the EYQF. </w:t>
      </w:r>
      <w:r w:rsidR="008A0292">
        <w:rPr>
          <w:lang w:val="en-GB"/>
        </w:rPr>
        <w:t>The t</w:t>
      </w:r>
      <w:r w:rsidR="0062482E">
        <w:rPr>
          <w:lang w:val="en-GB"/>
        </w:rPr>
        <w:t xml:space="preserve">erms of </w:t>
      </w:r>
      <w:r w:rsidR="008A0292">
        <w:rPr>
          <w:lang w:val="en-GB"/>
        </w:rPr>
        <w:t>r</w:t>
      </w:r>
      <w:r w:rsidR="0062482E">
        <w:rPr>
          <w:lang w:val="en-GB"/>
        </w:rPr>
        <w:t xml:space="preserve">eference of the review </w:t>
      </w:r>
      <w:r w:rsidR="0062482E" w:rsidRPr="00FE26D6">
        <w:rPr>
          <w:lang w:val="en-GB"/>
        </w:rPr>
        <w:t>focused on the process to establish the EYQF, the experience of the ECEC sector and the application and assessment process.</w:t>
      </w:r>
      <w:r w:rsidR="0062482E">
        <w:rPr>
          <w:lang w:val="en-GB"/>
        </w:rPr>
        <w:t xml:space="preserve"> </w:t>
      </w:r>
    </w:p>
    <w:p w:rsidR="00535B4D" w:rsidRDefault="00C76A2D" w:rsidP="00845BF0">
      <w:pPr>
        <w:pStyle w:val="PwCNormal"/>
        <w:numPr>
          <w:ilvl w:val="0"/>
          <w:numId w:val="0"/>
        </w:numPr>
        <w:rPr>
          <w:lang w:val="en-GB"/>
        </w:rPr>
      </w:pPr>
      <w:r w:rsidRPr="00FE26D6">
        <w:rPr>
          <w:lang w:val="en-GB"/>
        </w:rPr>
        <w:t xml:space="preserve">This report </w:t>
      </w:r>
      <w:r w:rsidR="00654A2C">
        <w:rPr>
          <w:lang w:val="en-GB"/>
        </w:rPr>
        <w:t>provid</w:t>
      </w:r>
      <w:r w:rsidRPr="00FE26D6">
        <w:rPr>
          <w:lang w:val="en-GB"/>
        </w:rPr>
        <w:t xml:space="preserve">es our key findings </w:t>
      </w:r>
      <w:r w:rsidR="00654A2C">
        <w:rPr>
          <w:lang w:val="en-GB"/>
        </w:rPr>
        <w:t>on these terms of reference after</w:t>
      </w:r>
      <w:r w:rsidRPr="00FE26D6">
        <w:rPr>
          <w:lang w:val="en-GB"/>
        </w:rPr>
        <w:t xml:space="preserve"> analysis of documentation provided by the Department of Education (the Department) </w:t>
      </w:r>
      <w:r w:rsidR="00C148F7">
        <w:rPr>
          <w:lang w:val="en-GB"/>
        </w:rPr>
        <w:t>and</w:t>
      </w:r>
      <w:r w:rsidR="00654A2C">
        <w:rPr>
          <w:lang w:val="en-GB"/>
        </w:rPr>
        <w:t xml:space="preserve"> by</w:t>
      </w:r>
      <w:r w:rsidR="00C148F7">
        <w:rPr>
          <w:lang w:val="en-GB"/>
        </w:rPr>
        <w:t xml:space="preserve"> other interested stakeholders, as well as </w:t>
      </w:r>
      <w:r w:rsidR="00654A2C">
        <w:rPr>
          <w:lang w:val="en-GB"/>
        </w:rPr>
        <w:t xml:space="preserve">of information from </w:t>
      </w:r>
      <w:r w:rsidRPr="00FE26D6">
        <w:rPr>
          <w:lang w:val="en-GB"/>
        </w:rPr>
        <w:t>consultations with the Department, Advisory Board members,</w:t>
      </w:r>
      <w:r w:rsidR="008C2464">
        <w:rPr>
          <w:lang w:val="en-GB"/>
        </w:rPr>
        <w:t xml:space="preserve"> selected</w:t>
      </w:r>
      <w:r w:rsidRPr="00FE26D6">
        <w:rPr>
          <w:lang w:val="en-GB"/>
        </w:rPr>
        <w:t xml:space="preserve"> peak bodies and </w:t>
      </w:r>
      <w:r w:rsidR="007B7A00" w:rsidRPr="00FE26D6">
        <w:rPr>
          <w:lang w:val="en-GB"/>
        </w:rPr>
        <w:t xml:space="preserve">ECEC </w:t>
      </w:r>
      <w:r w:rsidRPr="00FE26D6">
        <w:rPr>
          <w:lang w:val="en-GB"/>
        </w:rPr>
        <w:t>service providers.</w:t>
      </w:r>
    </w:p>
    <w:p w:rsidR="00390AE6" w:rsidRDefault="00C148F7" w:rsidP="0062482E">
      <w:pPr>
        <w:pStyle w:val="PwCNormal"/>
        <w:numPr>
          <w:ilvl w:val="0"/>
          <w:numId w:val="0"/>
        </w:numPr>
        <w:rPr>
          <w:lang w:val="en-GB"/>
        </w:rPr>
      </w:pPr>
      <w:r>
        <w:rPr>
          <w:lang w:val="en-GB"/>
        </w:rPr>
        <w:t>It is important to note that</w:t>
      </w:r>
      <w:r w:rsidR="0062482E">
        <w:rPr>
          <w:lang w:val="en-GB"/>
        </w:rPr>
        <w:t xml:space="preserve"> </w:t>
      </w:r>
      <w:r w:rsidR="000873FF">
        <w:rPr>
          <w:lang w:val="en-GB"/>
        </w:rPr>
        <w:t xml:space="preserve">the scope of </w:t>
      </w:r>
      <w:r w:rsidR="0062482E">
        <w:rPr>
          <w:lang w:val="en-GB"/>
        </w:rPr>
        <w:t>t</w:t>
      </w:r>
      <w:r w:rsidR="0062482E" w:rsidRPr="00FE26D6">
        <w:rPr>
          <w:lang w:val="en-GB"/>
        </w:rPr>
        <w:t>his review</w:t>
      </w:r>
      <w:r w:rsidR="00654A2C">
        <w:rPr>
          <w:lang w:val="en-GB"/>
        </w:rPr>
        <w:t xml:space="preserve"> </w:t>
      </w:r>
      <w:r w:rsidR="000873FF">
        <w:rPr>
          <w:lang w:val="en-GB"/>
        </w:rPr>
        <w:t xml:space="preserve">did not extend to </w:t>
      </w:r>
      <w:r w:rsidR="0062482E" w:rsidRPr="00FE26D6">
        <w:rPr>
          <w:lang w:val="en-GB"/>
        </w:rPr>
        <w:t xml:space="preserve">the </w:t>
      </w:r>
      <w:r w:rsidR="003A6FDF">
        <w:rPr>
          <w:lang w:val="en-GB"/>
        </w:rPr>
        <w:t xml:space="preserve">objectives, </w:t>
      </w:r>
      <w:r w:rsidR="0062482E" w:rsidRPr="00FE26D6">
        <w:rPr>
          <w:lang w:val="en-GB"/>
        </w:rPr>
        <w:t>design or the quantum of the EYQF</w:t>
      </w:r>
      <w:r w:rsidR="00654A2C">
        <w:rPr>
          <w:lang w:val="en-GB"/>
        </w:rPr>
        <w:t xml:space="preserve">. However, </w:t>
      </w:r>
      <w:r w:rsidR="0062482E">
        <w:rPr>
          <w:lang w:val="en-GB"/>
        </w:rPr>
        <w:t xml:space="preserve">where aspects of the EYQF’s </w:t>
      </w:r>
      <w:r w:rsidR="003A6FDF">
        <w:rPr>
          <w:lang w:val="en-GB"/>
        </w:rPr>
        <w:t xml:space="preserve">objectives, </w:t>
      </w:r>
      <w:r w:rsidR="0062482E">
        <w:rPr>
          <w:lang w:val="en-GB"/>
        </w:rPr>
        <w:t xml:space="preserve">design and funding </w:t>
      </w:r>
      <w:r w:rsidR="00654A2C">
        <w:rPr>
          <w:lang w:val="en-GB"/>
        </w:rPr>
        <w:t>have affected</w:t>
      </w:r>
      <w:r w:rsidR="0062482E">
        <w:rPr>
          <w:lang w:val="en-GB"/>
        </w:rPr>
        <w:t xml:space="preserve"> operational and implementation issues</w:t>
      </w:r>
      <w:r w:rsidR="00654A2C">
        <w:rPr>
          <w:lang w:val="en-GB"/>
        </w:rPr>
        <w:t>, some commentary has been provided</w:t>
      </w:r>
      <w:r w:rsidR="0062482E">
        <w:rPr>
          <w:lang w:val="en-GB"/>
        </w:rPr>
        <w:t>.</w:t>
      </w:r>
    </w:p>
    <w:p w:rsidR="00A042FE" w:rsidRPr="00FE26D6" w:rsidRDefault="00037787" w:rsidP="00117C77">
      <w:pPr>
        <w:pStyle w:val="Heading7"/>
        <w:numPr>
          <w:ilvl w:val="0"/>
          <w:numId w:val="0"/>
        </w:numPr>
        <w:ind w:left="850" w:hanging="850"/>
        <w:rPr>
          <w:rStyle w:val="IntenseEmphasis"/>
          <w:b w:val="0"/>
          <w:bCs w:val="0"/>
          <w:i/>
          <w:iCs/>
          <w:color w:val="A32020" w:themeColor="text2"/>
        </w:rPr>
      </w:pPr>
      <w:r w:rsidRPr="00FE26D6">
        <w:rPr>
          <w:rStyle w:val="IntenseEmphasis"/>
          <w:b w:val="0"/>
          <w:bCs w:val="0"/>
          <w:i/>
          <w:iCs/>
          <w:color w:val="A32020" w:themeColor="text2"/>
        </w:rPr>
        <w:t>Objectives of the EYQF</w:t>
      </w:r>
    </w:p>
    <w:p w:rsidR="00C04497" w:rsidRPr="00FE26D6" w:rsidRDefault="00C91337" w:rsidP="00504487">
      <w:pPr>
        <w:pStyle w:val="PwCNormal"/>
      </w:pPr>
      <w:r>
        <w:t>The National Partnership Agreement</w:t>
      </w:r>
      <w:r w:rsidR="006B49B2">
        <w:t>s on</w:t>
      </w:r>
      <w:r>
        <w:t xml:space="preserve"> Early Childhood</w:t>
      </w:r>
      <w:r w:rsidR="00C04497" w:rsidRPr="00FE26D6">
        <w:t xml:space="preserve"> </w:t>
      </w:r>
      <w:r w:rsidR="00FA6718">
        <w:t>Education</w:t>
      </w:r>
      <w:r w:rsidR="006B49B2">
        <w:t xml:space="preserve"> and the National Quality Agenda for Early Childhood Education and Care</w:t>
      </w:r>
      <w:r w:rsidR="00FA6718">
        <w:t xml:space="preserve"> recognises </w:t>
      </w:r>
      <w:r w:rsidR="00C04497" w:rsidRPr="00FE26D6">
        <w:t>that</w:t>
      </w:r>
      <w:r w:rsidR="00B84244">
        <w:t xml:space="preserve"> in order to achieve</w:t>
      </w:r>
      <w:r w:rsidR="00D44624" w:rsidRPr="00FE26D6">
        <w:t xml:space="preserve"> high quality </w:t>
      </w:r>
      <w:r w:rsidR="007B7A00" w:rsidRPr="00FE26D6">
        <w:t xml:space="preserve">early childhood </w:t>
      </w:r>
      <w:proofErr w:type="gramStart"/>
      <w:r w:rsidR="007B7A00" w:rsidRPr="00FE26D6">
        <w:t xml:space="preserve">education </w:t>
      </w:r>
      <w:r w:rsidR="00B84244">
        <w:t xml:space="preserve">outcomes for children, </w:t>
      </w:r>
      <w:r w:rsidR="00D44624" w:rsidRPr="00FE26D6">
        <w:t>a qualified</w:t>
      </w:r>
      <w:r w:rsidR="007B7A00" w:rsidRPr="00FE26D6">
        <w:t xml:space="preserve"> and professional </w:t>
      </w:r>
      <w:r w:rsidR="00C04497" w:rsidRPr="00FE26D6">
        <w:t xml:space="preserve">ECEC </w:t>
      </w:r>
      <w:r w:rsidR="007B7A00" w:rsidRPr="00FE26D6">
        <w:t>workforce</w:t>
      </w:r>
      <w:r w:rsidR="00B84244">
        <w:t xml:space="preserve"> is</w:t>
      </w:r>
      <w:proofErr w:type="gramEnd"/>
      <w:r w:rsidR="00B84244">
        <w:t xml:space="preserve"> required</w:t>
      </w:r>
      <w:r w:rsidR="007B7A00" w:rsidRPr="00FE26D6">
        <w:t xml:space="preserve">. One of the significant </w:t>
      </w:r>
      <w:r w:rsidR="00B84244">
        <w:t>element</w:t>
      </w:r>
      <w:r w:rsidR="007B7A00" w:rsidRPr="00FE26D6">
        <w:t>s of the</w:t>
      </w:r>
      <w:r w:rsidR="00D44624" w:rsidRPr="00FE26D6">
        <w:t xml:space="preserve"> </w:t>
      </w:r>
      <w:r w:rsidR="007B7A00" w:rsidRPr="00FE26D6">
        <w:t>NQF is the introduction of national qualification requirements for ECEC educators in preschool, long day care (LDC) and family day care (FDC) settings</w:t>
      </w:r>
      <w:r w:rsidR="00D44624" w:rsidRPr="00FE26D6">
        <w:t>.</w:t>
      </w:r>
    </w:p>
    <w:p w:rsidR="00714C7D" w:rsidRDefault="00842743" w:rsidP="00B25401">
      <w:pPr>
        <w:pStyle w:val="PwCNormal"/>
      </w:pPr>
      <w:r w:rsidRPr="00FA6718">
        <w:t xml:space="preserve">A key challenge </w:t>
      </w:r>
      <w:r w:rsidR="00F34F3D">
        <w:t>in</w:t>
      </w:r>
      <w:r w:rsidR="00F34F3D" w:rsidRPr="00FA6718">
        <w:t xml:space="preserve"> </w:t>
      </w:r>
      <w:r w:rsidRPr="00FA6718">
        <w:t>the introduction</w:t>
      </w:r>
      <w:r w:rsidRPr="00FE26D6">
        <w:t xml:space="preserve"> of the NQF qualification requirements is t</w:t>
      </w:r>
      <w:r w:rsidR="00C04497" w:rsidRPr="00FE26D6">
        <w:t>he</w:t>
      </w:r>
      <w:r w:rsidR="00DC475E" w:rsidRPr="00FE26D6">
        <w:t xml:space="preserve"> ECEC</w:t>
      </w:r>
      <w:r w:rsidR="007B7A00" w:rsidRPr="00FE26D6">
        <w:t xml:space="preserve"> sector</w:t>
      </w:r>
      <w:r w:rsidR="00C04497" w:rsidRPr="00FE26D6">
        <w:t>’s ability to</w:t>
      </w:r>
      <w:r w:rsidRPr="00FE26D6">
        <w:t xml:space="preserve"> attract and retain </w:t>
      </w:r>
      <w:r w:rsidR="00DC475E" w:rsidRPr="00FE26D6">
        <w:t>qualified</w:t>
      </w:r>
      <w:r w:rsidRPr="00FE26D6">
        <w:t xml:space="preserve"> staff</w:t>
      </w:r>
      <w:r w:rsidR="00654A2C">
        <w:t xml:space="preserve">, </w:t>
      </w:r>
      <w:r w:rsidR="00B84244">
        <w:t xml:space="preserve">and </w:t>
      </w:r>
      <w:r w:rsidR="005930BF">
        <w:t>a key factor</w:t>
      </w:r>
      <w:r w:rsidR="00D73BD5">
        <w:t xml:space="preserve"> affecting this</w:t>
      </w:r>
      <w:r w:rsidR="005930BF">
        <w:t xml:space="preserve"> is </w:t>
      </w:r>
      <w:r w:rsidR="00654A2C">
        <w:t>the prevailing</w:t>
      </w:r>
      <w:r w:rsidR="00FB7A45">
        <w:t xml:space="preserve"> </w:t>
      </w:r>
      <w:r w:rsidR="00C04497" w:rsidRPr="00FE26D6">
        <w:t>pay and conditions in the sector</w:t>
      </w:r>
      <w:r w:rsidR="007B7A00" w:rsidRPr="00FE26D6">
        <w:t>.</w:t>
      </w:r>
      <w:r w:rsidR="00C04497" w:rsidRPr="00FE26D6">
        <w:t xml:space="preserve"> </w:t>
      </w:r>
      <w:r w:rsidR="00390AE6">
        <w:t>The announced objective</w:t>
      </w:r>
      <w:r w:rsidR="00B25401">
        <w:t xml:space="preserve"> of the EYQF</w:t>
      </w:r>
      <w:r w:rsidR="00390AE6">
        <w:t xml:space="preserve"> is reflected in operational terms in the</w:t>
      </w:r>
      <w:r w:rsidR="00B25401">
        <w:t xml:space="preserve"> EYQF</w:t>
      </w:r>
      <w:r w:rsidR="00390AE6">
        <w:t xml:space="preserve"> Program Guidelines as </w:t>
      </w:r>
      <w:r w:rsidR="00B25401">
        <w:t>‘</w:t>
      </w:r>
      <w:r w:rsidR="00390AE6">
        <w:t>to assist providers to offer higher wages consistent with changes in staff-to-child ratios and the increased qualification requirements of the NQF</w:t>
      </w:r>
      <w:r w:rsidR="00B25401">
        <w:t>’</w:t>
      </w:r>
      <w:r w:rsidR="00A03D25" w:rsidRPr="00FE26D6">
        <w:t>.</w:t>
      </w:r>
      <w:r w:rsidR="00A03D25" w:rsidRPr="00FE26D6">
        <w:rPr>
          <w:rStyle w:val="FootnoteReference"/>
        </w:rPr>
        <w:footnoteReference w:id="4"/>
      </w:r>
    </w:p>
    <w:p w:rsidR="00A258BC" w:rsidRDefault="00A258BC" w:rsidP="00A258BC">
      <w:pPr>
        <w:pStyle w:val="PwCNormal"/>
      </w:pPr>
      <w:r>
        <w:t>The</w:t>
      </w:r>
      <w:r w:rsidR="00B84244">
        <w:t xml:space="preserve"> EYQF</w:t>
      </w:r>
      <w:r>
        <w:t xml:space="preserve"> allowed for funding for </w:t>
      </w:r>
      <w:r w:rsidR="00C86E8D">
        <w:t>two</w:t>
      </w:r>
      <w:r>
        <w:t xml:space="preserve"> years from 1 July 2013. </w:t>
      </w:r>
      <w:r w:rsidR="00654A2C">
        <w:t xml:space="preserve">However, </w:t>
      </w:r>
      <w:r w:rsidR="00F34F3D">
        <w:t xml:space="preserve">as acknowledged by all parties, </w:t>
      </w:r>
      <w:r w:rsidR="00654A2C">
        <w:t>the</w:t>
      </w:r>
      <w:r w:rsidR="0004205C" w:rsidRPr="00FE26D6">
        <w:t xml:space="preserve"> $300 million allocated to the EYQF</w:t>
      </w:r>
      <w:r w:rsidR="00DC475E" w:rsidRPr="00FE26D6">
        <w:t xml:space="preserve"> over two years</w:t>
      </w:r>
      <w:r w:rsidR="0004205C" w:rsidRPr="00FE26D6">
        <w:t xml:space="preserve"> is not adequate to fund a significant increase in wages for </w:t>
      </w:r>
      <w:r w:rsidR="00842743" w:rsidRPr="00FE26D6">
        <w:t>all qualified staff in the ECEC sector</w:t>
      </w:r>
      <w:r w:rsidR="003A6FDF">
        <w:t xml:space="preserve">. </w:t>
      </w:r>
      <w:r>
        <w:t>Based on documentation provided to PwC, t</w:t>
      </w:r>
      <w:r w:rsidR="00985E78">
        <w:t xml:space="preserve">here is no evidence of consideration </w:t>
      </w:r>
      <w:r>
        <w:t>being given to</w:t>
      </w:r>
      <w:r w:rsidR="00985E78">
        <w:t xml:space="preserve"> the impact </w:t>
      </w:r>
      <w:r w:rsidR="00B84244">
        <w:t xml:space="preserve">of the EYQF </w:t>
      </w:r>
      <w:r w:rsidR="00985E78">
        <w:t xml:space="preserve">on the sector </w:t>
      </w:r>
      <w:r>
        <w:t xml:space="preserve">regarding market distortion by having </w:t>
      </w:r>
      <w:r w:rsidR="00B84244">
        <w:t xml:space="preserve">only </w:t>
      </w:r>
      <w:r>
        <w:t xml:space="preserve">a small </w:t>
      </w:r>
      <w:r>
        <w:lastRenderedPageBreak/>
        <w:t xml:space="preserve">proportion of the sector receiving </w:t>
      </w:r>
      <w:r w:rsidR="00B84244">
        <w:t xml:space="preserve">subsidised </w:t>
      </w:r>
      <w:r>
        <w:t xml:space="preserve">wage rises. There is also no evidence of consideration being given to the </w:t>
      </w:r>
      <w:r w:rsidR="00F02FC2">
        <w:t xml:space="preserve">impact of the </w:t>
      </w:r>
      <w:r>
        <w:t xml:space="preserve">cessation of program funding in 2015.  </w:t>
      </w:r>
    </w:p>
    <w:p w:rsidR="0004205C" w:rsidRPr="00FE26D6" w:rsidRDefault="003A6FDF" w:rsidP="00504487">
      <w:pPr>
        <w:pStyle w:val="PwCNormal"/>
      </w:pPr>
      <w:r>
        <w:t>T</w:t>
      </w:r>
      <w:r w:rsidR="00DC475E" w:rsidRPr="00FE26D6">
        <w:t xml:space="preserve">he Government decided to </w:t>
      </w:r>
      <w:r>
        <w:t>target</w:t>
      </w:r>
      <w:r w:rsidR="009A25BC" w:rsidRPr="00FE26D6">
        <w:t xml:space="preserve"> access to the </w:t>
      </w:r>
      <w:r>
        <w:t>EYQF</w:t>
      </w:r>
      <w:r w:rsidR="009A25BC" w:rsidRPr="00FE26D6">
        <w:t xml:space="preserve"> to</w:t>
      </w:r>
      <w:r w:rsidR="00DC475E" w:rsidRPr="00FE26D6">
        <w:t xml:space="preserve"> Child Care Benefit </w:t>
      </w:r>
      <w:r w:rsidR="009A25BC" w:rsidRPr="00FE26D6">
        <w:t xml:space="preserve">(CCB) </w:t>
      </w:r>
      <w:r w:rsidR="00DC475E" w:rsidRPr="00FE26D6">
        <w:t xml:space="preserve">approved LDC services </w:t>
      </w:r>
      <w:r w:rsidR="00A03D25" w:rsidRPr="00FE26D6">
        <w:t xml:space="preserve">and </w:t>
      </w:r>
      <w:r w:rsidR="009A25BC" w:rsidRPr="00FE26D6">
        <w:t xml:space="preserve">to </w:t>
      </w:r>
      <w:r w:rsidR="00A03D25" w:rsidRPr="00FE26D6">
        <w:t xml:space="preserve">provide </w:t>
      </w:r>
      <w:r w:rsidR="00DC475E" w:rsidRPr="00FE26D6">
        <w:t xml:space="preserve">grants to </w:t>
      </w:r>
      <w:r w:rsidR="00F34F3D">
        <w:t>subsidise</w:t>
      </w:r>
      <w:r w:rsidR="00F34F3D" w:rsidRPr="00FE26D6">
        <w:t xml:space="preserve"> </w:t>
      </w:r>
      <w:r w:rsidR="00DC475E" w:rsidRPr="00FE26D6">
        <w:t>wage increase of $3.00 per hour for Certificate III qualified educators and proportional increase</w:t>
      </w:r>
      <w:r w:rsidR="009A25BC" w:rsidRPr="00FE26D6">
        <w:t>s</w:t>
      </w:r>
      <w:r w:rsidR="00DC475E" w:rsidRPr="00FE26D6">
        <w:t xml:space="preserve"> a</w:t>
      </w:r>
      <w:r w:rsidR="00A03D25" w:rsidRPr="00FE26D6">
        <w:t>cross the classification scale.</w:t>
      </w:r>
    </w:p>
    <w:p w:rsidR="00971AFE" w:rsidRDefault="00A03D25" w:rsidP="000A4AAC">
      <w:pPr>
        <w:pStyle w:val="PwCNormal"/>
      </w:pPr>
      <w:r w:rsidRPr="00FE26D6">
        <w:t>From the outset this</w:t>
      </w:r>
      <w:r w:rsidR="0035326E">
        <w:t xml:space="preserve"> funding</w:t>
      </w:r>
      <w:r w:rsidRPr="00FE26D6">
        <w:t xml:space="preserve"> </w:t>
      </w:r>
      <w:r w:rsidR="0035326E">
        <w:t>allocation</w:t>
      </w:r>
      <w:r w:rsidR="00F34F3D">
        <w:t xml:space="preserve">, in combination with other policy parameters determined by the Government (outlined below), significantly </w:t>
      </w:r>
      <w:r w:rsidR="009D5682">
        <w:t xml:space="preserve">constrained the ability </w:t>
      </w:r>
      <w:r w:rsidR="00D73BD5">
        <w:t>of</w:t>
      </w:r>
      <w:r w:rsidR="009D5682">
        <w:t xml:space="preserve"> the EYQF to be implemented </w:t>
      </w:r>
      <w:r w:rsidR="00D73BD5">
        <w:t xml:space="preserve">by the Department </w:t>
      </w:r>
      <w:r w:rsidR="009D5682">
        <w:t>in an effective and equitable manner.</w:t>
      </w:r>
    </w:p>
    <w:p w:rsidR="00A042FE" w:rsidRPr="00117C77" w:rsidRDefault="009A25BC" w:rsidP="00117C77">
      <w:pPr>
        <w:pStyle w:val="Heading7"/>
        <w:numPr>
          <w:ilvl w:val="0"/>
          <w:numId w:val="0"/>
        </w:numPr>
        <w:ind w:left="850" w:hanging="850"/>
        <w:rPr>
          <w:rStyle w:val="IntenseEmphasis"/>
          <w:b w:val="0"/>
          <w:bCs w:val="0"/>
          <w:i/>
          <w:iCs/>
          <w:color w:val="A32020" w:themeColor="text2"/>
        </w:rPr>
      </w:pPr>
      <w:r w:rsidRPr="00117C77">
        <w:rPr>
          <w:rStyle w:val="IntenseEmphasis"/>
          <w:b w:val="0"/>
          <w:bCs w:val="0"/>
          <w:i/>
          <w:iCs/>
          <w:color w:val="A32020" w:themeColor="text2"/>
        </w:rPr>
        <w:t>Policy parameters of the EYQF</w:t>
      </w:r>
    </w:p>
    <w:p w:rsidR="009A25BC" w:rsidRDefault="009A25BC" w:rsidP="009A25BC">
      <w:pPr>
        <w:pStyle w:val="PwCNormal"/>
      </w:pPr>
      <w:r w:rsidRPr="00FE26D6">
        <w:t>As previously stated, this review does not seek to assess the objectives of the EY</w:t>
      </w:r>
      <w:r w:rsidR="0097423B" w:rsidRPr="00FE26D6">
        <w:t>QF nor the quantum of the funds</w:t>
      </w:r>
      <w:r w:rsidR="0035326E">
        <w:t xml:space="preserve"> required to meet those objectives</w:t>
      </w:r>
      <w:r w:rsidR="0097423B" w:rsidRPr="00FE26D6">
        <w:t>. H</w:t>
      </w:r>
      <w:r w:rsidRPr="00FE26D6">
        <w:t>owever</w:t>
      </w:r>
      <w:r w:rsidR="00D73BD5">
        <w:t>,</w:t>
      </w:r>
      <w:r w:rsidRPr="00FE26D6">
        <w:t xml:space="preserve"> the following policy parameters are important</w:t>
      </w:r>
      <w:r w:rsidR="00D73BD5">
        <w:t xml:space="preserve"> to highlight</w:t>
      </w:r>
      <w:r w:rsidRPr="00FE26D6">
        <w:t xml:space="preserve"> </w:t>
      </w:r>
      <w:r w:rsidR="0097423B" w:rsidRPr="00FE26D6">
        <w:t xml:space="preserve">as </w:t>
      </w:r>
      <w:r w:rsidRPr="00FE26D6">
        <w:t xml:space="preserve">they </w:t>
      </w:r>
      <w:r w:rsidR="00D73BD5">
        <w:t xml:space="preserve">have </w:t>
      </w:r>
      <w:r w:rsidRPr="00FE26D6">
        <w:t xml:space="preserve">placed constraints on the </w:t>
      </w:r>
      <w:r w:rsidR="0097423B" w:rsidRPr="00FE26D6">
        <w:t>ability</w:t>
      </w:r>
      <w:r w:rsidR="00F34F3D">
        <w:t xml:space="preserve"> of the Department</w:t>
      </w:r>
      <w:r w:rsidR="0097423B" w:rsidRPr="00FE26D6">
        <w:t xml:space="preserve"> to </w:t>
      </w:r>
      <w:r w:rsidRPr="00FE26D6">
        <w:t>implement the EYQF</w:t>
      </w:r>
      <w:r w:rsidR="0097423B" w:rsidRPr="00FE26D6">
        <w:t xml:space="preserve"> in an</w:t>
      </w:r>
      <w:r w:rsidR="005F5269">
        <w:t xml:space="preserve"> effective and</w:t>
      </w:r>
      <w:r w:rsidR="0097423B" w:rsidRPr="00FE26D6">
        <w:t xml:space="preserve"> equitable manner</w:t>
      </w:r>
      <w:r w:rsidR="003A6FDF">
        <w:t>. These policy parameters</w:t>
      </w:r>
      <w:r w:rsidR="0097423B" w:rsidRPr="00FE26D6">
        <w:t xml:space="preserve"> were determined by the Government</w:t>
      </w:r>
      <w:r w:rsidR="00795BE7" w:rsidRPr="00FE26D6">
        <w:rPr>
          <w:rStyle w:val="FootnoteReference"/>
        </w:rPr>
        <w:footnoteReference w:id="5"/>
      </w:r>
      <w:r w:rsidR="003A6FDF">
        <w:t xml:space="preserve"> </w:t>
      </w:r>
      <w:r w:rsidR="0035326E">
        <w:t>prior to the establishment of the Advisory Board</w:t>
      </w:r>
      <w:r w:rsidR="005F5269">
        <w:t xml:space="preserve">. </w:t>
      </w:r>
    </w:p>
    <w:p w:rsidR="00714C7D" w:rsidRDefault="00390AE6" w:rsidP="00714C7D">
      <w:pPr>
        <w:pStyle w:val="Heading9"/>
      </w:pPr>
      <w:r>
        <w:t>$3</w:t>
      </w:r>
      <w:r w:rsidR="00F02FC2">
        <w:t>.00</w:t>
      </w:r>
      <w:r>
        <w:t xml:space="preserve"> per hour w</w:t>
      </w:r>
      <w:r w:rsidRPr="00732517">
        <w:t>age increase</w:t>
      </w:r>
    </w:p>
    <w:p w:rsidR="00390AE6" w:rsidRPr="00324C44" w:rsidRDefault="00390AE6" w:rsidP="00A258BC">
      <w:pPr>
        <w:pStyle w:val="PwCNormal"/>
      </w:pPr>
      <w:r>
        <w:t>Based on documentation provided to PwC, it is unclear how</w:t>
      </w:r>
      <w:r w:rsidR="00781210">
        <w:t xml:space="preserve"> the</w:t>
      </w:r>
      <w:r>
        <w:t xml:space="preserve"> $3</w:t>
      </w:r>
      <w:r w:rsidR="00F02FC2">
        <w:t>.00</w:t>
      </w:r>
      <w:r>
        <w:t xml:space="preserve"> per hour wage increase was determined. </w:t>
      </w:r>
      <w:r w:rsidR="00F02FC2" w:rsidRPr="00324C44">
        <w:t>F</w:t>
      </w:r>
      <w:r w:rsidRPr="00324C44">
        <w:t xml:space="preserve">or a Certificate III qualified educator </w:t>
      </w:r>
      <w:r w:rsidR="00F02FC2" w:rsidRPr="00324C44">
        <w:t xml:space="preserve">on the award wage rate of </w:t>
      </w:r>
      <w:r w:rsidR="00324C44" w:rsidRPr="00C56E7A">
        <w:t>$19.72</w:t>
      </w:r>
      <w:r w:rsidR="00F02FC2" w:rsidRPr="00C56E7A">
        <w:t xml:space="preserve"> per hour</w:t>
      </w:r>
      <w:r w:rsidR="00F02FC2" w:rsidRPr="00324C44">
        <w:t xml:space="preserve">, this </w:t>
      </w:r>
      <w:r w:rsidRPr="00324C44">
        <w:t xml:space="preserve">equates </w:t>
      </w:r>
      <w:r w:rsidRPr="00B84244">
        <w:t xml:space="preserve">to a </w:t>
      </w:r>
      <w:r w:rsidR="00324C44" w:rsidRPr="00B84244">
        <w:t>15</w:t>
      </w:r>
      <w:r w:rsidR="00C56E7A">
        <w:t xml:space="preserve"> per cent</w:t>
      </w:r>
      <w:r w:rsidRPr="00B84244">
        <w:t xml:space="preserve"> </w:t>
      </w:r>
      <w:r w:rsidR="00F02FC2" w:rsidRPr="00B84244">
        <w:t>wage</w:t>
      </w:r>
      <w:r w:rsidR="00F02FC2" w:rsidRPr="00324C44">
        <w:t xml:space="preserve"> </w:t>
      </w:r>
      <w:r w:rsidRPr="00324C44">
        <w:t>increase</w:t>
      </w:r>
      <w:r w:rsidR="00A258BC" w:rsidRPr="00324C44">
        <w:t>.</w:t>
      </w:r>
    </w:p>
    <w:p w:rsidR="00117C77" w:rsidRPr="00FE26D6" w:rsidRDefault="00654A2C" w:rsidP="00117C77">
      <w:pPr>
        <w:pStyle w:val="Heading9"/>
      </w:pPr>
      <w:r>
        <w:t>Limiting access to LDC serv</w:t>
      </w:r>
      <w:r w:rsidR="00117C77">
        <w:t>i</w:t>
      </w:r>
      <w:r>
        <w:t>c</w:t>
      </w:r>
      <w:r w:rsidR="00117C77">
        <w:t>es</w:t>
      </w:r>
    </w:p>
    <w:p w:rsidR="00985E78" w:rsidRDefault="009A25BC" w:rsidP="00117C77">
      <w:pPr>
        <w:pStyle w:val="ListBullet"/>
        <w:numPr>
          <w:ilvl w:val="0"/>
          <w:numId w:val="0"/>
        </w:numPr>
      </w:pPr>
      <w:r w:rsidRPr="00FE26D6">
        <w:t>Limiting access to CCB approved LDC services</w:t>
      </w:r>
      <w:r w:rsidR="00825B46">
        <w:t xml:space="preserve"> mean</w:t>
      </w:r>
      <w:r w:rsidR="008A0292">
        <w:t>t</w:t>
      </w:r>
      <w:r w:rsidR="00825B46">
        <w:t xml:space="preserve"> that funding </w:t>
      </w:r>
      <w:r w:rsidR="008A0292">
        <w:t>for wages was</w:t>
      </w:r>
      <w:r w:rsidR="00825B46">
        <w:t xml:space="preserve"> targeted</w:t>
      </w:r>
      <w:r w:rsidR="00C45D59">
        <w:t xml:space="preserve"> to the largest portion of the ECEC sector</w:t>
      </w:r>
      <w:r w:rsidR="00324C44">
        <w:t xml:space="preserve"> as LDC services make up approximately 50 per cent of the sector</w:t>
      </w:r>
      <w:r w:rsidR="008C2464">
        <w:t>.</w:t>
      </w:r>
      <w:r w:rsidR="00C45D59">
        <w:rPr>
          <w:rStyle w:val="FootnoteReference"/>
        </w:rPr>
        <w:footnoteReference w:id="6"/>
      </w:r>
      <w:r w:rsidR="00127745">
        <w:t xml:space="preserve"> </w:t>
      </w:r>
      <w:r w:rsidR="00985E78">
        <w:t>While</w:t>
      </w:r>
      <w:r w:rsidR="00324C44">
        <w:t xml:space="preserve"> the EYQF intended to provide</w:t>
      </w:r>
      <w:r w:rsidR="00985E78">
        <w:t xml:space="preserve"> support to the largest portion of the sector, </w:t>
      </w:r>
      <w:r w:rsidR="00A258BC">
        <w:t xml:space="preserve">the quantum of wage increases </w:t>
      </w:r>
      <w:r w:rsidR="00985E78">
        <w:t xml:space="preserve">meant that even </w:t>
      </w:r>
      <w:r w:rsidR="00A258BC">
        <w:t xml:space="preserve">within </w:t>
      </w:r>
      <w:r w:rsidR="00985E78">
        <w:t>the LDC sector</w:t>
      </w:r>
      <w:r w:rsidR="00324C44">
        <w:t xml:space="preserve"> approximately</w:t>
      </w:r>
      <w:r w:rsidR="00985E78">
        <w:t xml:space="preserve"> </w:t>
      </w:r>
      <w:r w:rsidR="00A258BC" w:rsidRPr="00324C44">
        <w:t>70</w:t>
      </w:r>
      <w:r w:rsidR="00A258BC">
        <w:t xml:space="preserve"> per cent of LDC educ</w:t>
      </w:r>
      <w:r w:rsidR="00324C44">
        <w:t>a</w:t>
      </w:r>
      <w:r w:rsidR="00A258BC">
        <w:t>tors would not benefit</w:t>
      </w:r>
      <w:r w:rsidR="00324C44">
        <w:t>.</w:t>
      </w:r>
      <w:r w:rsidR="00985E78">
        <w:t xml:space="preserve"> </w:t>
      </w:r>
      <w:r w:rsidR="00A258BC">
        <w:t>This equates to</w:t>
      </w:r>
      <w:r w:rsidR="00324C44">
        <w:t xml:space="preserve"> approximately</w:t>
      </w:r>
      <w:r w:rsidR="00A258BC">
        <w:t xml:space="preserve"> </w:t>
      </w:r>
      <w:r w:rsidR="00A258BC" w:rsidRPr="00324C44">
        <w:t>8</w:t>
      </w:r>
      <w:r w:rsidR="00324C44" w:rsidRPr="00324C44">
        <w:t>4</w:t>
      </w:r>
      <w:r w:rsidR="00A258BC">
        <w:t xml:space="preserve"> per</w:t>
      </w:r>
      <w:r w:rsidR="00324C44">
        <w:t xml:space="preserve"> </w:t>
      </w:r>
      <w:r w:rsidR="00A258BC">
        <w:t xml:space="preserve">cent of the entire sector not </w:t>
      </w:r>
      <w:r w:rsidR="00324C44">
        <w:t>receiving funding under</w:t>
      </w:r>
      <w:r w:rsidR="00A258BC">
        <w:t xml:space="preserve"> the EYQF.</w:t>
      </w:r>
    </w:p>
    <w:p w:rsidR="009A25BC" w:rsidRDefault="00985E78" w:rsidP="00117C77">
      <w:pPr>
        <w:pStyle w:val="ListBullet"/>
        <w:numPr>
          <w:ilvl w:val="0"/>
          <w:numId w:val="0"/>
        </w:numPr>
      </w:pPr>
      <w:r>
        <w:t xml:space="preserve">Limiting </w:t>
      </w:r>
      <w:r w:rsidR="00A258BC">
        <w:t xml:space="preserve">wage supplementation </w:t>
      </w:r>
      <w:r>
        <w:t>to LDC also</w:t>
      </w:r>
      <w:r w:rsidR="00BD5855">
        <w:t xml:space="preserve"> </w:t>
      </w:r>
      <w:r w:rsidR="009A25BC" w:rsidRPr="00FE26D6">
        <w:t>ignores the needs of other ECEC s</w:t>
      </w:r>
      <w:r w:rsidR="0097423B" w:rsidRPr="00FE26D6">
        <w:t>ervices</w:t>
      </w:r>
      <w:r w:rsidR="009A25BC" w:rsidRPr="00FE26D6">
        <w:t xml:space="preserve"> that are also experie</w:t>
      </w:r>
      <w:r w:rsidR="0097423B" w:rsidRPr="00FE26D6">
        <w:t>ncing workforce challenges in attracting and retaining qualified educators e.g.</w:t>
      </w:r>
      <w:r w:rsidR="009A25BC" w:rsidRPr="00FE26D6">
        <w:t xml:space="preserve"> preschools, FDC and Outside of School Hours Care (OSHC)</w:t>
      </w:r>
      <w:r w:rsidR="005F5269">
        <w:t xml:space="preserve"> providers</w:t>
      </w:r>
      <w:r w:rsidR="0097423B" w:rsidRPr="00FE26D6">
        <w:t>.</w:t>
      </w:r>
      <w:r w:rsidR="00067146">
        <w:t xml:space="preserve"> </w:t>
      </w:r>
      <w:r>
        <w:t xml:space="preserve">The wage </w:t>
      </w:r>
      <w:r w:rsidR="00B84244">
        <w:t>subsidy</w:t>
      </w:r>
      <w:r>
        <w:t xml:space="preserve"> once embedded would </w:t>
      </w:r>
      <w:r w:rsidR="00B84244">
        <w:t xml:space="preserve">be </w:t>
      </w:r>
      <w:r w:rsidR="00A258BC">
        <w:t xml:space="preserve">likely </w:t>
      </w:r>
      <w:r w:rsidR="00B84244">
        <w:t>to further reduce</w:t>
      </w:r>
      <w:r>
        <w:t xml:space="preserve"> the ability </w:t>
      </w:r>
      <w:r w:rsidR="00B84244">
        <w:t xml:space="preserve">of providers in these sectors </w:t>
      </w:r>
      <w:r>
        <w:t>to attract and retain workers</w:t>
      </w:r>
      <w:r w:rsidR="00B84244">
        <w:t>.</w:t>
      </w:r>
      <w:r w:rsidR="008B11CB">
        <w:t xml:space="preserve"> </w:t>
      </w:r>
      <w:r w:rsidR="00FE26D6" w:rsidRPr="00FE26D6">
        <w:t xml:space="preserve">Some providers </w:t>
      </w:r>
      <w:r w:rsidR="00F34F3D">
        <w:t>commented that</w:t>
      </w:r>
      <w:r w:rsidR="00F34F3D" w:rsidRPr="00FE26D6">
        <w:t xml:space="preserve"> </w:t>
      </w:r>
      <w:r w:rsidR="00FE26D6" w:rsidRPr="00FE26D6">
        <w:t>this was</w:t>
      </w:r>
      <w:r w:rsidR="00B84244">
        <w:t xml:space="preserve"> also</w:t>
      </w:r>
      <w:r w:rsidR="00FE26D6" w:rsidRPr="00FE26D6">
        <w:t xml:space="preserve"> particularly divisive </w:t>
      </w:r>
      <w:r w:rsidR="005F5269">
        <w:t>for staff in</w:t>
      </w:r>
      <w:r w:rsidR="00FE26D6" w:rsidRPr="00FE26D6">
        <w:t xml:space="preserve"> centres that </w:t>
      </w:r>
      <w:r>
        <w:t>offer</w:t>
      </w:r>
      <w:r w:rsidRPr="00FE26D6">
        <w:t xml:space="preserve"> </w:t>
      </w:r>
      <w:r w:rsidR="00FE26D6" w:rsidRPr="00FE26D6">
        <w:t>multiple</w:t>
      </w:r>
      <w:r w:rsidR="005F5269">
        <w:t xml:space="preserve"> types of</w:t>
      </w:r>
      <w:r w:rsidR="00FE26D6" w:rsidRPr="00FE26D6">
        <w:t xml:space="preserve"> services.</w:t>
      </w:r>
    </w:p>
    <w:p w:rsidR="00117C77" w:rsidRDefault="00117C77" w:rsidP="00117C77">
      <w:pPr>
        <w:pStyle w:val="Heading9"/>
      </w:pPr>
      <w:r>
        <w:t xml:space="preserve">Wage increases must be applied across </w:t>
      </w:r>
      <w:r w:rsidR="00581631">
        <w:t>all classifications</w:t>
      </w:r>
    </w:p>
    <w:p w:rsidR="00FB7A45" w:rsidRDefault="0097423B" w:rsidP="00117C77">
      <w:pPr>
        <w:pStyle w:val="ListBullet"/>
        <w:numPr>
          <w:ilvl w:val="0"/>
          <w:numId w:val="0"/>
        </w:numPr>
      </w:pPr>
      <w:r w:rsidRPr="00FE26D6">
        <w:t>Providing grants to pay wage increases for staff across the classification scale</w:t>
      </w:r>
      <w:r w:rsidR="008A0292">
        <w:t xml:space="preserve"> meant that funds were not</w:t>
      </w:r>
      <w:r w:rsidRPr="00FE26D6">
        <w:t xml:space="preserve"> target</w:t>
      </w:r>
      <w:r w:rsidR="008A0292">
        <w:t>ed</w:t>
      </w:r>
      <w:r w:rsidR="00795BE7" w:rsidRPr="00FE26D6">
        <w:t xml:space="preserve"> to the lowest paid staff</w:t>
      </w:r>
      <w:r w:rsidR="00D73BD5">
        <w:t>,</w:t>
      </w:r>
      <w:r w:rsidR="00795BE7" w:rsidRPr="00FE26D6">
        <w:t xml:space="preserve"> as funds were to be used to increase wages for all staff at a service</w:t>
      </w:r>
      <w:r w:rsidR="005F5269">
        <w:t>. This includes</w:t>
      </w:r>
      <w:r w:rsidR="00795BE7" w:rsidRPr="00FE26D6">
        <w:t xml:space="preserve"> those </w:t>
      </w:r>
      <w:r w:rsidR="00D73BD5">
        <w:t xml:space="preserve">staff </w:t>
      </w:r>
      <w:r w:rsidR="00795BE7" w:rsidRPr="00FE26D6">
        <w:t>whose wage</w:t>
      </w:r>
      <w:r w:rsidR="005F5269">
        <w:t>s were</w:t>
      </w:r>
      <w:r w:rsidR="00551484">
        <w:t xml:space="preserve"> already above the award</w:t>
      </w:r>
      <w:r w:rsidR="005F5269">
        <w:t xml:space="preserve">. </w:t>
      </w:r>
      <w:r w:rsidR="008A42AB">
        <w:t xml:space="preserve"> </w:t>
      </w:r>
    </w:p>
    <w:p w:rsidR="007717AA" w:rsidRPr="00FE26D6" w:rsidRDefault="00FB7A45" w:rsidP="007717AA">
      <w:pPr>
        <w:pStyle w:val="ListBullet"/>
        <w:numPr>
          <w:ilvl w:val="0"/>
          <w:numId w:val="0"/>
        </w:numPr>
      </w:pPr>
      <w:r>
        <w:t xml:space="preserve">Further, the EYQF </w:t>
      </w:r>
      <w:r w:rsidR="008A0292">
        <w:t xml:space="preserve">also </w:t>
      </w:r>
      <w:r>
        <w:t>does not target</w:t>
      </w:r>
      <w:r w:rsidR="008A0292">
        <w:t xml:space="preserve"> funds to</w:t>
      </w:r>
      <w:r>
        <w:t xml:space="preserve"> wage pressures </w:t>
      </w:r>
      <w:r w:rsidR="005F5269">
        <w:t>related to</w:t>
      </w:r>
      <w:r w:rsidR="0097423B" w:rsidRPr="00FE26D6">
        <w:t xml:space="preserve"> the increased qualification requirements of the NQF</w:t>
      </w:r>
      <w:r w:rsidR="007717AA">
        <w:t>. Funding wage increases for unqualified staff and non-contact staff does not support the objective of the EYQF to increase the number of qualified educators.</w:t>
      </w:r>
    </w:p>
    <w:p w:rsidR="0097423B" w:rsidRDefault="008949CF" w:rsidP="00117C77">
      <w:pPr>
        <w:pStyle w:val="ListBullet"/>
        <w:numPr>
          <w:ilvl w:val="0"/>
          <w:numId w:val="0"/>
        </w:numPr>
      </w:pPr>
      <w:r>
        <w:lastRenderedPageBreak/>
        <w:t xml:space="preserve">Early in the establishment of the EYQF, the </w:t>
      </w:r>
      <w:r w:rsidR="00AC4A9F">
        <w:t>D</w:t>
      </w:r>
      <w:r w:rsidR="0055452D" w:rsidRPr="00BB4DD8">
        <w:t>epartment estimate</w:t>
      </w:r>
      <w:r>
        <w:t>d</w:t>
      </w:r>
      <w:r w:rsidR="0055452D" w:rsidRPr="00BB4DD8">
        <w:t xml:space="preserve"> that</w:t>
      </w:r>
      <w:r>
        <w:t xml:space="preserve"> funding would be provided for approximately 1700 services but if wage increases were not </w:t>
      </w:r>
      <w:r w:rsidR="0055452D" w:rsidRPr="00BB4DD8">
        <w:t>extend</w:t>
      </w:r>
      <w:r>
        <w:t>ed</w:t>
      </w:r>
      <w:r w:rsidR="0055452D" w:rsidRPr="00BB4DD8">
        <w:t xml:space="preserve"> to unqualifi</w:t>
      </w:r>
      <w:r>
        <w:t xml:space="preserve">ed staff, the number of services to benefit could increase by around </w:t>
      </w:r>
      <w:r w:rsidR="0055452D">
        <w:t>1</w:t>
      </w:r>
      <w:r>
        <w:t>2 per </w:t>
      </w:r>
      <w:r w:rsidR="0055452D">
        <w:t>cent</w:t>
      </w:r>
      <w:r>
        <w:t xml:space="preserve"> (i.e. an additional 204 services)</w:t>
      </w:r>
      <w:r w:rsidR="0055452D">
        <w:t>.</w:t>
      </w:r>
    </w:p>
    <w:p w:rsidR="00581631" w:rsidRDefault="00FB7A45" w:rsidP="00581631">
      <w:pPr>
        <w:pStyle w:val="Heading9"/>
      </w:pPr>
      <w:r>
        <w:t>Requirement for an en</w:t>
      </w:r>
      <w:r w:rsidR="00581631">
        <w:t xml:space="preserve">terprise </w:t>
      </w:r>
      <w:r>
        <w:t>a</w:t>
      </w:r>
      <w:r w:rsidR="00581631">
        <w:t xml:space="preserve">greement </w:t>
      </w:r>
    </w:p>
    <w:p w:rsidR="00B674A0" w:rsidRDefault="00B674A0" w:rsidP="00B674A0">
      <w:r>
        <w:t>Services were required to have</w:t>
      </w:r>
      <w:r w:rsidR="00DF609E">
        <w:t>,</w:t>
      </w:r>
      <w:r>
        <w:t xml:space="preserve"> or commit to</w:t>
      </w:r>
      <w:r w:rsidR="00DF609E">
        <w:t xml:space="preserve"> have,</w:t>
      </w:r>
      <w:r>
        <w:t xml:space="preserve"> an </w:t>
      </w:r>
      <w:r w:rsidR="00916BFD">
        <w:t>e</w:t>
      </w:r>
      <w:r>
        <w:t xml:space="preserve">nterprise </w:t>
      </w:r>
      <w:r w:rsidR="00916BFD">
        <w:t>a</w:t>
      </w:r>
      <w:r>
        <w:t xml:space="preserve">greement. </w:t>
      </w:r>
    </w:p>
    <w:p w:rsidR="00581631" w:rsidRDefault="00EA62FD" w:rsidP="00581631">
      <w:pPr>
        <w:pStyle w:val="ListBullet"/>
        <w:numPr>
          <w:ilvl w:val="0"/>
          <w:numId w:val="0"/>
        </w:numPr>
      </w:pPr>
      <w:r w:rsidRPr="00FE26D6">
        <w:t>Services approved for EYQF funding were required to have an</w:t>
      </w:r>
      <w:r>
        <w:t xml:space="preserve"> enterprise agreement</w:t>
      </w:r>
      <w:r w:rsidRPr="00FE26D6">
        <w:t xml:space="preserve"> in place before grant funding would be released</w:t>
      </w:r>
      <w:r w:rsidR="008C2464">
        <w:t>.</w:t>
      </w:r>
      <w:r>
        <w:rPr>
          <w:rStyle w:val="FootnoteReference"/>
        </w:rPr>
        <w:footnoteReference w:id="7"/>
      </w:r>
      <w:r w:rsidR="00AC4A9F">
        <w:t xml:space="preserve"> </w:t>
      </w:r>
      <w:r w:rsidR="00511062">
        <w:t>However,</w:t>
      </w:r>
      <w:r>
        <w:t xml:space="preserve"> s</w:t>
      </w:r>
      <w:r w:rsidR="00D02C21" w:rsidRPr="00FE26D6">
        <w:t>erv</w:t>
      </w:r>
      <w:r w:rsidR="00795BE7" w:rsidRPr="00FE26D6">
        <w:t>i</w:t>
      </w:r>
      <w:r w:rsidR="00D02C21" w:rsidRPr="00FE26D6">
        <w:t>c</w:t>
      </w:r>
      <w:r w:rsidR="00795BE7" w:rsidRPr="00FE26D6">
        <w:t xml:space="preserve">es without an </w:t>
      </w:r>
      <w:r w:rsidR="005F5269">
        <w:t>enterprise agreement</w:t>
      </w:r>
      <w:r w:rsidR="009A140B" w:rsidRPr="00FE26D6">
        <w:t xml:space="preserve"> at time of </w:t>
      </w:r>
      <w:r w:rsidR="00511062">
        <w:t>application</w:t>
      </w:r>
      <w:r w:rsidR="00511062" w:rsidRPr="00FE26D6">
        <w:t xml:space="preserve"> </w:t>
      </w:r>
      <w:r w:rsidR="00D02C21" w:rsidRPr="00FE26D6">
        <w:t xml:space="preserve">could be conditionally approved </w:t>
      </w:r>
      <w:r w:rsidR="009A140B" w:rsidRPr="00FE26D6">
        <w:t xml:space="preserve">pending wage increases being included in an </w:t>
      </w:r>
      <w:r w:rsidR="005F5269">
        <w:t>enterprise agreement</w:t>
      </w:r>
      <w:r w:rsidR="009A140B" w:rsidRPr="00FE26D6">
        <w:t xml:space="preserve"> </w:t>
      </w:r>
      <w:r w:rsidR="00F34F3D">
        <w:t xml:space="preserve">which was </w:t>
      </w:r>
      <w:r w:rsidR="009A140B" w:rsidRPr="00FE26D6">
        <w:t>approved by</w:t>
      </w:r>
      <w:r w:rsidR="00654A2C">
        <w:t xml:space="preserve"> the Fair Work Commission.</w:t>
      </w:r>
    </w:p>
    <w:p w:rsidR="008676A5" w:rsidRDefault="008676A5" w:rsidP="002A330E">
      <w:pPr>
        <w:pStyle w:val="ListBullet"/>
        <w:numPr>
          <w:ilvl w:val="0"/>
          <w:numId w:val="0"/>
        </w:numPr>
      </w:pPr>
      <w:r>
        <w:t xml:space="preserve">The </w:t>
      </w:r>
      <w:r w:rsidR="00391D12">
        <w:t>D</w:t>
      </w:r>
      <w:r>
        <w:t>epartment report</w:t>
      </w:r>
      <w:r w:rsidR="00391D12">
        <w:t>s</w:t>
      </w:r>
      <w:r>
        <w:t xml:space="preserve"> that prior to the EYQF the proportion of LDC services covered by enterprise agreements was approximately 25</w:t>
      </w:r>
      <w:r w:rsidR="002A330E">
        <w:t xml:space="preserve"> per cent</w:t>
      </w:r>
      <w:r>
        <w:t>. For the remaining 75</w:t>
      </w:r>
      <w:r w:rsidR="002A330E">
        <w:t xml:space="preserve"> per cent</w:t>
      </w:r>
      <w:r>
        <w:t xml:space="preserve"> of existing services that did not have an </w:t>
      </w:r>
      <w:r w:rsidR="002A330E">
        <w:t>enterprise agreement</w:t>
      </w:r>
      <w:r w:rsidR="00DF609E">
        <w:t>,</w:t>
      </w:r>
      <w:r>
        <w:t xml:space="preserve"> the program required them to negotiate an </w:t>
      </w:r>
      <w:r w:rsidR="002A330E">
        <w:t>enterprise agreement</w:t>
      </w:r>
      <w:r>
        <w:t xml:space="preserve"> or</w:t>
      </w:r>
      <w:r w:rsidR="00DF609E">
        <w:t>,</w:t>
      </w:r>
      <w:r>
        <w:t xml:space="preserve"> </w:t>
      </w:r>
      <w:r w:rsidR="00891784">
        <w:t xml:space="preserve">if they chose not to have an </w:t>
      </w:r>
      <w:r w:rsidR="002A330E">
        <w:t>enterprise agreement</w:t>
      </w:r>
      <w:r w:rsidR="00DF609E">
        <w:t>, then that provider</w:t>
      </w:r>
      <w:r w:rsidR="00891784">
        <w:t xml:space="preserve"> would </w:t>
      </w:r>
      <w:r w:rsidR="00DF609E">
        <w:t xml:space="preserve">be </w:t>
      </w:r>
      <w:r>
        <w:t>preclude</w:t>
      </w:r>
      <w:r w:rsidR="00DF609E">
        <w:t>d</w:t>
      </w:r>
      <w:r>
        <w:t xml:space="preserve"> from accessing </w:t>
      </w:r>
      <w:r w:rsidR="00DF609E">
        <w:t>the EYQF</w:t>
      </w:r>
      <w:r>
        <w:t xml:space="preserve">. </w:t>
      </w:r>
    </w:p>
    <w:p w:rsidR="003D4C2C" w:rsidRDefault="008820A8" w:rsidP="00581631">
      <w:pPr>
        <w:pStyle w:val="ListBullet"/>
        <w:numPr>
          <w:ilvl w:val="0"/>
          <w:numId w:val="0"/>
        </w:numPr>
      </w:pPr>
      <w:r>
        <w:t>T</w:t>
      </w:r>
      <w:r w:rsidR="0078791C" w:rsidRPr="00FE26D6">
        <w:t xml:space="preserve">his </w:t>
      </w:r>
      <w:r w:rsidR="00A5160F">
        <w:t xml:space="preserve">enterprise agreement </w:t>
      </w:r>
      <w:r w:rsidR="0078791C" w:rsidRPr="00FE26D6">
        <w:t xml:space="preserve">requirement </w:t>
      </w:r>
      <w:r w:rsidR="009A140B" w:rsidRPr="00FE26D6">
        <w:t xml:space="preserve">may </w:t>
      </w:r>
      <w:r w:rsidR="0078791C" w:rsidRPr="00FE26D6">
        <w:t>reduce the</w:t>
      </w:r>
      <w:r w:rsidR="00D02C21" w:rsidRPr="00FE26D6">
        <w:t xml:space="preserve"> administrat</w:t>
      </w:r>
      <w:r w:rsidR="0078791C" w:rsidRPr="00FE26D6">
        <w:t xml:space="preserve">ion burden </w:t>
      </w:r>
      <w:r w:rsidR="009A140B" w:rsidRPr="00FE26D6">
        <w:t xml:space="preserve">on the Department </w:t>
      </w:r>
      <w:r>
        <w:t>in</w:t>
      </w:r>
      <w:r w:rsidR="00D02C21" w:rsidRPr="00FE26D6">
        <w:t xml:space="preserve"> ensur</w:t>
      </w:r>
      <w:r w:rsidR="0078791C" w:rsidRPr="00FE26D6">
        <w:t>ing that funds are used for</w:t>
      </w:r>
      <w:r w:rsidR="009A140B" w:rsidRPr="00FE26D6">
        <w:t xml:space="preserve"> the purpose of</w:t>
      </w:r>
      <w:r w:rsidR="0078791C" w:rsidRPr="00FE26D6">
        <w:t xml:space="preserve"> wage increases</w:t>
      </w:r>
      <w:r w:rsidR="00F34F3D">
        <w:t>,</w:t>
      </w:r>
      <w:r w:rsidR="003A6FDF">
        <w:t xml:space="preserve"> and is an approach </w:t>
      </w:r>
      <w:r>
        <w:t xml:space="preserve">that has </w:t>
      </w:r>
      <w:r w:rsidR="003A6FDF">
        <w:t>previously</w:t>
      </w:r>
      <w:r>
        <w:t xml:space="preserve"> been</w:t>
      </w:r>
      <w:r w:rsidR="003A6FDF">
        <w:t xml:space="preserve"> used in the aged care sector</w:t>
      </w:r>
      <w:r>
        <w:t>. However</w:t>
      </w:r>
      <w:r w:rsidR="0078791C" w:rsidRPr="00FE26D6">
        <w:t xml:space="preserve">, it </w:t>
      </w:r>
      <w:r w:rsidR="009A140B" w:rsidRPr="00FE26D6">
        <w:t xml:space="preserve">was a cause for concern for some </w:t>
      </w:r>
      <w:r w:rsidR="00137A96">
        <w:t xml:space="preserve">staff and </w:t>
      </w:r>
      <w:r w:rsidR="009A140B" w:rsidRPr="00FE26D6">
        <w:t>services</w:t>
      </w:r>
      <w:r w:rsidR="00D73BD5">
        <w:t>,</w:t>
      </w:r>
      <w:r w:rsidR="009A140B" w:rsidRPr="00FE26D6">
        <w:t xml:space="preserve"> as it resulted in costs </w:t>
      </w:r>
      <w:r w:rsidR="00F34F3D">
        <w:t xml:space="preserve">being </w:t>
      </w:r>
      <w:r w:rsidR="009A140B" w:rsidRPr="00FE26D6">
        <w:t xml:space="preserve">incurred </w:t>
      </w:r>
      <w:r>
        <w:t>in relation to</w:t>
      </w:r>
      <w:r w:rsidR="009A140B" w:rsidRPr="00FE26D6">
        <w:t xml:space="preserve"> tim</w:t>
      </w:r>
      <w:r w:rsidR="009A140B">
        <w:t xml:space="preserve">e and resourcing for </w:t>
      </w:r>
      <w:r>
        <w:t xml:space="preserve">enterprise agreement </w:t>
      </w:r>
      <w:r w:rsidR="009A140B">
        <w:t>negotiation</w:t>
      </w:r>
      <w:r>
        <w:t xml:space="preserve">. </w:t>
      </w:r>
    </w:p>
    <w:p w:rsidR="00535A41" w:rsidRDefault="00535A41" w:rsidP="002A330E">
      <w:pPr>
        <w:pStyle w:val="ListBullet"/>
        <w:numPr>
          <w:ilvl w:val="0"/>
          <w:numId w:val="0"/>
        </w:numPr>
      </w:pPr>
      <w:r>
        <w:t xml:space="preserve">The </w:t>
      </w:r>
      <w:r w:rsidR="002A330E">
        <w:t>D</w:t>
      </w:r>
      <w:r>
        <w:t xml:space="preserve">epartment </w:t>
      </w:r>
      <w:r w:rsidR="002A330E">
        <w:t>reports</w:t>
      </w:r>
      <w:r>
        <w:t xml:space="preserve"> that prior</w:t>
      </w:r>
      <w:r w:rsidR="00C443BF">
        <w:t xml:space="preserve"> to</w:t>
      </w:r>
      <w:r>
        <w:t xml:space="preserve"> the announcement of the EYQF, the</w:t>
      </w:r>
      <w:r w:rsidR="002A330E">
        <w:t>re were approximately 100 enterprise agreements</w:t>
      </w:r>
      <w:r>
        <w:t xml:space="preserve"> in the sector</w:t>
      </w:r>
      <w:r w:rsidR="002A330E">
        <w:t xml:space="preserve">, </w:t>
      </w:r>
      <w:r w:rsidR="00DF609E">
        <w:t xml:space="preserve">but </w:t>
      </w:r>
      <w:r w:rsidR="002A330E">
        <w:t>b</w:t>
      </w:r>
      <w:r>
        <w:t>y the end of October 2013, this number had increased to over 400</w:t>
      </w:r>
      <w:r w:rsidR="002A330E">
        <w:t xml:space="preserve"> enterprise agreements in the sector</w:t>
      </w:r>
      <w:r>
        <w:t>.</w:t>
      </w:r>
    </w:p>
    <w:p w:rsidR="00511062" w:rsidRDefault="00DF609E" w:rsidP="00511062">
      <w:pPr>
        <w:pStyle w:val="ListBullet"/>
        <w:numPr>
          <w:ilvl w:val="0"/>
          <w:numId w:val="0"/>
        </w:numPr>
      </w:pPr>
      <w:r>
        <w:t xml:space="preserve">There is </w:t>
      </w:r>
      <w:r w:rsidR="00891784">
        <w:t xml:space="preserve">evidence that the requirement to have an </w:t>
      </w:r>
      <w:r w:rsidR="00305DD0">
        <w:t>enterprise agreement</w:t>
      </w:r>
      <w:r w:rsidR="00891784">
        <w:t xml:space="preserve"> was used by United Voice to increase its membership. The Department advises that it monitor</w:t>
      </w:r>
      <w:r w:rsidR="004F4618">
        <w:t>ed</w:t>
      </w:r>
      <w:r w:rsidR="00891784">
        <w:t xml:space="preserve"> all media streams relevant to the EYQF and </w:t>
      </w:r>
      <w:r>
        <w:t xml:space="preserve">that </w:t>
      </w:r>
      <w:r w:rsidR="00891784">
        <w:t xml:space="preserve">the Big Steps Facebook page made several </w:t>
      </w:r>
      <w:r w:rsidR="00141E97">
        <w:t>statements that staff</w:t>
      </w:r>
      <w:r w:rsidR="00891784">
        <w:t xml:space="preserve"> need</w:t>
      </w:r>
      <w:r>
        <w:t>ed</w:t>
      </w:r>
      <w:r w:rsidR="00891784">
        <w:t xml:space="preserve"> to join the union</w:t>
      </w:r>
      <w:r w:rsidR="004F4618">
        <w:t xml:space="preserve"> </w:t>
      </w:r>
      <w:r w:rsidR="00141E97">
        <w:t xml:space="preserve">in order to be eligible for </w:t>
      </w:r>
      <w:r w:rsidR="005B6611">
        <w:t xml:space="preserve">funding under </w:t>
      </w:r>
      <w:r w:rsidR="00891784">
        <w:t>the EYQF.</w:t>
      </w:r>
    </w:p>
    <w:p w:rsidR="00117C77" w:rsidRDefault="008820A8" w:rsidP="00581631">
      <w:pPr>
        <w:pStyle w:val="Heading9"/>
      </w:pPr>
      <w:r>
        <w:t>First in-f</w:t>
      </w:r>
      <w:r w:rsidR="00581631">
        <w:t>irst served</w:t>
      </w:r>
    </w:p>
    <w:p w:rsidR="00795BE7" w:rsidRDefault="00DF609E" w:rsidP="00581631">
      <w:pPr>
        <w:pStyle w:val="ListBullet"/>
        <w:numPr>
          <w:ilvl w:val="0"/>
          <w:numId w:val="0"/>
        </w:numPr>
      </w:pPr>
      <w:r>
        <w:t>The policy was for</w:t>
      </w:r>
      <w:r w:rsidR="003D4C2C">
        <w:t xml:space="preserve"> a</w:t>
      </w:r>
      <w:r w:rsidR="009A140B">
        <w:t xml:space="preserve">pplications to be </w:t>
      </w:r>
      <w:r w:rsidR="00B937FE">
        <w:t>processed in the order</w:t>
      </w:r>
      <w:r w:rsidR="003D4C2C">
        <w:t xml:space="preserve"> in which</w:t>
      </w:r>
      <w:r w:rsidR="00B937FE">
        <w:t xml:space="preserve"> they were received by the Department and were </w:t>
      </w:r>
      <w:r w:rsidR="003D4C2C">
        <w:t xml:space="preserve">to be </w:t>
      </w:r>
      <w:r w:rsidR="00B937FE">
        <w:t xml:space="preserve">assessed until the $300 million funding cap was reached. This ‘first in-first served’ approach </w:t>
      </w:r>
      <w:r w:rsidR="00117C77">
        <w:t xml:space="preserve">placed pressure on the sector to </w:t>
      </w:r>
      <w:r w:rsidR="003D4C2C">
        <w:t>submit their applications</w:t>
      </w:r>
      <w:r w:rsidR="00117C77">
        <w:t xml:space="preserve"> as soon as possible and </w:t>
      </w:r>
      <w:r w:rsidR="00B937FE">
        <w:t xml:space="preserve">rewarded providers </w:t>
      </w:r>
      <w:r w:rsidR="00F34F3D">
        <w:t xml:space="preserve">that </w:t>
      </w:r>
      <w:r w:rsidR="00B937FE">
        <w:t xml:space="preserve">had </w:t>
      </w:r>
      <w:r w:rsidR="00117C77">
        <w:t xml:space="preserve">the </w:t>
      </w:r>
      <w:r w:rsidR="00B937FE">
        <w:t>ability to dedicate resources to the application process</w:t>
      </w:r>
      <w:r w:rsidR="00117C77">
        <w:t xml:space="preserve"> from the point </w:t>
      </w:r>
      <w:r w:rsidR="00D73BD5">
        <w:t>at which the</w:t>
      </w:r>
      <w:r w:rsidR="00117C77">
        <w:t xml:space="preserve"> guidelines were released. </w:t>
      </w:r>
      <w:r w:rsidR="00825B46">
        <w:t>At the same time</w:t>
      </w:r>
      <w:r>
        <w:t>,</w:t>
      </w:r>
      <w:r w:rsidR="00825B46">
        <w:t xml:space="preserve"> it</w:t>
      </w:r>
      <w:r w:rsidR="00127745">
        <w:t xml:space="preserve"> </w:t>
      </w:r>
      <w:r w:rsidR="00117C77">
        <w:t>disadvantaged smaller providers who required time</w:t>
      </w:r>
      <w:r w:rsidR="009E4B4C">
        <w:t xml:space="preserve"> and additional support</w:t>
      </w:r>
      <w:r w:rsidR="00117C77">
        <w:t xml:space="preserve"> to </w:t>
      </w:r>
      <w:r w:rsidR="003D4C2C">
        <w:t>understand</w:t>
      </w:r>
      <w:r w:rsidR="00117C77">
        <w:t xml:space="preserve"> the guidelines </w:t>
      </w:r>
      <w:r w:rsidR="00581631">
        <w:t>before determining whether</w:t>
      </w:r>
      <w:r w:rsidR="003D4C2C">
        <w:t xml:space="preserve"> or not</w:t>
      </w:r>
      <w:r w:rsidR="00581631">
        <w:t xml:space="preserve"> to a</w:t>
      </w:r>
      <w:r w:rsidR="00117C77">
        <w:t>pply.</w:t>
      </w:r>
    </w:p>
    <w:p w:rsidR="00511062" w:rsidRDefault="00511062" w:rsidP="00511062">
      <w:pPr>
        <w:pStyle w:val="ListBullet"/>
        <w:numPr>
          <w:ilvl w:val="0"/>
          <w:numId w:val="0"/>
        </w:numPr>
      </w:pPr>
      <w:r>
        <w:t>Documents from the Department indicate that one option considered was to undertake a merit-based competitive process with ‘first in-first served’ used to distinguish between two equally meritorious applications.</w:t>
      </w:r>
    </w:p>
    <w:p w:rsidR="00B674A0" w:rsidRDefault="00891784" w:rsidP="002B31C2">
      <w:pPr>
        <w:pStyle w:val="PwCNormal"/>
        <w:numPr>
          <w:ilvl w:val="0"/>
          <w:numId w:val="0"/>
        </w:numPr>
      </w:pPr>
      <w:r>
        <w:t>It should be noted that s</w:t>
      </w:r>
      <w:r w:rsidR="00B674A0">
        <w:t>ection 4.8 of the Commonwealth Grant Guidelines</w:t>
      </w:r>
      <w:r w:rsidR="00A3748E">
        <w:t xml:space="preserve"> (CGGs)</w:t>
      </w:r>
      <w:r w:rsidR="00B674A0">
        <w:t xml:space="preserve"> state</w:t>
      </w:r>
      <w:r>
        <w:t>s</w:t>
      </w:r>
      <w:r w:rsidR="00551484">
        <w:t xml:space="preserve"> ‘</w:t>
      </w:r>
      <w:r w:rsidR="00B674A0">
        <w:t xml:space="preserve">Competitive, merit based selection processes should be used to allocate grants, unless specifically agreed otherwise by a Minister, Chief Executive or delegate. Where a method, other than a competitive merit based selection process is planned to be used agency staff should document </w:t>
      </w:r>
      <w:r w:rsidR="00551484">
        <w:t>why this approach will be used.’</w:t>
      </w:r>
    </w:p>
    <w:p w:rsidR="002B31C2" w:rsidRDefault="00DF609E" w:rsidP="002B31C2">
      <w:pPr>
        <w:pStyle w:val="PwCNormal"/>
        <w:numPr>
          <w:ilvl w:val="0"/>
          <w:numId w:val="0"/>
        </w:numPr>
      </w:pPr>
      <w:r>
        <w:t xml:space="preserve">No record was found in the documents reviewed to explain why </w:t>
      </w:r>
      <w:r w:rsidR="002B31C2" w:rsidRPr="00C57D16">
        <w:t>a competitive merit-based process was not used.</w:t>
      </w:r>
    </w:p>
    <w:p w:rsidR="00A042FE" w:rsidRDefault="00A042FE" w:rsidP="00137A96">
      <w:pPr>
        <w:pStyle w:val="Heading7"/>
        <w:numPr>
          <w:ilvl w:val="0"/>
          <w:numId w:val="0"/>
        </w:numPr>
        <w:ind w:left="850" w:hanging="850"/>
        <w:rPr>
          <w:rStyle w:val="IntenseEmphasis"/>
          <w:b w:val="0"/>
          <w:bCs w:val="0"/>
          <w:i/>
          <w:iCs/>
          <w:color w:val="A32020" w:themeColor="text2"/>
        </w:rPr>
      </w:pPr>
      <w:r w:rsidRPr="00137A96">
        <w:rPr>
          <w:rStyle w:val="IntenseEmphasis"/>
          <w:b w:val="0"/>
          <w:bCs w:val="0"/>
          <w:i/>
          <w:iCs/>
          <w:color w:val="A32020" w:themeColor="text2"/>
        </w:rPr>
        <w:lastRenderedPageBreak/>
        <w:t>Process for implementation</w:t>
      </w:r>
    </w:p>
    <w:p w:rsidR="006B3B25" w:rsidRDefault="00094C88" w:rsidP="006B3B25">
      <w:pPr>
        <w:pStyle w:val="PwCNormal"/>
        <w:numPr>
          <w:ilvl w:val="0"/>
          <w:numId w:val="0"/>
        </w:numPr>
      </w:pPr>
      <w:r>
        <w:t>PwC reviewed</w:t>
      </w:r>
      <w:r w:rsidR="00DF609E">
        <w:t xml:space="preserve"> </w:t>
      </w:r>
      <w:r w:rsidR="006B3B25">
        <w:t>documentation provided by the Department</w:t>
      </w:r>
      <w:r w:rsidR="001824CE">
        <w:t>,</w:t>
      </w:r>
      <w:r w:rsidR="006B3B25">
        <w:t xml:space="preserve"> which included information on:</w:t>
      </w:r>
    </w:p>
    <w:p w:rsidR="00714C7D" w:rsidRDefault="006B3B25" w:rsidP="001824CE">
      <w:pPr>
        <w:pStyle w:val="ListBullet"/>
        <w:tabs>
          <w:tab w:val="clear" w:pos="2836"/>
          <w:tab w:val="num" w:pos="567"/>
        </w:tabs>
        <w:ind w:left="567"/>
      </w:pPr>
      <w:r>
        <w:t xml:space="preserve">the </w:t>
      </w:r>
      <w:r w:rsidR="00141E97">
        <w:t>establishment of the EYQF</w:t>
      </w:r>
    </w:p>
    <w:p w:rsidR="00714C7D" w:rsidRDefault="006B3B25" w:rsidP="001824CE">
      <w:pPr>
        <w:pStyle w:val="ListBullet"/>
        <w:tabs>
          <w:tab w:val="clear" w:pos="2836"/>
          <w:tab w:val="num" w:pos="567"/>
        </w:tabs>
        <w:ind w:left="567"/>
      </w:pPr>
      <w:r>
        <w:t>the establishment of an Internal Governance Committee</w:t>
      </w:r>
      <w:r w:rsidR="001824CE">
        <w:t xml:space="preserve"> </w:t>
      </w:r>
      <w:r w:rsidR="00094C88">
        <w:t xml:space="preserve">(IGC) </w:t>
      </w:r>
      <w:r w:rsidR="001824CE">
        <w:t>and the Advisory Board</w:t>
      </w:r>
    </w:p>
    <w:p w:rsidR="00714C7D" w:rsidRDefault="006B3B25" w:rsidP="001824CE">
      <w:pPr>
        <w:pStyle w:val="ListBullet"/>
        <w:tabs>
          <w:tab w:val="clear" w:pos="2836"/>
          <w:tab w:val="num" w:pos="567"/>
        </w:tabs>
        <w:ind w:left="567"/>
      </w:pPr>
      <w:r>
        <w:t>the application and assessment process</w:t>
      </w:r>
    </w:p>
    <w:p w:rsidR="00714C7D" w:rsidRDefault="006B3B25" w:rsidP="001824CE">
      <w:pPr>
        <w:pStyle w:val="ListBullet"/>
        <w:tabs>
          <w:tab w:val="clear" w:pos="2836"/>
          <w:tab w:val="num" w:pos="567"/>
        </w:tabs>
        <w:ind w:left="567"/>
      </w:pPr>
      <w:proofErr w:type="gramStart"/>
      <w:r>
        <w:t>the</w:t>
      </w:r>
      <w:proofErr w:type="gramEnd"/>
      <w:r w:rsidR="00141E97">
        <w:t xml:space="preserve"> Department’s</w:t>
      </w:r>
      <w:r>
        <w:t xml:space="preserve"> decision minutes and probity advice.</w:t>
      </w:r>
      <w:r w:rsidR="00C443BF">
        <w:rPr>
          <w:rStyle w:val="FootnoteReference"/>
        </w:rPr>
        <w:footnoteReference w:id="8"/>
      </w:r>
    </w:p>
    <w:p w:rsidR="00714C7D" w:rsidRDefault="006B3B25" w:rsidP="00714C7D">
      <w:pPr>
        <w:pStyle w:val="PwCNormal"/>
      </w:pPr>
      <w:r>
        <w:t xml:space="preserve">The </w:t>
      </w:r>
      <w:r w:rsidR="00094C88">
        <w:t xml:space="preserve">IGC </w:t>
      </w:r>
      <w:r>
        <w:t>examined all implementation and policy issues.</w:t>
      </w:r>
    </w:p>
    <w:p w:rsidR="001824CE" w:rsidRDefault="002515E6" w:rsidP="001824CE">
      <w:pPr>
        <w:pStyle w:val="Heading9"/>
      </w:pPr>
      <w:r>
        <w:t>Timing of release of P</w:t>
      </w:r>
      <w:r w:rsidR="001824CE">
        <w:t xml:space="preserve">rogram </w:t>
      </w:r>
      <w:r>
        <w:t>G</w:t>
      </w:r>
      <w:r w:rsidR="001824CE">
        <w:t xml:space="preserve">uidelines and </w:t>
      </w:r>
      <w:r w:rsidR="007455A5">
        <w:t xml:space="preserve">the </w:t>
      </w:r>
      <w:r w:rsidR="001824CE">
        <w:t>application process</w:t>
      </w:r>
    </w:p>
    <w:p w:rsidR="00B674A0" w:rsidRDefault="002515E6" w:rsidP="00B674A0">
      <w:pPr>
        <w:pStyle w:val="PwCNormal"/>
      </w:pPr>
      <w:r>
        <w:t>The Program G</w:t>
      </w:r>
      <w:r w:rsidR="00B674A0">
        <w:t xml:space="preserve">uidelines for the </w:t>
      </w:r>
      <w:r w:rsidR="001824CE">
        <w:t>EYQF</w:t>
      </w:r>
      <w:r w:rsidR="00B674A0">
        <w:t xml:space="preserve"> were published on</w:t>
      </w:r>
      <w:r w:rsidR="001824CE">
        <w:t xml:space="preserve"> the </w:t>
      </w:r>
      <w:r w:rsidR="00DF609E">
        <w:t xml:space="preserve">Department’s </w:t>
      </w:r>
      <w:r w:rsidR="001824CE">
        <w:t>website on Friday 19 </w:t>
      </w:r>
      <w:r w:rsidR="00B674A0">
        <w:t xml:space="preserve">July 2013 at 11am. </w:t>
      </w:r>
      <w:r w:rsidR="001824CE">
        <w:t xml:space="preserve">LDC providers and </w:t>
      </w:r>
      <w:r w:rsidR="00B674A0">
        <w:t xml:space="preserve">Advisory Board members were advised </w:t>
      </w:r>
      <w:r w:rsidR="00DF609E">
        <w:t xml:space="preserve">in advance </w:t>
      </w:r>
      <w:r w:rsidR="00B674A0">
        <w:t>via email that the Program Guidelines were going to be released that morning</w:t>
      </w:r>
      <w:r w:rsidR="001824CE">
        <w:t xml:space="preserve"> and that</w:t>
      </w:r>
      <w:r w:rsidR="00B674A0">
        <w:t xml:space="preserve"> </w:t>
      </w:r>
      <w:r w:rsidR="001824CE">
        <w:t xml:space="preserve">applications will </w:t>
      </w:r>
      <w:r w:rsidR="00B674A0">
        <w:t xml:space="preserve">open </w:t>
      </w:r>
      <w:r w:rsidR="001824CE">
        <w:t>from</w:t>
      </w:r>
      <w:r w:rsidR="00B674A0">
        <w:t xml:space="preserve"> 11am on </w:t>
      </w:r>
      <w:r w:rsidR="001824CE">
        <w:t xml:space="preserve">Tuesday </w:t>
      </w:r>
      <w:r w:rsidR="00B674A0">
        <w:t>23 July 2013.</w:t>
      </w:r>
    </w:p>
    <w:p w:rsidR="002E2052" w:rsidRDefault="009E4B4C" w:rsidP="002E2052">
      <w:pPr>
        <w:pStyle w:val="PwCNormal"/>
      </w:pPr>
      <w:r>
        <w:t xml:space="preserve">This </w:t>
      </w:r>
      <w:r w:rsidR="00B674A0">
        <w:t xml:space="preserve">short timeframe </w:t>
      </w:r>
      <w:r>
        <w:t xml:space="preserve">raised </w:t>
      </w:r>
      <w:r w:rsidR="002E2052">
        <w:t xml:space="preserve">concerns that the sector was not provided </w:t>
      </w:r>
      <w:r w:rsidR="00F34F3D">
        <w:t xml:space="preserve">with </w:t>
      </w:r>
      <w:r w:rsidR="002E2052">
        <w:t>sufficient time to absorb t</w:t>
      </w:r>
      <w:r w:rsidR="0018026E">
        <w:t>he information included in the g</w:t>
      </w:r>
      <w:r w:rsidR="002E2052">
        <w:t>uidelines and</w:t>
      </w:r>
      <w:r w:rsidR="0018026E">
        <w:t xml:space="preserve"> to</w:t>
      </w:r>
      <w:r w:rsidR="002E2052">
        <w:t xml:space="preserve"> seek clarification</w:t>
      </w:r>
      <w:r w:rsidR="00DC1D91">
        <w:t>s</w:t>
      </w:r>
      <w:r w:rsidR="002E2052">
        <w:t xml:space="preserve"> if required. It also placed pressure on providers to </w:t>
      </w:r>
      <w:r w:rsidR="0018026E">
        <w:t xml:space="preserve">compile the required information </w:t>
      </w:r>
      <w:r w:rsidR="00DC1D91">
        <w:t>with</w:t>
      </w:r>
      <w:r w:rsidR="0018026E">
        <w:t xml:space="preserve">in a </w:t>
      </w:r>
      <w:r>
        <w:t xml:space="preserve">very </w:t>
      </w:r>
      <w:r w:rsidR="0018026E">
        <w:t>short period of time.</w:t>
      </w:r>
      <w:r w:rsidR="00956ECA">
        <w:t xml:space="preserve"> </w:t>
      </w:r>
    </w:p>
    <w:p w:rsidR="0018026E" w:rsidRDefault="009E4B4C" w:rsidP="002E2052">
      <w:pPr>
        <w:pStyle w:val="PwCNormal"/>
      </w:pPr>
      <w:r>
        <w:t>M</w:t>
      </w:r>
      <w:r w:rsidR="0018026E">
        <w:t xml:space="preserve">any staff and centre directors </w:t>
      </w:r>
      <w:r w:rsidR="00DC1D91">
        <w:t xml:space="preserve">reported needing </w:t>
      </w:r>
      <w:r w:rsidR="0018026E">
        <w:t>to work over the weekend and after hours to compile the necessary information</w:t>
      </w:r>
      <w:r w:rsidR="00C443BF">
        <w:t xml:space="preserve"> for their application</w:t>
      </w:r>
      <w:r w:rsidR="0018026E">
        <w:t xml:space="preserve">. </w:t>
      </w:r>
      <w:r w:rsidR="00045B20">
        <w:t>For smaller providers</w:t>
      </w:r>
      <w:r w:rsidR="00DC1D91">
        <w:t>,</w:t>
      </w:r>
      <w:r w:rsidR="00045B20">
        <w:t xml:space="preserve"> this was a c</w:t>
      </w:r>
      <w:r w:rsidR="00DC1D91">
        <w:t>hallenging</w:t>
      </w:r>
      <w:r w:rsidR="00045B20">
        <w:t xml:space="preserve"> task </w:t>
      </w:r>
      <w:r w:rsidR="00DC1D91">
        <w:t>in</w:t>
      </w:r>
      <w:r w:rsidR="00045B20">
        <w:t xml:space="preserve"> understanding what was required and</w:t>
      </w:r>
      <w:r w:rsidR="00DC1D91">
        <w:t xml:space="preserve"> </w:t>
      </w:r>
      <w:r w:rsidR="00D73BD5">
        <w:t xml:space="preserve">in </w:t>
      </w:r>
      <w:r w:rsidR="00DC1D91">
        <w:t>determining</w:t>
      </w:r>
      <w:r w:rsidR="00045B20">
        <w:t xml:space="preserve"> where the information could be sourced. </w:t>
      </w:r>
      <w:r w:rsidR="00DC1D91">
        <w:t>T</w:t>
      </w:r>
      <w:r w:rsidR="00045B20">
        <w:t>he</w:t>
      </w:r>
      <w:r w:rsidR="0018026E">
        <w:t xml:space="preserve"> large</w:t>
      </w:r>
      <w:r w:rsidR="00045B20">
        <w:t>st</w:t>
      </w:r>
      <w:r w:rsidR="0018026E">
        <w:t xml:space="preserve"> providers were</w:t>
      </w:r>
      <w:r w:rsidR="00DC1D91">
        <w:t xml:space="preserve"> generally</w:t>
      </w:r>
      <w:r w:rsidR="0018026E">
        <w:t xml:space="preserve"> able to dedicate</w:t>
      </w:r>
      <w:r w:rsidR="00F34F3D">
        <w:t xml:space="preserve"> people</w:t>
      </w:r>
      <w:r w:rsidR="0018026E">
        <w:t xml:space="preserve"> to </w:t>
      </w:r>
      <w:r w:rsidR="00045B20">
        <w:t>compiling the required information, utilising resources across IT, legal and grants management. However, not all large providers were able to mobilise resources in this manner</w:t>
      </w:r>
      <w:r w:rsidR="00DC1D91">
        <w:t>,</w:t>
      </w:r>
      <w:r w:rsidR="00045B20">
        <w:t xml:space="preserve"> and </w:t>
      </w:r>
      <w:r w:rsidR="00DC1D91">
        <w:t xml:space="preserve">many </w:t>
      </w:r>
      <w:r w:rsidR="00045B20">
        <w:t xml:space="preserve">also found it to be a costly and complex process </w:t>
      </w:r>
      <w:r w:rsidR="00DF609E">
        <w:t>in terms of</w:t>
      </w:r>
      <w:r w:rsidR="00045B20">
        <w:t xml:space="preserve"> compil</w:t>
      </w:r>
      <w:r w:rsidR="00DF609E">
        <w:t>ing</w:t>
      </w:r>
      <w:r w:rsidR="00045B20">
        <w:t xml:space="preserve"> information across a number of services and locations</w:t>
      </w:r>
      <w:r w:rsidR="00D73BD5">
        <w:t xml:space="preserve"> within the</w:t>
      </w:r>
      <w:r w:rsidR="00DC1D91">
        <w:t xml:space="preserve"> tight timeframe</w:t>
      </w:r>
      <w:r w:rsidR="00045B20">
        <w:t>.</w:t>
      </w:r>
    </w:p>
    <w:p w:rsidR="00AD2EC8" w:rsidRDefault="00F37B3A" w:rsidP="00AD2EC8">
      <w:pPr>
        <w:pStyle w:val="PwCNormal"/>
      </w:pPr>
      <w:r>
        <w:t xml:space="preserve">Section 8.4 of the </w:t>
      </w:r>
      <w:r w:rsidR="00A3748E">
        <w:t xml:space="preserve">CGGs </w:t>
      </w:r>
      <w:r w:rsidR="006B3B25">
        <w:t>require</w:t>
      </w:r>
      <w:r w:rsidR="004F1BFB">
        <w:t>s</w:t>
      </w:r>
      <w:r w:rsidR="006B3B25">
        <w:t xml:space="preserve"> </w:t>
      </w:r>
      <w:r w:rsidR="001824CE">
        <w:t>a</w:t>
      </w:r>
      <w:r w:rsidR="00714C7D" w:rsidRPr="00714C7D">
        <w:t xml:space="preserve">gency staff </w:t>
      </w:r>
      <w:r w:rsidR="00AD2EC8">
        <w:t xml:space="preserve">to </w:t>
      </w:r>
      <w:r w:rsidR="00714C7D" w:rsidRPr="00714C7D">
        <w:t>choose methods that will promote open, transparent and equitable access to grants.</w:t>
      </w:r>
      <w:r w:rsidR="00AD2EC8">
        <w:t xml:space="preserve"> In particular, that ag</w:t>
      </w:r>
      <w:r w:rsidR="00714C7D" w:rsidRPr="00714C7D">
        <w:t>ency staff should ensure that publicly available grant opportunities are notified in ways that provide all potential grant applicants with reasonable opportunity to apply</w:t>
      </w:r>
      <w:r w:rsidR="00AD2EC8">
        <w:t>.</w:t>
      </w:r>
    </w:p>
    <w:p w:rsidR="006B3B25" w:rsidRDefault="004F1BFB" w:rsidP="00AD2EC8">
      <w:pPr>
        <w:pStyle w:val="PwCNormal"/>
      </w:pPr>
      <w:r>
        <w:t>T</w:t>
      </w:r>
      <w:r w:rsidR="00AD2EC8">
        <w:t xml:space="preserve">he Department </w:t>
      </w:r>
      <w:r w:rsidR="001824CE">
        <w:t>reports that for other programs</w:t>
      </w:r>
      <w:r>
        <w:t xml:space="preserve"> it administers</w:t>
      </w:r>
      <w:r w:rsidR="00AD2EC8">
        <w:t xml:space="preserve"> the period of time between the release of the documentation to ‘</w:t>
      </w:r>
      <w:r w:rsidR="00AD2EC8" w:rsidRPr="00DA68DA">
        <w:t>promote open, transparent and equitable access to grants</w:t>
      </w:r>
      <w:r w:rsidR="00AD2EC8">
        <w:t xml:space="preserve">’ and the opening of the grants process is usually three to </w:t>
      </w:r>
      <w:r w:rsidR="006B3B25">
        <w:t>four weeks</w:t>
      </w:r>
      <w:r w:rsidR="00AD2EC8">
        <w:t>.</w:t>
      </w:r>
    </w:p>
    <w:p w:rsidR="006B3B25" w:rsidRDefault="006B3B25" w:rsidP="006B3B25">
      <w:pPr>
        <w:pStyle w:val="PwCNormal"/>
      </w:pPr>
      <w:r>
        <w:t>Minutes from the final Advisory Board meeting indicate that</w:t>
      </w:r>
      <w:r w:rsidR="00AD2EC8">
        <w:t xml:space="preserve"> members considered that </w:t>
      </w:r>
      <w:r>
        <w:t xml:space="preserve">the sector </w:t>
      </w:r>
      <w:r w:rsidR="004F1BFB">
        <w:t xml:space="preserve">should </w:t>
      </w:r>
      <w:r>
        <w:t xml:space="preserve">have at least one to two weeks to consider the Program Guidelines and associated documentation </w:t>
      </w:r>
      <w:r w:rsidR="00AD2EC8">
        <w:t>before applications opened and that this was particularly important for small providers</w:t>
      </w:r>
      <w:r>
        <w:t>.</w:t>
      </w:r>
    </w:p>
    <w:p w:rsidR="00F34F3D" w:rsidRDefault="00417F74" w:rsidP="00417F74">
      <w:pPr>
        <w:pStyle w:val="PwCNormal"/>
      </w:pPr>
      <w:r>
        <w:t>T</w:t>
      </w:r>
      <w:r w:rsidR="00F34F3D">
        <w:t>here were a total of 453 applications</w:t>
      </w:r>
      <w:r w:rsidR="004E5E8A">
        <w:t xml:space="preserve"> </w:t>
      </w:r>
      <w:r w:rsidR="00D04B86">
        <w:t>that were assessed as meeting the assessment criteria</w:t>
      </w:r>
      <w:r w:rsidR="00F34F3D">
        <w:t>, all of which needed to have been submitted very rapidly, as illustrated by the following:</w:t>
      </w:r>
    </w:p>
    <w:p w:rsidR="00417F74" w:rsidRDefault="00127745" w:rsidP="00F34F3D">
      <w:pPr>
        <w:pStyle w:val="ListBullet"/>
        <w:tabs>
          <w:tab w:val="clear" w:pos="2836"/>
          <w:tab w:val="num" w:pos="567"/>
        </w:tabs>
        <w:ind w:left="567"/>
      </w:pPr>
      <w:r>
        <w:lastRenderedPageBreak/>
        <w:t>t</w:t>
      </w:r>
      <w:r w:rsidR="00417F74">
        <w:t>he funding cap of $300 million was reached within 13 hours of the application process opening (</w:t>
      </w:r>
      <w:r w:rsidR="00417F74" w:rsidRPr="008D362B">
        <w:t>a total of $297.4</w:t>
      </w:r>
      <w:r w:rsidR="008A0D77">
        <w:t xml:space="preserve"> </w:t>
      </w:r>
      <w:r w:rsidR="00417F74" w:rsidRPr="008D362B">
        <w:t>m</w:t>
      </w:r>
      <w:r w:rsidR="008A0D77">
        <w:t>illion</w:t>
      </w:r>
      <w:r w:rsidR="00417F74" w:rsidRPr="008D362B">
        <w:t xml:space="preserve"> was al</w:t>
      </w:r>
      <w:r w:rsidR="00417F74">
        <w:t>located aft</w:t>
      </w:r>
      <w:r>
        <w:t>er adjustments and corrections)</w:t>
      </w:r>
    </w:p>
    <w:p w:rsidR="00417F74" w:rsidRDefault="00417F74" w:rsidP="00127745">
      <w:pPr>
        <w:pStyle w:val="ListBullet"/>
        <w:tabs>
          <w:tab w:val="clear" w:pos="2836"/>
          <w:tab w:val="num" w:pos="567"/>
        </w:tabs>
        <w:ind w:left="567"/>
      </w:pPr>
      <w:r>
        <w:t>over 80 per cent of the funding for large providers was exhausted within the first hour due to</w:t>
      </w:r>
      <w:r w:rsidR="00F34F3D">
        <w:t xml:space="preserve"> a single</w:t>
      </w:r>
      <w:r>
        <w:t xml:space="preserve"> application from the largest service provider</w:t>
      </w:r>
      <w:r w:rsidR="00F20C76">
        <w:t>, the total pool was exhausted within three hours</w:t>
      </w:r>
    </w:p>
    <w:p w:rsidR="00417F74" w:rsidRDefault="00417F74" w:rsidP="00127745">
      <w:pPr>
        <w:pStyle w:val="ListBullet"/>
        <w:tabs>
          <w:tab w:val="clear" w:pos="2836"/>
          <w:tab w:val="num" w:pos="567"/>
        </w:tabs>
        <w:ind w:left="567"/>
      </w:pPr>
      <w:r>
        <w:t xml:space="preserve">over 80 per cent of the funding pool for small providers was exhausted within </w:t>
      </w:r>
      <w:r w:rsidR="00F20C76">
        <w:t>five</w:t>
      </w:r>
      <w:r w:rsidR="00B71FAA">
        <w:t xml:space="preserve"> hours of applications opening</w:t>
      </w:r>
      <w:r w:rsidR="00F20C76">
        <w:t>, the total pool was exhausted within 13 hours</w:t>
      </w:r>
    </w:p>
    <w:p w:rsidR="00B71FAA" w:rsidRDefault="00F20C76" w:rsidP="00127745">
      <w:pPr>
        <w:pStyle w:val="ListBullet"/>
        <w:tabs>
          <w:tab w:val="clear" w:pos="2836"/>
          <w:tab w:val="num" w:pos="567"/>
        </w:tabs>
        <w:ind w:left="567"/>
      </w:pPr>
      <w:proofErr w:type="gramStart"/>
      <w:r>
        <w:t>twelve</w:t>
      </w:r>
      <w:proofErr w:type="gramEnd"/>
      <w:r w:rsidR="00B71FAA">
        <w:t xml:space="preserve"> funding agreements were executed on 6 September 2013.</w:t>
      </w:r>
      <w:r w:rsidR="009B17EC">
        <w:t xml:space="preserve"> PwC notes </w:t>
      </w:r>
      <w:r w:rsidR="00A5160F">
        <w:t xml:space="preserve">that </w:t>
      </w:r>
      <w:r w:rsidR="009B17EC">
        <w:t xml:space="preserve">this </w:t>
      </w:r>
      <w:r w:rsidR="00A5160F">
        <w:t>agreement execution occurred</w:t>
      </w:r>
      <w:r w:rsidR="009B17EC">
        <w:t xml:space="preserve"> during the </w:t>
      </w:r>
      <w:r w:rsidR="00A5160F">
        <w:t xml:space="preserve">Federal election </w:t>
      </w:r>
      <w:r w:rsidR="009B17EC">
        <w:t>caretaker period.</w:t>
      </w:r>
    </w:p>
    <w:p w:rsidR="007455A5" w:rsidRDefault="007455A5" w:rsidP="007455A5">
      <w:pPr>
        <w:pStyle w:val="PwCNormal"/>
      </w:pPr>
      <w:r>
        <w:t>Documentation on the assessment process indicates that a</w:t>
      </w:r>
      <w:r w:rsidRPr="00714C7D">
        <w:t xml:space="preserve"> large proportion of</w:t>
      </w:r>
      <w:r>
        <w:t xml:space="preserve"> the</w:t>
      </w:r>
      <w:r w:rsidRPr="00714C7D">
        <w:t xml:space="preserve"> providers given conditional offers of funding </w:t>
      </w:r>
      <w:r>
        <w:t xml:space="preserve">identified that they </w:t>
      </w:r>
      <w:r w:rsidRPr="00714C7D">
        <w:t>are already meeting the</w:t>
      </w:r>
      <w:r>
        <w:t xml:space="preserve"> NQF</w:t>
      </w:r>
      <w:r w:rsidRPr="00714C7D">
        <w:t xml:space="preserve"> qualification requirements</w:t>
      </w:r>
      <w:r>
        <w:t>. Data provided by the Department indicates that 67 per cent of services from small providers declared they were currently meeting the qualification requirements and less than 1 per cent of applications from large providers identified that their services did not currently have</w:t>
      </w:r>
      <w:r w:rsidR="00551484">
        <w:t xml:space="preserve"> early childhood teacher (</w:t>
      </w:r>
      <w:r>
        <w:t>ECT</w:t>
      </w:r>
      <w:r w:rsidR="00551484">
        <w:t>)</w:t>
      </w:r>
      <w:r>
        <w:t xml:space="preserve">. This outcome highlights that the EYQF </w:t>
      </w:r>
      <w:r w:rsidR="00DF609E">
        <w:t>did not effectively target</w:t>
      </w:r>
      <w:r>
        <w:t xml:space="preserve"> services that</w:t>
      </w:r>
      <w:r w:rsidR="00DF609E">
        <w:t xml:space="preserve"> we</w:t>
      </w:r>
      <w:r>
        <w:t>re struggling to meet the NQF qualification requirements.</w:t>
      </w:r>
    </w:p>
    <w:p w:rsidR="003F040A" w:rsidRDefault="003F040A" w:rsidP="003F040A">
      <w:pPr>
        <w:pStyle w:val="Heading9"/>
      </w:pPr>
      <w:r>
        <w:t>Advisory Board</w:t>
      </w:r>
    </w:p>
    <w:p w:rsidR="00C143E0" w:rsidRDefault="00C143E0" w:rsidP="00C143E0">
      <w:pPr>
        <w:pStyle w:val="PwCNormal"/>
      </w:pPr>
      <w:r>
        <w:t xml:space="preserve">An Advisory Board was established to </w:t>
      </w:r>
      <w:r w:rsidR="00F34F3D">
        <w:t>provide advice on</w:t>
      </w:r>
      <w:r>
        <w:t xml:space="preserve"> the implementation of the EYQF and on the content and operation of the Program Guidelines for the EYQF.</w:t>
      </w:r>
    </w:p>
    <w:p w:rsidR="00045B20" w:rsidRDefault="00045B20" w:rsidP="00C143E0">
      <w:pPr>
        <w:pStyle w:val="PwCNormal"/>
      </w:pPr>
      <w:r>
        <w:t xml:space="preserve">The composition of the Board was determined by the Minister with the objective </w:t>
      </w:r>
      <w:r w:rsidR="00DC1D91">
        <w:t>of being</w:t>
      </w:r>
      <w:r>
        <w:t xml:space="preserve"> representative across the ECEC sector. However, the composition of the Board has been criticised </w:t>
      </w:r>
      <w:r w:rsidR="00160DDB">
        <w:t xml:space="preserve">by peak bodies </w:t>
      </w:r>
      <w:r>
        <w:t>as it included representatives from large service providers that were also potential recipients of the EYQF</w:t>
      </w:r>
      <w:r w:rsidR="00DC1D91">
        <w:t xml:space="preserve">. These large providers </w:t>
      </w:r>
      <w:r>
        <w:t>were among the first providers to submit their applications after the opening time of 11am Tuesday 2</w:t>
      </w:r>
      <w:r w:rsidR="00160DDB">
        <w:t>3 July</w:t>
      </w:r>
      <w:r w:rsidR="00DC1D91">
        <w:t xml:space="preserve">. </w:t>
      </w:r>
      <w:r w:rsidR="004E5E8A">
        <w:t>The quantum of funds sought by one of these providers equated to 45 per cent of the total funding allocated</w:t>
      </w:r>
      <w:r w:rsidR="00160DDB">
        <w:t>.</w:t>
      </w:r>
      <w:r w:rsidR="00DC1D91">
        <w:t xml:space="preserve"> </w:t>
      </w:r>
    </w:p>
    <w:p w:rsidR="00714C7D" w:rsidRDefault="00160DDB" w:rsidP="004F1BFB">
      <w:pPr>
        <w:pStyle w:val="PwCNormal"/>
      </w:pPr>
      <w:r>
        <w:t xml:space="preserve">As observed above, </w:t>
      </w:r>
      <w:r w:rsidR="00DC1D91">
        <w:t xml:space="preserve">the larger service providers </w:t>
      </w:r>
      <w:r w:rsidR="00D73BD5">
        <w:t xml:space="preserve">would </w:t>
      </w:r>
      <w:r w:rsidR="00DC1D91">
        <w:t>in any case</w:t>
      </w:r>
      <w:r w:rsidR="00F34F3D">
        <w:t xml:space="preserve"> </w:t>
      </w:r>
      <w:r w:rsidR="00511062">
        <w:t xml:space="preserve">likely </w:t>
      </w:r>
      <w:r w:rsidR="00F34F3D">
        <w:t>have</w:t>
      </w:r>
      <w:r w:rsidR="00DC1D91">
        <w:t xml:space="preserve"> had the capabilities and </w:t>
      </w:r>
      <w:r>
        <w:t xml:space="preserve">resourcing to </w:t>
      </w:r>
      <w:r w:rsidR="00DC1D91">
        <w:t xml:space="preserve">interpret the guidelines and to </w:t>
      </w:r>
      <w:r>
        <w:t>compile the</w:t>
      </w:r>
      <w:r w:rsidR="00DC1D91">
        <w:t xml:space="preserve"> necessary</w:t>
      </w:r>
      <w:r>
        <w:t xml:space="preserve"> information for </w:t>
      </w:r>
      <w:r w:rsidR="00DC1D91">
        <w:t xml:space="preserve">an </w:t>
      </w:r>
      <w:r>
        <w:t xml:space="preserve">application </w:t>
      </w:r>
      <w:r w:rsidR="00DC1D91">
        <w:t>within a tight timeframe. N</w:t>
      </w:r>
      <w:r>
        <w:t xml:space="preserve">o evidence has been presented in this review that indicates the two </w:t>
      </w:r>
      <w:r w:rsidR="00DC1D91">
        <w:t xml:space="preserve">large </w:t>
      </w:r>
      <w:r>
        <w:t>providers</w:t>
      </w:r>
      <w:r w:rsidR="00F34F3D">
        <w:t xml:space="preserve"> on the Board</w:t>
      </w:r>
      <w:r>
        <w:t xml:space="preserve"> benefited</w:t>
      </w:r>
      <w:r w:rsidR="00DC1D91">
        <w:t xml:space="preserve"> in any additional way</w:t>
      </w:r>
      <w:r>
        <w:t xml:space="preserve"> from </w:t>
      </w:r>
      <w:r w:rsidR="00DC1D91">
        <w:t xml:space="preserve">having </w:t>
      </w:r>
      <w:r>
        <w:t>represent</w:t>
      </w:r>
      <w:r w:rsidR="00FB7A45">
        <w:t>ation</w:t>
      </w:r>
      <w:r>
        <w:t xml:space="preserve"> on the Board</w:t>
      </w:r>
      <w:r w:rsidR="00825B46">
        <w:t>, and no adverse finding is made in this report</w:t>
      </w:r>
      <w:r>
        <w:t xml:space="preserve">. </w:t>
      </w:r>
    </w:p>
    <w:p w:rsidR="00357779" w:rsidRDefault="00357779" w:rsidP="00357779">
      <w:pPr>
        <w:pStyle w:val="PwCNormal"/>
      </w:pPr>
      <w:r>
        <w:t xml:space="preserve">The original intention was that Advisory Board </w:t>
      </w:r>
      <w:r w:rsidR="004F1BFB">
        <w:t>m</w:t>
      </w:r>
      <w:r>
        <w:t>embers would operate in their personal capacity as experts within the sector with specific knowledge to assist with implementation. Having members operate in their personal capacity was to minimise potential conflicts of interest. However, it was subsequently decided that substitute members could be drawn from their organisation. Except for one member, every member was represented by a substitute member at least once.</w:t>
      </w:r>
    </w:p>
    <w:p w:rsidR="004F1BFB" w:rsidRDefault="007B51F8" w:rsidP="00714C7D">
      <w:pPr>
        <w:pStyle w:val="ListBullet"/>
        <w:numPr>
          <w:ilvl w:val="0"/>
          <w:numId w:val="0"/>
        </w:numPr>
        <w:spacing w:after="120"/>
      </w:pPr>
      <w:r>
        <w:t>Minutes from Advisory Board meetings indicate that members were</w:t>
      </w:r>
      <w:r w:rsidR="004F1BFB">
        <w:t xml:space="preserve"> </w:t>
      </w:r>
      <w:r>
        <w:t>aware of potential for conflict of interest issues and</w:t>
      </w:r>
      <w:r w:rsidR="00DA6118">
        <w:t xml:space="preserve"> m</w:t>
      </w:r>
      <w:r>
        <w:t xml:space="preserve">embers </w:t>
      </w:r>
      <w:r w:rsidR="00845976">
        <w:t xml:space="preserve">or </w:t>
      </w:r>
      <w:r w:rsidR="00357779">
        <w:t>substitute</w:t>
      </w:r>
      <w:r w:rsidR="00845976">
        <w:t xml:space="preserve"> members were advised that they </w:t>
      </w:r>
      <w:r w:rsidR="00DA6118">
        <w:t xml:space="preserve">should not </w:t>
      </w:r>
      <w:r w:rsidR="00845976">
        <w:t xml:space="preserve">be involved </w:t>
      </w:r>
      <w:r w:rsidR="00357779">
        <w:t xml:space="preserve">or </w:t>
      </w:r>
      <w:r>
        <w:t>assist</w:t>
      </w:r>
      <w:r w:rsidR="00357779">
        <w:t xml:space="preserve"> with </w:t>
      </w:r>
      <w:r>
        <w:t>the preparation of applications</w:t>
      </w:r>
      <w:r w:rsidR="00DA6118">
        <w:t xml:space="preserve"> before the opening date of the EYQF</w:t>
      </w:r>
      <w:r>
        <w:t xml:space="preserve"> </w:t>
      </w:r>
      <w:r w:rsidR="00845976">
        <w:t xml:space="preserve">or </w:t>
      </w:r>
      <w:r>
        <w:t>use</w:t>
      </w:r>
      <w:r w:rsidR="00DF609E">
        <w:t xml:space="preserve"> any</w:t>
      </w:r>
      <w:r>
        <w:t xml:space="preserve"> information gained from participation in meetings. An external probity adviser was engaged </w:t>
      </w:r>
      <w:r w:rsidR="00ED7461">
        <w:t xml:space="preserve">by the Department </w:t>
      </w:r>
      <w:r>
        <w:t>to provide further advice on this and other issues.</w:t>
      </w:r>
      <w:r w:rsidR="00C57D16">
        <w:t xml:space="preserve"> </w:t>
      </w:r>
    </w:p>
    <w:p w:rsidR="00714C7D" w:rsidRDefault="007B51F8" w:rsidP="00714C7D">
      <w:pPr>
        <w:pStyle w:val="ListBullet"/>
        <w:numPr>
          <w:ilvl w:val="0"/>
          <w:numId w:val="0"/>
        </w:numPr>
        <w:spacing w:after="120"/>
      </w:pPr>
      <w:r>
        <w:t>Regardless of these measures, it seems unlikely that this will alleviate the perceptions regarding bia</w:t>
      </w:r>
      <w:r w:rsidR="00295613">
        <w:t>s, particularly that</w:t>
      </w:r>
      <w:r w:rsidR="004F1BFB">
        <w:t xml:space="preserve"> of</w:t>
      </w:r>
      <w:r>
        <w:t xml:space="preserve"> the three large providers that were given conditional offers of funding, two of those had representatives on the Board.</w:t>
      </w:r>
    </w:p>
    <w:p w:rsidR="00714C7D" w:rsidRDefault="00B674A0" w:rsidP="00714C7D">
      <w:pPr>
        <w:pStyle w:val="PwCNormal"/>
      </w:pPr>
      <w:r>
        <w:t xml:space="preserve">There was extensive discussion about </w:t>
      </w:r>
      <w:r w:rsidR="00845976">
        <w:t>the equitable distribution of funds</w:t>
      </w:r>
      <w:r w:rsidR="004F1BFB">
        <w:t xml:space="preserve"> under the EYQF</w:t>
      </w:r>
      <w:r w:rsidR="00845976">
        <w:t>. Several options were considered, including jurisdictional or geographical splits.</w:t>
      </w:r>
    </w:p>
    <w:p w:rsidR="00295613" w:rsidRDefault="00295613" w:rsidP="00B674A0">
      <w:pPr>
        <w:pStyle w:val="PwCNormal"/>
      </w:pPr>
      <w:r>
        <w:lastRenderedPageBreak/>
        <w:t>T</w:t>
      </w:r>
      <w:r w:rsidR="00845976">
        <w:t>he original application process was to require service by service applications</w:t>
      </w:r>
      <w:r>
        <w:t>, as recommended by the IGC</w:t>
      </w:r>
      <w:r w:rsidR="00845976">
        <w:t>.</w:t>
      </w:r>
      <w:r w:rsidR="004F1BFB">
        <w:t xml:space="preserve"> Several Advisory Board members were concerned that this would create complexity for those providers operating multiple services</w:t>
      </w:r>
      <w:r>
        <w:t xml:space="preserve"> that were covered by one enterprise agreement. Therefore, the Board suggested allowing multi-service providers to submit a single application.</w:t>
      </w:r>
    </w:p>
    <w:p w:rsidR="00045B20" w:rsidRDefault="00295613" w:rsidP="00B674A0">
      <w:pPr>
        <w:pStyle w:val="PwCNormal"/>
      </w:pPr>
      <w:r>
        <w:t>However, t</w:t>
      </w:r>
      <w:r w:rsidR="00511062">
        <w:t xml:space="preserve">he </w:t>
      </w:r>
      <w:r w:rsidR="00160DDB">
        <w:t>Board recognised the potential for large providers to be the main beneficiaries of the EYQF</w:t>
      </w:r>
      <w:r w:rsidR="00347DF6">
        <w:t xml:space="preserve"> </w:t>
      </w:r>
      <w:r w:rsidR="00511062">
        <w:t xml:space="preserve">if the application process allowed a </w:t>
      </w:r>
      <w:r>
        <w:t xml:space="preserve">multi-service </w:t>
      </w:r>
      <w:r w:rsidR="00511062">
        <w:t xml:space="preserve">provider to </w:t>
      </w:r>
      <w:r>
        <w:t xml:space="preserve">submit a single application </w:t>
      </w:r>
      <w:r w:rsidR="00347DF6">
        <w:t>due to their ability to mobilise resources to submit applications</w:t>
      </w:r>
      <w:r w:rsidR="00511062">
        <w:t xml:space="preserve">. </w:t>
      </w:r>
      <w:r w:rsidR="00A62132">
        <w:t xml:space="preserve">The Advisory Board did consider options to </w:t>
      </w:r>
      <w:r w:rsidR="003A4BF8">
        <w:t>improve equity</w:t>
      </w:r>
      <w:r w:rsidR="00A62132">
        <w:t xml:space="preserve"> including recommending that the funding be split into two funding pools</w:t>
      </w:r>
      <w:r w:rsidR="00EC4A95">
        <w:t xml:space="preserve"> (large providers and small </w:t>
      </w:r>
      <w:r w:rsidR="007B5D70">
        <w:t>providers</w:t>
      </w:r>
      <w:r w:rsidR="00EC4A95">
        <w:t>)</w:t>
      </w:r>
      <w:r w:rsidR="00A62132">
        <w:t>. The final Program Guidelines indicate that</w:t>
      </w:r>
      <w:r w:rsidR="00C97092">
        <w:t>:</w:t>
      </w:r>
    </w:p>
    <w:p w:rsidR="00C97092" w:rsidRDefault="004D4C72" w:rsidP="00C97092">
      <w:pPr>
        <w:pStyle w:val="ListBullet"/>
        <w:tabs>
          <w:tab w:val="clear" w:pos="2836"/>
          <w:tab w:val="num" w:pos="567"/>
        </w:tabs>
        <w:ind w:left="567"/>
      </w:pPr>
      <w:r>
        <w:t>50</w:t>
      </w:r>
      <w:r w:rsidR="00C97092">
        <w:t xml:space="preserve"> per cent of the total funds were allocated for large </w:t>
      </w:r>
      <w:r w:rsidR="008C2464">
        <w:t xml:space="preserve">providers, which </w:t>
      </w:r>
      <w:r w:rsidR="002B31C2">
        <w:t>represent</w:t>
      </w:r>
      <w:r w:rsidR="008C2464">
        <w:t xml:space="preserve"> 1</w:t>
      </w:r>
      <w:r w:rsidR="00A62132">
        <w:t>9</w:t>
      </w:r>
      <w:r w:rsidR="008C2464">
        <w:t> per </w:t>
      </w:r>
      <w:r w:rsidR="00C97092">
        <w:t>cent of the sector</w:t>
      </w:r>
      <w:r w:rsidR="00AE3657">
        <w:rPr>
          <w:rStyle w:val="FootnoteReference"/>
        </w:rPr>
        <w:footnoteReference w:id="9"/>
      </w:r>
    </w:p>
    <w:p w:rsidR="00C97092" w:rsidRDefault="00C97092" w:rsidP="00C97092">
      <w:pPr>
        <w:pStyle w:val="ListBullet"/>
        <w:tabs>
          <w:tab w:val="clear" w:pos="2836"/>
          <w:tab w:val="num" w:pos="567"/>
        </w:tabs>
        <w:ind w:left="567"/>
      </w:pPr>
      <w:proofErr w:type="gramStart"/>
      <w:r>
        <w:t>the</w:t>
      </w:r>
      <w:proofErr w:type="gramEnd"/>
      <w:r>
        <w:t xml:space="preserve"> other 50 per cent of the total funds were allocated for small providers which </w:t>
      </w:r>
      <w:r w:rsidR="002B31C2">
        <w:t>represent</w:t>
      </w:r>
      <w:r>
        <w:t xml:space="preserve"> 8</w:t>
      </w:r>
      <w:r w:rsidR="00A62132">
        <w:t>1</w:t>
      </w:r>
      <w:r>
        <w:t xml:space="preserve"> per cent of the sector</w:t>
      </w:r>
      <w:r w:rsidR="00AE3657">
        <w:rPr>
          <w:rStyle w:val="FootnoteReference"/>
        </w:rPr>
        <w:footnoteReference w:id="10"/>
      </w:r>
      <w:r>
        <w:t>.</w:t>
      </w:r>
    </w:p>
    <w:p w:rsidR="006B49B2" w:rsidRDefault="00AE3657" w:rsidP="006B49B2">
      <w:pPr>
        <w:pStyle w:val="PwCNormal"/>
      </w:pPr>
      <w:r>
        <w:t xml:space="preserve">Minutes from an </w:t>
      </w:r>
      <w:r w:rsidR="006B49B2">
        <w:t>Adv</w:t>
      </w:r>
      <w:r w:rsidR="008C2464">
        <w:t>isory Board meeting show that the Board</w:t>
      </w:r>
      <w:r w:rsidR="006B49B2">
        <w:t xml:space="preserve"> considered </w:t>
      </w:r>
      <w:r w:rsidR="00490261">
        <w:t>splitting the pools into amounts that were more aligned to their representation of the sector i.e. 1</w:t>
      </w:r>
      <w:r w:rsidR="00F00207">
        <w:t>9</w:t>
      </w:r>
      <w:r w:rsidR="00490261">
        <w:t xml:space="preserve"> per </w:t>
      </w:r>
      <w:r w:rsidR="004D4C72">
        <w:t xml:space="preserve">cent </w:t>
      </w:r>
      <w:r w:rsidR="00490261">
        <w:t>of the pool ($5</w:t>
      </w:r>
      <w:r w:rsidR="00F00207">
        <w:t>7</w:t>
      </w:r>
      <w:r w:rsidR="00490261">
        <w:t xml:space="preserve"> million) should be allocated for larger providers. However, the Department reports that this was not supported by the Board as they recognised that </w:t>
      </w:r>
      <w:r w:rsidR="009360EB">
        <w:t>$5</w:t>
      </w:r>
      <w:r w:rsidR="00F00207">
        <w:t>7</w:t>
      </w:r>
      <w:r w:rsidR="009360EB">
        <w:t xml:space="preserve"> million was not sufficient to fund an application from the largest service provider.</w:t>
      </w:r>
    </w:p>
    <w:p w:rsidR="00E4054C" w:rsidRDefault="00E4054C" w:rsidP="003F040A">
      <w:pPr>
        <w:pStyle w:val="Heading9"/>
      </w:pPr>
      <w:r>
        <w:t>Department</w:t>
      </w:r>
      <w:r w:rsidR="003F040A">
        <w:t xml:space="preserve"> of Education</w:t>
      </w:r>
    </w:p>
    <w:p w:rsidR="006B3B25" w:rsidRDefault="006B3B25" w:rsidP="006B3B25">
      <w:pPr>
        <w:pStyle w:val="PwCNormal"/>
      </w:pPr>
      <w:r>
        <w:t>The time taken to settle the detail of the policy of the EYQF meant that little information could be released by the Department in the period between when the policy was announced by t</w:t>
      </w:r>
      <w:r w:rsidR="002515E6">
        <w:t xml:space="preserve">he Minister </w:t>
      </w:r>
      <w:r w:rsidR="00F00207">
        <w:t xml:space="preserve">on 19 March 2013 </w:t>
      </w:r>
      <w:r w:rsidR="002515E6">
        <w:t>and when the P</w:t>
      </w:r>
      <w:r>
        <w:t xml:space="preserve">rogram </w:t>
      </w:r>
      <w:r w:rsidR="002515E6">
        <w:t>G</w:t>
      </w:r>
      <w:r>
        <w:t>uidelines were released</w:t>
      </w:r>
      <w:r w:rsidR="00F00207">
        <w:t xml:space="preserve"> on 19 July 2013</w:t>
      </w:r>
      <w:r>
        <w:t>. This constrained the ability of the Department to effectively communicate with the sector.</w:t>
      </w:r>
    </w:p>
    <w:p w:rsidR="00E4054C" w:rsidRDefault="003F040A" w:rsidP="003F040A">
      <w:pPr>
        <w:pStyle w:val="ListBullet"/>
        <w:numPr>
          <w:ilvl w:val="0"/>
          <w:numId w:val="0"/>
        </w:numPr>
      </w:pPr>
      <w:r>
        <w:t>A consistent message through</w:t>
      </w:r>
      <w:r w:rsidR="00F34F3D">
        <w:t>out the</w:t>
      </w:r>
      <w:r>
        <w:t xml:space="preserve"> consultations and</w:t>
      </w:r>
      <w:r w:rsidR="00EA6AF9">
        <w:t xml:space="preserve"> the</w:t>
      </w:r>
      <w:r>
        <w:t xml:space="preserve"> review of</w:t>
      </w:r>
      <w:r w:rsidR="00EA6AF9">
        <w:t xml:space="preserve"> available</w:t>
      </w:r>
      <w:r>
        <w:t xml:space="preserve"> documentation was that the Department performed with integrity, undertook due diligence and worked</w:t>
      </w:r>
      <w:r w:rsidR="00E4054C">
        <w:t xml:space="preserve"> to improve the equity of the </w:t>
      </w:r>
      <w:r>
        <w:t>EYQF</w:t>
      </w:r>
      <w:r w:rsidR="009E4B4C">
        <w:t>.</w:t>
      </w:r>
      <w:r>
        <w:t xml:space="preserve"> </w:t>
      </w:r>
      <w:r w:rsidR="009E4B4C">
        <w:t>However, it was clear that the Department</w:t>
      </w:r>
      <w:r w:rsidR="00EA6AF9">
        <w:t xml:space="preserve"> was</w:t>
      </w:r>
      <w:r w:rsidR="00E4054C">
        <w:t xml:space="preserve"> </w:t>
      </w:r>
      <w:r w:rsidR="00F34F3D">
        <w:t xml:space="preserve">significantly </w:t>
      </w:r>
      <w:r w:rsidR="00E4054C">
        <w:t xml:space="preserve">constrained by </w:t>
      </w:r>
      <w:r>
        <w:t xml:space="preserve">the </w:t>
      </w:r>
      <w:r w:rsidR="00E4054C">
        <w:t>policy parameters</w:t>
      </w:r>
      <w:r w:rsidR="00825B46">
        <w:t xml:space="preserve"> and the tight timeframe</w:t>
      </w:r>
      <w:r w:rsidR="00C91337">
        <w:t>.</w:t>
      </w:r>
      <w:r w:rsidR="004A57C3">
        <w:t xml:space="preserve"> </w:t>
      </w:r>
    </w:p>
    <w:p w:rsidR="00EA6AF9" w:rsidRDefault="003F040A" w:rsidP="003F040A">
      <w:pPr>
        <w:pStyle w:val="ListBullet"/>
        <w:numPr>
          <w:ilvl w:val="0"/>
          <w:numId w:val="0"/>
        </w:numPr>
      </w:pPr>
      <w:r>
        <w:t xml:space="preserve">The sector raised concerns </w:t>
      </w:r>
      <w:r w:rsidR="008B1B33">
        <w:t>in relation to</w:t>
      </w:r>
      <w:r>
        <w:t xml:space="preserve"> the Department</w:t>
      </w:r>
      <w:r w:rsidR="00EA6AF9">
        <w:t>’s response</w:t>
      </w:r>
      <w:r>
        <w:t xml:space="preserve"> to requests for further information prior to releas</w:t>
      </w:r>
      <w:r w:rsidR="00EA6AF9">
        <w:t>e of the Program Guidelines,</w:t>
      </w:r>
      <w:r>
        <w:t xml:space="preserve"> </w:t>
      </w:r>
      <w:r w:rsidR="009E4B4C">
        <w:t>particularly</w:t>
      </w:r>
      <w:r>
        <w:t xml:space="preserve"> when</w:t>
      </w:r>
      <w:r w:rsidR="00EA6AF9">
        <w:t xml:space="preserve"> the sector reported </w:t>
      </w:r>
      <w:r>
        <w:t xml:space="preserve">being provided </w:t>
      </w:r>
      <w:r w:rsidR="00EA6AF9">
        <w:t xml:space="preserve">information </w:t>
      </w:r>
      <w:r>
        <w:t>by other sources</w:t>
      </w:r>
      <w:r w:rsidR="00EA6AF9">
        <w:t xml:space="preserve"> which </w:t>
      </w:r>
      <w:r w:rsidR="00C91337">
        <w:t>suggested there was</w:t>
      </w:r>
      <w:r w:rsidR="008B1B33">
        <w:t xml:space="preserve"> a </w:t>
      </w:r>
      <w:r w:rsidR="00EA6AF9">
        <w:t>req</w:t>
      </w:r>
      <w:r w:rsidR="009E4B4C">
        <w:t>uirement for union membership.</w:t>
      </w:r>
    </w:p>
    <w:p w:rsidR="00FB7A45" w:rsidRDefault="00C83212" w:rsidP="003F040A">
      <w:pPr>
        <w:pStyle w:val="ListBullet"/>
        <w:numPr>
          <w:ilvl w:val="0"/>
          <w:numId w:val="0"/>
        </w:numPr>
      </w:pPr>
      <w:r>
        <w:t xml:space="preserve">The Department </w:t>
      </w:r>
      <w:r w:rsidR="00C91337">
        <w:t xml:space="preserve">published on its website </w:t>
      </w:r>
      <w:r>
        <w:t>a set of Frequently Asked Questions</w:t>
      </w:r>
      <w:r w:rsidR="00AA5092">
        <w:t xml:space="preserve"> (FAQs)</w:t>
      </w:r>
      <w:r>
        <w:t xml:space="preserve"> to coincide with the Minister’s announcement on 19 March</w:t>
      </w:r>
      <w:r w:rsidR="003D4C2C">
        <w:t xml:space="preserve"> 2013</w:t>
      </w:r>
      <w:r w:rsidR="008B1B33">
        <w:t>. However</w:t>
      </w:r>
      <w:r>
        <w:t xml:space="preserve">, these could have been distributed more widely or updated </w:t>
      </w:r>
      <w:r w:rsidR="009E4B4C">
        <w:t xml:space="preserve">more </w:t>
      </w:r>
      <w:r>
        <w:t xml:space="preserve">frequently, as some issues, while addressed in the FAQs from the outset, </w:t>
      </w:r>
      <w:r w:rsidR="009E4B4C">
        <w:t>continued to cause</w:t>
      </w:r>
      <w:r>
        <w:t xml:space="preserve"> concern for the sector.</w:t>
      </w:r>
      <w:r w:rsidR="008C2464">
        <w:t xml:space="preserve"> </w:t>
      </w:r>
      <w:r w:rsidR="00AE3657">
        <w:t>T</w:t>
      </w:r>
      <w:r w:rsidR="00FB7A45">
        <w:t xml:space="preserve">he Department </w:t>
      </w:r>
      <w:r w:rsidR="00AE3657">
        <w:t xml:space="preserve">has </w:t>
      </w:r>
      <w:r w:rsidR="00C91337">
        <w:t xml:space="preserve">indicated it </w:t>
      </w:r>
      <w:r w:rsidR="00FB7A45">
        <w:t>was constrained in its ability to issue further communications with the sector as the Advisory Board was not established until two months after the policy announcement to consider policy issues, approve guidelines and approve communications to the sector.</w:t>
      </w:r>
    </w:p>
    <w:p w:rsidR="00E4054C" w:rsidRDefault="00C83212" w:rsidP="00C83212">
      <w:pPr>
        <w:pStyle w:val="ListBullet"/>
        <w:numPr>
          <w:ilvl w:val="0"/>
          <w:numId w:val="0"/>
        </w:numPr>
      </w:pPr>
      <w:r>
        <w:t xml:space="preserve">It is important to note that </w:t>
      </w:r>
      <w:r w:rsidR="00E4054C">
        <w:t xml:space="preserve">PwC has not been able to review the advice provided </w:t>
      </w:r>
      <w:r>
        <w:t xml:space="preserve">by the Department to the </w:t>
      </w:r>
      <w:r w:rsidR="009E4B4C">
        <w:t xml:space="preserve">Government </w:t>
      </w:r>
      <w:r w:rsidR="001314D7">
        <w:t>a</w:t>
      </w:r>
      <w:r w:rsidR="00776764">
        <w:t xml:space="preserve">s it </w:t>
      </w:r>
      <w:r w:rsidR="001314D7">
        <w:t xml:space="preserve">is </w:t>
      </w:r>
      <w:r w:rsidR="001314D7" w:rsidRPr="00CD4BE9">
        <w:t xml:space="preserve">contrary to convention to release documents </w:t>
      </w:r>
      <w:r w:rsidR="001314D7" w:rsidRPr="00CD4BE9">
        <w:lastRenderedPageBreak/>
        <w:t>recording the deliberations of a former Minister to a new Minister where there has been a change of government</w:t>
      </w:r>
      <w:r w:rsidR="008B1B33">
        <w:t xml:space="preserve">. As a result, </w:t>
      </w:r>
      <w:r>
        <w:t xml:space="preserve">this review </w:t>
      </w:r>
      <w:r w:rsidR="008B1B33">
        <w:t>was</w:t>
      </w:r>
      <w:r>
        <w:t xml:space="preserve"> unable to consider the quality of advice being provided to the Government on the key policy parameters or other implementation issues identified in this report.</w:t>
      </w:r>
    </w:p>
    <w:p w:rsidR="00E4054C" w:rsidRPr="003F040A" w:rsidRDefault="00E4054C" w:rsidP="003F040A">
      <w:pPr>
        <w:pStyle w:val="Heading7"/>
        <w:numPr>
          <w:ilvl w:val="0"/>
          <w:numId w:val="0"/>
        </w:numPr>
        <w:ind w:left="850" w:hanging="850"/>
        <w:rPr>
          <w:rStyle w:val="IntenseEmphasis"/>
          <w:b w:val="0"/>
          <w:bCs w:val="0"/>
          <w:i/>
          <w:iCs/>
          <w:color w:val="A32020" w:themeColor="text2"/>
        </w:rPr>
      </w:pPr>
      <w:r w:rsidRPr="003F040A">
        <w:rPr>
          <w:rStyle w:val="IntenseEmphasis"/>
          <w:b w:val="0"/>
          <w:bCs w:val="0"/>
          <w:i/>
          <w:iCs/>
          <w:color w:val="A32020" w:themeColor="text2"/>
        </w:rPr>
        <w:t xml:space="preserve">Experience of the </w:t>
      </w:r>
      <w:r w:rsidR="00C143E0">
        <w:rPr>
          <w:rStyle w:val="IntenseEmphasis"/>
          <w:b w:val="0"/>
          <w:bCs w:val="0"/>
          <w:i/>
          <w:iCs/>
          <w:color w:val="A32020" w:themeColor="text2"/>
        </w:rPr>
        <w:t xml:space="preserve">ECEC </w:t>
      </w:r>
      <w:r w:rsidRPr="003F040A">
        <w:rPr>
          <w:rStyle w:val="IntenseEmphasis"/>
          <w:b w:val="0"/>
          <w:bCs w:val="0"/>
          <w:i/>
          <w:iCs/>
          <w:color w:val="A32020" w:themeColor="text2"/>
        </w:rPr>
        <w:t>sector</w:t>
      </w:r>
    </w:p>
    <w:p w:rsidR="00C143E0" w:rsidRDefault="00C143E0" w:rsidP="00C92B40">
      <w:pPr>
        <w:pStyle w:val="PwCNormal"/>
      </w:pPr>
      <w:r>
        <w:t xml:space="preserve">The initial announcement of funding to support attracting and retaining qualified ECEC staff was welcomed by the sector. </w:t>
      </w:r>
      <w:r w:rsidR="00AE3657">
        <w:t xml:space="preserve">There was support for the EYQF as an important first step in the push for professional wages across the sector. </w:t>
      </w:r>
      <w:r>
        <w:t xml:space="preserve">However, </w:t>
      </w:r>
      <w:r w:rsidR="00BD5855">
        <w:t xml:space="preserve">as </w:t>
      </w:r>
      <w:r>
        <w:t xml:space="preserve">the details of the EYQF </w:t>
      </w:r>
      <w:r w:rsidR="00BD5855">
        <w:t>became</w:t>
      </w:r>
      <w:r>
        <w:t xml:space="preserve"> understood more broadly, it </w:t>
      </w:r>
      <w:r w:rsidR="00EA0485">
        <w:t>became a divisive issue that cau</w:t>
      </w:r>
      <w:r w:rsidR="00676276">
        <w:t>sed some distress to the sector</w:t>
      </w:r>
      <w:r w:rsidR="00EA0485">
        <w:t xml:space="preserve">: </w:t>
      </w:r>
    </w:p>
    <w:p w:rsidR="00C92B40" w:rsidRDefault="006A6310" w:rsidP="00127745">
      <w:pPr>
        <w:pStyle w:val="ListBullet"/>
        <w:tabs>
          <w:tab w:val="clear" w:pos="2836"/>
          <w:tab w:val="num" w:pos="567"/>
        </w:tabs>
        <w:ind w:left="567"/>
      </w:pPr>
      <w:r>
        <w:t>While t</w:t>
      </w:r>
      <w:r w:rsidR="00932CC4">
        <w:t xml:space="preserve">here was support for the intent of the policy, </w:t>
      </w:r>
      <w:r>
        <w:t xml:space="preserve">there were </w:t>
      </w:r>
      <w:r w:rsidR="00932CC4">
        <w:t>concerns that it was</w:t>
      </w:r>
      <w:r w:rsidR="008B1B33">
        <w:t xml:space="preserve"> being</w:t>
      </w:r>
      <w:r w:rsidR="00932CC4">
        <w:t xml:space="preserve"> implemented in an unequitable manner.</w:t>
      </w:r>
    </w:p>
    <w:p w:rsidR="00932CC4" w:rsidRPr="00C92B40" w:rsidRDefault="00932CC4" w:rsidP="00127745">
      <w:pPr>
        <w:pStyle w:val="ListBullet"/>
        <w:tabs>
          <w:tab w:val="clear" w:pos="2836"/>
          <w:tab w:val="num" w:pos="567"/>
        </w:tabs>
        <w:ind w:left="567"/>
      </w:pPr>
      <w:r>
        <w:t>There were views that it is the role of the Fair Work Commission to determine fair and appropriate wage rates and not the role of Government to be subsidising wages or requiring enterprise agreements.</w:t>
      </w:r>
    </w:p>
    <w:p w:rsidR="00166437" w:rsidRDefault="00C101B2" w:rsidP="00A042FE">
      <w:pPr>
        <w:pStyle w:val="PwCNormal"/>
        <w:numPr>
          <w:ilvl w:val="0"/>
          <w:numId w:val="0"/>
        </w:numPr>
      </w:pPr>
      <w:r>
        <w:t>A consistent message from consultations was</w:t>
      </w:r>
      <w:r w:rsidR="006A6310">
        <w:t xml:space="preserve"> the</w:t>
      </w:r>
      <w:r>
        <w:t xml:space="preserve"> </w:t>
      </w:r>
      <w:r w:rsidR="00EA0485">
        <w:t xml:space="preserve">concerns </w:t>
      </w:r>
      <w:r>
        <w:t xml:space="preserve">that the union </w:t>
      </w:r>
      <w:r w:rsidR="002E2052">
        <w:t>was</w:t>
      </w:r>
      <w:r>
        <w:t xml:space="preserve"> provid</w:t>
      </w:r>
      <w:r w:rsidR="002E2052">
        <w:t xml:space="preserve">ing members and service providers with information that was not consistent with information being issued through the Department. </w:t>
      </w:r>
    </w:p>
    <w:p w:rsidR="00C101B2" w:rsidRDefault="00C101B2" w:rsidP="00127745">
      <w:pPr>
        <w:pStyle w:val="ListBullet"/>
        <w:tabs>
          <w:tab w:val="clear" w:pos="2836"/>
          <w:tab w:val="num" w:pos="567"/>
        </w:tabs>
        <w:ind w:left="567"/>
      </w:pPr>
      <w:r>
        <w:t>Providers reported being shown</w:t>
      </w:r>
      <w:r w:rsidR="00B04CAB">
        <w:t xml:space="preserve"> as yet</w:t>
      </w:r>
      <w:r>
        <w:t xml:space="preserve"> </w:t>
      </w:r>
      <w:r w:rsidR="00C97092">
        <w:t xml:space="preserve">unapproved and </w:t>
      </w:r>
      <w:r w:rsidR="002E2052">
        <w:t xml:space="preserve">unpublished </w:t>
      </w:r>
      <w:r>
        <w:t xml:space="preserve">wage schedule rates and told to include these in their </w:t>
      </w:r>
      <w:r w:rsidR="00F06B3E">
        <w:t>enterprise agreement</w:t>
      </w:r>
      <w:r w:rsidR="00EA0485">
        <w:t>,</w:t>
      </w:r>
      <w:r>
        <w:t xml:space="preserve"> but the</w:t>
      </w:r>
      <w:r w:rsidR="00B04CAB">
        <w:t xml:space="preserve"> providers</w:t>
      </w:r>
      <w:r>
        <w:t xml:space="preserve"> were unable to confirm the accuracy </w:t>
      </w:r>
      <w:r w:rsidR="00B04CAB">
        <w:t xml:space="preserve">of these wage schedules </w:t>
      </w:r>
      <w:r>
        <w:t>with the Department until the Program Guidelines were issued.</w:t>
      </w:r>
    </w:p>
    <w:p w:rsidR="00C101B2" w:rsidRDefault="00641849" w:rsidP="00127745">
      <w:pPr>
        <w:pStyle w:val="ListBullet"/>
        <w:tabs>
          <w:tab w:val="clear" w:pos="2836"/>
          <w:tab w:val="num" w:pos="567"/>
        </w:tabs>
        <w:ind w:left="567"/>
      </w:pPr>
      <w:r>
        <w:t>Despite t</w:t>
      </w:r>
      <w:r w:rsidR="002E2052">
        <w:t>he Department’s FAQ clearly stating that union membership was not a requirement for EYQF eligibility</w:t>
      </w:r>
      <w:r w:rsidR="00B70F33">
        <w:t>, a</w:t>
      </w:r>
      <w:r w:rsidR="009B17EC">
        <w:t xml:space="preserve"> stakeholder provided PwC with a</w:t>
      </w:r>
      <w:r w:rsidR="00B50230">
        <w:t xml:space="preserve">n example </w:t>
      </w:r>
      <w:r w:rsidR="009B17EC">
        <w:t>of inconsistent information contained in</w:t>
      </w:r>
      <w:r w:rsidR="002E2052">
        <w:t xml:space="preserve"> a</w:t>
      </w:r>
      <w:r w:rsidR="00C101B2">
        <w:t xml:space="preserve"> United Voice newsletter for members in Queensland (dated 20 March)</w:t>
      </w:r>
      <w:r w:rsidR="009B17EC">
        <w:t>,</w:t>
      </w:r>
      <w:r w:rsidR="00C101B2">
        <w:t xml:space="preserve"> </w:t>
      </w:r>
      <w:r w:rsidR="009B17EC">
        <w:t xml:space="preserve">which </w:t>
      </w:r>
      <w:r w:rsidR="00C101B2">
        <w:t>explain</w:t>
      </w:r>
      <w:r w:rsidR="00DB3082">
        <w:t xml:space="preserve">ed </w:t>
      </w:r>
      <w:r w:rsidR="002E2052">
        <w:t>the process for qualifying for EYQF</w:t>
      </w:r>
      <w:r w:rsidR="00DB3082">
        <w:t xml:space="preserve"> as follows</w:t>
      </w:r>
      <w:r w:rsidR="00C101B2">
        <w:t>:</w:t>
      </w:r>
    </w:p>
    <w:p w:rsidR="00C101B2" w:rsidRDefault="00DB3082" w:rsidP="00C101B2">
      <w:pPr>
        <w:pStyle w:val="ChapterNumberedList1"/>
        <w:tabs>
          <w:tab w:val="clear" w:pos="567"/>
          <w:tab w:val="num" w:pos="1134"/>
        </w:tabs>
        <w:ind w:left="993" w:hanging="426"/>
      </w:pPr>
      <w:r>
        <w:t>A clear majority of workers join United Voice</w:t>
      </w:r>
    </w:p>
    <w:p w:rsidR="00DB3082" w:rsidRDefault="00DB3082" w:rsidP="00C101B2">
      <w:pPr>
        <w:pStyle w:val="ChapterNumberedList1"/>
        <w:tabs>
          <w:tab w:val="clear" w:pos="567"/>
          <w:tab w:val="num" w:pos="1134"/>
        </w:tabs>
        <w:ind w:left="993" w:hanging="426"/>
      </w:pPr>
      <w:r>
        <w:t>United Voice negotiates a new enterprise bargaining agreement</w:t>
      </w:r>
    </w:p>
    <w:p w:rsidR="00DB3082" w:rsidRDefault="00DB3082" w:rsidP="00C101B2">
      <w:pPr>
        <w:pStyle w:val="ChapterNumberedList1"/>
        <w:tabs>
          <w:tab w:val="clear" w:pos="567"/>
          <w:tab w:val="num" w:pos="1134"/>
        </w:tabs>
        <w:ind w:left="993" w:hanging="426"/>
      </w:pPr>
      <w:r>
        <w:t>Owner/Operator signs agreement with government</w:t>
      </w:r>
    </w:p>
    <w:p w:rsidR="00DB3082" w:rsidRDefault="00DB3082" w:rsidP="00C101B2">
      <w:pPr>
        <w:pStyle w:val="ChapterNumberedList1"/>
        <w:tabs>
          <w:tab w:val="clear" w:pos="567"/>
          <w:tab w:val="num" w:pos="1134"/>
        </w:tabs>
        <w:ind w:left="993" w:hanging="426"/>
      </w:pPr>
      <w:r>
        <w:t>New funding flows, workers get raise.</w:t>
      </w:r>
    </w:p>
    <w:p w:rsidR="00B04CAB" w:rsidRDefault="009E4B4C" w:rsidP="00B04CAB">
      <w:pPr>
        <w:pStyle w:val="ListBullet"/>
        <w:numPr>
          <w:ilvl w:val="0"/>
          <w:numId w:val="0"/>
        </w:numPr>
        <w:ind w:left="567"/>
      </w:pPr>
      <w:r>
        <w:t xml:space="preserve">We note that </w:t>
      </w:r>
      <w:r w:rsidR="00B04CAB">
        <w:t xml:space="preserve">United Voice </w:t>
      </w:r>
      <w:r>
        <w:t>has indicated</w:t>
      </w:r>
      <w:r w:rsidR="00B04CAB">
        <w:t xml:space="preserve"> that </w:t>
      </w:r>
      <w:r w:rsidR="00B50230">
        <w:t>the distribution of misleading information was not</w:t>
      </w:r>
      <w:r w:rsidR="00B04CAB">
        <w:t xml:space="preserve"> done with the consent of union leadership, and that steps </w:t>
      </w:r>
      <w:r>
        <w:t>have been</w:t>
      </w:r>
      <w:r w:rsidR="00B04CAB">
        <w:t xml:space="preserve"> taken to </w:t>
      </w:r>
      <w:r>
        <w:t>address</w:t>
      </w:r>
      <w:r w:rsidR="008B1B33">
        <w:t xml:space="preserve"> cases where union </w:t>
      </w:r>
      <w:r w:rsidR="00B04CAB">
        <w:t>organise</w:t>
      </w:r>
      <w:r>
        <w:t xml:space="preserve">rs </w:t>
      </w:r>
      <w:r w:rsidR="008B1B33">
        <w:t>have</w:t>
      </w:r>
      <w:r>
        <w:t xml:space="preserve"> misled workers</w:t>
      </w:r>
      <w:r w:rsidR="00B04CAB">
        <w:t>.</w:t>
      </w:r>
    </w:p>
    <w:p w:rsidR="00B70F33" w:rsidRDefault="004A57C3" w:rsidP="009B46D7">
      <w:pPr>
        <w:pStyle w:val="PwCNormal"/>
      </w:pPr>
      <w:r>
        <w:t>T</w:t>
      </w:r>
      <w:r w:rsidR="00AA5092">
        <w:t>he Department</w:t>
      </w:r>
      <w:r w:rsidR="00641849">
        <w:t xml:space="preserve"> informed PwC that it also </w:t>
      </w:r>
      <w:r w:rsidR="00AA5092">
        <w:t xml:space="preserve">received </w:t>
      </w:r>
      <w:r w:rsidR="00B01A7E">
        <w:t>a number of complaints</w:t>
      </w:r>
      <w:r w:rsidR="00AA5092">
        <w:t xml:space="preserve"> regarding representations from United Voice</w:t>
      </w:r>
      <w:r w:rsidR="00C56F7A">
        <w:t>. PwC was provided with emails from services stating that United Voice representatives were telling their members that if a majority of educators at a service are United Voice members then this would meet the Department’s requirement to demonstrate commitment to the NQF</w:t>
      </w:r>
      <w:r w:rsidR="00B70F33">
        <w:t>.</w:t>
      </w:r>
    </w:p>
    <w:p w:rsidR="00B01A7E" w:rsidRDefault="006A6310" w:rsidP="00B01A7E">
      <w:pPr>
        <w:pStyle w:val="PwCNormal"/>
      </w:pPr>
      <w:r>
        <w:t>T</w:t>
      </w:r>
      <w:r w:rsidR="00B01A7E">
        <w:t xml:space="preserve">he Department wrote to the National Secretary of </w:t>
      </w:r>
      <w:r w:rsidR="00A5160F">
        <w:t>United Voice stating that it had</w:t>
      </w:r>
      <w:r w:rsidR="00B01A7E">
        <w:t xml:space="preserve"> not investigated the veracity of </w:t>
      </w:r>
      <w:r w:rsidR="00AA5092">
        <w:t>complaints received</w:t>
      </w:r>
      <w:r w:rsidR="00B01A7E">
        <w:t>, but</w:t>
      </w:r>
      <w:r w:rsidR="00AA5092">
        <w:t xml:space="preserve"> that the Department w</w:t>
      </w:r>
      <w:r w:rsidR="00A5160F">
        <w:t>ould</w:t>
      </w:r>
      <w:r w:rsidR="00AA5092">
        <w:t xml:space="preserve"> issue revised FAQs regarding eligibility for EYQF and requested the FAQs be forwarded to United Voice officials and delegates t</w:t>
      </w:r>
      <w:r w:rsidR="00A5160F">
        <w:t>o ensure accurate information was</w:t>
      </w:r>
      <w:r w:rsidR="00AA5092">
        <w:t xml:space="preserve"> being relayed to the sector.</w:t>
      </w:r>
    </w:p>
    <w:p w:rsidR="00AA5092" w:rsidRDefault="00AA5092" w:rsidP="00AA5092">
      <w:pPr>
        <w:pStyle w:val="PwCNormal"/>
      </w:pPr>
      <w:r>
        <w:t xml:space="preserve">Further, the Department emailed to all LDC services on 18 April to reiterate that the only source of definitive information regarding the operation of the EYQF is the </w:t>
      </w:r>
      <w:r w:rsidR="00551484">
        <w:t>Department</w:t>
      </w:r>
      <w:r>
        <w:t xml:space="preserve"> </w:t>
      </w:r>
      <w:r>
        <w:lastRenderedPageBreak/>
        <w:t>website and that FA</w:t>
      </w:r>
      <w:r w:rsidR="00C56F7A">
        <w:t>Qs had been updated to include information that union membership is not a requirement for EYQF eligibility.</w:t>
      </w:r>
    </w:p>
    <w:p w:rsidR="00B04CAB" w:rsidRPr="003F040A" w:rsidRDefault="00134BC1" w:rsidP="00B04CAB">
      <w:pPr>
        <w:pStyle w:val="Heading7"/>
        <w:numPr>
          <w:ilvl w:val="0"/>
          <w:numId w:val="0"/>
        </w:numPr>
        <w:ind w:left="850" w:hanging="850"/>
        <w:rPr>
          <w:rStyle w:val="IntenseEmphasis"/>
          <w:b w:val="0"/>
          <w:bCs w:val="0"/>
          <w:i/>
          <w:iCs/>
          <w:color w:val="A32020" w:themeColor="text2"/>
        </w:rPr>
      </w:pPr>
      <w:r>
        <w:rPr>
          <w:rStyle w:val="IntenseEmphasis"/>
          <w:b w:val="0"/>
          <w:bCs w:val="0"/>
          <w:i/>
          <w:iCs/>
          <w:color w:val="A32020" w:themeColor="text2"/>
        </w:rPr>
        <w:t>Conclusion</w:t>
      </w:r>
    </w:p>
    <w:p w:rsidR="0085497F" w:rsidRDefault="00B04CAB" w:rsidP="0085497F">
      <w:pPr>
        <w:pStyle w:val="PwCNormal"/>
      </w:pPr>
      <w:r>
        <w:t xml:space="preserve">The EYQF was established in response to </w:t>
      </w:r>
      <w:r w:rsidR="008B1B33">
        <w:t xml:space="preserve">a </w:t>
      </w:r>
      <w:r>
        <w:t xml:space="preserve">growing recognition of the need for professional wages in the ECEC sector, and to address this as one of the key challenges for </w:t>
      </w:r>
      <w:r w:rsidR="00B46607">
        <w:t xml:space="preserve">the </w:t>
      </w:r>
      <w:r>
        <w:t>implementation of the NQF qualification requirements.</w:t>
      </w:r>
    </w:p>
    <w:p w:rsidR="00E57D69" w:rsidRDefault="00971AFE" w:rsidP="00830A18">
      <w:pPr>
        <w:pStyle w:val="PwCNormal"/>
      </w:pPr>
      <w:r>
        <w:t>T</w:t>
      </w:r>
      <w:r w:rsidR="00EA0485">
        <w:t xml:space="preserve">he </w:t>
      </w:r>
      <w:r w:rsidR="00830A18">
        <w:t>f</w:t>
      </w:r>
      <w:r w:rsidR="009E4B4C">
        <w:t>unding of</w:t>
      </w:r>
      <w:r w:rsidR="00B04CAB">
        <w:t xml:space="preserve"> $300 million </w:t>
      </w:r>
      <w:r w:rsidR="00EA0485">
        <w:t>wa</w:t>
      </w:r>
      <w:r w:rsidR="00B04CAB">
        <w:t xml:space="preserve">s not sufficient </w:t>
      </w:r>
      <w:r w:rsidR="00134BC1">
        <w:t>to support higher wage</w:t>
      </w:r>
      <w:r w:rsidR="008B1B33">
        <w:t>s to attract and retain staff for</w:t>
      </w:r>
      <w:r w:rsidR="00134BC1">
        <w:t xml:space="preserve"> the </w:t>
      </w:r>
      <w:r w:rsidR="00B04CAB">
        <w:t xml:space="preserve">ECEC sector </w:t>
      </w:r>
      <w:r w:rsidR="002B31C2">
        <w:t>as a whole and i</w:t>
      </w:r>
      <w:r w:rsidR="009B46D7">
        <w:t xml:space="preserve">t was not sufficient to fund the entire </w:t>
      </w:r>
      <w:r w:rsidR="002B31C2">
        <w:t>LDC</w:t>
      </w:r>
      <w:r w:rsidR="009B46D7">
        <w:t xml:space="preserve"> sector. </w:t>
      </w:r>
      <w:r>
        <w:t xml:space="preserve">The decision to limit access to only LDC services and to support wage increases of $3.00 per hour for Certificate III qualified workers and </w:t>
      </w:r>
      <w:r w:rsidRPr="00FE26D6">
        <w:t>proportional increases across the classification scale</w:t>
      </w:r>
      <w:r>
        <w:t xml:space="preserve"> (and to include wage increase for unqualified staff) fu</w:t>
      </w:r>
      <w:r w:rsidR="00B1063E">
        <w:t xml:space="preserve">rther constrained the equitable </w:t>
      </w:r>
      <w:r>
        <w:t>access to funds</w:t>
      </w:r>
      <w:r w:rsidR="00B1063E">
        <w:t xml:space="preserve"> by</w:t>
      </w:r>
      <w:r>
        <w:t xml:space="preserve"> the </w:t>
      </w:r>
      <w:r w:rsidR="00E57D69">
        <w:t>ECEC</w:t>
      </w:r>
      <w:r>
        <w:t xml:space="preserve"> sector. </w:t>
      </w:r>
    </w:p>
    <w:p w:rsidR="00830A18" w:rsidRDefault="00A5160F" w:rsidP="00830A18">
      <w:pPr>
        <w:pStyle w:val="PwCNormal"/>
      </w:pPr>
      <w:r>
        <w:t>T</w:t>
      </w:r>
      <w:r w:rsidR="00971AFE">
        <w:t>here were</w:t>
      </w:r>
      <w:r>
        <w:t xml:space="preserve"> also</w:t>
      </w:r>
      <w:r w:rsidR="00971AFE">
        <w:t xml:space="preserve"> a number of </w:t>
      </w:r>
      <w:r w:rsidR="00E57D69">
        <w:t xml:space="preserve">key </w:t>
      </w:r>
      <w:r w:rsidR="00971AFE">
        <w:t xml:space="preserve">implementation decisions that significantly compromised the ability of the EYQF to </w:t>
      </w:r>
      <w:r w:rsidR="00E57D69">
        <w:t>provide effective and equitable support for the implementation of the NQF qualification requirements:</w:t>
      </w:r>
    </w:p>
    <w:p w:rsidR="00714C7D" w:rsidRDefault="00E57D69" w:rsidP="002B31C2">
      <w:pPr>
        <w:pStyle w:val="ListBullet"/>
        <w:tabs>
          <w:tab w:val="clear" w:pos="2836"/>
          <w:tab w:val="num" w:pos="567"/>
        </w:tabs>
        <w:spacing w:after="120"/>
        <w:ind w:left="567"/>
      </w:pPr>
      <w:r>
        <w:rPr>
          <w:b/>
          <w:i/>
        </w:rPr>
        <w:t xml:space="preserve">Splitting the EYQF into two pools: </w:t>
      </w:r>
      <w:r w:rsidR="00CC0AA9">
        <w:t>Fifty</w:t>
      </w:r>
      <w:r w:rsidR="00B1063E">
        <w:t xml:space="preserve"> per cent</w:t>
      </w:r>
      <w:r w:rsidR="005930BF">
        <w:t xml:space="preserve"> of the </w:t>
      </w:r>
      <w:r w:rsidR="00CC0AA9">
        <w:t>EYQF</w:t>
      </w:r>
      <w:r w:rsidR="005930BF">
        <w:t xml:space="preserve"> was allocated to large providers</w:t>
      </w:r>
      <w:r w:rsidR="00B1063E">
        <w:t xml:space="preserve"> which </w:t>
      </w:r>
      <w:r w:rsidR="002B31C2">
        <w:t>represent 19</w:t>
      </w:r>
      <w:r w:rsidR="00B1063E">
        <w:t xml:space="preserve"> per cent</w:t>
      </w:r>
      <w:r w:rsidR="005930BF">
        <w:t xml:space="preserve"> of the sector. </w:t>
      </w:r>
      <w:r w:rsidR="00CC0AA9">
        <w:t>Fifty</w:t>
      </w:r>
      <w:r w:rsidR="00B1063E">
        <w:t xml:space="preserve"> per cent</w:t>
      </w:r>
      <w:r w:rsidR="005930BF">
        <w:t xml:space="preserve"> of the </w:t>
      </w:r>
      <w:r w:rsidR="00CC0AA9">
        <w:t>EYQF</w:t>
      </w:r>
      <w:r w:rsidR="005930BF">
        <w:t xml:space="preserve"> was allocated to small providers which represent 8</w:t>
      </w:r>
      <w:r w:rsidR="002B31C2">
        <w:t>1</w:t>
      </w:r>
      <w:r w:rsidR="00B1063E">
        <w:t xml:space="preserve"> per cent</w:t>
      </w:r>
      <w:r w:rsidR="005930BF">
        <w:t xml:space="preserve"> of the sector</w:t>
      </w:r>
      <w:r>
        <w:t>. The impact of this decision was that it favoured large providers disproportionately.</w:t>
      </w:r>
    </w:p>
    <w:p w:rsidR="005930BF" w:rsidRDefault="00490261" w:rsidP="006A6310">
      <w:pPr>
        <w:pStyle w:val="ListBullet"/>
        <w:tabs>
          <w:tab w:val="clear" w:pos="2836"/>
          <w:tab w:val="num" w:pos="567"/>
        </w:tabs>
        <w:spacing w:after="120"/>
        <w:ind w:left="567"/>
      </w:pPr>
      <w:r>
        <w:rPr>
          <w:b/>
          <w:i/>
        </w:rPr>
        <w:t>First in-f</w:t>
      </w:r>
      <w:r w:rsidR="005930BF" w:rsidRPr="00E57D69">
        <w:rPr>
          <w:b/>
          <w:i/>
        </w:rPr>
        <w:t>irst served</w:t>
      </w:r>
      <w:r w:rsidR="00E57D69">
        <w:t>:</w:t>
      </w:r>
      <w:r w:rsidR="005930BF">
        <w:t xml:space="preserve"> </w:t>
      </w:r>
      <w:r w:rsidR="00E57D69">
        <w:t>This placed pressure on the sector to submit their applications as soon as possible and disadvantaged smaller providers who required time and additional support to understand the guidelines before determining whether or not to apply. The impact of this decision was that</w:t>
      </w:r>
      <w:r w:rsidR="00E57D69" w:rsidRPr="00E57D69">
        <w:t xml:space="preserve"> </w:t>
      </w:r>
      <w:r w:rsidR="00E57D69">
        <w:t xml:space="preserve">the large </w:t>
      </w:r>
      <w:r w:rsidR="00B1063E">
        <w:t>provider pool was exhausted in three</w:t>
      </w:r>
      <w:r w:rsidR="00E57D69">
        <w:t xml:space="preserve"> hours and the small provider pool </w:t>
      </w:r>
      <w:r>
        <w:t>was exhausted within 13 hours.</w:t>
      </w:r>
      <w:r w:rsidR="00F46700">
        <w:t xml:space="preserve"> It is unclear from documentation reviewed why a competitive merit-based process was not used.</w:t>
      </w:r>
    </w:p>
    <w:p w:rsidR="00714C7D" w:rsidRDefault="00DF609E" w:rsidP="00714C7D">
      <w:pPr>
        <w:pStyle w:val="ListBullet"/>
        <w:tabs>
          <w:tab w:val="clear" w:pos="2836"/>
          <w:tab w:val="num" w:pos="567"/>
        </w:tabs>
        <w:spacing w:after="120"/>
        <w:ind w:left="567"/>
      </w:pPr>
      <w:r>
        <w:rPr>
          <w:b/>
          <w:i/>
        </w:rPr>
        <w:t>Limiting to LDC services</w:t>
      </w:r>
      <w:r w:rsidR="00490261">
        <w:rPr>
          <w:b/>
          <w:i/>
        </w:rPr>
        <w:t xml:space="preserve">: </w:t>
      </w:r>
      <w:r w:rsidR="00714C7D" w:rsidRPr="00714C7D">
        <w:rPr>
          <w:snapToGrid/>
        </w:rPr>
        <w:t xml:space="preserve">The Department estimates suggest that 20.3 per cent of LDC services would benefit under the EYQF. This means that 30.5 per cent of </w:t>
      </w:r>
      <w:r w:rsidR="00C443BF">
        <w:rPr>
          <w:snapToGrid/>
        </w:rPr>
        <w:t xml:space="preserve">the </w:t>
      </w:r>
      <w:r w:rsidR="00714C7D" w:rsidRPr="00714C7D">
        <w:rPr>
          <w:snapToGrid/>
        </w:rPr>
        <w:t>LDC workforce would potentially receive higher wages subsidised by the Government, representing</w:t>
      </w:r>
      <w:r>
        <w:rPr>
          <w:snapToGrid/>
        </w:rPr>
        <w:t xml:space="preserve"> only</w:t>
      </w:r>
      <w:r w:rsidR="00714C7D" w:rsidRPr="00714C7D">
        <w:rPr>
          <w:snapToGrid/>
        </w:rPr>
        <w:t xml:space="preserve"> 16 per cent of the total ECEC workforce. </w:t>
      </w:r>
    </w:p>
    <w:p w:rsidR="00B84244" w:rsidRDefault="00DF609E" w:rsidP="007455A5">
      <w:pPr>
        <w:pStyle w:val="ListBullet"/>
        <w:tabs>
          <w:tab w:val="clear" w:pos="2836"/>
          <w:tab w:val="num" w:pos="567"/>
        </w:tabs>
        <w:spacing w:after="120"/>
        <w:ind w:left="567"/>
      </w:pPr>
      <w:r>
        <w:rPr>
          <w:b/>
          <w:i/>
        </w:rPr>
        <w:t>Extending wage support for unqualified staff and non-contact staff</w:t>
      </w:r>
      <w:r w:rsidR="00105518">
        <w:t>: Funding wage increases for unqualified staff and non-contact staff does not support the objective of the EYQF to increase the number of qualified educators.</w:t>
      </w:r>
      <w:r w:rsidR="007455A5">
        <w:t xml:space="preserve"> </w:t>
      </w:r>
    </w:p>
    <w:p w:rsidR="009B46D7" w:rsidRDefault="00DF609E" w:rsidP="007455A5">
      <w:pPr>
        <w:pStyle w:val="ListBullet"/>
        <w:tabs>
          <w:tab w:val="clear" w:pos="2836"/>
          <w:tab w:val="num" w:pos="567"/>
        </w:tabs>
        <w:spacing w:after="120"/>
        <w:ind w:left="567"/>
      </w:pPr>
      <w:r w:rsidRPr="005245C3">
        <w:rPr>
          <w:b/>
          <w:i/>
        </w:rPr>
        <w:t>Funding providers who are already meeting NQF qualification requirements:</w:t>
      </w:r>
      <w:r w:rsidR="007455A5">
        <w:t xml:space="preserve"> </w:t>
      </w:r>
      <w:r w:rsidR="005245C3">
        <w:t>A</w:t>
      </w:r>
      <w:r w:rsidR="00EC4A95">
        <w:t>ssessment documentation indicates that</w:t>
      </w:r>
      <w:r w:rsidR="00714C7D" w:rsidRPr="00714C7D">
        <w:t xml:space="preserve"> </w:t>
      </w:r>
      <w:r w:rsidR="00305DD0">
        <w:t xml:space="preserve">a </w:t>
      </w:r>
      <w:r w:rsidR="00714C7D" w:rsidRPr="00714C7D">
        <w:t xml:space="preserve">large proportion of providers that were given conditional offers of funding are already meeting the </w:t>
      </w:r>
      <w:r w:rsidR="005245C3">
        <w:t xml:space="preserve">NQF </w:t>
      </w:r>
      <w:r w:rsidR="00714C7D" w:rsidRPr="00714C7D">
        <w:t>qualification requirements</w:t>
      </w:r>
      <w:r w:rsidR="00DB3ADD">
        <w:t xml:space="preserve">. </w:t>
      </w:r>
      <w:r w:rsidR="00F10DD3">
        <w:t>Th</w:t>
      </w:r>
      <w:r w:rsidR="00F36918">
        <w:t>is outcome highlights that the</w:t>
      </w:r>
      <w:r w:rsidR="005245C3">
        <w:t xml:space="preserve"> level of need was not considered during assessment and therefore the</w:t>
      </w:r>
      <w:r w:rsidR="00F36918">
        <w:t xml:space="preserve"> EYQF </w:t>
      </w:r>
      <w:r w:rsidR="00305DD0">
        <w:t xml:space="preserve">failed to </w:t>
      </w:r>
      <w:r w:rsidR="008627E2">
        <w:t xml:space="preserve">assist </w:t>
      </w:r>
      <w:r w:rsidR="00305DD0">
        <w:t xml:space="preserve">the </w:t>
      </w:r>
      <w:r w:rsidR="008627E2">
        <w:t xml:space="preserve">services with </w:t>
      </w:r>
      <w:r w:rsidR="00305DD0">
        <w:t>greatest challenges to meet the NQF qualification requirements</w:t>
      </w:r>
      <w:r w:rsidR="009B46D7">
        <w:t>.</w:t>
      </w:r>
    </w:p>
    <w:p w:rsidR="009B46D7" w:rsidRDefault="009B46D7" w:rsidP="008E4534">
      <w:pPr>
        <w:pStyle w:val="ListBullet"/>
        <w:tabs>
          <w:tab w:val="clear" w:pos="2836"/>
          <w:tab w:val="num" w:pos="567"/>
        </w:tabs>
        <w:spacing w:after="120"/>
        <w:ind w:left="567"/>
      </w:pPr>
      <w:r w:rsidRPr="008E4534">
        <w:rPr>
          <w:b/>
          <w:i/>
        </w:rPr>
        <w:t>R</w:t>
      </w:r>
      <w:r w:rsidRPr="00B6425F">
        <w:rPr>
          <w:b/>
          <w:i/>
        </w:rPr>
        <w:t>equirement for an enterprise agreement</w:t>
      </w:r>
      <w:r w:rsidR="00B6425F" w:rsidRPr="00B6425F">
        <w:rPr>
          <w:b/>
          <w:i/>
        </w:rPr>
        <w:t xml:space="preserve">: </w:t>
      </w:r>
      <w:r>
        <w:t xml:space="preserve">The requirement for an enterprise </w:t>
      </w:r>
      <w:r w:rsidR="00305DD0">
        <w:t xml:space="preserve">agreement </w:t>
      </w:r>
      <w:r>
        <w:t xml:space="preserve">disadvantaged small providers who had less experience with the process and </w:t>
      </w:r>
      <w:r w:rsidR="00B72744">
        <w:t>provided an advantage to large providers</w:t>
      </w:r>
      <w:r w:rsidR="00B6425F">
        <w:t xml:space="preserve"> who either already had an EBA or were resourced well enough to enter into one</w:t>
      </w:r>
      <w:r w:rsidR="008627E2">
        <w:t xml:space="preserve"> quickly</w:t>
      </w:r>
      <w:r w:rsidR="00305DD0">
        <w:t xml:space="preserve">. </w:t>
      </w:r>
      <w:r w:rsidR="008627E2">
        <w:t>There is also evidence that this requirement was used as a vehicle to increase membership in United Voice.</w:t>
      </w:r>
    </w:p>
    <w:p w:rsidR="005930BF" w:rsidRDefault="00F10DD3" w:rsidP="006A6310">
      <w:pPr>
        <w:pStyle w:val="ListBullet"/>
        <w:tabs>
          <w:tab w:val="clear" w:pos="2836"/>
          <w:tab w:val="num" w:pos="567"/>
        </w:tabs>
        <w:spacing w:after="120"/>
        <w:ind w:left="567"/>
      </w:pPr>
      <w:r w:rsidRPr="00F10DD3">
        <w:rPr>
          <w:b/>
          <w:i/>
        </w:rPr>
        <w:t xml:space="preserve">Large providers on the Advisory Board </w:t>
      </w:r>
      <w:r w:rsidR="005930BF" w:rsidRPr="00F10DD3">
        <w:rPr>
          <w:b/>
          <w:i/>
        </w:rPr>
        <w:t>applied for funding</w:t>
      </w:r>
      <w:r w:rsidRPr="00F10DD3">
        <w:rPr>
          <w:b/>
          <w:i/>
        </w:rPr>
        <w:t>:</w:t>
      </w:r>
      <w:r w:rsidR="00A5160F">
        <w:t xml:space="preserve"> Many in the sector perceive</w:t>
      </w:r>
      <w:r>
        <w:t xml:space="preserve"> the inclusion of providers onto the </w:t>
      </w:r>
      <w:r w:rsidR="002515E6">
        <w:t>B</w:t>
      </w:r>
      <w:r>
        <w:t xml:space="preserve">oard </w:t>
      </w:r>
      <w:r w:rsidR="00A5160F">
        <w:t>as unfair and believe</w:t>
      </w:r>
      <w:r>
        <w:t xml:space="preserve"> that the guidelines and funding process was manipulated to their benefit. No evidence has been presented to this review to substantiate such a perception. </w:t>
      </w:r>
      <w:r w:rsidR="007B51F8">
        <w:t>The Department was conscious of conflicts of interest being an issue and a</w:t>
      </w:r>
      <w:r w:rsidR="00B72744">
        <w:t>n external probity adviser was engaged by the Advisory Board to provide further advice on issues</w:t>
      </w:r>
      <w:r w:rsidR="00B6425F">
        <w:t xml:space="preserve"> including conflicts of interest and confidentiality</w:t>
      </w:r>
      <w:r w:rsidR="00B72744">
        <w:t xml:space="preserve">. </w:t>
      </w:r>
      <w:r>
        <w:t>Regardless</w:t>
      </w:r>
      <w:r w:rsidR="00B72744">
        <w:t xml:space="preserve"> of these measures</w:t>
      </w:r>
      <w:r>
        <w:t>, it seems unlikely that this will alleviate the perceptions regarding bias</w:t>
      </w:r>
      <w:r w:rsidR="00A5160F">
        <w:t>, particularly as</w:t>
      </w:r>
      <w:r w:rsidR="005245C3">
        <w:t xml:space="preserve"> of</w:t>
      </w:r>
      <w:r>
        <w:t xml:space="preserve"> the three large </w:t>
      </w:r>
      <w:r>
        <w:lastRenderedPageBreak/>
        <w:t xml:space="preserve">providers that </w:t>
      </w:r>
      <w:r w:rsidR="005245C3">
        <w:t>received</w:t>
      </w:r>
      <w:r w:rsidR="00D04B86">
        <w:t xml:space="preserve"> conditional offers of </w:t>
      </w:r>
      <w:r w:rsidR="00781210">
        <w:t>funding;</w:t>
      </w:r>
      <w:r>
        <w:t xml:space="preserve"> two had representatives on the Board.</w:t>
      </w:r>
    </w:p>
    <w:p w:rsidR="005930BF" w:rsidRDefault="00F10DD3" w:rsidP="006A6310">
      <w:pPr>
        <w:pStyle w:val="ListBullet"/>
        <w:tabs>
          <w:tab w:val="clear" w:pos="2836"/>
          <w:tab w:val="num" w:pos="567"/>
        </w:tabs>
        <w:spacing w:after="120"/>
        <w:ind w:left="567"/>
      </w:pPr>
      <w:r w:rsidRPr="00F10DD3">
        <w:rPr>
          <w:b/>
          <w:i/>
        </w:rPr>
        <w:t xml:space="preserve">The sector was being provided with unapproved and unpublished information: </w:t>
      </w:r>
      <w:r>
        <w:t>T</w:t>
      </w:r>
      <w:r w:rsidR="005930BF">
        <w:t xml:space="preserve">he </w:t>
      </w:r>
      <w:r>
        <w:t>s</w:t>
      </w:r>
      <w:r w:rsidR="005930BF">
        <w:t xml:space="preserve">ector </w:t>
      </w:r>
      <w:r>
        <w:t>reported being provided misleading information by United Voice</w:t>
      </w:r>
      <w:r w:rsidR="005930BF">
        <w:t xml:space="preserve"> regarding </w:t>
      </w:r>
      <w:r>
        <w:t xml:space="preserve">eligibility </w:t>
      </w:r>
      <w:r w:rsidR="005930BF">
        <w:t xml:space="preserve">requirements for the </w:t>
      </w:r>
      <w:r w:rsidR="00CC0AA9">
        <w:t>EYQF</w:t>
      </w:r>
      <w:r w:rsidR="008E0AAD">
        <w:t>. This created</w:t>
      </w:r>
      <w:r>
        <w:t xml:space="preserve"> confusion and angst </w:t>
      </w:r>
      <w:r w:rsidR="008E0AAD">
        <w:t>amongst many</w:t>
      </w:r>
      <w:r>
        <w:t xml:space="preserve"> providers</w:t>
      </w:r>
      <w:r w:rsidR="008E0AAD">
        <w:t xml:space="preserve"> and</w:t>
      </w:r>
      <w:r>
        <w:t xml:space="preserve"> employees.</w:t>
      </w:r>
    </w:p>
    <w:p w:rsidR="005930BF" w:rsidRPr="00F36918" w:rsidRDefault="00F10DD3" w:rsidP="005930BF">
      <w:pPr>
        <w:pStyle w:val="ListBullet"/>
        <w:tabs>
          <w:tab w:val="clear" w:pos="2836"/>
          <w:tab w:val="num" w:pos="567"/>
        </w:tabs>
        <w:ind w:left="567"/>
      </w:pPr>
      <w:r w:rsidRPr="00F10DD3">
        <w:rPr>
          <w:b/>
          <w:i/>
        </w:rPr>
        <w:t>Reports of inappropriate behaviour by United Voice</w:t>
      </w:r>
      <w:r w:rsidR="006A6310">
        <w:rPr>
          <w:b/>
          <w:i/>
        </w:rPr>
        <w:t xml:space="preserve"> representatives</w:t>
      </w:r>
      <w:r w:rsidRPr="00F10DD3">
        <w:rPr>
          <w:b/>
          <w:i/>
        </w:rPr>
        <w:t>:</w:t>
      </w:r>
      <w:r w:rsidR="00F36918">
        <w:t xml:space="preserve"> In addition to the reports of misinformation, there was a consis</w:t>
      </w:r>
      <w:r w:rsidR="006A6310">
        <w:t>tent message that stakeholders believed some of</w:t>
      </w:r>
      <w:r w:rsidR="00F36918">
        <w:t xml:space="preserve"> the behaviour </w:t>
      </w:r>
      <w:r w:rsidR="006A6310">
        <w:t>of</w:t>
      </w:r>
      <w:r w:rsidR="00F36918">
        <w:t xml:space="preserve"> United Voice </w:t>
      </w:r>
      <w:r w:rsidR="006A6310">
        <w:t xml:space="preserve">representatives </w:t>
      </w:r>
      <w:r w:rsidR="00F36918">
        <w:t xml:space="preserve">during this time was inappropriate. </w:t>
      </w:r>
      <w:r w:rsidR="001D391F">
        <w:t>The majority of peak bodies reported that union delegates were using the EYQF as an opportunity to increase membership and</w:t>
      </w:r>
      <w:r w:rsidR="00F46700">
        <w:t xml:space="preserve"> </w:t>
      </w:r>
      <w:r w:rsidR="001D391F">
        <w:t>pressured staff into feeling they were letting down their colleagues</w:t>
      </w:r>
      <w:r w:rsidR="008E0AAD">
        <w:t xml:space="preserve"> if they did not join the union</w:t>
      </w:r>
      <w:r w:rsidR="00956ECA">
        <w:t>.</w:t>
      </w:r>
    </w:p>
    <w:p w:rsidR="00956ECA" w:rsidRDefault="008B1B33" w:rsidP="006A6310">
      <w:pPr>
        <w:pStyle w:val="PwCNormal"/>
      </w:pPr>
      <w:r>
        <w:t>Th</w:t>
      </w:r>
      <w:r w:rsidR="00EA0485">
        <w:t xml:space="preserve">e </w:t>
      </w:r>
      <w:r w:rsidR="00830A18">
        <w:t xml:space="preserve">funding </w:t>
      </w:r>
      <w:r w:rsidR="00EA0485">
        <w:t xml:space="preserve">constraints, </w:t>
      </w:r>
      <w:r>
        <w:t>together</w:t>
      </w:r>
      <w:r w:rsidR="00830A18">
        <w:t xml:space="preserve"> with the implementation and operational issues resulting from </w:t>
      </w:r>
      <w:r w:rsidR="009E4B4C">
        <w:t>the</w:t>
      </w:r>
      <w:r w:rsidR="00134BC1">
        <w:t xml:space="preserve"> </w:t>
      </w:r>
      <w:r w:rsidR="00830A18">
        <w:t>constraints</w:t>
      </w:r>
      <w:r w:rsidR="009E4B4C">
        <w:t xml:space="preserve"> of </w:t>
      </w:r>
      <w:r w:rsidR="00830A18">
        <w:t>the EYQF</w:t>
      </w:r>
      <w:r w:rsidR="009E4B4C">
        <w:t xml:space="preserve"> </w:t>
      </w:r>
      <w:r w:rsidR="00134BC1">
        <w:t xml:space="preserve">policy parameters, </w:t>
      </w:r>
      <w:r w:rsidR="00EA0485">
        <w:t xml:space="preserve">significantly constrained the ability for the EYQF to be implemented in an </w:t>
      </w:r>
      <w:r w:rsidR="00956ECA">
        <w:t>effective and equitable manner.</w:t>
      </w:r>
      <w:r w:rsidR="008A0292">
        <w:t xml:space="preserve"> </w:t>
      </w:r>
      <w:r w:rsidR="00956ECA">
        <w:t>Further, the experience of the sector during this time appears to have been one of confusion and angst.</w:t>
      </w:r>
    </w:p>
    <w:p w:rsidR="00C270FB" w:rsidRDefault="008E0AAD" w:rsidP="00C270FB">
      <w:pPr>
        <w:pStyle w:val="PwCNormal"/>
      </w:pPr>
      <w:r>
        <w:t>Given the extent of these implementation and operation</w:t>
      </w:r>
      <w:r w:rsidR="006A6310">
        <w:t>al</w:t>
      </w:r>
      <w:r>
        <w:t xml:space="preserve"> issues</w:t>
      </w:r>
      <w:r w:rsidR="006B49B2">
        <w:t xml:space="preserve">, it </w:t>
      </w:r>
      <w:r>
        <w:t xml:space="preserve">appears unlikely </w:t>
      </w:r>
      <w:r w:rsidR="006B49B2">
        <w:t xml:space="preserve">that the </w:t>
      </w:r>
      <w:r w:rsidR="006B49B2" w:rsidRPr="00FE26D6">
        <w:t xml:space="preserve">EYQF </w:t>
      </w:r>
      <w:r w:rsidR="006B49B2">
        <w:t xml:space="preserve">will </w:t>
      </w:r>
      <w:r w:rsidR="006A6310">
        <w:t xml:space="preserve">significantly </w:t>
      </w:r>
      <w:r w:rsidR="006B49B2" w:rsidRPr="00FE26D6">
        <w:t>assist progress towards implementation of the NQF qualification requirements.</w:t>
      </w:r>
    </w:p>
    <w:p w:rsidR="00C270FB" w:rsidRDefault="00C270FB" w:rsidP="00C270FB">
      <w:pPr>
        <w:pStyle w:val="TOCtitle"/>
        <w:sectPr w:rsidR="00C270FB" w:rsidSect="005A2749">
          <w:pgSz w:w="11907" w:h="16840" w:code="9"/>
          <w:pgMar w:top="1588" w:right="1843" w:bottom="1418" w:left="1843" w:header="567" w:footer="567" w:gutter="0"/>
          <w:pgNumType w:fmt="lowerRoman" w:start="3"/>
          <w:cols w:space="227"/>
          <w:titlePg/>
          <w:docGrid w:linePitch="286"/>
        </w:sectPr>
      </w:pPr>
    </w:p>
    <w:bookmarkEnd w:id="15"/>
    <w:p w:rsidR="004F0878" w:rsidRPr="004F0878" w:rsidRDefault="004F0878" w:rsidP="004F0878">
      <w:pPr>
        <w:pStyle w:val="TOCtitle"/>
      </w:pPr>
      <w:r w:rsidRPr="00FC2C77">
        <w:lastRenderedPageBreak/>
        <w:t>Conten</w:t>
      </w:r>
      <w:bookmarkStart w:id="19" w:name="TOC"/>
      <w:bookmarkEnd w:id="19"/>
      <w:r w:rsidRPr="00FC2C77">
        <w:t>ts</w:t>
      </w:r>
      <w:bookmarkStart w:id="20" w:name="SmallDoc"/>
      <w:bookmarkEnd w:id="20"/>
    </w:p>
    <w:p w:rsidR="00B660B1" w:rsidRPr="00B660B1" w:rsidRDefault="002554AA">
      <w:pPr>
        <w:pStyle w:val="TOC2"/>
        <w:rPr>
          <w:noProof/>
        </w:rPr>
      </w:pPr>
      <w:r>
        <w:fldChar w:fldCharType="begin"/>
      </w:r>
      <w:r w:rsidR="00465C24">
        <w:instrText xml:space="preserve"> TOC \h \t "Heading 1,1,Heading 2 No spacing,2,Heading 2,2,Heading 3,3,Heading 4,4,Heading 6,6,Preface Title,2" \*Charformat </w:instrText>
      </w:r>
      <w:r>
        <w:fldChar w:fldCharType="separate"/>
      </w:r>
      <w:hyperlink w:anchor="_Toc372100965" w:history="1">
        <w:r w:rsidR="00B660B1" w:rsidRPr="00B660B1">
          <w:rPr>
            <w:noProof/>
          </w:rPr>
          <w:t>Disclaimer</w:t>
        </w:r>
        <w:r w:rsidR="00B660B1">
          <w:rPr>
            <w:noProof/>
          </w:rPr>
          <w:tab/>
        </w:r>
        <w:r>
          <w:rPr>
            <w:noProof/>
          </w:rPr>
          <w:fldChar w:fldCharType="begin"/>
        </w:r>
        <w:r w:rsidR="00B660B1">
          <w:rPr>
            <w:noProof/>
          </w:rPr>
          <w:instrText xml:space="preserve"> PAGEREF _Toc372100965 \h </w:instrText>
        </w:r>
        <w:r>
          <w:rPr>
            <w:noProof/>
          </w:rPr>
        </w:r>
        <w:r>
          <w:rPr>
            <w:noProof/>
          </w:rPr>
          <w:fldChar w:fldCharType="separate"/>
        </w:r>
        <w:r w:rsidR="000B2006">
          <w:rPr>
            <w:noProof/>
          </w:rPr>
          <w:t>i</w:t>
        </w:r>
        <w:r>
          <w:rPr>
            <w:noProof/>
          </w:rPr>
          <w:fldChar w:fldCharType="end"/>
        </w:r>
      </w:hyperlink>
    </w:p>
    <w:p w:rsidR="00B660B1" w:rsidRPr="00B660B1" w:rsidRDefault="005B3056">
      <w:pPr>
        <w:pStyle w:val="TOC2"/>
        <w:rPr>
          <w:noProof/>
        </w:rPr>
      </w:pPr>
      <w:hyperlink w:anchor="_Toc372100966" w:history="1">
        <w:r w:rsidR="00B660B1" w:rsidRPr="00B660B1">
          <w:rPr>
            <w:noProof/>
          </w:rPr>
          <w:t>Acronyms</w:t>
        </w:r>
        <w:r w:rsidR="00B660B1">
          <w:rPr>
            <w:noProof/>
          </w:rPr>
          <w:tab/>
        </w:r>
        <w:r w:rsidR="002554AA">
          <w:rPr>
            <w:noProof/>
          </w:rPr>
          <w:fldChar w:fldCharType="begin"/>
        </w:r>
        <w:r w:rsidR="00B660B1">
          <w:rPr>
            <w:noProof/>
          </w:rPr>
          <w:instrText xml:space="preserve"> PAGEREF _Toc372100966 \h </w:instrText>
        </w:r>
        <w:r w:rsidR="002554AA">
          <w:rPr>
            <w:noProof/>
          </w:rPr>
        </w:r>
        <w:r w:rsidR="002554AA">
          <w:rPr>
            <w:noProof/>
          </w:rPr>
          <w:fldChar w:fldCharType="separate"/>
        </w:r>
        <w:r w:rsidR="000B2006">
          <w:rPr>
            <w:noProof/>
          </w:rPr>
          <w:t>ii</w:t>
        </w:r>
        <w:r w:rsidR="002554AA">
          <w:rPr>
            <w:noProof/>
          </w:rPr>
          <w:fldChar w:fldCharType="end"/>
        </w:r>
      </w:hyperlink>
    </w:p>
    <w:p w:rsidR="00B660B1" w:rsidRPr="00B660B1" w:rsidRDefault="005B3056">
      <w:pPr>
        <w:pStyle w:val="TOC2"/>
        <w:rPr>
          <w:noProof/>
        </w:rPr>
      </w:pPr>
      <w:hyperlink w:anchor="_Toc372100967" w:history="1">
        <w:r w:rsidR="00B660B1" w:rsidRPr="00B660B1">
          <w:rPr>
            <w:noProof/>
          </w:rPr>
          <w:t>Overview of findings</w:t>
        </w:r>
        <w:r w:rsidR="00B660B1">
          <w:rPr>
            <w:noProof/>
          </w:rPr>
          <w:tab/>
        </w:r>
        <w:r w:rsidR="002554AA">
          <w:rPr>
            <w:noProof/>
          </w:rPr>
          <w:fldChar w:fldCharType="begin"/>
        </w:r>
        <w:r w:rsidR="00B660B1">
          <w:rPr>
            <w:noProof/>
          </w:rPr>
          <w:instrText xml:space="preserve"> PAGEREF _Toc372100967 \h </w:instrText>
        </w:r>
        <w:r w:rsidR="002554AA">
          <w:rPr>
            <w:noProof/>
          </w:rPr>
        </w:r>
        <w:r w:rsidR="002554AA">
          <w:rPr>
            <w:noProof/>
          </w:rPr>
          <w:fldChar w:fldCharType="separate"/>
        </w:r>
        <w:r w:rsidR="000B2006">
          <w:rPr>
            <w:noProof/>
          </w:rPr>
          <w:t>iii</w:t>
        </w:r>
        <w:r w:rsidR="002554AA">
          <w:rPr>
            <w:noProof/>
          </w:rPr>
          <w:fldChar w:fldCharType="end"/>
        </w:r>
      </w:hyperlink>
    </w:p>
    <w:p w:rsidR="00B660B1" w:rsidRPr="00B660B1" w:rsidRDefault="005B3056">
      <w:pPr>
        <w:pStyle w:val="TOC2"/>
        <w:rPr>
          <w:noProof/>
        </w:rPr>
      </w:pPr>
      <w:hyperlink w:anchor="_Toc372100968" w:history="1">
        <w:r w:rsidR="00B660B1" w:rsidRPr="00B660B1">
          <w:rPr>
            <w:noProof/>
          </w:rPr>
          <w:t>1</w:t>
        </w:r>
        <w:r w:rsidR="00B660B1" w:rsidRPr="00B660B1">
          <w:rPr>
            <w:noProof/>
          </w:rPr>
          <w:tab/>
          <w:t>Purpose and method of the review</w:t>
        </w:r>
        <w:r w:rsidR="00B660B1">
          <w:rPr>
            <w:noProof/>
          </w:rPr>
          <w:tab/>
        </w:r>
        <w:r w:rsidR="002554AA">
          <w:rPr>
            <w:noProof/>
          </w:rPr>
          <w:fldChar w:fldCharType="begin"/>
        </w:r>
        <w:r w:rsidR="00B660B1">
          <w:rPr>
            <w:noProof/>
          </w:rPr>
          <w:instrText xml:space="preserve"> PAGEREF _Toc372100968 \h </w:instrText>
        </w:r>
        <w:r w:rsidR="002554AA">
          <w:rPr>
            <w:noProof/>
          </w:rPr>
        </w:r>
        <w:r w:rsidR="002554AA">
          <w:rPr>
            <w:noProof/>
          </w:rPr>
          <w:fldChar w:fldCharType="separate"/>
        </w:r>
        <w:r w:rsidR="000B2006">
          <w:rPr>
            <w:noProof/>
          </w:rPr>
          <w:t>3</w:t>
        </w:r>
        <w:r w:rsidR="002554AA">
          <w:rPr>
            <w:noProof/>
          </w:rPr>
          <w:fldChar w:fldCharType="end"/>
        </w:r>
      </w:hyperlink>
    </w:p>
    <w:p w:rsidR="00B660B1" w:rsidRPr="00B660B1" w:rsidRDefault="005B3056">
      <w:pPr>
        <w:pStyle w:val="TOC2"/>
        <w:rPr>
          <w:noProof/>
        </w:rPr>
      </w:pPr>
      <w:hyperlink w:anchor="_Toc372100969" w:history="1">
        <w:r w:rsidR="00B660B1" w:rsidRPr="00B660B1">
          <w:rPr>
            <w:noProof/>
          </w:rPr>
          <w:t>2</w:t>
        </w:r>
        <w:r w:rsidR="00B660B1" w:rsidRPr="00B660B1">
          <w:rPr>
            <w:noProof/>
          </w:rPr>
          <w:tab/>
          <w:t>Timeline of EYQF</w:t>
        </w:r>
        <w:r w:rsidR="00B660B1">
          <w:rPr>
            <w:noProof/>
          </w:rPr>
          <w:tab/>
        </w:r>
        <w:r w:rsidR="002554AA">
          <w:rPr>
            <w:noProof/>
          </w:rPr>
          <w:fldChar w:fldCharType="begin"/>
        </w:r>
        <w:r w:rsidR="00B660B1">
          <w:rPr>
            <w:noProof/>
          </w:rPr>
          <w:instrText xml:space="preserve"> PAGEREF _Toc372100969 \h </w:instrText>
        </w:r>
        <w:r w:rsidR="002554AA">
          <w:rPr>
            <w:noProof/>
          </w:rPr>
        </w:r>
        <w:r w:rsidR="002554AA">
          <w:rPr>
            <w:noProof/>
          </w:rPr>
          <w:fldChar w:fldCharType="separate"/>
        </w:r>
        <w:r w:rsidR="000B2006">
          <w:rPr>
            <w:noProof/>
          </w:rPr>
          <w:t>5</w:t>
        </w:r>
        <w:r w:rsidR="002554AA">
          <w:rPr>
            <w:noProof/>
          </w:rPr>
          <w:fldChar w:fldCharType="end"/>
        </w:r>
      </w:hyperlink>
    </w:p>
    <w:p w:rsidR="00B660B1" w:rsidRPr="00B660B1" w:rsidRDefault="005B3056">
      <w:pPr>
        <w:pStyle w:val="TOC2"/>
        <w:rPr>
          <w:noProof/>
        </w:rPr>
      </w:pPr>
      <w:hyperlink w:anchor="_Toc372100970" w:history="1">
        <w:r w:rsidR="00B660B1" w:rsidRPr="00B660B1">
          <w:rPr>
            <w:noProof/>
          </w:rPr>
          <w:t>3</w:t>
        </w:r>
        <w:r w:rsidR="00B660B1" w:rsidRPr="00B660B1">
          <w:rPr>
            <w:noProof/>
          </w:rPr>
          <w:tab/>
          <w:t>Policy development and announcement</w:t>
        </w:r>
        <w:r w:rsidR="00B660B1">
          <w:rPr>
            <w:noProof/>
          </w:rPr>
          <w:tab/>
        </w:r>
        <w:r w:rsidR="002554AA">
          <w:rPr>
            <w:noProof/>
          </w:rPr>
          <w:fldChar w:fldCharType="begin"/>
        </w:r>
        <w:r w:rsidR="00B660B1">
          <w:rPr>
            <w:noProof/>
          </w:rPr>
          <w:instrText xml:space="preserve"> PAGEREF _Toc372100970 \h </w:instrText>
        </w:r>
        <w:r w:rsidR="002554AA">
          <w:rPr>
            <w:noProof/>
          </w:rPr>
        </w:r>
        <w:r w:rsidR="002554AA">
          <w:rPr>
            <w:noProof/>
          </w:rPr>
          <w:fldChar w:fldCharType="separate"/>
        </w:r>
        <w:r w:rsidR="000B2006">
          <w:rPr>
            <w:noProof/>
          </w:rPr>
          <w:t>6</w:t>
        </w:r>
        <w:r w:rsidR="002554AA">
          <w:rPr>
            <w:noProof/>
          </w:rPr>
          <w:fldChar w:fldCharType="end"/>
        </w:r>
      </w:hyperlink>
    </w:p>
    <w:p w:rsidR="00B660B1" w:rsidRPr="00B660B1" w:rsidRDefault="005B3056">
      <w:pPr>
        <w:pStyle w:val="TOC2"/>
        <w:rPr>
          <w:noProof/>
        </w:rPr>
      </w:pPr>
      <w:hyperlink w:anchor="_Toc372100971" w:history="1">
        <w:r w:rsidR="00B660B1" w:rsidRPr="00B660B1">
          <w:rPr>
            <w:noProof/>
          </w:rPr>
          <w:t>4</w:t>
        </w:r>
        <w:r w:rsidR="00B660B1" w:rsidRPr="00B660B1">
          <w:rPr>
            <w:noProof/>
          </w:rPr>
          <w:tab/>
          <w:t>Establishment of the EYQF</w:t>
        </w:r>
        <w:r w:rsidR="00B660B1">
          <w:rPr>
            <w:noProof/>
          </w:rPr>
          <w:tab/>
        </w:r>
        <w:r w:rsidR="002554AA">
          <w:rPr>
            <w:noProof/>
          </w:rPr>
          <w:fldChar w:fldCharType="begin"/>
        </w:r>
        <w:r w:rsidR="00B660B1">
          <w:rPr>
            <w:noProof/>
          </w:rPr>
          <w:instrText xml:space="preserve"> PAGEREF _Toc372100971 \h </w:instrText>
        </w:r>
        <w:r w:rsidR="002554AA">
          <w:rPr>
            <w:noProof/>
          </w:rPr>
        </w:r>
        <w:r w:rsidR="002554AA">
          <w:rPr>
            <w:noProof/>
          </w:rPr>
          <w:fldChar w:fldCharType="separate"/>
        </w:r>
        <w:r w:rsidR="000B2006">
          <w:rPr>
            <w:noProof/>
          </w:rPr>
          <w:t>11</w:t>
        </w:r>
        <w:r w:rsidR="002554AA">
          <w:rPr>
            <w:noProof/>
          </w:rPr>
          <w:fldChar w:fldCharType="end"/>
        </w:r>
      </w:hyperlink>
    </w:p>
    <w:p w:rsidR="00B660B1" w:rsidRPr="00B660B1" w:rsidRDefault="005B3056">
      <w:pPr>
        <w:pStyle w:val="TOC6"/>
        <w:rPr>
          <w:noProof/>
        </w:rPr>
      </w:pPr>
      <w:hyperlink w:anchor="_Toc372100972" w:history="1">
        <w:r w:rsidR="00B660B1" w:rsidRPr="00B660B1">
          <w:rPr>
            <w:noProof/>
          </w:rPr>
          <w:t>4.1</w:t>
        </w:r>
        <w:r w:rsidR="00B660B1" w:rsidRPr="00B660B1">
          <w:rPr>
            <w:noProof/>
          </w:rPr>
          <w:tab/>
          <w:t>Internal Governance Committee</w:t>
        </w:r>
        <w:r w:rsidR="00B660B1">
          <w:rPr>
            <w:noProof/>
          </w:rPr>
          <w:tab/>
        </w:r>
        <w:r w:rsidR="002554AA">
          <w:rPr>
            <w:noProof/>
          </w:rPr>
          <w:fldChar w:fldCharType="begin"/>
        </w:r>
        <w:r w:rsidR="00B660B1">
          <w:rPr>
            <w:noProof/>
          </w:rPr>
          <w:instrText xml:space="preserve"> PAGEREF _Toc372100972 \h </w:instrText>
        </w:r>
        <w:r w:rsidR="002554AA">
          <w:rPr>
            <w:noProof/>
          </w:rPr>
        </w:r>
        <w:r w:rsidR="002554AA">
          <w:rPr>
            <w:noProof/>
          </w:rPr>
          <w:fldChar w:fldCharType="separate"/>
        </w:r>
        <w:r w:rsidR="000B2006">
          <w:rPr>
            <w:noProof/>
          </w:rPr>
          <w:t>11</w:t>
        </w:r>
        <w:r w:rsidR="002554AA">
          <w:rPr>
            <w:noProof/>
          </w:rPr>
          <w:fldChar w:fldCharType="end"/>
        </w:r>
      </w:hyperlink>
    </w:p>
    <w:p w:rsidR="00B660B1" w:rsidRPr="00B660B1" w:rsidRDefault="005B3056">
      <w:pPr>
        <w:pStyle w:val="TOC6"/>
        <w:rPr>
          <w:noProof/>
        </w:rPr>
      </w:pPr>
      <w:hyperlink w:anchor="_Toc372100973" w:history="1">
        <w:r w:rsidR="00B660B1" w:rsidRPr="00B660B1">
          <w:rPr>
            <w:noProof/>
          </w:rPr>
          <w:t>4.2</w:t>
        </w:r>
        <w:r w:rsidR="00B660B1" w:rsidRPr="00B660B1">
          <w:rPr>
            <w:noProof/>
          </w:rPr>
          <w:tab/>
          <w:t>Advisory Board</w:t>
        </w:r>
        <w:r w:rsidR="00B660B1">
          <w:rPr>
            <w:noProof/>
          </w:rPr>
          <w:tab/>
        </w:r>
        <w:r w:rsidR="002554AA">
          <w:rPr>
            <w:noProof/>
          </w:rPr>
          <w:fldChar w:fldCharType="begin"/>
        </w:r>
        <w:r w:rsidR="00B660B1">
          <w:rPr>
            <w:noProof/>
          </w:rPr>
          <w:instrText xml:space="preserve"> PAGEREF _Toc372100973 \h </w:instrText>
        </w:r>
        <w:r w:rsidR="002554AA">
          <w:rPr>
            <w:noProof/>
          </w:rPr>
        </w:r>
        <w:r w:rsidR="002554AA">
          <w:rPr>
            <w:noProof/>
          </w:rPr>
          <w:fldChar w:fldCharType="separate"/>
        </w:r>
        <w:r w:rsidR="000B2006">
          <w:rPr>
            <w:noProof/>
          </w:rPr>
          <w:t>13</w:t>
        </w:r>
        <w:r w:rsidR="002554AA">
          <w:rPr>
            <w:noProof/>
          </w:rPr>
          <w:fldChar w:fldCharType="end"/>
        </w:r>
      </w:hyperlink>
    </w:p>
    <w:p w:rsidR="00B660B1" w:rsidRPr="00B660B1" w:rsidRDefault="005B3056">
      <w:pPr>
        <w:pStyle w:val="TOC2"/>
        <w:rPr>
          <w:noProof/>
        </w:rPr>
      </w:pPr>
      <w:hyperlink w:anchor="_Toc372100974" w:history="1">
        <w:r w:rsidR="00B660B1" w:rsidRPr="00B660B1">
          <w:rPr>
            <w:noProof/>
          </w:rPr>
          <w:t>5</w:t>
        </w:r>
        <w:r w:rsidR="00B660B1" w:rsidRPr="00B660B1">
          <w:rPr>
            <w:noProof/>
          </w:rPr>
          <w:tab/>
          <w:t>Communication with the sector</w:t>
        </w:r>
        <w:r w:rsidR="00B660B1">
          <w:rPr>
            <w:noProof/>
          </w:rPr>
          <w:tab/>
        </w:r>
        <w:r w:rsidR="002554AA">
          <w:rPr>
            <w:noProof/>
          </w:rPr>
          <w:fldChar w:fldCharType="begin"/>
        </w:r>
        <w:r w:rsidR="00B660B1">
          <w:rPr>
            <w:noProof/>
          </w:rPr>
          <w:instrText xml:space="preserve"> PAGEREF _Toc372100974 \h </w:instrText>
        </w:r>
        <w:r w:rsidR="002554AA">
          <w:rPr>
            <w:noProof/>
          </w:rPr>
        </w:r>
        <w:r w:rsidR="002554AA">
          <w:rPr>
            <w:noProof/>
          </w:rPr>
          <w:fldChar w:fldCharType="separate"/>
        </w:r>
        <w:r w:rsidR="000B2006">
          <w:rPr>
            <w:noProof/>
          </w:rPr>
          <w:t>20</w:t>
        </w:r>
        <w:r w:rsidR="002554AA">
          <w:rPr>
            <w:noProof/>
          </w:rPr>
          <w:fldChar w:fldCharType="end"/>
        </w:r>
      </w:hyperlink>
    </w:p>
    <w:p w:rsidR="00B660B1" w:rsidRPr="00B660B1" w:rsidRDefault="005B3056">
      <w:pPr>
        <w:pStyle w:val="TOC6"/>
        <w:rPr>
          <w:noProof/>
        </w:rPr>
      </w:pPr>
      <w:hyperlink w:anchor="_Toc372100975" w:history="1">
        <w:r w:rsidR="00B660B1" w:rsidRPr="00B660B1">
          <w:rPr>
            <w:noProof/>
          </w:rPr>
          <w:t>5.1</w:t>
        </w:r>
        <w:r w:rsidR="00B660B1" w:rsidRPr="00B660B1">
          <w:rPr>
            <w:noProof/>
          </w:rPr>
          <w:tab/>
          <w:t>Experience of the sector</w:t>
        </w:r>
        <w:r w:rsidR="00B660B1">
          <w:rPr>
            <w:noProof/>
          </w:rPr>
          <w:tab/>
        </w:r>
        <w:r w:rsidR="002554AA">
          <w:rPr>
            <w:noProof/>
          </w:rPr>
          <w:fldChar w:fldCharType="begin"/>
        </w:r>
        <w:r w:rsidR="00B660B1">
          <w:rPr>
            <w:noProof/>
          </w:rPr>
          <w:instrText xml:space="preserve"> PAGEREF _Toc372100975 \h </w:instrText>
        </w:r>
        <w:r w:rsidR="002554AA">
          <w:rPr>
            <w:noProof/>
          </w:rPr>
        </w:r>
        <w:r w:rsidR="002554AA">
          <w:rPr>
            <w:noProof/>
          </w:rPr>
          <w:fldChar w:fldCharType="separate"/>
        </w:r>
        <w:r w:rsidR="000B2006">
          <w:rPr>
            <w:noProof/>
          </w:rPr>
          <w:t>20</w:t>
        </w:r>
        <w:r w:rsidR="002554AA">
          <w:rPr>
            <w:noProof/>
          </w:rPr>
          <w:fldChar w:fldCharType="end"/>
        </w:r>
      </w:hyperlink>
    </w:p>
    <w:p w:rsidR="00B660B1" w:rsidRPr="00B660B1" w:rsidRDefault="005B3056">
      <w:pPr>
        <w:pStyle w:val="TOC6"/>
        <w:rPr>
          <w:noProof/>
        </w:rPr>
      </w:pPr>
      <w:hyperlink w:anchor="_Toc372100976" w:history="1">
        <w:r w:rsidR="00B660B1" w:rsidRPr="00B660B1">
          <w:rPr>
            <w:noProof/>
          </w:rPr>
          <w:t>5.2</w:t>
        </w:r>
        <w:r w:rsidR="00B660B1" w:rsidRPr="00B660B1">
          <w:rPr>
            <w:noProof/>
          </w:rPr>
          <w:tab/>
          <w:t>Issuing of guidelines</w:t>
        </w:r>
        <w:r w:rsidR="00B660B1">
          <w:rPr>
            <w:noProof/>
          </w:rPr>
          <w:tab/>
        </w:r>
        <w:r w:rsidR="002554AA">
          <w:rPr>
            <w:noProof/>
          </w:rPr>
          <w:fldChar w:fldCharType="begin"/>
        </w:r>
        <w:r w:rsidR="00B660B1">
          <w:rPr>
            <w:noProof/>
          </w:rPr>
          <w:instrText xml:space="preserve"> PAGEREF _Toc372100976 \h </w:instrText>
        </w:r>
        <w:r w:rsidR="002554AA">
          <w:rPr>
            <w:noProof/>
          </w:rPr>
        </w:r>
        <w:r w:rsidR="002554AA">
          <w:rPr>
            <w:noProof/>
          </w:rPr>
          <w:fldChar w:fldCharType="separate"/>
        </w:r>
        <w:r w:rsidR="000B2006">
          <w:rPr>
            <w:noProof/>
          </w:rPr>
          <w:t>22</w:t>
        </w:r>
        <w:r w:rsidR="002554AA">
          <w:rPr>
            <w:noProof/>
          </w:rPr>
          <w:fldChar w:fldCharType="end"/>
        </w:r>
      </w:hyperlink>
    </w:p>
    <w:p w:rsidR="00B660B1" w:rsidRPr="00B660B1" w:rsidRDefault="005B3056">
      <w:pPr>
        <w:pStyle w:val="TOC2"/>
        <w:rPr>
          <w:noProof/>
        </w:rPr>
      </w:pPr>
      <w:hyperlink w:anchor="_Toc372100977" w:history="1">
        <w:r w:rsidR="00B660B1" w:rsidRPr="00B660B1">
          <w:rPr>
            <w:noProof/>
          </w:rPr>
          <w:t>6</w:t>
        </w:r>
        <w:r w:rsidR="00B660B1" w:rsidRPr="00B660B1">
          <w:rPr>
            <w:noProof/>
          </w:rPr>
          <w:tab/>
          <w:t>Application and assessment process</w:t>
        </w:r>
        <w:r w:rsidR="00B660B1">
          <w:rPr>
            <w:noProof/>
          </w:rPr>
          <w:tab/>
        </w:r>
        <w:r w:rsidR="002554AA">
          <w:rPr>
            <w:noProof/>
          </w:rPr>
          <w:fldChar w:fldCharType="begin"/>
        </w:r>
        <w:r w:rsidR="00B660B1">
          <w:rPr>
            <w:noProof/>
          </w:rPr>
          <w:instrText xml:space="preserve"> PAGEREF _Toc372100977 \h </w:instrText>
        </w:r>
        <w:r w:rsidR="002554AA">
          <w:rPr>
            <w:noProof/>
          </w:rPr>
        </w:r>
        <w:r w:rsidR="002554AA">
          <w:rPr>
            <w:noProof/>
          </w:rPr>
          <w:fldChar w:fldCharType="separate"/>
        </w:r>
        <w:r w:rsidR="000B2006">
          <w:rPr>
            <w:noProof/>
          </w:rPr>
          <w:t>23</w:t>
        </w:r>
        <w:r w:rsidR="002554AA">
          <w:rPr>
            <w:noProof/>
          </w:rPr>
          <w:fldChar w:fldCharType="end"/>
        </w:r>
      </w:hyperlink>
    </w:p>
    <w:p w:rsidR="00B660B1" w:rsidRPr="00B660B1" w:rsidRDefault="005B3056">
      <w:pPr>
        <w:pStyle w:val="TOC2"/>
        <w:rPr>
          <w:noProof/>
        </w:rPr>
      </w:pPr>
      <w:hyperlink w:anchor="_Toc372100978" w:history="1">
        <w:r w:rsidR="00B660B1" w:rsidRPr="00B660B1">
          <w:rPr>
            <w:noProof/>
          </w:rPr>
          <w:t>7</w:t>
        </w:r>
        <w:r w:rsidR="00B660B1" w:rsidRPr="00B660B1">
          <w:rPr>
            <w:noProof/>
          </w:rPr>
          <w:tab/>
          <w:t>Outcomes of EYQF grants process</w:t>
        </w:r>
        <w:r w:rsidR="00B660B1">
          <w:rPr>
            <w:noProof/>
          </w:rPr>
          <w:tab/>
        </w:r>
        <w:r w:rsidR="002554AA">
          <w:rPr>
            <w:noProof/>
          </w:rPr>
          <w:fldChar w:fldCharType="begin"/>
        </w:r>
        <w:r w:rsidR="00B660B1">
          <w:rPr>
            <w:noProof/>
          </w:rPr>
          <w:instrText xml:space="preserve"> PAGEREF _Toc372100978 \h </w:instrText>
        </w:r>
        <w:r w:rsidR="002554AA">
          <w:rPr>
            <w:noProof/>
          </w:rPr>
        </w:r>
        <w:r w:rsidR="002554AA">
          <w:rPr>
            <w:noProof/>
          </w:rPr>
          <w:fldChar w:fldCharType="separate"/>
        </w:r>
        <w:r w:rsidR="000B2006">
          <w:rPr>
            <w:noProof/>
          </w:rPr>
          <w:t>28</w:t>
        </w:r>
        <w:r w:rsidR="002554AA">
          <w:rPr>
            <w:noProof/>
          </w:rPr>
          <w:fldChar w:fldCharType="end"/>
        </w:r>
      </w:hyperlink>
    </w:p>
    <w:p w:rsidR="00B660B1" w:rsidRPr="00B660B1" w:rsidRDefault="005B3056">
      <w:pPr>
        <w:pStyle w:val="TOC4"/>
        <w:rPr>
          <w:noProof/>
        </w:rPr>
      </w:pPr>
      <w:hyperlink w:anchor="_Toc372100979" w:history="1">
        <w:r w:rsidR="00B660B1" w:rsidRPr="00B660B1">
          <w:rPr>
            <w:noProof/>
          </w:rPr>
          <w:t>Appendix A</w:t>
        </w:r>
        <w:r w:rsidR="00B660B1" w:rsidRPr="00B660B1">
          <w:rPr>
            <w:noProof/>
          </w:rPr>
          <w:tab/>
          <w:t>List of stakeholder consultations</w:t>
        </w:r>
        <w:r w:rsidR="00B660B1">
          <w:rPr>
            <w:noProof/>
          </w:rPr>
          <w:tab/>
        </w:r>
        <w:r w:rsidR="002554AA">
          <w:rPr>
            <w:noProof/>
          </w:rPr>
          <w:fldChar w:fldCharType="begin"/>
        </w:r>
        <w:r w:rsidR="00B660B1">
          <w:rPr>
            <w:noProof/>
          </w:rPr>
          <w:instrText xml:space="preserve"> PAGEREF _Toc372100979 \h </w:instrText>
        </w:r>
        <w:r w:rsidR="002554AA">
          <w:rPr>
            <w:noProof/>
          </w:rPr>
        </w:r>
        <w:r w:rsidR="002554AA">
          <w:rPr>
            <w:noProof/>
          </w:rPr>
          <w:fldChar w:fldCharType="separate"/>
        </w:r>
        <w:r w:rsidR="000B2006">
          <w:rPr>
            <w:noProof/>
          </w:rPr>
          <w:t>34</w:t>
        </w:r>
        <w:r w:rsidR="002554AA">
          <w:rPr>
            <w:noProof/>
          </w:rPr>
          <w:fldChar w:fldCharType="end"/>
        </w:r>
      </w:hyperlink>
    </w:p>
    <w:p w:rsidR="004F0878" w:rsidRDefault="002554AA" w:rsidP="00245C02">
      <w:pPr>
        <w:pStyle w:val="PwCNormal"/>
        <w:numPr>
          <w:ilvl w:val="0"/>
          <w:numId w:val="0"/>
        </w:numPr>
        <w:kinsoku/>
        <w:overflowPunct/>
        <w:autoSpaceDE/>
        <w:autoSpaceDN/>
        <w:adjustRightInd/>
        <w:snapToGrid/>
      </w:pPr>
      <w:r>
        <w:fldChar w:fldCharType="end"/>
      </w:r>
    </w:p>
    <w:p w:rsidR="00245C02" w:rsidRDefault="00245C02" w:rsidP="00245C02">
      <w:pPr>
        <w:pStyle w:val="PwCNormal"/>
        <w:numPr>
          <w:ilvl w:val="0"/>
          <w:numId w:val="0"/>
        </w:numPr>
        <w:kinsoku/>
        <w:overflowPunct/>
        <w:autoSpaceDE/>
        <w:autoSpaceDN/>
        <w:adjustRightInd/>
        <w:snapToGrid/>
      </w:pPr>
    </w:p>
    <w:p w:rsidR="004F0878" w:rsidRPr="00FC2C77" w:rsidRDefault="004F0878" w:rsidP="007625E6">
      <w:pPr>
        <w:pStyle w:val="Coverpulloutframe"/>
        <w:framePr w:wrap="notBeside"/>
        <w:sectPr w:rsidR="004F0878" w:rsidRPr="00FC2C77" w:rsidSect="0085497F">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588" w:right="1843" w:bottom="1418" w:left="1843" w:header="567" w:footer="567" w:gutter="0"/>
          <w:pgNumType w:fmt="lowerRoman" w:start="1"/>
          <w:cols w:space="720"/>
          <w:titlePg/>
          <w:docGrid w:linePitch="286"/>
        </w:sectPr>
      </w:pPr>
    </w:p>
    <w:p w:rsidR="00993DBB" w:rsidRDefault="00D677AB" w:rsidP="008624D8">
      <w:pPr>
        <w:pStyle w:val="Heading2"/>
        <w:numPr>
          <w:ilvl w:val="1"/>
          <w:numId w:val="28"/>
        </w:numPr>
        <w:tabs>
          <w:tab w:val="left" w:pos="2835"/>
        </w:tabs>
      </w:pPr>
      <w:bookmarkStart w:id="21" w:name="_Toc290024755"/>
      <w:bookmarkStart w:id="22" w:name="_Toc292795891"/>
      <w:bookmarkStart w:id="23" w:name="_Toc292795901"/>
      <w:bookmarkStart w:id="24" w:name="_Toc292795948"/>
      <w:bookmarkStart w:id="25" w:name="_Toc292795955"/>
      <w:bookmarkStart w:id="26" w:name="_Toc294534324"/>
      <w:bookmarkStart w:id="27" w:name="_Toc326144380"/>
      <w:bookmarkStart w:id="28" w:name="_Toc326144426"/>
      <w:bookmarkStart w:id="29" w:name="_Toc326144497"/>
      <w:bookmarkStart w:id="30" w:name="_Toc326144519"/>
      <w:bookmarkStart w:id="31" w:name="_Toc326144578"/>
      <w:bookmarkStart w:id="32" w:name="_Toc326144613"/>
      <w:bookmarkStart w:id="33" w:name="_Toc326144707"/>
      <w:bookmarkStart w:id="34" w:name="_Toc369880277"/>
      <w:bookmarkStart w:id="35" w:name="_Toc372100968"/>
      <w:r>
        <w:lastRenderedPageBreak/>
        <w:t xml:space="preserve">Purpose </w:t>
      </w:r>
      <w:r w:rsidR="008A42AB">
        <w:t xml:space="preserve">and method </w:t>
      </w:r>
      <w:r>
        <w:t>of the review</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A42AB" w:rsidRDefault="008A42AB" w:rsidP="008A42AB">
      <w:pPr>
        <w:pStyle w:val="PwCNormal"/>
        <w:spacing w:before="120"/>
      </w:pPr>
      <w:bookmarkStart w:id="36" w:name="_Toc369880278"/>
      <w:r>
        <w:t>The Australian Government committed to undertaking a Ministerial review of the E</w:t>
      </w:r>
      <w:r w:rsidR="002E55A6">
        <w:t xml:space="preserve">arly </w:t>
      </w:r>
      <w:r>
        <w:t>Y</w:t>
      </w:r>
      <w:r w:rsidR="002E55A6">
        <w:t xml:space="preserve">ears </w:t>
      </w:r>
      <w:r w:rsidR="009D5682">
        <w:t>Q</w:t>
      </w:r>
      <w:r w:rsidR="002E55A6">
        <w:t xml:space="preserve">uality </w:t>
      </w:r>
      <w:r w:rsidR="009D5682">
        <w:t>F</w:t>
      </w:r>
      <w:r w:rsidR="002E55A6">
        <w:t>und (EYQF)</w:t>
      </w:r>
      <w:r>
        <w:t xml:space="preserve"> implementation process. The review has been prompted by the concerns raised by the sector with regards to the EYQF.</w:t>
      </w:r>
    </w:p>
    <w:p w:rsidR="008A42AB" w:rsidRDefault="008A42AB" w:rsidP="008A42AB">
      <w:pPr>
        <w:pStyle w:val="PwCNormal"/>
        <w:spacing w:before="120"/>
      </w:pPr>
      <w:r>
        <w:t>This review is not a review of the quantum, design, effectiveness or efficiency of the EYQF. Rather, this review is a strategic and largely qualitative review of the implementation process. This review considers:</w:t>
      </w:r>
    </w:p>
    <w:p w:rsidR="008A42AB" w:rsidRDefault="008A42AB" w:rsidP="00127745">
      <w:pPr>
        <w:pStyle w:val="ListBullet"/>
        <w:tabs>
          <w:tab w:val="clear" w:pos="2836"/>
          <w:tab w:val="num" w:pos="567"/>
        </w:tabs>
        <w:ind w:left="567"/>
      </w:pPr>
      <w:r>
        <w:t>the process by which the EYQF was established, including the legislative and governance arrangements</w:t>
      </w:r>
    </w:p>
    <w:p w:rsidR="008A42AB" w:rsidRDefault="008A42AB" w:rsidP="008A42AB">
      <w:pPr>
        <w:pStyle w:val="ListBullet2"/>
      </w:pPr>
      <w:r>
        <w:t xml:space="preserve">the experience of the </w:t>
      </w:r>
      <w:r w:rsidR="002E55A6">
        <w:t>early childhood education and care (E</w:t>
      </w:r>
      <w:r>
        <w:t>CEC</w:t>
      </w:r>
      <w:r w:rsidR="002E55A6">
        <w:t>)</w:t>
      </w:r>
      <w:r>
        <w:t xml:space="preserve"> sector regarding the EYQF implement process, including</w:t>
      </w:r>
    </w:p>
    <w:p w:rsidR="008A42AB" w:rsidRDefault="008A42AB" w:rsidP="008A42AB">
      <w:pPr>
        <w:pStyle w:val="ListBullet3"/>
      </w:pPr>
      <w:r>
        <w:t>the EYQF Advisory Board, and</w:t>
      </w:r>
    </w:p>
    <w:p w:rsidR="008A42AB" w:rsidRDefault="008A42AB" w:rsidP="008A42AB">
      <w:pPr>
        <w:pStyle w:val="ListBullet3"/>
      </w:pPr>
      <w:r>
        <w:t>ECEC providers and educators who raised issues regarding the EYQF</w:t>
      </w:r>
    </w:p>
    <w:p w:rsidR="008A42AB" w:rsidRPr="00A92156" w:rsidRDefault="008A42AB" w:rsidP="00127745">
      <w:pPr>
        <w:pStyle w:val="ListBullet"/>
        <w:tabs>
          <w:tab w:val="clear" w:pos="2836"/>
          <w:tab w:val="num" w:pos="567"/>
        </w:tabs>
        <w:ind w:left="567"/>
      </w:pPr>
      <w:r>
        <w:t>t</w:t>
      </w:r>
      <w:r w:rsidRPr="008F2836">
        <w:t xml:space="preserve">he submissions made to the House of Representatives Standing </w:t>
      </w:r>
      <w:r w:rsidR="008739E8">
        <w:t>Committee</w:t>
      </w:r>
      <w:r w:rsidRPr="008F2836">
        <w:t xml:space="preserve"> on Education and Employment and the Senate </w:t>
      </w:r>
      <w:r w:rsidR="008739E8">
        <w:t>Committee</w:t>
      </w:r>
      <w:r w:rsidRPr="008F2836">
        <w:t xml:space="preserve"> on Education, Employment and Workplace Relations</w:t>
      </w:r>
      <w:r>
        <w:t xml:space="preserve"> on the </w:t>
      </w:r>
      <w:r w:rsidRPr="00A92156">
        <w:rPr>
          <w:i/>
        </w:rPr>
        <w:t>Early Years Quality Fund Special Account Bill 2013</w:t>
      </w:r>
    </w:p>
    <w:p w:rsidR="008A42AB" w:rsidRDefault="008A42AB" w:rsidP="00127745">
      <w:pPr>
        <w:pStyle w:val="ListBullet"/>
        <w:tabs>
          <w:tab w:val="clear" w:pos="2836"/>
          <w:tab w:val="num" w:pos="567"/>
        </w:tabs>
        <w:ind w:left="567"/>
      </w:pPr>
      <w:r>
        <w:t>Departmental processes and documentation, including</w:t>
      </w:r>
    </w:p>
    <w:p w:rsidR="008A42AB" w:rsidRDefault="002515E6" w:rsidP="008A42AB">
      <w:pPr>
        <w:pStyle w:val="ListBullet2"/>
      </w:pPr>
      <w:r>
        <w:t>P</w:t>
      </w:r>
      <w:r w:rsidR="008A42AB">
        <w:t xml:space="preserve">rogram </w:t>
      </w:r>
      <w:r>
        <w:t>G</w:t>
      </w:r>
      <w:r w:rsidR="008A42AB">
        <w:t>uidelines for the EYQF</w:t>
      </w:r>
    </w:p>
    <w:p w:rsidR="008A42AB" w:rsidRDefault="008A42AB" w:rsidP="008A42AB">
      <w:pPr>
        <w:pStyle w:val="ListBullet2"/>
      </w:pPr>
      <w:r>
        <w:t>the application and assessment process, and</w:t>
      </w:r>
    </w:p>
    <w:p w:rsidR="008A42AB" w:rsidRPr="008F2836" w:rsidRDefault="008A42AB" w:rsidP="008A42AB">
      <w:pPr>
        <w:pStyle w:val="ListBullet2"/>
      </w:pPr>
      <w:proofErr w:type="gramStart"/>
      <w:r>
        <w:t>communication</w:t>
      </w:r>
      <w:proofErr w:type="gramEnd"/>
      <w:r>
        <w:t xml:space="preserve"> with the sector or stakeholders regarding the EYQF. </w:t>
      </w:r>
    </w:p>
    <w:p w:rsidR="008A42AB" w:rsidRDefault="008A42AB" w:rsidP="008A42AB">
      <w:pPr>
        <w:pStyle w:val="PwCNormal"/>
        <w:numPr>
          <w:ilvl w:val="0"/>
          <w:numId w:val="0"/>
        </w:numPr>
      </w:pPr>
      <w:r>
        <w:t xml:space="preserve">PwC undertook analysis of documentation provided by the Department related to the establishment and implementation of the </w:t>
      </w:r>
      <w:r w:rsidR="00CC0AA9">
        <w:t>EYQF</w:t>
      </w:r>
      <w:r>
        <w:t xml:space="preserve"> and information coll</w:t>
      </w:r>
      <w:r w:rsidR="00EA0485">
        <w:t>ec</w:t>
      </w:r>
      <w:r>
        <w:t xml:space="preserve">ted </w:t>
      </w:r>
      <w:r w:rsidR="00EA0485">
        <w:t xml:space="preserve">from </w:t>
      </w:r>
      <w:r>
        <w:t>consultation</w:t>
      </w:r>
      <w:r w:rsidR="00EA0485">
        <w:t>s</w:t>
      </w:r>
      <w:r>
        <w:t xml:space="preserve"> with key stakeholders.</w:t>
      </w:r>
    </w:p>
    <w:p w:rsidR="008A42AB" w:rsidRDefault="008A42AB" w:rsidP="008A42AB">
      <w:pPr>
        <w:pStyle w:val="PwCNormal"/>
        <w:numPr>
          <w:ilvl w:val="0"/>
          <w:numId w:val="0"/>
        </w:numPr>
      </w:pPr>
      <w:r>
        <w:t>PwC reviewed documentation provided by the Department which included</w:t>
      </w:r>
      <w:r w:rsidR="00EA0485">
        <w:t xml:space="preserve"> information on</w:t>
      </w:r>
      <w:r>
        <w:t>:</w:t>
      </w:r>
    </w:p>
    <w:p w:rsidR="008A42AB" w:rsidRDefault="00127745" w:rsidP="00127745">
      <w:pPr>
        <w:pStyle w:val="ListBullet"/>
        <w:tabs>
          <w:tab w:val="clear" w:pos="2836"/>
          <w:tab w:val="num" w:pos="567"/>
        </w:tabs>
        <w:ind w:left="567"/>
      </w:pPr>
      <w:r>
        <w:t>t</w:t>
      </w:r>
      <w:r w:rsidR="00EA0485">
        <w:t xml:space="preserve">he </w:t>
      </w:r>
      <w:r w:rsidR="008A42AB">
        <w:t>process and the EYQF program</w:t>
      </w:r>
    </w:p>
    <w:p w:rsidR="008A42AB" w:rsidRDefault="008A42AB" w:rsidP="00127745">
      <w:pPr>
        <w:pStyle w:val="ListBullet"/>
        <w:tabs>
          <w:tab w:val="clear" w:pos="2836"/>
          <w:tab w:val="num" w:pos="567"/>
        </w:tabs>
        <w:ind w:left="567"/>
      </w:pPr>
      <w:r>
        <w:t>governance</w:t>
      </w:r>
    </w:p>
    <w:p w:rsidR="008A42AB" w:rsidRDefault="00EA0485" w:rsidP="00127745">
      <w:pPr>
        <w:pStyle w:val="ListBullet"/>
        <w:tabs>
          <w:tab w:val="clear" w:pos="2836"/>
          <w:tab w:val="num" w:pos="567"/>
        </w:tabs>
        <w:ind w:left="567"/>
      </w:pPr>
      <w:r>
        <w:t xml:space="preserve">the </w:t>
      </w:r>
      <w:r w:rsidR="008A42AB">
        <w:t>application and assessment process</w:t>
      </w:r>
    </w:p>
    <w:p w:rsidR="008A42AB" w:rsidRDefault="00EA0485" w:rsidP="00127745">
      <w:pPr>
        <w:pStyle w:val="ListBullet"/>
        <w:tabs>
          <w:tab w:val="clear" w:pos="2836"/>
          <w:tab w:val="num" w:pos="567"/>
        </w:tabs>
        <w:ind w:left="567"/>
      </w:pPr>
      <w:proofErr w:type="gramStart"/>
      <w:r>
        <w:t>the</w:t>
      </w:r>
      <w:proofErr w:type="gramEnd"/>
      <w:r>
        <w:t xml:space="preserve"> </w:t>
      </w:r>
      <w:r w:rsidR="008A42AB">
        <w:t>decision minutes and probity advice.</w:t>
      </w:r>
    </w:p>
    <w:p w:rsidR="008A42AB" w:rsidRPr="00D11427" w:rsidRDefault="008A42AB" w:rsidP="008A42AB">
      <w:pPr>
        <w:pStyle w:val="ListBullet"/>
        <w:numPr>
          <w:ilvl w:val="0"/>
          <w:numId w:val="0"/>
        </w:numPr>
        <w:rPr>
          <w:i/>
        </w:rPr>
      </w:pPr>
      <w:r>
        <w:t xml:space="preserve">PwC also examined all the submission made to the House of Representatives and Senate </w:t>
      </w:r>
      <w:r w:rsidR="00781210">
        <w:t>C</w:t>
      </w:r>
      <w:r w:rsidR="008739E8">
        <w:t>ommittee</w:t>
      </w:r>
      <w:r>
        <w:t xml:space="preserve">s in their respective inquiries into the </w:t>
      </w:r>
      <w:r>
        <w:rPr>
          <w:i/>
        </w:rPr>
        <w:t>Early Years Quality Fund Special Account Bill 2013.</w:t>
      </w:r>
    </w:p>
    <w:p w:rsidR="008A42AB" w:rsidRDefault="008A42AB" w:rsidP="008A42AB">
      <w:pPr>
        <w:pStyle w:val="PwCNormal"/>
        <w:numPr>
          <w:ilvl w:val="0"/>
          <w:numId w:val="0"/>
        </w:numPr>
      </w:pPr>
      <w:r>
        <w:t>This information was relied upon to provide evidence of comments provided through the consultation process and as a primary source of data.</w:t>
      </w:r>
    </w:p>
    <w:p w:rsidR="008A42AB" w:rsidRDefault="008A42AB" w:rsidP="008A42AB">
      <w:pPr>
        <w:pStyle w:val="PwCNormal"/>
      </w:pPr>
      <w:r>
        <w:lastRenderedPageBreak/>
        <w:t>In addition PwC undertook a series of consultations with internal and external stakeholders including:</w:t>
      </w:r>
    </w:p>
    <w:p w:rsidR="008A42AB" w:rsidRDefault="00D04B86" w:rsidP="00127745">
      <w:pPr>
        <w:pStyle w:val="ListBullet"/>
        <w:tabs>
          <w:tab w:val="clear" w:pos="2836"/>
          <w:tab w:val="num" w:pos="567"/>
        </w:tabs>
        <w:ind w:left="567"/>
      </w:pPr>
      <w:r>
        <w:t>t</w:t>
      </w:r>
      <w:r w:rsidR="008A42AB">
        <w:t>he EYQF Advisory Board</w:t>
      </w:r>
    </w:p>
    <w:p w:rsidR="008A42AB" w:rsidRDefault="00D04B86" w:rsidP="00127745">
      <w:pPr>
        <w:pStyle w:val="ListBullet"/>
        <w:tabs>
          <w:tab w:val="clear" w:pos="2836"/>
          <w:tab w:val="num" w:pos="567"/>
        </w:tabs>
        <w:ind w:left="567"/>
      </w:pPr>
      <w:r>
        <w:t>a</w:t>
      </w:r>
      <w:r w:rsidR="008A42AB">
        <w:t xml:space="preserve">pplicants to the EYQF (both </w:t>
      </w:r>
      <w:r>
        <w:t>providers who were given conditional offers and providers whose applications were received after the cap was reached</w:t>
      </w:r>
      <w:r w:rsidR="008A42AB">
        <w:t>)</w:t>
      </w:r>
    </w:p>
    <w:p w:rsidR="008A42AB" w:rsidRDefault="00D04B86" w:rsidP="00127745">
      <w:pPr>
        <w:pStyle w:val="ListBullet"/>
        <w:tabs>
          <w:tab w:val="clear" w:pos="2836"/>
          <w:tab w:val="num" w:pos="567"/>
        </w:tabs>
        <w:ind w:left="567"/>
      </w:pPr>
      <w:proofErr w:type="gramStart"/>
      <w:r>
        <w:t>r</w:t>
      </w:r>
      <w:r w:rsidR="008A42AB">
        <w:t>epresentatives</w:t>
      </w:r>
      <w:proofErr w:type="gramEnd"/>
      <w:r w:rsidR="008A42AB">
        <w:t xml:space="preserve"> of the Department of Education</w:t>
      </w:r>
      <w:r>
        <w:t>.</w:t>
      </w:r>
    </w:p>
    <w:p w:rsidR="008A42AB" w:rsidRDefault="008A42AB" w:rsidP="008A42AB">
      <w:pPr>
        <w:pStyle w:val="PwCNormal"/>
        <w:numPr>
          <w:ilvl w:val="0"/>
          <w:numId w:val="0"/>
        </w:numPr>
      </w:pPr>
      <w:r>
        <w:t xml:space="preserve">The consultations focused on capturing the experience of each of these parties in relation to the development and implementation of the </w:t>
      </w:r>
      <w:r w:rsidR="00CC0AA9">
        <w:t>EYQF</w:t>
      </w:r>
      <w:r>
        <w:t>.</w:t>
      </w:r>
    </w:p>
    <w:p w:rsidR="00D677AB" w:rsidRDefault="007F0F1B" w:rsidP="00D677AB">
      <w:pPr>
        <w:pStyle w:val="Heading2"/>
      </w:pPr>
      <w:bookmarkStart w:id="37" w:name="_Toc372100969"/>
      <w:bookmarkEnd w:id="36"/>
      <w:r>
        <w:lastRenderedPageBreak/>
        <w:t>Timeline of EYQF</w:t>
      </w:r>
      <w:bookmarkEnd w:id="37"/>
    </w:p>
    <w:p w:rsidR="00AF7D22" w:rsidRDefault="00F55D97" w:rsidP="00225A77">
      <w:pPr>
        <w:pStyle w:val="PwCNormal"/>
      </w:pPr>
      <w:r>
        <w:t>A key issue in this review concerns the pressures imposed by the ambitious timeline adopted for the design and implementation of the program. The purpose of this section is to clearly outline the key events in the EYQF timeline. In particular, t</w:t>
      </w:r>
      <w:r w:rsidR="00225A77">
        <w:t>he EYQF was announced on 19</w:t>
      </w:r>
      <w:r w:rsidR="002E55A6">
        <w:t> </w:t>
      </w:r>
      <w:r w:rsidR="00225A77">
        <w:t xml:space="preserve">March, further information on the application process was not released </w:t>
      </w:r>
      <w:r w:rsidR="003A30C5">
        <w:t>until the Pro</w:t>
      </w:r>
      <w:r w:rsidR="00225A77">
        <w:t>gram Guidelines were issued on 19</w:t>
      </w:r>
      <w:r w:rsidR="003A30C5">
        <w:t xml:space="preserve"> July. This </w:t>
      </w:r>
      <w:r w:rsidR="00AF7D22">
        <w:t>constrained the Department’s ability to effectively communicate with the sector</w:t>
      </w:r>
      <w:r w:rsidR="003A30C5">
        <w:t xml:space="preserve"> in the three months preceding the application process</w:t>
      </w:r>
      <w:r w:rsidR="00AF7D22">
        <w:t>.</w:t>
      </w:r>
    </w:p>
    <w:tbl>
      <w:tblPr>
        <w:tblStyle w:val="Tables-APBase"/>
        <w:tblW w:w="8188" w:type="dxa"/>
        <w:tblLook w:val="04A0" w:firstRow="1" w:lastRow="0" w:firstColumn="1" w:lastColumn="0" w:noHBand="0" w:noVBand="1"/>
      </w:tblPr>
      <w:tblGrid>
        <w:gridCol w:w="1602"/>
        <w:gridCol w:w="6586"/>
      </w:tblGrid>
      <w:tr w:rsidR="00327235" w:rsidRPr="00327235" w:rsidTr="0032723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8188" w:type="dxa"/>
            <w:gridSpan w:val="2"/>
            <w:shd w:val="clear" w:color="auto" w:fill="C00000"/>
          </w:tcPr>
          <w:p w:rsidR="00327235" w:rsidRPr="00327235" w:rsidRDefault="00327235" w:rsidP="00B46607">
            <w:pPr>
              <w:pStyle w:val="PwCNormal"/>
              <w:numPr>
                <w:ilvl w:val="0"/>
                <w:numId w:val="0"/>
              </w:numPr>
              <w:spacing w:before="40" w:after="40"/>
              <w:rPr>
                <w:b/>
              </w:rPr>
            </w:pPr>
            <w:r w:rsidRPr="00327235">
              <w:rPr>
                <w:b/>
              </w:rPr>
              <w:t>Policy development and announcement</w:t>
            </w:r>
          </w:p>
        </w:tc>
      </w:tr>
      <w:tr w:rsidR="008B1B33" w:rsidRPr="00B46607" w:rsidTr="00327235">
        <w:tc>
          <w:tcPr>
            <w:tcW w:w="1602" w:type="dxa"/>
          </w:tcPr>
          <w:p w:rsidR="008B1B33" w:rsidRPr="00B46607" w:rsidRDefault="008B1B33" w:rsidP="00B46607">
            <w:pPr>
              <w:pStyle w:val="PwCNormal"/>
              <w:numPr>
                <w:ilvl w:val="0"/>
                <w:numId w:val="0"/>
              </w:numPr>
              <w:spacing w:before="40" w:after="40"/>
            </w:pPr>
            <w:r w:rsidRPr="00B46607">
              <w:t>19 March</w:t>
            </w:r>
          </w:p>
        </w:tc>
        <w:tc>
          <w:tcPr>
            <w:tcW w:w="6586" w:type="dxa"/>
          </w:tcPr>
          <w:p w:rsidR="008B1B33" w:rsidRPr="00B46607" w:rsidRDefault="008B1B33" w:rsidP="00B46607">
            <w:pPr>
              <w:pStyle w:val="PwCNormal"/>
              <w:numPr>
                <w:ilvl w:val="0"/>
                <w:numId w:val="0"/>
              </w:numPr>
              <w:spacing w:before="40" w:after="40"/>
            </w:pPr>
            <w:r w:rsidRPr="00B46607">
              <w:t>Joint Ministerial media release announcing the EYQF</w:t>
            </w:r>
          </w:p>
        </w:tc>
      </w:tr>
      <w:tr w:rsidR="008B1B33" w:rsidRPr="00B46607" w:rsidTr="00327235">
        <w:tc>
          <w:tcPr>
            <w:tcW w:w="1602" w:type="dxa"/>
          </w:tcPr>
          <w:p w:rsidR="008B1B33" w:rsidRPr="00B46607" w:rsidRDefault="008B1B33" w:rsidP="00B46607">
            <w:pPr>
              <w:pStyle w:val="PwCNormal"/>
              <w:numPr>
                <w:ilvl w:val="0"/>
                <w:numId w:val="0"/>
              </w:numPr>
              <w:spacing w:before="40" w:after="40"/>
            </w:pPr>
            <w:r w:rsidRPr="00B46607">
              <w:t>19 March</w:t>
            </w:r>
          </w:p>
        </w:tc>
        <w:tc>
          <w:tcPr>
            <w:tcW w:w="6586" w:type="dxa"/>
          </w:tcPr>
          <w:p w:rsidR="008B1B33" w:rsidRPr="00B46607" w:rsidRDefault="00551484" w:rsidP="00B46607">
            <w:pPr>
              <w:pStyle w:val="PwCNormal"/>
              <w:numPr>
                <w:ilvl w:val="0"/>
                <w:numId w:val="0"/>
              </w:numPr>
              <w:spacing w:before="40" w:after="40"/>
            </w:pPr>
            <w:r>
              <w:t>The Department</w:t>
            </w:r>
            <w:r w:rsidR="008B1B33" w:rsidRPr="00B46607">
              <w:t xml:space="preserve"> issues FAQ guidance</w:t>
            </w:r>
          </w:p>
        </w:tc>
      </w:tr>
      <w:tr w:rsidR="008B1B33" w:rsidRPr="00B46607" w:rsidTr="00327235">
        <w:tc>
          <w:tcPr>
            <w:tcW w:w="1602" w:type="dxa"/>
          </w:tcPr>
          <w:p w:rsidR="008B1B33" w:rsidRPr="00B46607" w:rsidRDefault="008B1B33" w:rsidP="00B46607">
            <w:pPr>
              <w:pStyle w:val="PwCNormal"/>
              <w:numPr>
                <w:ilvl w:val="0"/>
                <w:numId w:val="0"/>
              </w:numPr>
              <w:spacing w:before="40" w:after="40"/>
            </w:pPr>
            <w:r w:rsidRPr="00B46607">
              <w:t>20 March</w:t>
            </w:r>
          </w:p>
        </w:tc>
        <w:tc>
          <w:tcPr>
            <w:tcW w:w="6586" w:type="dxa"/>
          </w:tcPr>
          <w:p w:rsidR="008B1B33" w:rsidRPr="00B46607" w:rsidRDefault="008B1B33" w:rsidP="00225A77">
            <w:pPr>
              <w:pStyle w:val="PwCNormal"/>
              <w:numPr>
                <w:ilvl w:val="0"/>
                <w:numId w:val="0"/>
              </w:numPr>
              <w:spacing w:before="40" w:after="40"/>
            </w:pPr>
            <w:r w:rsidRPr="00B46607">
              <w:t>United Voice distribute</w:t>
            </w:r>
            <w:r>
              <w:t>s</w:t>
            </w:r>
            <w:r w:rsidRPr="00B46607">
              <w:t xml:space="preserve"> guidance to members on how to qualify for the EYQF</w:t>
            </w:r>
            <w:r w:rsidR="00225A77">
              <w:t>, i</w:t>
            </w:r>
            <w:r w:rsidRPr="00B46607">
              <w:t>ncluding the wage schedule</w:t>
            </w:r>
            <w:r w:rsidR="000873FF">
              <w:t>,</w:t>
            </w:r>
            <w:r w:rsidRPr="00B46607">
              <w:t xml:space="preserve"> which was not re</w:t>
            </w:r>
            <w:r w:rsidR="00225A77">
              <w:t>leased by the Department until 19</w:t>
            </w:r>
            <w:r w:rsidRPr="00B46607">
              <w:t xml:space="preserve"> July.</w:t>
            </w:r>
          </w:p>
        </w:tc>
      </w:tr>
      <w:tr w:rsidR="00CD2636" w:rsidRPr="00B46607" w:rsidTr="00327235">
        <w:tc>
          <w:tcPr>
            <w:tcW w:w="1602" w:type="dxa"/>
          </w:tcPr>
          <w:p w:rsidR="00CD2636" w:rsidRPr="00B46607" w:rsidRDefault="00CD2636" w:rsidP="00B46607">
            <w:pPr>
              <w:pStyle w:val="PwCNormal"/>
              <w:numPr>
                <w:ilvl w:val="0"/>
                <w:numId w:val="0"/>
              </w:numPr>
              <w:spacing w:before="40" w:after="40"/>
            </w:pPr>
            <w:r>
              <w:t>28 March</w:t>
            </w:r>
          </w:p>
        </w:tc>
        <w:tc>
          <w:tcPr>
            <w:tcW w:w="6586" w:type="dxa"/>
          </w:tcPr>
          <w:p w:rsidR="00CD2636" w:rsidRDefault="00CD2636" w:rsidP="00B46607">
            <w:pPr>
              <w:pStyle w:val="PwCNormal"/>
              <w:numPr>
                <w:ilvl w:val="0"/>
                <w:numId w:val="0"/>
              </w:numPr>
              <w:spacing w:before="40" w:after="40"/>
            </w:pPr>
            <w:r>
              <w:t>1</w:t>
            </w:r>
            <w:r w:rsidRPr="00CD2636">
              <w:rPr>
                <w:vertAlign w:val="superscript"/>
              </w:rPr>
              <w:t>st</w:t>
            </w:r>
            <w:r>
              <w:t xml:space="preserve"> Intern</w:t>
            </w:r>
            <w:r w:rsidR="008E6267">
              <w:t xml:space="preserve">al Governance </w:t>
            </w:r>
            <w:r w:rsidR="008739E8">
              <w:t>Committee</w:t>
            </w:r>
            <w:r w:rsidR="008E6267">
              <w:t xml:space="preserve"> meeting</w:t>
            </w:r>
          </w:p>
          <w:p w:rsidR="00CD2636" w:rsidRPr="00B46607" w:rsidRDefault="008E6267" w:rsidP="008E6267">
            <w:pPr>
              <w:pStyle w:val="ListBullet2"/>
              <w:numPr>
                <w:ilvl w:val="0"/>
                <w:numId w:val="0"/>
              </w:numPr>
              <w:spacing w:before="40" w:after="40"/>
            </w:pPr>
            <w:r>
              <w:t>Items discussed include: g</w:t>
            </w:r>
            <w:r w:rsidR="00CD2636">
              <w:t>rant funding use</w:t>
            </w:r>
            <w:r>
              <w:t>, e</w:t>
            </w:r>
            <w:r w:rsidR="00CD2636">
              <w:t>quitable distribution</w:t>
            </w:r>
            <w:r>
              <w:t xml:space="preserve"> and the m</w:t>
            </w:r>
            <w:r w:rsidR="00CD2636">
              <w:t>eaning of ‘first in-first served’</w:t>
            </w:r>
          </w:p>
        </w:tc>
      </w:tr>
      <w:tr w:rsidR="00CD2636" w:rsidRPr="00B46607" w:rsidTr="00327235">
        <w:tc>
          <w:tcPr>
            <w:tcW w:w="1602" w:type="dxa"/>
          </w:tcPr>
          <w:p w:rsidR="00CD2636" w:rsidRPr="00B46607" w:rsidRDefault="00CD2636" w:rsidP="00B46607">
            <w:pPr>
              <w:pStyle w:val="PwCNormal"/>
              <w:numPr>
                <w:ilvl w:val="0"/>
                <w:numId w:val="0"/>
              </w:numPr>
              <w:spacing w:before="40" w:after="40"/>
            </w:pPr>
            <w:r>
              <w:t>15 April</w:t>
            </w:r>
          </w:p>
        </w:tc>
        <w:tc>
          <w:tcPr>
            <w:tcW w:w="6586" w:type="dxa"/>
          </w:tcPr>
          <w:p w:rsidR="008E6267" w:rsidRDefault="00CD2636" w:rsidP="00B46607">
            <w:pPr>
              <w:pStyle w:val="PwCNormal"/>
              <w:numPr>
                <w:ilvl w:val="0"/>
                <w:numId w:val="0"/>
              </w:numPr>
              <w:spacing w:before="40" w:after="40"/>
            </w:pPr>
            <w:r>
              <w:t>2</w:t>
            </w:r>
            <w:r w:rsidRPr="00CD2636">
              <w:rPr>
                <w:vertAlign w:val="superscript"/>
              </w:rPr>
              <w:t>nd</w:t>
            </w:r>
            <w:r>
              <w:t xml:space="preserve"> Inter</w:t>
            </w:r>
            <w:r w:rsidR="008E6267">
              <w:t xml:space="preserve">nal Governance </w:t>
            </w:r>
            <w:r w:rsidR="008739E8">
              <w:t>Committee</w:t>
            </w:r>
            <w:r w:rsidR="008E6267">
              <w:t xml:space="preserve"> meeting</w:t>
            </w:r>
          </w:p>
          <w:p w:rsidR="00CD2636" w:rsidRPr="00B46607" w:rsidRDefault="008E6267" w:rsidP="008E6267">
            <w:pPr>
              <w:pStyle w:val="PwCNormal"/>
              <w:numPr>
                <w:ilvl w:val="0"/>
                <w:numId w:val="0"/>
              </w:numPr>
              <w:spacing w:before="40" w:after="40"/>
            </w:pPr>
            <w:r>
              <w:t>Items discussed include the a</w:t>
            </w:r>
            <w:r w:rsidR="00CD2636">
              <w:t xml:space="preserve">pplication </w:t>
            </w:r>
            <w:r>
              <w:t>and p</w:t>
            </w:r>
            <w:r w:rsidR="00CD2636">
              <w:t>ayment process</w:t>
            </w:r>
            <w:r>
              <w:t>es</w:t>
            </w:r>
          </w:p>
        </w:tc>
      </w:tr>
      <w:tr w:rsidR="009F2387" w:rsidRPr="00B46607" w:rsidTr="00327235">
        <w:tc>
          <w:tcPr>
            <w:tcW w:w="1602" w:type="dxa"/>
          </w:tcPr>
          <w:p w:rsidR="009F2387" w:rsidRPr="00B46607" w:rsidRDefault="009F2387" w:rsidP="00B46607">
            <w:pPr>
              <w:pStyle w:val="PwCNormal"/>
              <w:numPr>
                <w:ilvl w:val="0"/>
                <w:numId w:val="0"/>
              </w:numPr>
              <w:spacing w:before="40" w:after="40"/>
            </w:pPr>
            <w:r>
              <w:t>18 April</w:t>
            </w:r>
          </w:p>
        </w:tc>
        <w:tc>
          <w:tcPr>
            <w:tcW w:w="6586" w:type="dxa"/>
          </w:tcPr>
          <w:p w:rsidR="009F2387" w:rsidRPr="00B46607" w:rsidRDefault="00225A77" w:rsidP="00551484">
            <w:pPr>
              <w:pStyle w:val="PwCNormal"/>
              <w:numPr>
                <w:ilvl w:val="0"/>
                <w:numId w:val="0"/>
              </w:numPr>
              <w:spacing w:before="40" w:after="40"/>
            </w:pPr>
            <w:r>
              <w:t xml:space="preserve">In response to queries from the sector, </w:t>
            </w:r>
            <w:r w:rsidR="00551484">
              <w:t>the Department</w:t>
            </w:r>
            <w:r w:rsidR="009F2387">
              <w:t xml:space="preserve"> posts additional FAQs and also writes to United Voice and </w:t>
            </w:r>
            <w:r>
              <w:t xml:space="preserve">to </w:t>
            </w:r>
            <w:r w:rsidR="009F2387">
              <w:t>all LDC services to clarify th</w:t>
            </w:r>
            <w:r>
              <w:t>at there</w:t>
            </w:r>
            <w:r w:rsidR="009F2387">
              <w:t xml:space="preserve"> was no requirement of union membership for</w:t>
            </w:r>
            <w:r w:rsidR="00551484">
              <w:t xml:space="preserve"> the</w:t>
            </w:r>
            <w:r w:rsidR="009F2387">
              <w:t xml:space="preserve"> EYQF.</w:t>
            </w:r>
          </w:p>
        </w:tc>
      </w:tr>
      <w:tr w:rsidR="00327235" w:rsidRPr="00327235" w:rsidTr="00327235">
        <w:tc>
          <w:tcPr>
            <w:tcW w:w="8188" w:type="dxa"/>
            <w:gridSpan w:val="2"/>
            <w:shd w:val="clear" w:color="auto" w:fill="C00000"/>
          </w:tcPr>
          <w:p w:rsidR="00327235" w:rsidRPr="00327235" w:rsidRDefault="00327235" w:rsidP="00327235">
            <w:pPr>
              <w:pStyle w:val="PwCNormal"/>
              <w:numPr>
                <w:ilvl w:val="0"/>
                <w:numId w:val="0"/>
              </w:numPr>
              <w:spacing w:before="40" w:after="40"/>
              <w:rPr>
                <w:b/>
              </w:rPr>
            </w:pPr>
            <w:r>
              <w:rPr>
                <w:b/>
              </w:rPr>
              <w:t>Establishment of the EYQF</w:t>
            </w:r>
          </w:p>
        </w:tc>
      </w:tr>
      <w:tr w:rsidR="00CD2636" w:rsidRPr="00B46607" w:rsidTr="00327235">
        <w:tc>
          <w:tcPr>
            <w:tcW w:w="1602" w:type="dxa"/>
          </w:tcPr>
          <w:p w:rsidR="00CD2636" w:rsidRPr="00B46607" w:rsidRDefault="00CD2636" w:rsidP="00B46607">
            <w:pPr>
              <w:pStyle w:val="PwCNormal"/>
              <w:numPr>
                <w:ilvl w:val="0"/>
                <w:numId w:val="0"/>
              </w:numPr>
              <w:spacing w:before="40" w:after="40"/>
            </w:pPr>
            <w:r>
              <w:t>17 May</w:t>
            </w:r>
          </w:p>
        </w:tc>
        <w:tc>
          <w:tcPr>
            <w:tcW w:w="6586" w:type="dxa"/>
          </w:tcPr>
          <w:p w:rsidR="00CD2636" w:rsidRDefault="00CD2636" w:rsidP="00B46607">
            <w:pPr>
              <w:pStyle w:val="PwCNormal"/>
              <w:numPr>
                <w:ilvl w:val="0"/>
                <w:numId w:val="0"/>
              </w:numPr>
              <w:spacing w:before="40" w:after="40"/>
            </w:pPr>
            <w:r>
              <w:t>3</w:t>
            </w:r>
            <w:r w:rsidRPr="00CD2636">
              <w:rPr>
                <w:vertAlign w:val="superscript"/>
              </w:rPr>
              <w:t>rd</w:t>
            </w:r>
            <w:r>
              <w:t xml:space="preserve"> Intern</w:t>
            </w:r>
            <w:r w:rsidR="008E6267">
              <w:t xml:space="preserve">al Governance </w:t>
            </w:r>
            <w:r w:rsidR="008739E8">
              <w:t>Committee</w:t>
            </w:r>
            <w:r w:rsidR="008E6267">
              <w:t xml:space="preserve"> meeting</w:t>
            </w:r>
          </w:p>
          <w:p w:rsidR="00CD2636" w:rsidRPr="00B46607" w:rsidRDefault="008E6267" w:rsidP="002515E6">
            <w:pPr>
              <w:pStyle w:val="PwCNormal"/>
              <w:numPr>
                <w:ilvl w:val="0"/>
                <w:numId w:val="0"/>
              </w:numPr>
              <w:spacing w:before="40" w:after="40"/>
            </w:pPr>
            <w:r>
              <w:t>Items discussed include: p</w:t>
            </w:r>
            <w:r w:rsidR="00EA62FD">
              <w:t>ayment, reporting and acquittal options</w:t>
            </w:r>
            <w:r>
              <w:t>; d</w:t>
            </w:r>
            <w:r w:rsidR="002515E6">
              <w:t>raft P</w:t>
            </w:r>
            <w:r w:rsidR="00EA62FD">
              <w:t xml:space="preserve">rogram </w:t>
            </w:r>
            <w:r w:rsidR="002515E6">
              <w:t>G</w:t>
            </w:r>
            <w:r w:rsidR="00EA62FD">
              <w:t>uidelines</w:t>
            </w:r>
            <w:r>
              <w:t>; and the c</w:t>
            </w:r>
            <w:r w:rsidR="00EA62FD">
              <w:t>ommunication plan</w:t>
            </w:r>
          </w:p>
        </w:tc>
      </w:tr>
      <w:tr w:rsidR="008B1B33" w:rsidRPr="00B46607" w:rsidTr="00327235">
        <w:tc>
          <w:tcPr>
            <w:tcW w:w="1602" w:type="dxa"/>
          </w:tcPr>
          <w:p w:rsidR="008B1B33" w:rsidRPr="00B46607" w:rsidRDefault="008B1B33" w:rsidP="00B46607">
            <w:pPr>
              <w:pStyle w:val="PwCNormal"/>
              <w:numPr>
                <w:ilvl w:val="0"/>
                <w:numId w:val="0"/>
              </w:numPr>
              <w:spacing w:before="40" w:after="40"/>
            </w:pPr>
            <w:r w:rsidRPr="00B46607">
              <w:t>24 May</w:t>
            </w:r>
          </w:p>
        </w:tc>
        <w:tc>
          <w:tcPr>
            <w:tcW w:w="6586" w:type="dxa"/>
          </w:tcPr>
          <w:p w:rsidR="008B1B33" w:rsidRPr="00B46607" w:rsidRDefault="008B1B33" w:rsidP="00B46607">
            <w:pPr>
              <w:pStyle w:val="PwCNormal"/>
              <w:numPr>
                <w:ilvl w:val="0"/>
                <w:numId w:val="0"/>
              </w:numPr>
              <w:spacing w:before="40" w:after="40"/>
            </w:pPr>
            <w:r w:rsidRPr="00B46607">
              <w:t>EYQF Advisory Board appointed</w:t>
            </w:r>
          </w:p>
        </w:tc>
      </w:tr>
      <w:tr w:rsidR="00B542EE" w:rsidRPr="00B46607" w:rsidTr="00327235">
        <w:tc>
          <w:tcPr>
            <w:tcW w:w="1602" w:type="dxa"/>
          </w:tcPr>
          <w:p w:rsidR="00B542EE" w:rsidRDefault="00B542EE" w:rsidP="00B46607">
            <w:pPr>
              <w:pStyle w:val="PwCNormal"/>
              <w:numPr>
                <w:ilvl w:val="0"/>
                <w:numId w:val="0"/>
              </w:numPr>
              <w:spacing w:before="40" w:after="40"/>
            </w:pPr>
            <w:r>
              <w:t>30 May</w:t>
            </w:r>
          </w:p>
        </w:tc>
        <w:tc>
          <w:tcPr>
            <w:tcW w:w="6586" w:type="dxa"/>
          </w:tcPr>
          <w:p w:rsidR="00B542EE" w:rsidRPr="00B542EE" w:rsidRDefault="00B542EE" w:rsidP="00B46607">
            <w:pPr>
              <w:pStyle w:val="PwCNormal"/>
              <w:numPr>
                <w:ilvl w:val="0"/>
                <w:numId w:val="0"/>
              </w:numPr>
              <w:spacing w:before="40" w:after="40"/>
            </w:pPr>
            <w:r>
              <w:rPr>
                <w:i/>
              </w:rPr>
              <w:t>EYQF Special Account Bill</w:t>
            </w:r>
            <w:r>
              <w:t xml:space="preserve"> introduced to Parliament</w:t>
            </w:r>
          </w:p>
        </w:tc>
      </w:tr>
      <w:tr w:rsidR="008B1B33" w:rsidRPr="00B46607" w:rsidTr="00327235">
        <w:tc>
          <w:tcPr>
            <w:tcW w:w="1602" w:type="dxa"/>
          </w:tcPr>
          <w:p w:rsidR="008B1B33" w:rsidRPr="00B46607" w:rsidRDefault="008B1B33" w:rsidP="00B46607">
            <w:pPr>
              <w:pStyle w:val="PwCNormal"/>
              <w:numPr>
                <w:ilvl w:val="0"/>
                <w:numId w:val="0"/>
              </w:numPr>
              <w:spacing w:before="40" w:after="40"/>
            </w:pPr>
            <w:r>
              <w:t>6 June</w:t>
            </w:r>
          </w:p>
        </w:tc>
        <w:tc>
          <w:tcPr>
            <w:tcW w:w="6586" w:type="dxa"/>
          </w:tcPr>
          <w:p w:rsidR="008B1B33" w:rsidRPr="00B46607" w:rsidRDefault="008B1B33" w:rsidP="00B46607">
            <w:pPr>
              <w:pStyle w:val="PwCNormal"/>
              <w:numPr>
                <w:ilvl w:val="0"/>
                <w:numId w:val="0"/>
              </w:numPr>
              <w:spacing w:before="40" w:after="40"/>
            </w:pPr>
            <w:r>
              <w:t>1</w:t>
            </w:r>
            <w:r w:rsidRPr="008B1B33">
              <w:rPr>
                <w:vertAlign w:val="superscript"/>
              </w:rPr>
              <w:t>st</w:t>
            </w:r>
            <w:r>
              <w:t xml:space="preserve"> Advisory Board Meeting</w:t>
            </w:r>
          </w:p>
        </w:tc>
      </w:tr>
      <w:tr w:rsidR="008B1B33" w:rsidRPr="00B46607" w:rsidTr="00327235">
        <w:tc>
          <w:tcPr>
            <w:tcW w:w="1602" w:type="dxa"/>
          </w:tcPr>
          <w:p w:rsidR="008B1B33" w:rsidRPr="00B46607" w:rsidRDefault="008B1B33" w:rsidP="00B46607">
            <w:pPr>
              <w:pStyle w:val="PwCNormal"/>
              <w:numPr>
                <w:ilvl w:val="0"/>
                <w:numId w:val="0"/>
              </w:numPr>
              <w:spacing w:before="40" w:after="40"/>
            </w:pPr>
            <w:r>
              <w:t>14 June</w:t>
            </w:r>
          </w:p>
        </w:tc>
        <w:tc>
          <w:tcPr>
            <w:tcW w:w="6586" w:type="dxa"/>
          </w:tcPr>
          <w:p w:rsidR="008B1B33" w:rsidRPr="00B46607" w:rsidRDefault="008B1B33" w:rsidP="00B46607">
            <w:pPr>
              <w:pStyle w:val="PwCNormal"/>
              <w:numPr>
                <w:ilvl w:val="0"/>
                <w:numId w:val="0"/>
              </w:numPr>
              <w:spacing w:before="40" w:after="40"/>
            </w:pPr>
            <w:r>
              <w:t>2</w:t>
            </w:r>
            <w:r w:rsidRPr="008B1B33">
              <w:rPr>
                <w:vertAlign w:val="superscript"/>
              </w:rPr>
              <w:t>nd</w:t>
            </w:r>
            <w:r>
              <w:t xml:space="preserve"> Advisory Board Meeting</w:t>
            </w:r>
          </w:p>
        </w:tc>
      </w:tr>
      <w:tr w:rsidR="008B1B33" w:rsidRPr="00B46607" w:rsidTr="00327235">
        <w:tc>
          <w:tcPr>
            <w:tcW w:w="1602" w:type="dxa"/>
          </w:tcPr>
          <w:p w:rsidR="008B1B33" w:rsidRPr="00B46607" w:rsidRDefault="008B1B33" w:rsidP="00B46607">
            <w:pPr>
              <w:pStyle w:val="PwCNormal"/>
              <w:numPr>
                <w:ilvl w:val="0"/>
                <w:numId w:val="0"/>
              </w:numPr>
              <w:spacing w:before="40" w:after="40"/>
            </w:pPr>
            <w:r>
              <w:t>19 June</w:t>
            </w:r>
          </w:p>
        </w:tc>
        <w:tc>
          <w:tcPr>
            <w:tcW w:w="6586" w:type="dxa"/>
          </w:tcPr>
          <w:p w:rsidR="008B1B33" w:rsidRPr="00B46607" w:rsidRDefault="008B1B33" w:rsidP="00B46607">
            <w:pPr>
              <w:pStyle w:val="PwCNormal"/>
              <w:numPr>
                <w:ilvl w:val="0"/>
                <w:numId w:val="0"/>
              </w:numPr>
              <w:spacing w:before="40" w:after="40"/>
            </w:pPr>
            <w:r>
              <w:t>3</w:t>
            </w:r>
            <w:r w:rsidRPr="008B1B33">
              <w:rPr>
                <w:vertAlign w:val="superscript"/>
              </w:rPr>
              <w:t>rd</w:t>
            </w:r>
            <w:r>
              <w:t xml:space="preserve"> Advisory Board Meeting</w:t>
            </w:r>
          </w:p>
        </w:tc>
      </w:tr>
      <w:tr w:rsidR="00CD2636" w:rsidRPr="00B46607" w:rsidTr="00327235">
        <w:tc>
          <w:tcPr>
            <w:tcW w:w="1602" w:type="dxa"/>
          </w:tcPr>
          <w:p w:rsidR="00CD2636" w:rsidRDefault="00225A77" w:rsidP="00B46607">
            <w:pPr>
              <w:pStyle w:val="PwCNormal"/>
              <w:numPr>
                <w:ilvl w:val="0"/>
                <w:numId w:val="0"/>
              </w:numPr>
              <w:spacing w:before="40" w:after="40"/>
            </w:pPr>
            <w:r>
              <w:t>25 June</w:t>
            </w:r>
          </w:p>
        </w:tc>
        <w:tc>
          <w:tcPr>
            <w:tcW w:w="6586" w:type="dxa"/>
          </w:tcPr>
          <w:p w:rsidR="008E6267" w:rsidRDefault="00CD2636" w:rsidP="00B46607">
            <w:pPr>
              <w:pStyle w:val="PwCNormal"/>
              <w:numPr>
                <w:ilvl w:val="0"/>
                <w:numId w:val="0"/>
              </w:numPr>
              <w:spacing w:before="40" w:after="40"/>
            </w:pPr>
            <w:r>
              <w:t>4</w:t>
            </w:r>
            <w:r w:rsidRPr="00CD2636">
              <w:rPr>
                <w:vertAlign w:val="superscript"/>
              </w:rPr>
              <w:t>th</w:t>
            </w:r>
            <w:r w:rsidR="00551484">
              <w:t xml:space="preserve"> </w:t>
            </w:r>
            <w:r>
              <w:t xml:space="preserve">Internal Governance </w:t>
            </w:r>
            <w:r w:rsidR="008739E8">
              <w:t>Committee</w:t>
            </w:r>
            <w:r>
              <w:t xml:space="preserve"> meeting</w:t>
            </w:r>
          </w:p>
          <w:p w:rsidR="00EA62FD" w:rsidRDefault="008E6267" w:rsidP="002515E6">
            <w:pPr>
              <w:pStyle w:val="PwCNormal"/>
              <w:numPr>
                <w:ilvl w:val="0"/>
                <w:numId w:val="0"/>
              </w:numPr>
              <w:spacing w:before="40" w:after="40"/>
            </w:pPr>
            <w:r>
              <w:t>Items discussed include the r</w:t>
            </w:r>
            <w:r w:rsidR="00225A77">
              <w:t xml:space="preserve">evised </w:t>
            </w:r>
            <w:r w:rsidR="002515E6">
              <w:t>P</w:t>
            </w:r>
            <w:r w:rsidR="00225A77">
              <w:t xml:space="preserve">rogram </w:t>
            </w:r>
            <w:r w:rsidR="002515E6">
              <w:t>G</w:t>
            </w:r>
            <w:r w:rsidR="00225A77">
              <w:t>uidelines</w:t>
            </w:r>
            <w:r>
              <w:t xml:space="preserve"> and the a</w:t>
            </w:r>
            <w:r w:rsidR="00225A77">
              <w:t>pplication form, employee calculator &amp; assessment checklist</w:t>
            </w:r>
          </w:p>
        </w:tc>
      </w:tr>
      <w:tr w:rsidR="008B1B33" w:rsidRPr="00B46607" w:rsidTr="00327235">
        <w:tc>
          <w:tcPr>
            <w:tcW w:w="1602" w:type="dxa"/>
          </w:tcPr>
          <w:p w:rsidR="008B1B33" w:rsidRPr="00B46607" w:rsidRDefault="008B1B33" w:rsidP="00B46607">
            <w:pPr>
              <w:pStyle w:val="PwCNormal"/>
              <w:numPr>
                <w:ilvl w:val="0"/>
                <w:numId w:val="0"/>
              </w:numPr>
              <w:spacing w:before="40" w:after="40"/>
            </w:pPr>
            <w:r>
              <w:t>27-28 June</w:t>
            </w:r>
          </w:p>
        </w:tc>
        <w:tc>
          <w:tcPr>
            <w:tcW w:w="6586" w:type="dxa"/>
          </w:tcPr>
          <w:p w:rsidR="008B1B33" w:rsidRPr="00B46607" w:rsidRDefault="008B1B33" w:rsidP="00B46607">
            <w:pPr>
              <w:pStyle w:val="PwCNormal"/>
              <w:numPr>
                <w:ilvl w:val="0"/>
                <w:numId w:val="0"/>
              </w:numPr>
              <w:spacing w:before="40" w:after="40"/>
            </w:pPr>
            <w:r>
              <w:t>4</w:t>
            </w:r>
            <w:r w:rsidRPr="008B1B33">
              <w:rPr>
                <w:vertAlign w:val="superscript"/>
              </w:rPr>
              <w:t>th</w:t>
            </w:r>
            <w:r>
              <w:t xml:space="preserve"> Advisory Board Meeting</w:t>
            </w:r>
          </w:p>
        </w:tc>
      </w:tr>
      <w:tr w:rsidR="008B1B33" w:rsidRPr="00B46607" w:rsidTr="00327235">
        <w:tc>
          <w:tcPr>
            <w:tcW w:w="1602" w:type="dxa"/>
          </w:tcPr>
          <w:p w:rsidR="008B1B33" w:rsidRPr="00B46607" w:rsidRDefault="00841039" w:rsidP="00B46607">
            <w:pPr>
              <w:pStyle w:val="PwCNormal"/>
              <w:numPr>
                <w:ilvl w:val="0"/>
                <w:numId w:val="0"/>
              </w:numPr>
              <w:spacing w:before="40" w:after="40"/>
            </w:pPr>
            <w:r>
              <w:t>28 June</w:t>
            </w:r>
          </w:p>
        </w:tc>
        <w:tc>
          <w:tcPr>
            <w:tcW w:w="6586" w:type="dxa"/>
          </w:tcPr>
          <w:p w:rsidR="008B1B33" w:rsidRPr="00B46607" w:rsidRDefault="00841039" w:rsidP="00841039">
            <w:pPr>
              <w:pStyle w:val="PwCNormal"/>
              <w:numPr>
                <w:ilvl w:val="0"/>
                <w:numId w:val="0"/>
              </w:numPr>
              <w:spacing w:before="40" w:after="40"/>
            </w:pPr>
            <w:r>
              <w:rPr>
                <w:i/>
              </w:rPr>
              <w:t>EYQF Special Account Bill</w:t>
            </w:r>
            <w:r>
              <w:t xml:space="preserve"> passed by both Houses of Parliament</w:t>
            </w:r>
          </w:p>
        </w:tc>
      </w:tr>
      <w:tr w:rsidR="00327235" w:rsidRPr="00327235" w:rsidTr="00327235">
        <w:tc>
          <w:tcPr>
            <w:tcW w:w="8188" w:type="dxa"/>
            <w:gridSpan w:val="2"/>
            <w:shd w:val="clear" w:color="auto" w:fill="C00000"/>
          </w:tcPr>
          <w:p w:rsidR="00327235" w:rsidRPr="00327235" w:rsidRDefault="00327235" w:rsidP="00327235">
            <w:pPr>
              <w:pStyle w:val="PwCNormal"/>
              <w:numPr>
                <w:ilvl w:val="0"/>
                <w:numId w:val="0"/>
              </w:numPr>
              <w:spacing w:before="40" w:after="40"/>
              <w:rPr>
                <w:b/>
              </w:rPr>
            </w:pPr>
            <w:r>
              <w:rPr>
                <w:b/>
              </w:rPr>
              <w:t>Application and assessment process</w:t>
            </w:r>
          </w:p>
        </w:tc>
      </w:tr>
      <w:tr w:rsidR="008B1B33" w:rsidRPr="00B46607" w:rsidTr="00327235">
        <w:tc>
          <w:tcPr>
            <w:tcW w:w="1602" w:type="dxa"/>
          </w:tcPr>
          <w:p w:rsidR="008B1B33" w:rsidRPr="00B46607" w:rsidRDefault="00225A77" w:rsidP="00225A77">
            <w:pPr>
              <w:pStyle w:val="PwCNormal"/>
              <w:numPr>
                <w:ilvl w:val="0"/>
                <w:numId w:val="0"/>
              </w:numPr>
              <w:spacing w:before="40" w:after="40"/>
            </w:pPr>
            <w:r>
              <w:t>19</w:t>
            </w:r>
            <w:r w:rsidR="00841039">
              <w:t xml:space="preserve"> July</w:t>
            </w:r>
          </w:p>
        </w:tc>
        <w:tc>
          <w:tcPr>
            <w:tcW w:w="6586" w:type="dxa"/>
          </w:tcPr>
          <w:p w:rsidR="008B1B33" w:rsidRPr="00B46607" w:rsidRDefault="00551484" w:rsidP="00B660B1">
            <w:pPr>
              <w:pStyle w:val="PwCNormal"/>
              <w:numPr>
                <w:ilvl w:val="0"/>
                <w:numId w:val="0"/>
              </w:numPr>
              <w:spacing w:before="40" w:after="40"/>
            </w:pPr>
            <w:r>
              <w:t xml:space="preserve">The Department </w:t>
            </w:r>
            <w:r w:rsidR="00841039">
              <w:t xml:space="preserve">distributes EYQF Program Guidelines to </w:t>
            </w:r>
            <w:r w:rsidR="00B660B1">
              <w:t>LDC</w:t>
            </w:r>
            <w:r w:rsidR="00841039">
              <w:t xml:space="preserve"> services via email</w:t>
            </w:r>
          </w:p>
        </w:tc>
      </w:tr>
      <w:tr w:rsidR="008B1B33" w:rsidRPr="00B46607" w:rsidTr="00327235">
        <w:tc>
          <w:tcPr>
            <w:tcW w:w="1602" w:type="dxa"/>
          </w:tcPr>
          <w:p w:rsidR="008B1B33" w:rsidRPr="00B46607" w:rsidRDefault="00225A77" w:rsidP="00225A77">
            <w:pPr>
              <w:pStyle w:val="PwCNormal"/>
              <w:numPr>
                <w:ilvl w:val="0"/>
                <w:numId w:val="0"/>
              </w:numPr>
              <w:spacing w:before="40" w:after="40"/>
            </w:pPr>
            <w:r>
              <w:t>2</w:t>
            </w:r>
            <w:r w:rsidR="00C54470">
              <w:t>3 July</w:t>
            </w:r>
          </w:p>
        </w:tc>
        <w:tc>
          <w:tcPr>
            <w:tcW w:w="6586" w:type="dxa"/>
          </w:tcPr>
          <w:p w:rsidR="008B1B33" w:rsidRPr="00B46607" w:rsidRDefault="00C54470" w:rsidP="00C54470">
            <w:pPr>
              <w:pStyle w:val="PwCNormal"/>
              <w:numPr>
                <w:ilvl w:val="0"/>
                <w:numId w:val="0"/>
              </w:numPr>
              <w:spacing w:before="40" w:after="40"/>
            </w:pPr>
            <w:r>
              <w:t>11am AEST: Application process for EYQF opens as first in-first served</w:t>
            </w:r>
          </w:p>
        </w:tc>
      </w:tr>
      <w:tr w:rsidR="008B1B33" w:rsidRPr="00B46607" w:rsidTr="00327235">
        <w:tc>
          <w:tcPr>
            <w:tcW w:w="1602" w:type="dxa"/>
          </w:tcPr>
          <w:p w:rsidR="008B1B33" w:rsidRPr="00B46607" w:rsidRDefault="00C54470" w:rsidP="00C54470">
            <w:pPr>
              <w:pStyle w:val="PwCNormal"/>
              <w:numPr>
                <w:ilvl w:val="0"/>
                <w:numId w:val="0"/>
              </w:numPr>
              <w:spacing w:before="40" w:after="40"/>
            </w:pPr>
            <w:r>
              <w:t>23 July</w:t>
            </w:r>
          </w:p>
        </w:tc>
        <w:tc>
          <w:tcPr>
            <w:tcW w:w="6586" w:type="dxa"/>
          </w:tcPr>
          <w:p w:rsidR="008B1B33" w:rsidRPr="00B46607" w:rsidRDefault="00C54470" w:rsidP="00B46607">
            <w:pPr>
              <w:pStyle w:val="PwCNormal"/>
              <w:numPr>
                <w:ilvl w:val="0"/>
                <w:numId w:val="0"/>
              </w:numPr>
              <w:spacing w:before="40" w:after="40"/>
            </w:pPr>
            <w:r>
              <w:t>2pm AEST: Large provider funding pool cap reached</w:t>
            </w:r>
          </w:p>
        </w:tc>
      </w:tr>
      <w:tr w:rsidR="008B1B33" w:rsidRPr="00B46607" w:rsidTr="00327235">
        <w:tc>
          <w:tcPr>
            <w:tcW w:w="1602" w:type="dxa"/>
          </w:tcPr>
          <w:p w:rsidR="008B1B33" w:rsidRPr="00B46607" w:rsidRDefault="00C54470" w:rsidP="00C54470">
            <w:pPr>
              <w:pStyle w:val="PwCNormal"/>
              <w:numPr>
                <w:ilvl w:val="0"/>
                <w:numId w:val="0"/>
              </w:numPr>
              <w:spacing w:before="40" w:after="40"/>
            </w:pPr>
            <w:r>
              <w:t>24 July</w:t>
            </w:r>
          </w:p>
        </w:tc>
        <w:tc>
          <w:tcPr>
            <w:tcW w:w="6586" w:type="dxa"/>
          </w:tcPr>
          <w:p w:rsidR="008B1B33" w:rsidRPr="00B46607" w:rsidRDefault="00F46700" w:rsidP="00F46700">
            <w:pPr>
              <w:pStyle w:val="PwCNormal"/>
              <w:numPr>
                <w:ilvl w:val="0"/>
                <w:numId w:val="0"/>
              </w:numPr>
              <w:spacing w:before="40" w:after="40"/>
            </w:pPr>
            <w:r>
              <w:t xml:space="preserve">12 midnight (am) </w:t>
            </w:r>
            <w:r w:rsidR="00C54470">
              <w:t>AEST: Small provider funding pool cap reached</w:t>
            </w:r>
          </w:p>
        </w:tc>
      </w:tr>
      <w:tr w:rsidR="008B1B33" w:rsidRPr="00B46607" w:rsidTr="00327235">
        <w:tc>
          <w:tcPr>
            <w:tcW w:w="1602" w:type="dxa"/>
          </w:tcPr>
          <w:p w:rsidR="008B1B33" w:rsidRPr="00B46607" w:rsidRDefault="00C54470" w:rsidP="00B46607">
            <w:pPr>
              <w:pStyle w:val="PwCNormal"/>
              <w:numPr>
                <w:ilvl w:val="0"/>
                <w:numId w:val="0"/>
              </w:numPr>
              <w:spacing w:before="40" w:after="40"/>
            </w:pPr>
            <w:r>
              <w:t>27 July</w:t>
            </w:r>
          </w:p>
        </w:tc>
        <w:tc>
          <w:tcPr>
            <w:tcW w:w="6586" w:type="dxa"/>
          </w:tcPr>
          <w:p w:rsidR="008B1B33" w:rsidRPr="00B46607" w:rsidRDefault="00B71FAA" w:rsidP="00D04B86">
            <w:pPr>
              <w:pStyle w:val="PwCNormal"/>
              <w:numPr>
                <w:ilvl w:val="0"/>
                <w:numId w:val="0"/>
              </w:numPr>
              <w:spacing w:before="40" w:after="40"/>
            </w:pPr>
            <w:r>
              <w:t>List of providers finalised for approval</w:t>
            </w:r>
          </w:p>
        </w:tc>
      </w:tr>
      <w:tr w:rsidR="00B71FAA" w:rsidRPr="00B46607" w:rsidTr="00327235">
        <w:tc>
          <w:tcPr>
            <w:tcW w:w="1602" w:type="dxa"/>
          </w:tcPr>
          <w:p w:rsidR="00B71FAA" w:rsidRDefault="00B71FAA" w:rsidP="00225A77">
            <w:pPr>
              <w:pStyle w:val="PwCNormal"/>
              <w:numPr>
                <w:ilvl w:val="0"/>
                <w:numId w:val="0"/>
              </w:numPr>
              <w:spacing w:before="40" w:after="40"/>
            </w:pPr>
            <w:r>
              <w:t>1</w:t>
            </w:r>
            <w:r w:rsidR="00225A77">
              <w:t>-2</w:t>
            </w:r>
            <w:r>
              <w:t xml:space="preserve"> Aug</w:t>
            </w:r>
            <w:r w:rsidR="002E55A6">
              <w:t>ust</w:t>
            </w:r>
          </w:p>
        </w:tc>
        <w:tc>
          <w:tcPr>
            <w:tcW w:w="6586" w:type="dxa"/>
          </w:tcPr>
          <w:p w:rsidR="00B71FAA" w:rsidRDefault="00551484" w:rsidP="00551484">
            <w:pPr>
              <w:pStyle w:val="PwCNormal"/>
              <w:numPr>
                <w:ilvl w:val="0"/>
                <w:numId w:val="0"/>
              </w:numPr>
              <w:spacing w:before="40" w:after="40"/>
            </w:pPr>
            <w:r>
              <w:t>The Department</w:t>
            </w:r>
            <w:r w:rsidR="00B71FAA">
              <w:t xml:space="preserve"> sen</w:t>
            </w:r>
            <w:r>
              <w:t>ds</w:t>
            </w:r>
            <w:r w:rsidR="00B71FAA">
              <w:t xml:space="preserve"> </w:t>
            </w:r>
            <w:r w:rsidR="00D04B86">
              <w:t>conditional offers of funding</w:t>
            </w:r>
          </w:p>
        </w:tc>
      </w:tr>
      <w:tr w:rsidR="008B1B33" w:rsidRPr="00B46607" w:rsidTr="00327235">
        <w:tc>
          <w:tcPr>
            <w:tcW w:w="1602" w:type="dxa"/>
          </w:tcPr>
          <w:p w:rsidR="008B1B33" w:rsidRPr="00AF7D22" w:rsidRDefault="008B1B33" w:rsidP="00B46607">
            <w:pPr>
              <w:pStyle w:val="PwCNormal"/>
              <w:numPr>
                <w:ilvl w:val="0"/>
                <w:numId w:val="0"/>
              </w:numPr>
              <w:spacing w:before="40" w:after="40"/>
              <w:rPr>
                <w:highlight w:val="yellow"/>
              </w:rPr>
            </w:pPr>
            <w:r w:rsidRPr="000873FF">
              <w:t>6 Sept</w:t>
            </w:r>
            <w:r w:rsidR="002E55A6">
              <w:t>ember</w:t>
            </w:r>
          </w:p>
        </w:tc>
        <w:tc>
          <w:tcPr>
            <w:tcW w:w="6586" w:type="dxa"/>
          </w:tcPr>
          <w:p w:rsidR="008B1B33" w:rsidRPr="00B46607" w:rsidRDefault="000873FF" w:rsidP="00D04B86">
            <w:pPr>
              <w:pStyle w:val="PwCNormal"/>
              <w:numPr>
                <w:ilvl w:val="0"/>
                <w:numId w:val="0"/>
              </w:numPr>
              <w:spacing w:before="40" w:after="40"/>
            </w:pPr>
            <w:r>
              <w:t>F</w:t>
            </w:r>
            <w:r w:rsidR="00E40028">
              <w:t xml:space="preserve">unding agreements </w:t>
            </w:r>
            <w:r>
              <w:t xml:space="preserve">were </w:t>
            </w:r>
            <w:r w:rsidR="00E40028">
              <w:t xml:space="preserve">executed </w:t>
            </w:r>
            <w:r>
              <w:t>with 12 providers</w:t>
            </w:r>
          </w:p>
        </w:tc>
      </w:tr>
    </w:tbl>
    <w:p w:rsidR="00365DBB" w:rsidRDefault="002F27EB" w:rsidP="007F0F1B">
      <w:pPr>
        <w:pStyle w:val="Heading2"/>
      </w:pPr>
      <w:bookmarkStart w:id="38" w:name="_Toc372100970"/>
      <w:r>
        <w:lastRenderedPageBreak/>
        <w:t>Policy development and announcement</w:t>
      </w:r>
      <w:bookmarkEnd w:id="38"/>
    </w:p>
    <w:p w:rsidR="004D0222" w:rsidRDefault="004D0222" w:rsidP="004D0222">
      <w:pPr>
        <w:pStyle w:val="PwCNormal"/>
      </w:pPr>
      <w:r>
        <w:t xml:space="preserve">There has been </w:t>
      </w:r>
      <w:r w:rsidR="00EA0485">
        <w:t xml:space="preserve">a </w:t>
      </w:r>
      <w:r>
        <w:t xml:space="preserve">growing recognition that high quality early childhood education outcomes for children require a qualified and professional ECEC workforce. One of the significant reforms of the NQF is the introduction of national qualification requirements for ECEC educators in preschool, </w:t>
      </w:r>
      <w:r w:rsidR="00B660B1">
        <w:t>long day care (</w:t>
      </w:r>
      <w:r>
        <w:t>LDC</w:t>
      </w:r>
      <w:r w:rsidR="00B660B1">
        <w:t>)</w:t>
      </w:r>
      <w:r>
        <w:t xml:space="preserve"> and </w:t>
      </w:r>
      <w:r w:rsidR="00B660B1">
        <w:t>family day care (</w:t>
      </w:r>
      <w:r>
        <w:t>FDC</w:t>
      </w:r>
      <w:r w:rsidR="00B660B1">
        <w:t>)</w:t>
      </w:r>
      <w:r>
        <w:t xml:space="preserve"> settings.</w:t>
      </w:r>
    </w:p>
    <w:p w:rsidR="004D0222" w:rsidRDefault="004D0222" w:rsidP="004D0222">
      <w:pPr>
        <w:pStyle w:val="PwCNormal"/>
      </w:pPr>
      <w:r>
        <w:t xml:space="preserve">A key challenge for the introduction of the </w:t>
      </w:r>
      <w:r w:rsidR="00B660B1">
        <w:t>National Quality Framework (</w:t>
      </w:r>
      <w:r>
        <w:t>NQF</w:t>
      </w:r>
      <w:r w:rsidR="00B660B1">
        <w:t>)</w:t>
      </w:r>
      <w:r>
        <w:t xml:space="preserve"> qualification requirements is the ECEC sector’s ability to attract and retain qualified staff due to the pay and conditions in the sector. </w:t>
      </w:r>
      <w:r w:rsidRPr="001172E1">
        <w:t>Analysis conducted by the Productivity Commission shows that on average ECEC educators earn significantly below the average hourly rate of the rest of the workforce</w:t>
      </w:r>
      <w:r>
        <w:t>.</w:t>
      </w:r>
      <w:r>
        <w:rPr>
          <w:rStyle w:val="FootnoteReference"/>
        </w:rPr>
        <w:footnoteReference w:id="11"/>
      </w:r>
      <w:r>
        <w:t xml:space="preserve"> Based on these findings</w:t>
      </w:r>
      <w:r w:rsidR="00EA0485">
        <w:t>,</w:t>
      </w:r>
      <w:r>
        <w:t xml:space="preserve"> the sector has renewed it claims for government support in increasing the wage rate for early childhood educators to a professional standard.</w:t>
      </w:r>
    </w:p>
    <w:p w:rsidR="004D0222" w:rsidRDefault="004D0222" w:rsidP="004D0222">
      <w:pPr>
        <w:pStyle w:val="PwCNormal"/>
      </w:pPr>
      <w:r>
        <w:t>In June 2012</w:t>
      </w:r>
      <w:r w:rsidR="002E55A6">
        <w:t>,</w:t>
      </w:r>
      <w:r>
        <w:t xml:space="preserve"> Prime Minister Julia Gillard met with union and childcare providers to discuss the problems facing the sector. One of the key issues raised was the unsustainably high level of early childhood educators leaving the sector because of poor wage levels. At the conclusion of that meeting</w:t>
      </w:r>
      <w:r w:rsidR="00EA0485">
        <w:t>,</w:t>
      </w:r>
      <w:r>
        <w:t xml:space="preserve"> the Prime Minister committed to taking action to address these concerns.</w:t>
      </w:r>
    </w:p>
    <w:p w:rsidR="004D0222" w:rsidRDefault="004D0222" w:rsidP="004D0222">
      <w:pPr>
        <w:pStyle w:val="PwCNormal"/>
      </w:pPr>
      <w:r>
        <w:t xml:space="preserve">In July </w:t>
      </w:r>
      <w:r w:rsidR="009F2387">
        <w:t>2012</w:t>
      </w:r>
      <w:r>
        <w:t xml:space="preserve">, United Voice, the most predominate union that operates in the sector, launched its ‘Big Steps’ campaign for high wages across the sector. The campaign involved a sustained period of lobbying through media campaigns, public demonstrations and conversations with members of parliament to raise public awareness of the issues facing the sector and pressure the </w:t>
      </w:r>
      <w:r w:rsidR="00EA0485">
        <w:t xml:space="preserve">Australian </w:t>
      </w:r>
      <w:r>
        <w:t xml:space="preserve">government to provide funding to support professional wages in the sector. The campaign </w:t>
      </w:r>
      <w:r w:rsidR="009F2387">
        <w:t>asserted</w:t>
      </w:r>
      <w:r>
        <w:t xml:space="preserve"> that higher wages could not be supported by providers alone but required a contribution </w:t>
      </w:r>
      <w:r w:rsidR="00EA0485">
        <w:t xml:space="preserve">from </w:t>
      </w:r>
      <w:r>
        <w:t>the government</w:t>
      </w:r>
      <w:r w:rsidR="00EA0485">
        <w:t>.</w:t>
      </w:r>
    </w:p>
    <w:p w:rsidR="004D0222" w:rsidRDefault="004D0222" w:rsidP="004D0222">
      <w:pPr>
        <w:pStyle w:val="Heading7"/>
      </w:pPr>
      <w:r>
        <w:t>Policy announcement</w:t>
      </w:r>
    </w:p>
    <w:p w:rsidR="004D0222" w:rsidRDefault="004D0222" w:rsidP="004D0222">
      <w:pPr>
        <w:pStyle w:val="PwCNormal"/>
        <w:numPr>
          <w:ilvl w:val="0"/>
          <w:numId w:val="0"/>
        </w:numPr>
      </w:pPr>
      <w:r>
        <w:t>On 19 March 2013, Ministers Garrett and Ellis released a joint media release announcing $300 million for an EYQF to support the effective implementation of the NQF, including the requirement relating to educator qualification requirements commencing in 2014.</w:t>
      </w:r>
    </w:p>
    <w:p w:rsidR="004D0222" w:rsidRDefault="004D0222" w:rsidP="004D0222">
      <w:pPr>
        <w:pStyle w:val="PwCNormal"/>
        <w:numPr>
          <w:ilvl w:val="0"/>
          <w:numId w:val="0"/>
        </w:numPr>
      </w:pPr>
      <w:r>
        <w:t>The announcement included:</w:t>
      </w:r>
    </w:p>
    <w:p w:rsidR="004D0222" w:rsidRDefault="004D0222" w:rsidP="00127745">
      <w:pPr>
        <w:pStyle w:val="ListBullet"/>
        <w:tabs>
          <w:tab w:val="clear" w:pos="2836"/>
          <w:tab w:val="num" w:pos="567"/>
        </w:tabs>
        <w:ind w:left="567"/>
      </w:pPr>
      <w:r>
        <w:t xml:space="preserve">an increase </w:t>
      </w:r>
      <w:r w:rsidRPr="00127745">
        <w:t>wages</w:t>
      </w:r>
      <w:r>
        <w:t xml:space="preserve"> for Cert</w:t>
      </w:r>
      <w:r w:rsidR="00F06B3E">
        <w:t>ificate</w:t>
      </w:r>
      <w:r>
        <w:t xml:space="preserve"> III </w:t>
      </w:r>
      <w:r w:rsidR="00F06B3E">
        <w:t xml:space="preserve">qualified staff </w:t>
      </w:r>
      <w:r w:rsidR="008627E2">
        <w:t xml:space="preserve">in eligible services </w:t>
      </w:r>
      <w:r>
        <w:t>by $3</w:t>
      </w:r>
      <w:r w:rsidR="00B700BE">
        <w:t>.00</w:t>
      </w:r>
      <w:r>
        <w:t xml:space="preserve"> per hour from 1 July 2013 through enterprise bargaining, with proportional increases for higher q</w:t>
      </w:r>
      <w:r w:rsidR="00711713">
        <w:t>ualified staff</w:t>
      </w:r>
    </w:p>
    <w:p w:rsidR="004D0222" w:rsidRDefault="004D0222" w:rsidP="00127745">
      <w:pPr>
        <w:pStyle w:val="ListBullet"/>
        <w:tabs>
          <w:tab w:val="clear" w:pos="2836"/>
          <w:tab w:val="num" w:pos="567"/>
        </w:tabs>
        <w:ind w:left="567"/>
      </w:pPr>
      <w:r>
        <w:t>a requirement that providers demonstrate commitment to quality outcomes for children, including how they will meet the NQF qualification requirements</w:t>
      </w:r>
    </w:p>
    <w:p w:rsidR="004D0222" w:rsidRDefault="004D0222" w:rsidP="00127745">
      <w:pPr>
        <w:pStyle w:val="ListBullet"/>
        <w:tabs>
          <w:tab w:val="clear" w:pos="2836"/>
          <w:tab w:val="num" w:pos="567"/>
        </w:tabs>
        <w:ind w:left="567"/>
      </w:pPr>
      <w:r>
        <w:t>an obligation on providers to restrain fee rise to reflect only actual increases in operational costs</w:t>
      </w:r>
    </w:p>
    <w:p w:rsidR="004D0222" w:rsidRDefault="004D0222" w:rsidP="00127745">
      <w:pPr>
        <w:pStyle w:val="ListBullet"/>
        <w:tabs>
          <w:tab w:val="clear" w:pos="2836"/>
          <w:tab w:val="num" w:pos="567"/>
        </w:tabs>
        <w:ind w:left="567"/>
      </w:pPr>
      <w:r>
        <w:t>a commitment to improve fee transparency for families</w:t>
      </w:r>
    </w:p>
    <w:p w:rsidR="004D0222" w:rsidRDefault="004D0222" w:rsidP="00127745">
      <w:pPr>
        <w:pStyle w:val="ListBullet"/>
        <w:tabs>
          <w:tab w:val="clear" w:pos="2836"/>
          <w:tab w:val="num" w:pos="567"/>
        </w:tabs>
        <w:ind w:left="567"/>
      </w:pPr>
      <w:proofErr w:type="gramStart"/>
      <w:r>
        <w:lastRenderedPageBreak/>
        <w:t>the</w:t>
      </w:r>
      <w:proofErr w:type="gramEnd"/>
      <w:r>
        <w:t xml:space="preserve"> es</w:t>
      </w:r>
      <w:r w:rsidR="002515E6">
        <w:t>tablishment of an A</w:t>
      </w:r>
      <w:r>
        <w:t xml:space="preserve">dvisory </w:t>
      </w:r>
      <w:r w:rsidR="002515E6">
        <w:t>B</w:t>
      </w:r>
      <w:r>
        <w:t>oard of experts in the sector to provide recommendations in the drafting of the guidelines for assessment.</w:t>
      </w:r>
    </w:p>
    <w:p w:rsidR="00877F0E" w:rsidRDefault="00993BA6" w:rsidP="006966F0">
      <w:pPr>
        <w:pStyle w:val="PwCNormal"/>
      </w:pPr>
      <w:r>
        <w:t>At the same time as the announcement</w:t>
      </w:r>
      <w:r w:rsidR="00B6425F">
        <w:t>, the Department published</w:t>
      </w:r>
      <w:r>
        <w:t xml:space="preserve"> FAQs</w:t>
      </w:r>
      <w:r w:rsidR="00B6425F">
        <w:t xml:space="preserve"> on its website that</w:t>
      </w:r>
      <w:r w:rsidR="00877F0E">
        <w:t xml:space="preserve"> provided additional detail regarding </w:t>
      </w:r>
      <w:r>
        <w:t xml:space="preserve">the EYQF </w:t>
      </w:r>
      <w:r w:rsidR="00877F0E">
        <w:t>including</w:t>
      </w:r>
      <w:r w:rsidR="004D4C72">
        <w:t>:</w:t>
      </w:r>
    </w:p>
    <w:p w:rsidR="00714C7D" w:rsidRDefault="004D4C72" w:rsidP="00714C7D">
      <w:pPr>
        <w:pStyle w:val="ListBullet"/>
        <w:tabs>
          <w:tab w:val="clear" w:pos="2836"/>
          <w:tab w:val="num" w:pos="567"/>
        </w:tabs>
        <w:ind w:left="567"/>
      </w:pPr>
      <w:proofErr w:type="gramStart"/>
      <w:r>
        <w:t>f</w:t>
      </w:r>
      <w:r w:rsidR="00877F0E">
        <w:t>unding</w:t>
      </w:r>
      <w:proofErr w:type="gramEnd"/>
      <w:r w:rsidR="00877F0E">
        <w:t xml:space="preserve"> would be available to all </w:t>
      </w:r>
      <w:r w:rsidR="00B660B1" w:rsidRPr="00FE26D6">
        <w:t xml:space="preserve">Child Care Benefit (CCB) </w:t>
      </w:r>
      <w:r w:rsidR="00877F0E">
        <w:t xml:space="preserve">approved </w:t>
      </w:r>
      <w:r w:rsidR="00B660B1">
        <w:t>LDC</w:t>
      </w:r>
      <w:r w:rsidR="00877F0E">
        <w:t xml:space="preserve"> services.</w:t>
      </w:r>
    </w:p>
    <w:p w:rsidR="00714C7D" w:rsidRDefault="004D4C72" w:rsidP="00714C7D">
      <w:pPr>
        <w:pStyle w:val="ListBullet"/>
        <w:tabs>
          <w:tab w:val="clear" w:pos="2836"/>
          <w:tab w:val="num" w:pos="567"/>
        </w:tabs>
        <w:ind w:left="567"/>
      </w:pPr>
      <w:proofErr w:type="gramStart"/>
      <w:r>
        <w:t>f</w:t>
      </w:r>
      <w:r w:rsidR="00877F0E">
        <w:t>unding</w:t>
      </w:r>
      <w:proofErr w:type="gramEnd"/>
      <w:r w:rsidR="00877F0E">
        <w:t xml:space="preserve"> would be available to staff across the classification scale (including unq</w:t>
      </w:r>
      <w:r>
        <w:t>ualified and non-contact staff).</w:t>
      </w:r>
    </w:p>
    <w:p w:rsidR="006966F0" w:rsidRDefault="006966F0" w:rsidP="006966F0">
      <w:pPr>
        <w:pStyle w:val="PwCNormal"/>
      </w:pPr>
      <w:r>
        <w:t>The initial announcement of funding to support attracting and retaining qualified ECEC staff was welcomed by the sector. However, as the details of the EYQF became understood more broadly,</w:t>
      </w:r>
      <w:r w:rsidR="004D4C72">
        <w:t xml:space="preserve"> it created a division of views.</w:t>
      </w:r>
    </w:p>
    <w:p w:rsidR="006966F0" w:rsidRDefault="006966F0" w:rsidP="00127745">
      <w:pPr>
        <w:pStyle w:val="ListBullet"/>
        <w:tabs>
          <w:tab w:val="clear" w:pos="2836"/>
          <w:tab w:val="num" w:pos="567"/>
        </w:tabs>
        <w:ind w:left="567"/>
      </w:pPr>
      <w:r>
        <w:t>There was support for the EYQF as an important first step in the push for professional wages across the sector.</w:t>
      </w:r>
    </w:p>
    <w:p w:rsidR="006966F0" w:rsidRPr="00957E1D" w:rsidRDefault="006966F0" w:rsidP="006966F0">
      <w:pPr>
        <w:pStyle w:val="ListBullet"/>
        <w:numPr>
          <w:ilvl w:val="0"/>
          <w:numId w:val="0"/>
        </w:numPr>
        <w:ind w:left="567"/>
      </w:pPr>
      <w:r w:rsidRPr="006966F0">
        <w:rPr>
          <w:i/>
          <w:color w:val="A32020" w:themeColor="text2"/>
        </w:rPr>
        <w:t xml:space="preserve">“The only way to get better </w:t>
      </w:r>
      <w:r w:rsidRPr="00957E1D">
        <w:rPr>
          <w:i/>
          <w:color w:val="A32020" w:themeColor="text2"/>
        </w:rPr>
        <w:t>conditions for early childhood educators is for tax payers to carry some of the burden of increasing wages to professional levels. This gives hope to educators that more will be done.”</w:t>
      </w:r>
      <w:r w:rsidR="009166A3">
        <w:t xml:space="preserve"> – u</w:t>
      </w:r>
      <w:r w:rsidRPr="00957E1D">
        <w:t>nion representative</w:t>
      </w:r>
    </w:p>
    <w:p w:rsidR="006966F0" w:rsidRDefault="006966F0" w:rsidP="00127745">
      <w:pPr>
        <w:pStyle w:val="ListBullet"/>
        <w:tabs>
          <w:tab w:val="clear" w:pos="2836"/>
          <w:tab w:val="num" w:pos="567"/>
        </w:tabs>
        <w:ind w:left="567"/>
      </w:pPr>
      <w:r>
        <w:t>There was support for the intent of the policy, but concerns that it was implemented in an unequitable manner.</w:t>
      </w:r>
    </w:p>
    <w:p w:rsidR="006966F0" w:rsidRDefault="006966F0" w:rsidP="00127745">
      <w:pPr>
        <w:pStyle w:val="ListBullet"/>
        <w:tabs>
          <w:tab w:val="clear" w:pos="2836"/>
          <w:tab w:val="num" w:pos="567"/>
        </w:tabs>
        <w:ind w:left="567"/>
      </w:pPr>
      <w:r>
        <w:t>There were views that it is the role of the Fair Work Commission to determine fair and appropriate wage rates and not the role of Government to be subsidising wages or requiring enterprise agreements.</w:t>
      </w:r>
    </w:p>
    <w:p w:rsidR="006966F0" w:rsidRPr="00957E1D" w:rsidRDefault="006966F0" w:rsidP="006966F0">
      <w:pPr>
        <w:pStyle w:val="ListBullet"/>
        <w:numPr>
          <w:ilvl w:val="0"/>
          <w:numId w:val="0"/>
        </w:numPr>
        <w:ind w:left="567"/>
      </w:pPr>
      <w:r w:rsidRPr="00DD7DD9">
        <w:rPr>
          <w:i/>
          <w:color w:val="A32020" w:themeColor="text2"/>
        </w:rPr>
        <w:t xml:space="preserve">“We operate under the Fair Work Commission schedule, we shouldn’t be required to jump through hoops and </w:t>
      </w:r>
      <w:r w:rsidRPr="00957E1D">
        <w:rPr>
          <w:i/>
          <w:color w:val="A32020" w:themeColor="text2"/>
        </w:rPr>
        <w:t>hurdles and fight other services to provide for our staff at the expense of other services</w:t>
      </w:r>
      <w:r w:rsidR="00E16FF2">
        <w:rPr>
          <w:i/>
          <w:color w:val="A32020" w:themeColor="text2"/>
        </w:rPr>
        <w:t>.</w:t>
      </w:r>
      <w:r w:rsidRPr="00957E1D">
        <w:rPr>
          <w:i/>
          <w:color w:val="A32020" w:themeColor="text2"/>
        </w:rPr>
        <w:t>”</w:t>
      </w:r>
      <w:r w:rsidR="009166A3">
        <w:t xml:space="preserve"> – d</w:t>
      </w:r>
      <w:r w:rsidRPr="00957E1D">
        <w:t>irector of a small provider</w:t>
      </w:r>
    </w:p>
    <w:p w:rsidR="004D0222" w:rsidRPr="006A3675" w:rsidRDefault="004D0222" w:rsidP="004D0222">
      <w:pPr>
        <w:pStyle w:val="ListBullet"/>
        <w:numPr>
          <w:ilvl w:val="0"/>
          <w:numId w:val="0"/>
        </w:numPr>
      </w:pPr>
      <w:r>
        <w:t xml:space="preserve">While the announcement provided some outline of the operation of the </w:t>
      </w:r>
      <w:r w:rsidR="00CC0AA9">
        <w:t>EYQF</w:t>
      </w:r>
      <w:r>
        <w:t xml:space="preserve"> it did not provide sufficient detail with regard to the evaluation criteria that would be used to assess </w:t>
      </w:r>
      <w:r w:rsidRPr="006A3675">
        <w:t>applications. It was stated that this information would</w:t>
      </w:r>
      <w:r w:rsidR="006966F0" w:rsidRPr="006A3675">
        <w:t xml:space="preserve"> be contained in the guidelines to be released at a later date.</w:t>
      </w:r>
    </w:p>
    <w:p w:rsidR="004D0222" w:rsidRDefault="004D0222" w:rsidP="004D0222">
      <w:pPr>
        <w:pStyle w:val="Heading7"/>
      </w:pPr>
      <w:r>
        <w:t xml:space="preserve">Policy parameters determined by the Minister and their implication </w:t>
      </w:r>
    </w:p>
    <w:p w:rsidR="004A57C3" w:rsidRDefault="004A57C3" w:rsidP="004A57C3">
      <w:pPr>
        <w:pStyle w:val="ListBullet"/>
        <w:numPr>
          <w:ilvl w:val="0"/>
          <w:numId w:val="0"/>
        </w:numPr>
      </w:pPr>
      <w:r>
        <w:t>It remains unclear how the amount of $300 million for the EYQF was determined.</w:t>
      </w:r>
      <w:r w:rsidRPr="006A3675">
        <w:t xml:space="preserve"> PwC understand</w:t>
      </w:r>
      <w:r>
        <w:t>s</w:t>
      </w:r>
      <w:r w:rsidRPr="006A3675">
        <w:t xml:space="preserve"> that the </w:t>
      </w:r>
      <w:r>
        <w:t xml:space="preserve">ECEC </w:t>
      </w:r>
      <w:r w:rsidRPr="006A3675">
        <w:t>sector was not consulted prior to announcement</w:t>
      </w:r>
      <w:r>
        <w:t xml:space="preserve"> and</w:t>
      </w:r>
      <w:r w:rsidRPr="006A3675">
        <w:t xml:space="preserve"> </w:t>
      </w:r>
      <w:r>
        <w:t>d</w:t>
      </w:r>
      <w:r w:rsidRPr="006A3675">
        <w:t xml:space="preserve">ocumentation regarding advice from the Department to the Minister </w:t>
      </w:r>
      <w:r>
        <w:t>was not made available to Pw</w:t>
      </w:r>
      <w:r w:rsidRPr="006A3675">
        <w:t>C</w:t>
      </w:r>
      <w:r>
        <w:t>.</w:t>
      </w:r>
    </w:p>
    <w:p w:rsidR="009B707A" w:rsidRPr="00993BA6" w:rsidRDefault="009B707A" w:rsidP="00993BA6">
      <w:pPr>
        <w:pStyle w:val="ListBullet"/>
        <w:numPr>
          <w:ilvl w:val="0"/>
          <w:numId w:val="0"/>
        </w:numPr>
      </w:pPr>
      <w:r w:rsidRPr="00993BA6">
        <w:t>Based on documentation provided to PwC, there is no evidence of consideration being given to the impact on the sector regarding market distortion by having a small proportion of the sector receiving wage rises. There is also no evidence of consideration being given to the cessation of program funding in 2015</w:t>
      </w:r>
      <w:r w:rsidR="00993BA6">
        <w:t>.</w:t>
      </w:r>
      <w:r w:rsidR="005245C3">
        <w:t xml:space="preserve"> Section 7.1.2 presents a case study of potential market distortion created by the EYQF.</w:t>
      </w:r>
    </w:p>
    <w:p w:rsidR="00A62132" w:rsidRDefault="004A57C3" w:rsidP="004D0222">
      <w:pPr>
        <w:pStyle w:val="PwCNormal"/>
      </w:pPr>
      <w:r w:rsidRPr="004A57C3">
        <w:t>It is also unclear how $3</w:t>
      </w:r>
      <w:r w:rsidR="00711713">
        <w:t>.00</w:t>
      </w:r>
      <w:r w:rsidRPr="004A57C3">
        <w:t xml:space="preserve"> per hour wage increase was </w:t>
      </w:r>
      <w:proofErr w:type="gramStart"/>
      <w:r w:rsidRPr="004A57C3">
        <w:t>determined,</w:t>
      </w:r>
      <w:proofErr w:type="gramEnd"/>
      <w:r>
        <w:t xml:space="preserve"> it was acknowledged that $300 million would be insufficient to provide an increase in wages of $3</w:t>
      </w:r>
      <w:r w:rsidR="00711713">
        <w:t>.00</w:t>
      </w:r>
      <w:r>
        <w:t xml:space="preserve"> per hour for all eligible staff in the sector</w:t>
      </w:r>
      <w:r w:rsidRPr="004A57C3">
        <w:t>. The Department advised</w:t>
      </w:r>
      <w:r>
        <w:t xml:space="preserve"> PwC that it had </w:t>
      </w:r>
      <w:r w:rsidR="00F46700">
        <w:t>developed</w:t>
      </w:r>
      <w:r w:rsidR="00F46700" w:rsidRPr="004A57C3">
        <w:t xml:space="preserve"> </w:t>
      </w:r>
      <w:r w:rsidRPr="004A57C3">
        <w:t>a range of models for pay increases</w:t>
      </w:r>
      <w:r>
        <w:t>.</w:t>
      </w:r>
      <w:r w:rsidR="00CE672C">
        <w:t xml:space="preserve"> </w:t>
      </w:r>
    </w:p>
    <w:p w:rsidR="00714C7D" w:rsidRPr="00714C7D" w:rsidRDefault="005245C3" w:rsidP="00714C7D">
      <w:r w:rsidRPr="005245C3">
        <w:t>For a Certificate III qualified educator on the award wage rate of $19.72 per</w:t>
      </w:r>
      <w:r w:rsidRPr="00324C44">
        <w:t xml:space="preserve"> hour, this equates to </w:t>
      </w:r>
      <w:r w:rsidRPr="005245C3">
        <w:t>a 15</w:t>
      </w:r>
      <w:r>
        <w:t xml:space="preserve"> per cent</w:t>
      </w:r>
      <w:r w:rsidRPr="00324C44">
        <w:t xml:space="preserve"> wage increase.</w:t>
      </w:r>
    </w:p>
    <w:p w:rsidR="004D0222" w:rsidRDefault="00CE672C" w:rsidP="00A62132">
      <w:pPr>
        <w:pStyle w:val="PwCNormal"/>
      </w:pPr>
      <w:r>
        <w:lastRenderedPageBreak/>
        <w:t>T</w:t>
      </w:r>
      <w:r w:rsidR="004D0222">
        <w:t xml:space="preserve">he </w:t>
      </w:r>
      <w:r w:rsidR="004F323A">
        <w:t xml:space="preserve">Government </w:t>
      </w:r>
      <w:r>
        <w:t>also determined</w:t>
      </w:r>
      <w:r w:rsidR="004D0222">
        <w:t xml:space="preserve"> a number of policy parameters that would guide the implementation of the </w:t>
      </w:r>
      <w:r w:rsidR="00CC0AA9">
        <w:t>EYQF</w:t>
      </w:r>
      <w:r w:rsidR="004D0222">
        <w:t xml:space="preserve">. </w:t>
      </w:r>
      <w:r w:rsidR="006D3BC3">
        <w:t>These parameters are discussed below.</w:t>
      </w:r>
      <w:r w:rsidR="004D0222">
        <w:t xml:space="preserve"> </w:t>
      </w:r>
    </w:p>
    <w:p w:rsidR="004D0222" w:rsidRPr="00FE26D6" w:rsidRDefault="004D0222" w:rsidP="004D0222">
      <w:pPr>
        <w:pStyle w:val="Heading9"/>
      </w:pPr>
      <w:r>
        <w:t>Limiting access to long day care services</w:t>
      </w:r>
    </w:p>
    <w:p w:rsidR="009B707A" w:rsidRPr="00993BA6" w:rsidRDefault="009B707A" w:rsidP="00993BA6">
      <w:pPr>
        <w:pStyle w:val="PwCNormal"/>
      </w:pPr>
      <w:r w:rsidRPr="00993BA6">
        <w:t>Limiting access to CCB approved LDC services meant that funding for wages was targeted to the largest portion of the ECEC sector. LDC se</w:t>
      </w:r>
      <w:r w:rsidR="00C56E7A">
        <w:t>rvices make up approximately 50 per cent</w:t>
      </w:r>
      <w:r w:rsidRPr="00993BA6">
        <w:t xml:space="preserve"> of the sector.</w:t>
      </w:r>
      <w:r w:rsidR="00993BA6" w:rsidRPr="00993BA6">
        <w:rPr>
          <w:vertAlign w:val="superscript"/>
        </w:rPr>
        <w:footnoteReference w:id="12"/>
      </w:r>
      <w:r w:rsidRPr="00993BA6">
        <w:rPr>
          <w:vertAlign w:val="superscript"/>
        </w:rPr>
        <w:t xml:space="preserve"> </w:t>
      </w:r>
      <w:r w:rsidRPr="00993BA6">
        <w:t>While support is provided to the largest portion of the sector, the quantum of wage increases meant that even within the LDC sector 70 per cent of LD</w:t>
      </w:r>
      <w:r w:rsidR="00543044">
        <w:t xml:space="preserve">C educators would not benefit. </w:t>
      </w:r>
      <w:r w:rsidRPr="00993BA6">
        <w:t xml:space="preserve">This equates to 85 per cent of the entire </w:t>
      </w:r>
      <w:r w:rsidR="00993BA6" w:rsidRPr="00993BA6">
        <w:t xml:space="preserve">ECEC </w:t>
      </w:r>
      <w:r w:rsidRPr="00993BA6">
        <w:t>sector not benefiting under the EYQF.</w:t>
      </w:r>
    </w:p>
    <w:p w:rsidR="009B707A" w:rsidRPr="00993BA6" w:rsidRDefault="009B707A" w:rsidP="00993BA6">
      <w:pPr>
        <w:pStyle w:val="PwCNormal"/>
      </w:pPr>
      <w:r w:rsidRPr="00993BA6">
        <w:t xml:space="preserve">Limiting wage supplementation to LDC also ignores the needs of other ECEC services that are also experiencing workforce challenges in attracting and retaining qualified educators e.g. preschools, FDC and Outside of School Hours Care (OSHC) providers. The wage </w:t>
      </w:r>
      <w:r w:rsidR="005245C3">
        <w:t>subsidy once embedded would be l</w:t>
      </w:r>
      <w:r w:rsidRPr="00993BA6">
        <w:t xml:space="preserve">ikely </w:t>
      </w:r>
      <w:r w:rsidR="005245C3">
        <w:t>to further reduce</w:t>
      </w:r>
      <w:r w:rsidRPr="00993BA6">
        <w:t xml:space="preserve"> the ability</w:t>
      </w:r>
      <w:r w:rsidR="005245C3">
        <w:t xml:space="preserve"> of providers in these sectors</w:t>
      </w:r>
      <w:r w:rsidRPr="00993BA6">
        <w:t xml:space="preserve"> to attract and retain workers</w:t>
      </w:r>
      <w:r w:rsidR="005245C3">
        <w:t>. Some providers commented that this was also particularly divisive for staff in centres that offer multiple types of services.</w:t>
      </w:r>
      <w:r w:rsidRPr="00993BA6">
        <w:t xml:space="preserve"> </w:t>
      </w:r>
    </w:p>
    <w:p w:rsidR="004D0222" w:rsidRPr="00957E1D" w:rsidRDefault="004D0222" w:rsidP="004D0222">
      <w:pPr>
        <w:pStyle w:val="ListBullet"/>
        <w:numPr>
          <w:ilvl w:val="0"/>
          <w:numId w:val="0"/>
        </w:numPr>
        <w:ind w:left="567"/>
        <w:rPr>
          <w:b/>
        </w:rPr>
      </w:pPr>
      <w:r w:rsidRPr="00957E1D">
        <w:rPr>
          <w:i/>
          <w:color w:val="A32020" w:themeColor="text2"/>
        </w:rPr>
        <w:t xml:space="preserve">“During this time </w:t>
      </w:r>
      <w:r w:rsidRPr="00957E1D">
        <w:rPr>
          <w:color w:val="A32020" w:themeColor="text2"/>
        </w:rPr>
        <w:t>[</w:t>
      </w:r>
      <w:r w:rsidR="00957E1D" w:rsidRPr="00957E1D">
        <w:rPr>
          <w:color w:val="A32020" w:themeColor="text2"/>
        </w:rPr>
        <w:t xml:space="preserve">i.e. </w:t>
      </w:r>
      <w:r w:rsidRPr="00957E1D">
        <w:rPr>
          <w:color w:val="A32020" w:themeColor="text2"/>
        </w:rPr>
        <w:t xml:space="preserve">delivering LDC services] </w:t>
      </w:r>
      <w:r w:rsidRPr="00957E1D">
        <w:rPr>
          <w:i/>
          <w:color w:val="A32020" w:themeColor="text2"/>
        </w:rPr>
        <w:t xml:space="preserve">you’re paid this amount, but when </w:t>
      </w:r>
      <w:r w:rsidRPr="00957E1D">
        <w:rPr>
          <w:color w:val="A32020" w:themeColor="text2"/>
        </w:rPr>
        <w:t xml:space="preserve">[delivering] </w:t>
      </w:r>
      <w:r w:rsidRPr="00957E1D">
        <w:rPr>
          <w:i/>
          <w:color w:val="A32020" w:themeColor="text2"/>
        </w:rPr>
        <w:t>OSHC, you’re only paid this – it sends a message that children are not valued equally and why would staff want to work hours in OSHC now?”</w:t>
      </w:r>
      <w:r w:rsidRPr="00957E1D">
        <w:rPr>
          <w:b/>
          <w:i/>
        </w:rPr>
        <w:br/>
      </w:r>
      <w:r w:rsidR="009166A3" w:rsidRPr="00957E1D">
        <w:t xml:space="preserve">– </w:t>
      </w:r>
      <w:r w:rsidR="005C04C7">
        <w:t>p</w:t>
      </w:r>
      <w:r w:rsidRPr="00957E1D">
        <w:t>articipant at National Children’s Services Forum</w:t>
      </w:r>
    </w:p>
    <w:p w:rsidR="004D0222" w:rsidRDefault="004D0222" w:rsidP="004D0222">
      <w:pPr>
        <w:pStyle w:val="Heading9"/>
      </w:pPr>
      <w:r>
        <w:t>Wage increases must be applied across all classifications</w:t>
      </w:r>
    </w:p>
    <w:p w:rsidR="00457BFA" w:rsidRDefault="009F2387" w:rsidP="004D0222">
      <w:pPr>
        <w:pStyle w:val="ListBullet"/>
        <w:numPr>
          <w:ilvl w:val="0"/>
          <w:numId w:val="0"/>
        </w:numPr>
      </w:pPr>
      <w:r>
        <w:t>The $3.00 per hour increase for Cert</w:t>
      </w:r>
      <w:r w:rsidR="00D73BD5">
        <w:t>ificate</w:t>
      </w:r>
      <w:r>
        <w:t xml:space="preserve"> III qualified was determined by the </w:t>
      </w:r>
      <w:r w:rsidR="004F323A">
        <w:t>Government</w:t>
      </w:r>
      <w:r>
        <w:t xml:space="preserve">. This led to a number of complaints from the sector that a lower wage rate should be awarded to all LDC educators – via </w:t>
      </w:r>
      <w:r w:rsidR="00D73BD5">
        <w:t xml:space="preserve">a </w:t>
      </w:r>
      <w:r>
        <w:t xml:space="preserve">campaign letter. </w:t>
      </w:r>
      <w:r w:rsidR="004D0222">
        <w:t xml:space="preserve">Funding was provided on the basis </w:t>
      </w:r>
      <w:r w:rsidR="006D3BC3">
        <w:t xml:space="preserve">that </w:t>
      </w:r>
      <w:r w:rsidR="004D0222">
        <w:t xml:space="preserve">it would be provided to all classification of employees across the sector. </w:t>
      </w:r>
      <w:r w:rsidR="004D0222" w:rsidRPr="00FE26D6">
        <w:t xml:space="preserve">Providing grants to </w:t>
      </w:r>
      <w:r w:rsidR="006D3BC3">
        <w:t>subsidise</w:t>
      </w:r>
      <w:r w:rsidR="006D3BC3" w:rsidRPr="00FE26D6">
        <w:t xml:space="preserve"> </w:t>
      </w:r>
      <w:r w:rsidR="004D0222" w:rsidRPr="00FE26D6">
        <w:t>wage increases for staff across the classification scale does not target funds to the lowest paid staff as funds were to be used to increase wages for all staff at a service</w:t>
      </w:r>
      <w:r w:rsidR="004D0222">
        <w:t>. This includes</w:t>
      </w:r>
      <w:r w:rsidR="004D0222" w:rsidRPr="00FE26D6">
        <w:t xml:space="preserve"> those whose wage</w:t>
      </w:r>
      <w:r w:rsidR="004D0222">
        <w:t>s were</w:t>
      </w:r>
      <w:r w:rsidR="004D0222" w:rsidRPr="00FE26D6">
        <w:t xml:space="preserve"> already above the award rate</w:t>
      </w:r>
      <w:r w:rsidR="004D0222">
        <w:t xml:space="preserve">. </w:t>
      </w:r>
    </w:p>
    <w:p w:rsidR="0061364E" w:rsidRDefault="00457BFA" w:rsidP="0061364E">
      <w:pPr>
        <w:pStyle w:val="ListBullet"/>
        <w:numPr>
          <w:ilvl w:val="0"/>
          <w:numId w:val="0"/>
        </w:numPr>
      </w:pPr>
      <w:r>
        <w:t>Further</w:t>
      </w:r>
      <w:r w:rsidR="004D0222">
        <w:t>, the increases may also not</w:t>
      </w:r>
      <w:r w:rsidR="006D3BC3">
        <w:t xml:space="preserve"> be</w:t>
      </w:r>
      <w:r w:rsidR="004D0222">
        <w:t xml:space="preserve"> related to</w:t>
      </w:r>
      <w:r w:rsidR="004D0222" w:rsidRPr="00FE26D6">
        <w:t xml:space="preserve"> the increased qualification requirements of the NQF, as grants </w:t>
      </w:r>
      <w:r w:rsidR="00F42288">
        <w:t>were required to</w:t>
      </w:r>
      <w:r w:rsidR="00F42288" w:rsidRPr="00FE26D6">
        <w:t xml:space="preserve"> </w:t>
      </w:r>
      <w:r w:rsidR="004D0222" w:rsidRPr="00FE26D6">
        <w:t>be used to fund wage increases for unqualified staff (such as non</w:t>
      </w:r>
      <w:r w:rsidR="004D0222" w:rsidRPr="00FE26D6">
        <w:noBreakHyphen/>
        <w:t xml:space="preserve">contact staff) </w:t>
      </w:r>
      <w:r w:rsidR="006D3BC3">
        <w:t xml:space="preserve">which </w:t>
      </w:r>
      <w:r w:rsidR="004D0222">
        <w:t xml:space="preserve">are not necessarily related to </w:t>
      </w:r>
      <w:r w:rsidR="004D0222" w:rsidRPr="00FE26D6">
        <w:t>the ch</w:t>
      </w:r>
      <w:r w:rsidR="00CE672C">
        <w:t xml:space="preserve">allenges of retaining </w:t>
      </w:r>
      <w:r w:rsidR="004D0222" w:rsidRPr="00FE26D6">
        <w:t>ECT</w:t>
      </w:r>
      <w:r w:rsidR="00CE672C">
        <w:t>s</w:t>
      </w:r>
      <w:r w:rsidR="004D0222" w:rsidRPr="00FE26D6">
        <w:t>.</w:t>
      </w:r>
      <w:r w:rsidR="00F42288">
        <w:t xml:space="preserve"> </w:t>
      </w:r>
    </w:p>
    <w:p w:rsidR="0061364E" w:rsidRDefault="0061364E" w:rsidP="0061364E">
      <w:pPr>
        <w:pStyle w:val="ListBullet"/>
        <w:numPr>
          <w:ilvl w:val="0"/>
          <w:numId w:val="0"/>
        </w:numPr>
      </w:pPr>
      <w:r>
        <w:t>Early in the establishment of the EYQF, the D</w:t>
      </w:r>
      <w:r w:rsidRPr="00BB4DD8">
        <w:t>epartment estimate</w:t>
      </w:r>
      <w:r>
        <w:t>d</w:t>
      </w:r>
      <w:r w:rsidRPr="00BB4DD8">
        <w:t xml:space="preserve"> that</w:t>
      </w:r>
      <w:r>
        <w:t xml:space="preserve"> funding would be provided for approximately 1700 services but if wage increases were not </w:t>
      </w:r>
      <w:r w:rsidRPr="00BB4DD8">
        <w:t>extend</w:t>
      </w:r>
      <w:r>
        <w:t>ed</w:t>
      </w:r>
      <w:r w:rsidRPr="00BB4DD8">
        <w:t xml:space="preserve"> to unqualifi</w:t>
      </w:r>
      <w:r>
        <w:t>ed staff, the number of services to benefit could increase by around 12 per cent (i.e. an additional 204 services).</w:t>
      </w:r>
    </w:p>
    <w:p w:rsidR="004D0222" w:rsidRPr="00957E1D" w:rsidRDefault="004D0222" w:rsidP="004D0222">
      <w:pPr>
        <w:pStyle w:val="ListBullet"/>
        <w:numPr>
          <w:ilvl w:val="0"/>
          <w:numId w:val="0"/>
        </w:numPr>
        <w:ind w:left="567"/>
      </w:pPr>
      <w:r w:rsidRPr="00957E1D">
        <w:rPr>
          <w:i/>
          <w:color w:val="A32020" w:themeColor="text2"/>
        </w:rPr>
        <w:t xml:space="preserve">“Funding should have been targeted at </w:t>
      </w:r>
      <w:r w:rsidR="00B660B1">
        <w:rPr>
          <w:i/>
          <w:color w:val="A32020" w:themeColor="text2"/>
        </w:rPr>
        <w:t>[Early Childhood Teachers]</w:t>
      </w:r>
      <w:r w:rsidRPr="00957E1D">
        <w:rPr>
          <w:i/>
          <w:color w:val="A32020" w:themeColor="text2"/>
        </w:rPr>
        <w:t>. The NQF now requires us to have a qualified ECT, but they’re the hardest wages to manage within our budget without increasing fees</w:t>
      </w:r>
      <w:r w:rsidR="00E16FF2">
        <w:rPr>
          <w:i/>
          <w:color w:val="A32020" w:themeColor="text2"/>
        </w:rPr>
        <w:t>.</w:t>
      </w:r>
      <w:r w:rsidRPr="00957E1D">
        <w:rPr>
          <w:i/>
          <w:color w:val="A32020" w:themeColor="text2"/>
        </w:rPr>
        <w:t>”</w:t>
      </w:r>
      <w:r w:rsidRPr="00957E1D">
        <w:rPr>
          <w:b/>
          <w:i/>
        </w:rPr>
        <w:t xml:space="preserve"> </w:t>
      </w:r>
      <w:r w:rsidR="005C04C7">
        <w:t>– s</w:t>
      </w:r>
      <w:r w:rsidRPr="00957E1D">
        <w:t>mall service provider</w:t>
      </w:r>
    </w:p>
    <w:p w:rsidR="004D0222" w:rsidRDefault="004D0222" w:rsidP="004D0222">
      <w:pPr>
        <w:pStyle w:val="Heading9"/>
      </w:pPr>
      <w:r>
        <w:t xml:space="preserve">Requirement for an </w:t>
      </w:r>
      <w:r w:rsidR="00457BFA">
        <w:t>e</w:t>
      </w:r>
      <w:r>
        <w:t xml:space="preserve">nterprise </w:t>
      </w:r>
      <w:r w:rsidR="00457BFA">
        <w:t>a</w:t>
      </w:r>
      <w:r>
        <w:t xml:space="preserve">greement </w:t>
      </w:r>
    </w:p>
    <w:p w:rsidR="004D0222" w:rsidRDefault="004D0222" w:rsidP="004D0222">
      <w:pPr>
        <w:pStyle w:val="ListBullet"/>
        <w:numPr>
          <w:ilvl w:val="0"/>
          <w:numId w:val="0"/>
        </w:numPr>
      </w:pPr>
      <w:r w:rsidRPr="00FE26D6">
        <w:t>Services approved for EYQF funding were required to have an</w:t>
      </w:r>
      <w:r>
        <w:t xml:space="preserve"> enterprise agreement</w:t>
      </w:r>
      <w:r w:rsidRPr="00FE26D6">
        <w:t xml:space="preserve"> in place before grant funding would be released. Services without an </w:t>
      </w:r>
      <w:r>
        <w:t>enterprise agreement</w:t>
      </w:r>
      <w:r w:rsidRPr="00FE26D6">
        <w:t xml:space="preserve"> at time of </w:t>
      </w:r>
      <w:r w:rsidR="006D3BC3" w:rsidRPr="00FE26D6">
        <w:t>submi</w:t>
      </w:r>
      <w:r w:rsidR="006D3BC3">
        <w:t>ssion</w:t>
      </w:r>
      <w:r w:rsidRPr="00FE26D6">
        <w:t xml:space="preserve"> could be conditionally approved pending wage increases being included in an </w:t>
      </w:r>
      <w:r>
        <w:t>enterprise agreement</w:t>
      </w:r>
      <w:r w:rsidRPr="00FE26D6">
        <w:t xml:space="preserve"> approved by</w:t>
      </w:r>
      <w:r>
        <w:t xml:space="preserve"> the Fair Work Commission. </w:t>
      </w:r>
    </w:p>
    <w:p w:rsidR="009B707A" w:rsidRPr="00543044" w:rsidRDefault="009B707A" w:rsidP="00543044">
      <w:pPr>
        <w:pStyle w:val="ListBullet"/>
        <w:numPr>
          <w:ilvl w:val="0"/>
          <w:numId w:val="0"/>
        </w:numPr>
      </w:pPr>
      <w:r w:rsidRPr="00543044">
        <w:lastRenderedPageBreak/>
        <w:t>The department reported that prior to the EYQF the proportion of LDC services covered by enterprise agreements was approximately 25</w:t>
      </w:r>
      <w:r w:rsidR="00543044" w:rsidRPr="00543044">
        <w:t xml:space="preserve"> per cent</w:t>
      </w:r>
      <w:r w:rsidRPr="00543044">
        <w:t>. For the remaining 75</w:t>
      </w:r>
      <w:r w:rsidR="00543044" w:rsidRPr="00543044">
        <w:t xml:space="preserve"> per cent</w:t>
      </w:r>
      <w:r w:rsidRPr="00543044">
        <w:t xml:space="preserve"> of existing services that did not have an </w:t>
      </w:r>
      <w:r w:rsidR="00543044" w:rsidRPr="00543044">
        <w:t>enterprise agreement</w:t>
      </w:r>
      <w:r w:rsidR="0061364E">
        <w:t>,</w:t>
      </w:r>
      <w:r w:rsidRPr="00543044">
        <w:t xml:space="preserve"> the </w:t>
      </w:r>
      <w:r w:rsidR="00543044" w:rsidRPr="00543044">
        <w:t>EYQF eligibility</w:t>
      </w:r>
      <w:r w:rsidRPr="00543044">
        <w:t xml:space="preserve"> required them to negotiate an </w:t>
      </w:r>
      <w:r w:rsidR="00543044" w:rsidRPr="00543044">
        <w:t>enterprise agreement</w:t>
      </w:r>
      <w:r w:rsidRPr="00543044">
        <w:t xml:space="preserve"> or</w:t>
      </w:r>
      <w:r w:rsidR="0061364E">
        <w:t xml:space="preserve">, if </w:t>
      </w:r>
      <w:r w:rsidR="00C443BF">
        <w:t xml:space="preserve">they </w:t>
      </w:r>
      <w:r w:rsidR="0061364E">
        <w:t>chose not to have an enterprise agreement, then that provider</w:t>
      </w:r>
      <w:r w:rsidR="00543044" w:rsidRPr="00543044">
        <w:t xml:space="preserve"> would be</w:t>
      </w:r>
      <w:r w:rsidRPr="00543044">
        <w:t xml:space="preserve"> preclude</w:t>
      </w:r>
      <w:r w:rsidR="00543044" w:rsidRPr="00543044">
        <w:t>d</w:t>
      </w:r>
      <w:r w:rsidRPr="00543044">
        <w:t xml:space="preserve"> from accessing</w:t>
      </w:r>
      <w:r w:rsidR="0061364E">
        <w:t xml:space="preserve"> the</w:t>
      </w:r>
      <w:r w:rsidRPr="00543044">
        <w:t xml:space="preserve"> </w:t>
      </w:r>
      <w:r w:rsidR="00543044" w:rsidRPr="00543044">
        <w:t>EYQF</w:t>
      </w:r>
      <w:r w:rsidRPr="00543044">
        <w:t xml:space="preserve">. </w:t>
      </w:r>
    </w:p>
    <w:p w:rsidR="009B707A" w:rsidRPr="00543044" w:rsidRDefault="009B707A" w:rsidP="00543044">
      <w:pPr>
        <w:pStyle w:val="ListBullet"/>
        <w:numPr>
          <w:ilvl w:val="0"/>
          <w:numId w:val="0"/>
        </w:numPr>
      </w:pPr>
      <w:r w:rsidRPr="00543044">
        <w:t xml:space="preserve">The department notes that prior the announcement of the EYQF, the number of </w:t>
      </w:r>
      <w:r w:rsidR="00543044">
        <w:t>enterprise agreements</w:t>
      </w:r>
      <w:r w:rsidRPr="00543044">
        <w:t xml:space="preserve"> in the</w:t>
      </w:r>
      <w:r w:rsidR="0061364E">
        <w:t xml:space="preserve"> sector was approximately 100, but b</w:t>
      </w:r>
      <w:r w:rsidRPr="00543044">
        <w:t>y the end of October 2013, this had increased to over 400</w:t>
      </w:r>
      <w:r w:rsidR="00596B47">
        <w:t xml:space="preserve"> enterprise agreements</w:t>
      </w:r>
      <w:r w:rsidRPr="00543044">
        <w:t xml:space="preserve">. </w:t>
      </w:r>
    </w:p>
    <w:p w:rsidR="004D0222" w:rsidRDefault="004D0222" w:rsidP="004D0222">
      <w:pPr>
        <w:pStyle w:val="PwCNormal"/>
      </w:pPr>
      <w:r>
        <w:t>T</w:t>
      </w:r>
      <w:r w:rsidRPr="00FE26D6">
        <w:t xml:space="preserve">his requirement may reduce the administration burden on the Department </w:t>
      </w:r>
      <w:r>
        <w:t>in</w:t>
      </w:r>
      <w:r w:rsidRPr="00FE26D6">
        <w:t xml:space="preserve"> ensuring that funds are used for the purpose of wage increases</w:t>
      </w:r>
      <w:r>
        <w:t xml:space="preserve"> and</w:t>
      </w:r>
      <w:r w:rsidR="006D3BC3">
        <w:t xml:space="preserve"> this</w:t>
      </w:r>
      <w:r>
        <w:t xml:space="preserve"> is an approach that has previously been used in the aged care sector. However</w:t>
      </w:r>
      <w:r w:rsidRPr="00FE26D6">
        <w:t xml:space="preserve">, it was a cause for concern for some </w:t>
      </w:r>
      <w:r>
        <w:t xml:space="preserve">staff and </w:t>
      </w:r>
      <w:r w:rsidRPr="00FE26D6">
        <w:t xml:space="preserve">services as it resulted in costs incurred </w:t>
      </w:r>
      <w:r>
        <w:t>in relation to</w:t>
      </w:r>
      <w:r w:rsidRPr="00FE26D6">
        <w:t xml:space="preserve"> tim</w:t>
      </w:r>
      <w:r>
        <w:t xml:space="preserve">e and resourcing for enterprise agreement negotiation. There were also reports that this requirement had provided an opportunity for some inappropriate union activity </w:t>
      </w:r>
      <w:r w:rsidR="00C96296">
        <w:t xml:space="preserve">such as inappropriate contact </w:t>
      </w:r>
      <w:r>
        <w:t>and miscommunication.</w:t>
      </w:r>
    </w:p>
    <w:p w:rsidR="004D0222" w:rsidRPr="00A60CC2" w:rsidRDefault="004D0222" w:rsidP="009D5682">
      <w:pPr>
        <w:pStyle w:val="ListBullet"/>
        <w:numPr>
          <w:ilvl w:val="0"/>
          <w:numId w:val="0"/>
        </w:numPr>
        <w:ind w:left="567"/>
        <w:rPr>
          <w:b/>
          <w:color w:val="70170F" w:themeColor="accent2" w:themeShade="80"/>
        </w:rPr>
      </w:pPr>
      <w:r w:rsidRPr="004D0222">
        <w:rPr>
          <w:i/>
          <w:color w:val="A32020" w:themeColor="text2"/>
        </w:rPr>
        <w:t>“It cost me $3,500 to engage a lawyer for the enterprise agreement negotiatio</w:t>
      </w:r>
      <w:r w:rsidR="00CC0AA9">
        <w:rPr>
          <w:i/>
          <w:color w:val="A32020" w:themeColor="text2"/>
        </w:rPr>
        <w:t>ns to insert a clause for this f</w:t>
      </w:r>
      <w:r w:rsidRPr="004D0222">
        <w:rPr>
          <w:i/>
          <w:color w:val="A32020" w:themeColor="text2"/>
        </w:rPr>
        <w:t>und</w:t>
      </w:r>
      <w:r w:rsidR="00E16FF2">
        <w:rPr>
          <w:i/>
          <w:color w:val="A32020" w:themeColor="text2"/>
        </w:rPr>
        <w:t>.</w:t>
      </w:r>
      <w:r w:rsidRPr="004D0222">
        <w:rPr>
          <w:i/>
          <w:color w:val="A32020" w:themeColor="text2"/>
        </w:rPr>
        <w:t>”</w:t>
      </w:r>
      <w:r>
        <w:rPr>
          <w:b/>
          <w:color w:val="70170F" w:themeColor="accent2" w:themeShade="80"/>
        </w:rPr>
        <w:t xml:space="preserve"> </w:t>
      </w:r>
      <w:r w:rsidR="005C04C7">
        <w:t>– o</w:t>
      </w:r>
      <w:r w:rsidRPr="00137A96">
        <w:t>wner of</w:t>
      </w:r>
      <w:r>
        <w:t xml:space="preserve"> two regional</w:t>
      </w:r>
      <w:r w:rsidRPr="00137A96">
        <w:t xml:space="preserve"> </w:t>
      </w:r>
      <w:r>
        <w:t>services</w:t>
      </w:r>
    </w:p>
    <w:p w:rsidR="00C96296" w:rsidRDefault="00EA62FD" w:rsidP="00D80E1A">
      <w:pPr>
        <w:pStyle w:val="PwCNormal"/>
      </w:pPr>
      <w:r>
        <w:t xml:space="preserve">Minutes from the Department’s </w:t>
      </w:r>
      <w:r w:rsidR="00B12373">
        <w:t>IGC</w:t>
      </w:r>
      <w:r>
        <w:t xml:space="preserve"> show </w:t>
      </w:r>
      <w:r w:rsidR="00D80E1A">
        <w:t>that there</w:t>
      </w:r>
      <w:r w:rsidR="00AE24E9">
        <w:t xml:space="preserve"> were</w:t>
      </w:r>
      <w:r w:rsidR="00D80E1A">
        <w:t xml:space="preserve"> legal issues discussed surrounding making enterprise agreements a requirement to be eligible for funding and that these risks were to be raised </w:t>
      </w:r>
      <w:r w:rsidR="00B6425F">
        <w:t>as appropriate</w:t>
      </w:r>
      <w:r w:rsidR="00D80E1A">
        <w:t>.</w:t>
      </w:r>
      <w:r w:rsidR="00D80E1A" w:rsidRPr="00D80E1A">
        <w:t xml:space="preserve"> </w:t>
      </w:r>
    </w:p>
    <w:p w:rsidR="00D80E1A" w:rsidRDefault="00D80E1A" w:rsidP="00D80E1A">
      <w:pPr>
        <w:pStyle w:val="PwCNormal"/>
      </w:pPr>
      <w:r>
        <w:t xml:space="preserve">The </w:t>
      </w:r>
      <w:r w:rsidR="00AE24E9">
        <w:t xml:space="preserve">final </w:t>
      </w:r>
      <w:r w:rsidR="00B12373">
        <w:t>Program Guidelines allowed</w:t>
      </w:r>
      <w:r>
        <w:t xml:space="preserve"> services </w:t>
      </w:r>
      <w:r w:rsidR="00B12373">
        <w:t xml:space="preserve">to </w:t>
      </w:r>
      <w:r>
        <w:t>have their EYQF application assessed before being required to submit an enterprise agreement to the Fair Work Commission.</w:t>
      </w:r>
    </w:p>
    <w:p w:rsidR="009B707A" w:rsidRPr="0061364E" w:rsidRDefault="009B707A" w:rsidP="0061364E">
      <w:pPr>
        <w:pStyle w:val="PwCNormal"/>
      </w:pPr>
      <w:r w:rsidRPr="0061364E">
        <w:t xml:space="preserve">There is evidence that the requirement to have an </w:t>
      </w:r>
      <w:r w:rsidR="0061364E">
        <w:t>enterprise agreement</w:t>
      </w:r>
      <w:r w:rsidRPr="0061364E">
        <w:t xml:space="preserve"> was used by United Voice to increase its membership. </w:t>
      </w:r>
    </w:p>
    <w:p w:rsidR="009B707A" w:rsidRPr="0061364E" w:rsidRDefault="0061364E" w:rsidP="0061364E">
      <w:pPr>
        <w:pStyle w:val="ListBullet"/>
        <w:numPr>
          <w:ilvl w:val="0"/>
          <w:numId w:val="0"/>
        </w:numPr>
        <w:ind w:left="567"/>
      </w:pPr>
      <w:r w:rsidRPr="0061364E">
        <w:rPr>
          <w:i/>
          <w:color w:val="A32020" w:themeColor="text2"/>
        </w:rPr>
        <w:t>“A</w:t>
      </w:r>
      <w:r w:rsidR="009B707A" w:rsidRPr="0061364E">
        <w:rPr>
          <w:i/>
          <w:color w:val="A32020" w:themeColor="text2"/>
        </w:rPr>
        <w:t xml:space="preserve">ny enterprise agreement helps unions to sign up </w:t>
      </w:r>
      <w:proofErr w:type="gramStart"/>
      <w:r w:rsidR="009B707A" w:rsidRPr="0061364E">
        <w:rPr>
          <w:i/>
          <w:color w:val="A32020" w:themeColor="text2"/>
        </w:rPr>
        <w:t>members,</w:t>
      </w:r>
      <w:proofErr w:type="gramEnd"/>
      <w:r w:rsidR="009B707A" w:rsidRPr="0061364E">
        <w:rPr>
          <w:i/>
          <w:color w:val="A32020" w:themeColor="text2"/>
        </w:rPr>
        <w:t xml:space="preserve"> there is just no doubt about that. Every enterprise agreement we do starts off with a mess</w:t>
      </w:r>
      <w:r>
        <w:rPr>
          <w:i/>
          <w:color w:val="A32020" w:themeColor="text2"/>
        </w:rPr>
        <w:t xml:space="preserve">age to workers to join the union.” </w:t>
      </w:r>
      <w:r>
        <w:t xml:space="preserve">– </w:t>
      </w:r>
      <w:r w:rsidR="009B707A" w:rsidRPr="0061364E">
        <w:t>National President, United Voice</w:t>
      </w:r>
      <w:r>
        <w:rPr>
          <w:rStyle w:val="FootnoteReference"/>
        </w:rPr>
        <w:footnoteReference w:id="13"/>
      </w:r>
    </w:p>
    <w:p w:rsidR="009B707A" w:rsidRPr="0061364E" w:rsidRDefault="009B707A" w:rsidP="0061364E">
      <w:pPr>
        <w:pStyle w:val="PwCNormal"/>
      </w:pPr>
      <w:r w:rsidRPr="0061364E">
        <w:t>The Department advises that it monitored all media streams relevant to the EYQF and that the Big Steps Facebook page made several references to the need to join the union and get an EBA to access funding under the EYQF</w:t>
      </w:r>
      <w:r w:rsidR="0061364E">
        <w:t>.</w:t>
      </w:r>
      <w:r w:rsidRPr="0061364E">
        <w:t xml:space="preserve"> </w:t>
      </w:r>
    </w:p>
    <w:p w:rsidR="004D0222" w:rsidRDefault="004D0222" w:rsidP="004D0222">
      <w:pPr>
        <w:pStyle w:val="Heading9"/>
      </w:pPr>
      <w:r>
        <w:t>First in-first served</w:t>
      </w:r>
    </w:p>
    <w:p w:rsidR="00457BFA" w:rsidRDefault="00457BFA" w:rsidP="00457BFA">
      <w:pPr>
        <w:pStyle w:val="ListBullet"/>
        <w:numPr>
          <w:ilvl w:val="0"/>
          <w:numId w:val="0"/>
        </w:numPr>
      </w:pPr>
      <w:r>
        <w:t xml:space="preserve">The policy was for the applications to be processed in the order in which they were received by the Department and </w:t>
      </w:r>
      <w:r w:rsidR="006D3BC3">
        <w:t xml:space="preserve">that they </w:t>
      </w:r>
      <w:r>
        <w:t>were to be assessed until the $300 million funding cap was reached. This ‘first in-first served’ approach placed pressure on the sector to submit their applications as soon as possible and rewarded providers who had the ability to dedicate resources to the application process from the point when guidelines were released. It also disadvantaged smaller providers who required time and additional support to understand the guidelines before determining whether or not to apply.</w:t>
      </w:r>
    </w:p>
    <w:p w:rsidR="00C96296" w:rsidRDefault="00C96296" w:rsidP="00C96296">
      <w:pPr>
        <w:pStyle w:val="ListBullet"/>
        <w:numPr>
          <w:ilvl w:val="0"/>
          <w:numId w:val="0"/>
        </w:numPr>
      </w:pPr>
      <w:r>
        <w:t>Minutes from the IGC indicate that one option considered was to undertake a merit-based competitive process with ‘first in-first served’ used to distinguish between two equally meritorious applications</w:t>
      </w:r>
      <w:r w:rsidR="0061364E">
        <w:t>.</w:t>
      </w:r>
    </w:p>
    <w:p w:rsidR="00C96296" w:rsidRDefault="00C96296" w:rsidP="008326F9">
      <w:pPr>
        <w:pStyle w:val="PwCNormal"/>
      </w:pPr>
      <w:r>
        <w:lastRenderedPageBreak/>
        <w:t>The final Program Guidelines set out that applications will be assessed in the order received by the Department.</w:t>
      </w:r>
    </w:p>
    <w:p w:rsidR="00C96296" w:rsidRDefault="00C96296" w:rsidP="008326F9">
      <w:pPr>
        <w:pStyle w:val="PwCNormal"/>
      </w:pPr>
      <w:r>
        <w:t>Documentation regarding the decision surrounding why the first in</w:t>
      </w:r>
      <w:r w:rsidR="008326F9">
        <w:t>-</w:t>
      </w:r>
      <w:r>
        <w:t>first served approach was used is not available to PwC.</w:t>
      </w:r>
    </w:p>
    <w:p w:rsidR="004D0222" w:rsidRDefault="004D0222" w:rsidP="00457BFA">
      <w:pPr>
        <w:pStyle w:val="ListBullet"/>
        <w:numPr>
          <w:ilvl w:val="0"/>
          <w:numId w:val="0"/>
        </w:numPr>
        <w:ind w:left="567"/>
      </w:pPr>
      <w:r w:rsidRPr="004D0222">
        <w:rPr>
          <w:i/>
          <w:color w:val="A32020" w:themeColor="text2"/>
        </w:rPr>
        <w:t xml:space="preserve">“[First in-first served] was to the detriment of small providers who would need to </w:t>
      </w:r>
      <w:r w:rsidRPr="00957E1D">
        <w:rPr>
          <w:i/>
          <w:color w:val="A32020" w:themeColor="text2"/>
        </w:rPr>
        <w:t>spend time making the decision whether to apply. For bigger providers this was simply an operational issue with the decision making already completed</w:t>
      </w:r>
      <w:r w:rsidR="00E16FF2">
        <w:rPr>
          <w:i/>
          <w:color w:val="A32020" w:themeColor="text2"/>
        </w:rPr>
        <w:t>.</w:t>
      </w:r>
      <w:r w:rsidRPr="00957E1D">
        <w:rPr>
          <w:i/>
          <w:color w:val="A32020" w:themeColor="text2"/>
        </w:rPr>
        <w:t>”</w:t>
      </w:r>
      <w:r w:rsidRPr="00957E1D">
        <w:rPr>
          <w:b/>
        </w:rPr>
        <w:t xml:space="preserve"> </w:t>
      </w:r>
      <w:r w:rsidR="00CE672C" w:rsidRPr="00957E1D">
        <w:rPr>
          <w:b/>
        </w:rPr>
        <w:br/>
      </w:r>
      <w:r w:rsidR="005C04C7">
        <w:t>– p</w:t>
      </w:r>
      <w:r w:rsidRPr="00957E1D">
        <w:t>eak body representative</w:t>
      </w:r>
    </w:p>
    <w:p w:rsidR="002F27EB" w:rsidRDefault="002F27EB" w:rsidP="007F0F1B">
      <w:pPr>
        <w:pStyle w:val="Heading2"/>
      </w:pPr>
      <w:bookmarkStart w:id="39" w:name="_Toc372100971"/>
      <w:r>
        <w:lastRenderedPageBreak/>
        <w:t>Establishment of the EYQF</w:t>
      </w:r>
      <w:bookmarkEnd w:id="39"/>
    </w:p>
    <w:p w:rsidR="008A42AB" w:rsidRDefault="008A42AB" w:rsidP="008A42AB">
      <w:pPr>
        <w:pStyle w:val="PwCNormal"/>
        <w:numPr>
          <w:ilvl w:val="0"/>
          <w:numId w:val="0"/>
        </w:numPr>
      </w:pPr>
      <w:r>
        <w:t xml:space="preserve">The formal establishment of the EYQF </w:t>
      </w:r>
      <w:r w:rsidR="006D3BC3">
        <w:t xml:space="preserve">relates </w:t>
      </w:r>
      <w:r>
        <w:t>to the key tasks</w:t>
      </w:r>
      <w:r w:rsidR="00C443BF">
        <w:t xml:space="preserve"> undertaken</w:t>
      </w:r>
      <w:r>
        <w:t xml:space="preserve"> prior to its implementation. It involves the key steps of:</w:t>
      </w:r>
    </w:p>
    <w:p w:rsidR="00CF5DCB" w:rsidRDefault="00CF5DCB" w:rsidP="00127745">
      <w:pPr>
        <w:pStyle w:val="ListBullet"/>
        <w:tabs>
          <w:tab w:val="clear" w:pos="2836"/>
          <w:tab w:val="num" w:pos="567"/>
        </w:tabs>
        <w:ind w:left="567"/>
      </w:pPr>
      <w:r>
        <w:t xml:space="preserve">advice provided by the Department, as recommended by the </w:t>
      </w:r>
      <w:r w:rsidR="00094C88">
        <w:t>IGC</w:t>
      </w:r>
    </w:p>
    <w:p w:rsidR="008A42AB" w:rsidRDefault="008A42AB" w:rsidP="00127745">
      <w:pPr>
        <w:pStyle w:val="ListBullet"/>
        <w:tabs>
          <w:tab w:val="clear" w:pos="2836"/>
          <w:tab w:val="num" w:pos="567"/>
        </w:tabs>
        <w:ind w:left="567"/>
      </w:pPr>
      <w:r>
        <w:t xml:space="preserve">establishing the </w:t>
      </w:r>
      <w:r w:rsidR="005317F5">
        <w:t>A</w:t>
      </w:r>
      <w:r>
        <w:t xml:space="preserve">dvisory </w:t>
      </w:r>
      <w:r w:rsidR="005317F5">
        <w:t>B</w:t>
      </w:r>
      <w:r w:rsidR="00C443BF">
        <w:t>oard</w:t>
      </w:r>
    </w:p>
    <w:p w:rsidR="008A42AB" w:rsidRDefault="006D3BC3" w:rsidP="00127745">
      <w:pPr>
        <w:pStyle w:val="ListBullet"/>
        <w:tabs>
          <w:tab w:val="clear" w:pos="2836"/>
          <w:tab w:val="num" w:pos="567"/>
        </w:tabs>
        <w:ind w:left="567"/>
      </w:pPr>
      <w:r>
        <w:t>introducing</w:t>
      </w:r>
      <w:r w:rsidR="008A42AB">
        <w:t xml:space="preserve"> the legislation and </w:t>
      </w:r>
      <w:r>
        <w:t xml:space="preserve">supporting </w:t>
      </w:r>
      <w:r w:rsidR="008A42AB">
        <w:t xml:space="preserve">the relevant parliamentary </w:t>
      </w:r>
      <w:r w:rsidR="008326F9">
        <w:t>c</w:t>
      </w:r>
      <w:r w:rsidR="008739E8">
        <w:t>ommittee</w:t>
      </w:r>
      <w:r w:rsidR="008326F9">
        <w:t xml:space="preserve"> </w:t>
      </w:r>
      <w:r w:rsidR="00C443BF">
        <w:t>inquiries</w:t>
      </w:r>
    </w:p>
    <w:p w:rsidR="008A42AB" w:rsidRDefault="006D3BC3" w:rsidP="00127745">
      <w:pPr>
        <w:pStyle w:val="ListBullet"/>
        <w:tabs>
          <w:tab w:val="clear" w:pos="2836"/>
          <w:tab w:val="num" w:pos="567"/>
        </w:tabs>
        <w:ind w:left="567"/>
      </w:pPr>
      <w:proofErr w:type="gramStart"/>
      <w:r>
        <w:t>establish</w:t>
      </w:r>
      <w:r w:rsidR="00C443BF">
        <w:t>ing</w:t>
      </w:r>
      <w:proofErr w:type="gramEnd"/>
      <w:r w:rsidR="008A42AB">
        <w:t xml:space="preserve"> the governance and </w:t>
      </w:r>
      <w:r w:rsidR="00C443BF">
        <w:t>structural arrangements needed</w:t>
      </w:r>
      <w:r w:rsidR="008A42AB">
        <w:t xml:space="preserve"> for its implementation.</w:t>
      </w:r>
    </w:p>
    <w:p w:rsidR="00CF5DCB" w:rsidRDefault="00CF5DCB" w:rsidP="008A42AB">
      <w:pPr>
        <w:pStyle w:val="Heading6"/>
      </w:pPr>
      <w:bookmarkStart w:id="40" w:name="_Toc372100972"/>
      <w:bookmarkStart w:id="41" w:name="_Toc370347884"/>
      <w:r>
        <w:t xml:space="preserve">Internal Governance </w:t>
      </w:r>
      <w:r w:rsidR="008739E8">
        <w:t>Committee</w:t>
      </w:r>
      <w:bookmarkEnd w:id="40"/>
    </w:p>
    <w:p w:rsidR="00CF5DCB" w:rsidRDefault="00CF5DCB" w:rsidP="00CF5DCB">
      <w:pPr>
        <w:pStyle w:val="PwCNormal"/>
      </w:pPr>
      <w:r>
        <w:t>To consider and oversee issues associated with the implementation of the EYQF and the Advisory Board, the Department established an IGC comprised of representatives from across the Department with expertise on all elements of program design.</w:t>
      </w:r>
    </w:p>
    <w:p w:rsidR="00CF5DCB" w:rsidRDefault="00CF5DCB" w:rsidP="00CF5DCB">
      <w:pPr>
        <w:pStyle w:val="PwCNormal"/>
      </w:pPr>
      <w:r>
        <w:t>The IGC met four times during the implementation of the EYQF and this review considered the agendum, agenda papers and minutes of those meetings, to identify the recommendations determined by the Department. D</w:t>
      </w:r>
      <w:r w:rsidRPr="00FB7A45">
        <w:t>ocumentation of the</w:t>
      </w:r>
      <w:r>
        <w:t xml:space="preserve"> actual</w:t>
      </w:r>
      <w:r w:rsidRPr="00FB7A45">
        <w:t xml:space="preserve"> advice from the Department to the Government on these matters was not mad</w:t>
      </w:r>
      <w:r w:rsidR="004D4C72">
        <w:t>e available to the review team,</w:t>
      </w:r>
      <w:r w:rsidR="001314D7">
        <w:t xml:space="preserve"> as it is</w:t>
      </w:r>
      <w:r w:rsidRPr="00FB7A45">
        <w:t xml:space="preserve"> </w:t>
      </w:r>
      <w:r w:rsidR="001314D7" w:rsidRPr="00CD4BE9">
        <w:t>contrary to convention to release documents recording the deliberations of a former Minister to a new Minister where there has been a change of government.</w:t>
      </w:r>
    </w:p>
    <w:p w:rsidR="00CF5DCB" w:rsidRDefault="00CF5DCB" w:rsidP="00CF5DCB">
      <w:pPr>
        <w:pStyle w:val="PwCNormal"/>
      </w:pPr>
      <w:r>
        <w:t>Key issue</w:t>
      </w:r>
      <w:r w:rsidR="004C518F">
        <w:t xml:space="preserve">s discussed by </w:t>
      </w:r>
      <w:r w:rsidR="000F191E">
        <w:t xml:space="preserve">the IGC are </w:t>
      </w:r>
      <w:r w:rsidR="004C518F">
        <w:t>outlined</w:t>
      </w:r>
      <w:r w:rsidR="000F191E">
        <w:t xml:space="preserve"> below.</w:t>
      </w:r>
    </w:p>
    <w:p w:rsidR="000F191E" w:rsidRDefault="000F191E" w:rsidP="000F191E">
      <w:pPr>
        <w:pStyle w:val="Heading9"/>
      </w:pPr>
      <w:r>
        <w:t>Impact on sector coverage</w:t>
      </w:r>
    </w:p>
    <w:p w:rsidR="000F191E" w:rsidRDefault="00CF5DCB" w:rsidP="004B56CD">
      <w:pPr>
        <w:pStyle w:val="PwCNormal"/>
      </w:pPr>
      <w:r>
        <w:t xml:space="preserve">The </w:t>
      </w:r>
      <w:r w:rsidR="000F191E">
        <w:t xml:space="preserve">IGC discussed the grant funding use and its impact on sector coverage. It estimated that if the EYQF was restricted to qualified educators (to support NQF implementation) </w:t>
      </w:r>
      <w:r w:rsidR="004B56CD">
        <w:t xml:space="preserve">and that it would not </w:t>
      </w:r>
      <w:r w:rsidR="00FE1B0E">
        <w:t>pay for</w:t>
      </w:r>
      <w:r w:rsidR="00240683">
        <w:t xml:space="preserve"> the on-</w:t>
      </w:r>
      <w:r w:rsidR="004B56CD">
        <w:t xml:space="preserve">costs, </w:t>
      </w:r>
      <w:r w:rsidR="00FE1B0E">
        <w:t>the EYQF</w:t>
      </w:r>
      <w:r w:rsidR="000F191E">
        <w:t xml:space="preserve"> </w:t>
      </w:r>
      <w:r w:rsidR="00FE1B0E">
        <w:t>c</w:t>
      </w:r>
      <w:r w:rsidR="000F191E">
        <w:t>ould provide wage supple</w:t>
      </w:r>
      <w:r w:rsidR="004B56CD">
        <w:t>mentation for approximately 41 </w:t>
      </w:r>
      <w:r w:rsidR="000F191E">
        <w:t xml:space="preserve">per cent of the qualified educators in the LDC sector. However, </w:t>
      </w:r>
      <w:r w:rsidR="00240683">
        <w:t>if a grant covered on-</w:t>
      </w:r>
      <w:r w:rsidR="004B56CD">
        <w:t>costs and unqualified staff, the proportion of the sector to benefit could be as low as 29 per cent of qualified staff.</w:t>
      </w:r>
      <w:r w:rsidR="004B56CD">
        <w:rPr>
          <w:rStyle w:val="FootnoteReference"/>
        </w:rPr>
        <w:footnoteReference w:id="14"/>
      </w:r>
    </w:p>
    <w:p w:rsidR="00FE1B0E" w:rsidRDefault="004B56CD" w:rsidP="004B56CD">
      <w:pPr>
        <w:pStyle w:val="PwCNormal"/>
      </w:pPr>
      <w:r>
        <w:t>The IGC recommended that unqualified staff should not be paid under the EQYF as it was not in alignment with the intent of assisting</w:t>
      </w:r>
      <w:r w:rsidR="00C443BF">
        <w:t xml:space="preserve"> services meet</w:t>
      </w:r>
      <w:r>
        <w:t xml:space="preserve"> NQF qualification requirements.</w:t>
      </w:r>
      <w:r w:rsidR="00957E1D">
        <w:t xml:space="preserve"> </w:t>
      </w:r>
      <w:r w:rsidR="004F323A">
        <w:t>The final Program Guidelines indicate that EYQF funding was available to all staff (not o</w:t>
      </w:r>
      <w:r w:rsidR="00240683">
        <w:t>nly qualified staff) and on-</w:t>
      </w:r>
      <w:r w:rsidR="004F323A">
        <w:t>costs of 20 per cent.</w:t>
      </w:r>
    </w:p>
    <w:p w:rsidR="0064258F" w:rsidRDefault="008326F9" w:rsidP="004B56CD">
      <w:pPr>
        <w:pStyle w:val="PwCNormal"/>
      </w:pPr>
      <w:r>
        <w:t>Given the funding limitations, p</w:t>
      </w:r>
      <w:r w:rsidR="0064258F">
        <w:t xml:space="preserve">roviding </w:t>
      </w:r>
      <w:r>
        <w:t>wage subsidies</w:t>
      </w:r>
      <w:r w:rsidR="0064258F">
        <w:t xml:space="preserve"> to all staff</w:t>
      </w:r>
      <w:r>
        <w:t xml:space="preserve"> rather than a more targeted group seems to be an inefficient way to support the</w:t>
      </w:r>
      <w:r w:rsidR="0064258F">
        <w:t xml:space="preserve"> objective of the NQF to increase quality through </w:t>
      </w:r>
      <w:r w:rsidR="00EE2490">
        <w:t>increased</w:t>
      </w:r>
      <w:r w:rsidR="0064258F">
        <w:t xml:space="preserve"> qualification requirements.</w:t>
      </w:r>
    </w:p>
    <w:p w:rsidR="00FE1B0E" w:rsidRDefault="00FE1B0E" w:rsidP="00FE1B0E">
      <w:pPr>
        <w:pStyle w:val="Heading9"/>
      </w:pPr>
      <w:r>
        <w:lastRenderedPageBreak/>
        <w:t>Funding of on-costs</w:t>
      </w:r>
    </w:p>
    <w:p w:rsidR="00FE1B0E" w:rsidRDefault="00FE1B0E" w:rsidP="00FE1B0E">
      <w:pPr>
        <w:pStyle w:val="PwCNormal"/>
      </w:pPr>
      <w:r>
        <w:t>The IGC discussed whether EYQF funding should cover on-costs associated with wage increases as there would be increased coverage if these were not included (as above). The IGC agreed that a requirement for services to cover these costs themselves may result in reduced applications and further demonstrate a commitment to quality. The IGC recommended that two options be put to the Advisory Board:</w:t>
      </w:r>
    </w:p>
    <w:p w:rsidR="00FE1B0E" w:rsidRDefault="004D4C72" w:rsidP="00FE1B0E">
      <w:pPr>
        <w:pStyle w:val="ListBullet"/>
        <w:tabs>
          <w:tab w:val="clear" w:pos="2836"/>
          <w:tab w:val="num" w:pos="567"/>
        </w:tabs>
        <w:ind w:left="567"/>
      </w:pPr>
      <w:r>
        <w:t>c</w:t>
      </w:r>
      <w:r w:rsidR="00FE1B0E">
        <w:t>o-contribution for on-costs based on service size</w:t>
      </w:r>
    </w:p>
    <w:p w:rsidR="00FE1B0E" w:rsidRDefault="004D4C72" w:rsidP="00FE1B0E">
      <w:pPr>
        <w:pStyle w:val="ListBullet"/>
        <w:tabs>
          <w:tab w:val="clear" w:pos="2836"/>
          <w:tab w:val="num" w:pos="567"/>
        </w:tabs>
        <w:ind w:left="567"/>
      </w:pPr>
      <w:proofErr w:type="gramStart"/>
      <w:r>
        <w:t>i</w:t>
      </w:r>
      <w:r w:rsidR="00FE1B0E">
        <w:t>f</w:t>
      </w:r>
      <w:proofErr w:type="gramEnd"/>
      <w:r w:rsidR="00FE1B0E">
        <w:t xml:space="preserve"> on-costs are to be included that these be a flat rate for efficiencies.</w:t>
      </w:r>
    </w:p>
    <w:p w:rsidR="00FE1B0E" w:rsidRDefault="00FE1B0E" w:rsidP="00FE1B0E">
      <w:pPr>
        <w:pStyle w:val="ListBullet"/>
        <w:numPr>
          <w:ilvl w:val="0"/>
          <w:numId w:val="0"/>
        </w:numPr>
      </w:pPr>
      <w:r>
        <w:t xml:space="preserve">Advisory Board minutes show that the Board was concerned that if on-costs were not funded they may be passed onto parents through fee increases. The Board advised that </w:t>
      </w:r>
      <w:r w:rsidR="00ED3E14">
        <w:t>the real cost to services for on-costs is a minimum of</w:t>
      </w:r>
      <w:r>
        <w:t xml:space="preserve"> 25 per cent.</w:t>
      </w:r>
    </w:p>
    <w:p w:rsidR="00FE1B0E" w:rsidRPr="004C518F" w:rsidRDefault="004F323A" w:rsidP="00FE1B0E">
      <w:pPr>
        <w:pStyle w:val="ListBullet"/>
        <w:numPr>
          <w:ilvl w:val="0"/>
          <w:numId w:val="0"/>
        </w:numPr>
      </w:pPr>
      <w:r>
        <w:t>The final Program Guidelines indicate on-costs of 20 per cent were included.</w:t>
      </w:r>
    </w:p>
    <w:p w:rsidR="004B56CD" w:rsidRDefault="004B56CD" w:rsidP="004B56CD">
      <w:pPr>
        <w:pStyle w:val="Heading9"/>
      </w:pPr>
      <w:r>
        <w:t>Wage increases for staff already above award rate</w:t>
      </w:r>
    </w:p>
    <w:p w:rsidR="00FE1B0E" w:rsidRDefault="004B56CD" w:rsidP="004B56CD">
      <w:pPr>
        <w:pStyle w:val="PwCNormal"/>
      </w:pPr>
      <w:r>
        <w:t>The IGC</w:t>
      </w:r>
      <w:r w:rsidR="00FE1B0E">
        <w:t xml:space="preserve"> discussed whether the EYQF should fund a flat $3</w:t>
      </w:r>
      <w:r w:rsidR="00957E1D">
        <w:t>.00</w:t>
      </w:r>
      <w:r w:rsidR="00FE1B0E">
        <w:t xml:space="preserve"> per hour increase for all Certificate III educators, or whether it should provide for workers paid at minimum $3</w:t>
      </w:r>
      <w:r w:rsidR="00957E1D">
        <w:t>.00</w:t>
      </w:r>
      <w:r w:rsidR="00B700BE">
        <w:t> </w:t>
      </w:r>
      <w:r w:rsidR="00FE1B0E">
        <w:t xml:space="preserve">per hour above the award rate. </w:t>
      </w:r>
    </w:p>
    <w:p w:rsidR="00ED3E14" w:rsidRDefault="00FE1B0E" w:rsidP="004B56CD">
      <w:pPr>
        <w:pStyle w:val="PwCNormal"/>
      </w:pPr>
      <w:r>
        <w:t>The difference being that those workers that were already</w:t>
      </w:r>
      <w:r w:rsidR="00ED3E14">
        <w:t>$3</w:t>
      </w:r>
      <w:r w:rsidR="00B700BE">
        <w:t>.00</w:t>
      </w:r>
      <w:r w:rsidR="00ED3E14">
        <w:t xml:space="preserve"> per hour above the award rate would not receive a wage subsidy through the EYQF.</w:t>
      </w:r>
    </w:p>
    <w:p w:rsidR="004B56CD" w:rsidRDefault="00ED3E14" w:rsidP="004B56CD">
      <w:pPr>
        <w:pStyle w:val="PwCNormal"/>
      </w:pPr>
      <w:r>
        <w:t>The minutes of the meeting note that there was ‘robust discussion’ of this issue, but ultimately the IGC agreed</w:t>
      </w:r>
      <w:r w:rsidR="00EE2490">
        <w:t xml:space="preserve"> </w:t>
      </w:r>
      <w:r>
        <w:t>that $3</w:t>
      </w:r>
      <w:r w:rsidR="008326F9">
        <w:t>.00</w:t>
      </w:r>
      <w:r>
        <w:t xml:space="preserve"> per hour be paid over what is currently paid, noting that this may require applicants to provide proof of payroll information as part of the application process.</w:t>
      </w:r>
      <w:r w:rsidR="00FE1B0E">
        <w:t xml:space="preserve"> </w:t>
      </w:r>
      <w:r w:rsidR="004F323A">
        <w:t>The final Program Guidelines indicate payroll information was required to be provided as part of the application process.</w:t>
      </w:r>
    </w:p>
    <w:p w:rsidR="004B56CD" w:rsidRDefault="004B56CD" w:rsidP="004B56CD">
      <w:pPr>
        <w:pStyle w:val="Heading9"/>
      </w:pPr>
      <w:r>
        <w:t>First in-first served</w:t>
      </w:r>
    </w:p>
    <w:p w:rsidR="00781210" w:rsidRDefault="004B56CD">
      <w:pPr>
        <w:pStyle w:val="PwCNormal"/>
      </w:pPr>
      <w:r>
        <w:t>The IGC noted that the use of ‘first in-first served’ was linked directly to the timeframe to ‘get funding out the door by 1 July’</w:t>
      </w:r>
      <w:r w:rsidR="00043046">
        <w:t xml:space="preserve">. </w:t>
      </w:r>
      <w:r w:rsidR="0064258F">
        <w:t>Section 4.8 of the Commonwealth Grant Guidelines state “Competitive, merit based selection processes should be used to allocate grants, unless specifically agreed otherwise by a Minister, Chief Executive or delegate. Where a method, other than a competitive merit based selection process is planned to be used agency staff should document why this approach will be used.”</w:t>
      </w:r>
    </w:p>
    <w:p w:rsidR="0064258F" w:rsidRDefault="0064258F" w:rsidP="0064258F">
      <w:pPr>
        <w:pStyle w:val="PwCNormal"/>
      </w:pPr>
      <w:r>
        <w:t>The IGC agreed to recommend that all applications received within the timeframe be assessed and ranked using a competitive merit-based process with time of receipt being used to differentiate between two equal applications.</w:t>
      </w:r>
    </w:p>
    <w:p w:rsidR="00043046" w:rsidRDefault="004F323A" w:rsidP="004B56CD">
      <w:pPr>
        <w:pStyle w:val="PwCNormal"/>
      </w:pPr>
      <w:r>
        <w:t>The process outlined in the Program Guidelines</w:t>
      </w:r>
      <w:r w:rsidR="00C443BF">
        <w:t xml:space="preserve"> was to assess application</w:t>
      </w:r>
      <w:r w:rsidR="00043046">
        <w:t>s that were received in time order up until the funding cap was reached.</w:t>
      </w:r>
      <w:r w:rsidR="00B12373">
        <w:t xml:space="preserve"> This meant that other than meeting minimum requirements, the quality of the application did not influence the decision to grant funding.</w:t>
      </w:r>
    </w:p>
    <w:p w:rsidR="0064258F" w:rsidRDefault="0064258F" w:rsidP="008326F9">
      <w:pPr>
        <w:pStyle w:val="PwCNormal"/>
      </w:pPr>
      <w:r>
        <w:t>Documentation regarding the decisi</w:t>
      </w:r>
      <w:r w:rsidR="008326F9">
        <w:t>on surrounding why the first in-</w:t>
      </w:r>
      <w:r>
        <w:t>first served approach was used is not available to PwC.</w:t>
      </w:r>
    </w:p>
    <w:p w:rsidR="0064258F" w:rsidRDefault="0064258F" w:rsidP="0064258F">
      <w:pPr>
        <w:pStyle w:val="PwCNormal"/>
      </w:pPr>
      <w:r>
        <w:t xml:space="preserve">While the </w:t>
      </w:r>
      <w:r w:rsidR="00EE2490">
        <w:t>Commonwealth Grant Guidelines</w:t>
      </w:r>
      <w:r>
        <w:t xml:space="preserve"> do not provide indicative preferred timeframes </w:t>
      </w:r>
      <w:r w:rsidR="00EE2490">
        <w:t xml:space="preserve">the Department has indicated </w:t>
      </w:r>
      <w:r>
        <w:t xml:space="preserve">that as a general rule for competitive grants processes, </w:t>
      </w:r>
      <w:r w:rsidR="00C443BF">
        <w:t xml:space="preserve">three to </w:t>
      </w:r>
      <w:r>
        <w:t>four weeks from release of Program Guidelines to application is standard.</w:t>
      </w:r>
    </w:p>
    <w:p w:rsidR="0064258F" w:rsidRDefault="002515E6" w:rsidP="0064258F">
      <w:pPr>
        <w:pStyle w:val="PwCNormal"/>
      </w:pPr>
      <w:r>
        <w:t>The Program G</w:t>
      </w:r>
      <w:r w:rsidR="0064258F">
        <w:t xml:space="preserve">uidelines for </w:t>
      </w:r>
      <w:r w:rsidR="008326F9">
        <w:t>the EYQF</w:t>
      </w:r>
      <w:r w:rsidR="0064258F">
        <w:t xml:space="preserve"> were published on</w:t>
      </w:r>
      <w:r w:rsidR="008326F9">
        <w:t xml:space="preserve"> the Department’s website on Friday 19 </w:t>
      </w:r>
      <w:r w:rsidR="0064258F">
        <w:t xml:space="preserve">July 2013 at 11am providing services with only 2 working days to prepare an application. </w:t>
      </w:r>
    </w:p>
    <w:p w:rsidR="00043046" w:rsidRDefault="00043046" w:rsidP="00043046">
      <w:pPr>
        <w:pStyle w:val="Heading9"/>
      </w:pPr>
      <w:r>
        <w:lastRenderedPageBreak/>
        <w:t>Applications at service level or the provider level</w:t>
      </w:r>
    </w:p>
    <w:p w:rsidR="00043046" w:rsidRPr="00043046" w:rsidRDefault="00043046" w:rsidP="00043046">
      <w:pPr>
        <w:pStyle w:val="PwCNormal"/>
      </w:pPr>
      <w:r>
        <w:t>The IGC discussed whether applications should be made at the service level or the provider level. It noted that applications at the service level would assist with equitable distribution</w:t>
      </w:r>
      <w:r w:rsidR="00DC1203">
        <w:t xml:space="preserve"> because no one single provider with multiple services could access the </w:t>
      </w:r>
      <w:r w:rsidR="00CC0AA9">
        <w:t>EYQF</w:t>
      </w:r>
      <w:r w:rsidR="00DC1203">
        <w:t xml:space="preserve"> for a range of services in one application</w:t>
      </w:r>
      <w:r w:rsidR="00DF6D33">
        <w:t>.</w:t>
      </w:r>
    </w:p>
    <w:p w:rsidR="00043046" w:rsidRDefault="00043046" w:rsidP="004B56CD">
      <w:pPr>
        <w:pStyle w:val="PwCNormal"/>
      </w:pPr>
      <w:r>
        <w:t>IGC agreed that applications at the service level would provide greater equity and be more in line with the intent of the program to support NQF qualification requirements, but that it would significantly increase the number of applications received.</w:t>
      </w:r>
    </w:p>
    <w:p w:rsidR="0064258F" w:rsidRDefault="0064258F" w:rsidP="008326F9">
      <w:pPr>
        <w:pStyle w:val="PwCNormal"/>
      </w:pPr>
      <w:r>
        <w:t>There was extensive discussion at Advisory Board meetings about whether applications should be requir</w:t>
      </w:r>
      <w:r w:rsidR="00240683">
        <w:t>ed from individual services or p</w:t>
      </w:r>
      <w:r>
        <w:t>roviders.</w:t>
      </w:r>
      <w:r w:rsidR="008326F9">
        <w:t xml:space="preserve"> </w:t>
      </w:r>
      <w:r>
        <w:t>A key issue raised by the Advisory Board was the complexity associated with requiring servic</w:t>
      </w:r>
      <w:r w:rsidR="00240683">
        <w:t>e based applications from multi</w:t>
      </w:r>
      <w:r w:rsidR="00240683">
        <w:noBreakHyphen/>
      </w:r>
      <w:r>
        <w:t>service providers.</w:t>
      </w:r>
      <w:r w:rsidR="008326F9">
        <w:t xml:space="preserve"> </w:t>
      </w:r>
      <w:r>
        <w:t>This included that</w:t>
      </w:r>
      <w:r w:rsidR="00EE2490">
        <w:t>:</w:t>
      </w:r>
    </w:p>
    <w:p w:rsidR="00781210" w:rsidRDefault="00F00207" w:rsidP="008326F9">
      <w:pPr>
        <w:pStyle w:val="ListBullet"/>
        <w:tabs>
          <w:tab w:val="clear" w:pos="2836"/>
          <w:tab w:val="num" w:pos="567"/>
        </w:tabs>
        <w:ind w:left="567"/>
      </w:pPr>
      <w:r>
        <w:t>n</w:t>
      </w:r>
      <w:r w:rsidR="0064258F">
        <w:t xml:space="preserve">ot all services owned and operated by one provider would be guaranteed of securing funding and could result in different enterprise bargaining agreements being required for </w:t>
      </w:r>
      <w:r>
        <w:t>groups of services owned by a provider</w:t>
      </w:r>
    </w:p>
    <w:p w:rsidR="00781210" w:rsidRDefault="00F00207" w:rsidP="008326F9">
      <w:pPr>
        <w:pStyle w:val="ListBullet"/>
        <w:tabs>
          <w:tab w:val="clear" w:pos="2836"/>
          <w:tab w:val="num" w:pos="567"/>
        </w:tabs>
        <w:ind w:left="567"/>
      </w:pPr>
      <w:r>
        <w:t>d</w:t>
      </w:r>
      <w:r w:rsidR="0064258F">
        <w:t xml:space="preserve">ifficulties in including staff employed by </w:t>
      </w:r>
      <w:r w:rsidR="00240683">
        <w:t>p</w:t>
      </w:r>
      <w:r w:rsidR="0064258F">
        <w:t xml:space="preserve">roviders deployed across multiple services </w:t>
      </w:r>
    </w:p>
    <w:p w:rsidR="00781210" w:rsidRDefault="00F00207" w:rsidP="008326F9">
      <w:pPr>
        <w:pStyle w:val="ListBullet"/>
        <w:tabs>
          <w:tab w:val="clear" w:pos="2836"/>
          <w:tab w:val="num" w:pos="567"/>
        </w:tabs>
        <w:ind w:left="567"/>
      </w:pPr>
      <w:r>
        <w:t>t</w:t>
      </w:r>
      <w:r w:rsidR="0064258F">
        <w:t>he ability of staff in serv</w:t>
      </w:r>
      <w:r w:rsidR="00240683">
        <w:t>ices to accurately reflect the p</w:t>
      </w:r>
      <w:r w:rsidR="0064258F">
        <w:t>rovider’s workforce development plan for the organisation</w:t>
      </w:r>
    </w:p>
    <w:p w:rsidR="00781210" w:rsidRDefault="00F00207" w:rsidP="008326F9">
      <w:pPr>
        <w:pStyle w:val="ListBullet"/>
        <w:tabs>
          <w:tab w:val="clear" w:pos="2836"/>
          <w:tab w:val="num" w:pos="567"/>
        </w:tabs>
        <w:ind w:left="567"/>
      </w:pPr>
      <w:proofErr w:type="gramStart"/>
      <w:r>
        <w:t>r</w:t>
      </w:r>
      <w:r w:rsidR="0064258F">
        <w:t>equired</w:t>
      </w:r>
      <w:proofErr w:type="gramEnd"/>
      <w:r w:rsidR="0064258F">
        <w:t xml:space="preserve"> information to assist the application process relat</w:t>
      </w:r>
      <w:r w:rsidR="00240683">
        <w:t>ing to multi-services owned by p</w:t>
      </w:r>
      <w:r w:rsidR="0064258F">
        <w:t>roviders such as payroll information, training and professional development plans, is usually centralised.</w:t>
      </w:r>
    </w:p>
    <w:p w:rsidR="007B51F8" w:rsidRDefault="0064258F" w:rsidP="0064258F">
      <w:pPr>
        <w:pStyle w:val="PwCNormal"/>
      </w:pPr>
      <w:r>
        <w:t>However, the Board recognised the potential for larger providers to be the main beneficiaries of the EYQF if the application process allowed a provider to apply for all services due to their ability to mobilise resources to submit applications. The Advisory Board did consider options to address the potential inequity including recommending that the fund</w:t>
      </w:r>
      <w:r w:rsidR="008326F9">
        <w:t>ing be split into two funding p</w:t>
      </w:r>
      <w:r>
        <w:t xml:space="preserve">ools. </w:t>
      </w:r>
    </w:p>
    <w:p w:rsidR="00DF6D33" w:rsidRDefault="007B51F8" w:rsidP="0064258F">
      <w:pPr>
        <w:pStyle w:val="PwCNormal"/>
      </w:pPr>
      <w:r>
        <w:t>The</w:t>
      </w:r>
      <w:r w:rsidR="00EE2490">
        <w:t xml:space="preserve"> </w:t>
      </w:r>
      <w:r w:rsidR="00C443BF">
        <w:t>process implemented was</w:t>
      </w:r>
      <w:r w:rsidR="00DF6D33" w:rsidRPr="00DF6D33">
        <w:t xml:space="preserve"> to allow multi-service providers to lodge one application. The </w:t>
      </w:r>
      <w:r w:rsidR="00EC689C">
        <w:t>D</w:t>
      </w:r>
      <w:r w:rsidR="00DF6D33" w:rsidRPr="00DF6D33">
        <w:t>epartment advised that this chan</w:t>
      </w:r>
      <w:r w:rsidR="00240683">
        <w:t>ge lessened the burden on multi</w:t>
      </w:r>
      <w:r w:rsidR="00240683">
        <w:noBreakHyphen/>
      </w:r>
      <w:r w:rsidR="00DF6D33" w:rsidRPr="00DF6D33">
        <w:t>service providers and the uncertainty that would have been created if some services from the same provider would have been successful and some not successful.</w:t>
      </w:r>
    </w:p>
    <w:p w:rsidR="00043046" w:rsidRDefault="00043046" w:rsidP="00043046">
      <w:pPr>
        <w:pStyle w:val="Heading9"/>
      </w:pPr>
      <w:r>
        <w:t>Distribution of funding</w:t>
      </w:r>
    </w:p>
    <w:p w:rsidR="00DF6D33" w:rsidRDefault="00DF6D33" w:rsidP="00043046">
      <w:pPr>
        <w:pStyle w:val="PwCNormal"/>
      </w:pPr>
      <w:r>
        <w:t>The IGC discussed whether funds should be quarantined for small services, and whether funds should be allocated by state, to ensure equity across jurisdictions.</w:t>
      </w:r>
    </w:p>
    <w:p w:rsidR="004C518F" w:rsidRDefault="00043046" w:rsidP="004C518F">
      <w:pPr>
        <w:pStyle w:val="PwCNormal"/>
      </w:pPr>
      <w:r>
        <w:t>The IGC recommended that the distribution of EYQF should be split by jurisdiction and then by size of services within the jurisdiction. It noted that there was accurate data to support distribution in this way.</w:t>
      </w:r>
    </w:p>
    <w:p w:rsidR="008A42AB" w:rsidRDefault="008A42AB" w:rsidP="008A42AB">
      <w:pPr>
        <w:pStyle w:val="Heading6"/>
      </w:pPr>
      <w:bookmarkStart w:id="42" w:name="_Toc372100973"/>
      <w:r>
        <w:t>Advisory Board</w:t>
      </w:r>
      <w:bookmarkEnd w:id="41"/>
      <w:bookmarkEnd w:id="42"/>
    </w:p>
    <w:p w:rsidR="00282809" w:rsidRDefault="008A42AB" w:rsidP="00282809">
      <w:pPr>
        <w:pStyle w:val="PwCNormal"/>
        <w:numPr>
          <w:ilvl w:val="0"/>
          <w:numId w:val="0"/>
        </w:numPr>
      </w:pPr>
      <w:r>
        <w:t xml:space="preserve">The appointment of members to the </w:t>
      </w:r>
      <w:r w:rsidR="006D3BC3">
        <w:t xml:space="preserve">Advisory Board </w:t>
      </w:r>
      <w:r>
        <w:t xml:space="preserve">took a relatively long period of time. From the first formal announcement of the </w:t>
      </w:r>
      <w:r w:rsidR="00CC0AA9">
        <w:t>EYQF</w:t>
      </w:r>
      <w:r>
        <w:t xml:space="preserve"> it took nine weeks for all positions on the </w:t>
      </w:r>
      <w:r w:rsidR="005317F5">
        <w:t>B</w:t>
      </w:r>
      <w:r>
        <w:t>oard to be filled</w:t>
      </w:r>
      <w:r w:rsidR="00282809">
        <w:t>.</w:t>
      </w:r>
    </w:p>
    <w:p w:rsidR="005421BC" w:rsidRDefault="005421BC" w:rsidP="00282809">
      <w:pPr>
        <w:pStyle w:val="PwCNormal"/>
        <w:numPr>
          <w:ilvl w:val="0"/>
          <w:numId w:val="0"/>
        </w:numPr>
      </w:pPr>
      <w:r>
        <w:t xml:space="preserve">The </w:t>
      </w:r>
      <w:r w:rsidR="00282809">
        <w:t>Department’s</w:t>
      </w:r>
      <w:r>
        <w:t xml:space="preserve"> implementation plan </w:t>
      </w:r>
      <w:r w:rsidR="00282809">
        <w:t xml:space="preserve">for the EYQF planned for </w:t>
      </w:r>
      <w:r w:rsidR="00CF5DCB">
        <w:t>the Board to be appointed on 8 April</w:t>
      </w:r>
      <w:r w:rsidR="00596B47">
        <w:t xml:space="preserve"> 2013</w:t>
      </w:r>
      <w:r w:rsidR="00CF5DCB">
        <w:t xml:space="preserve"> and the first Board meeting to be on 15 April. </w:t>
      </w:r>
      <w:r>
        <w:t xml:space="preserve">However, </w:t>
      </w:r>
      <w:r w:rsidR="00282809">
        <w:t xml:space="preserve">the </w:t>
      </w:r>
      <w:r w:rsidR="00CF5DCB">
        <w:t xml:space="preserve">Board </w:t>
      </w:r>
      <w:r w:rsidR="00C443BF">
        <w:t xml:space="preserve">was </w:t>
      </w:r>
      <w:r w:rsidR="00CF5DCB">
        <w:t xml:space="preserve">not appointed until 24 May </w:t>
      </w:r>
      <w:r w:rsidR="00596B47">
        <w:t xml:space="preserve">2013 </w:t>
      </w:r>
      <w:r w:rsidR="00CF5DCB">
        <w:t>and their first meeting was on 6 June</w:t>
      </w:r>
      <w:r w:rsidR="00596B47">
        <w:t xml:space="preserve"> 2013</w:t>
      </w:r>
      <w:r>
        <w:t>.</w:t>
      </w:r>
    </w:p>
    <w:p w:rsidR="008A42AB" w:rsidRDefault="008A42AB" w:rsidP="00282809">
      <w:pPr>
        <w:pStyle w:val="PwCNormal"/>
        <w:numPr>
          <w:ilvl w:val="0"/>
          <w:numId w:val="0"/>
        </w:numPr>
      </w:pPr>
      <w:r>
        <w:lastRenderedPageBreak/>
        <w:t xml:space="preserve">The implications of this time delay were that a number of the policy parameters </w:t>
      </w:r>
      <w:r w:rsidR="006D3BC3">
        <w:t xml:space="preserve">relating </w:t>
      </w:r>
      <w:r>
        <w:t xml:space="preserve">to the </w:t>
      </w:r>
      <w:r w:rsidR="00CC0AA9">
        <w:t>EYQF</w:t>
      </w:r>
      <w:r>
        <w:t xml:space="preserve"> ha</w:t>
      </w:r>
      <w:r w:rsidR="006D3BC3">
        <w:t>d</w:t>
      </w:r>
      <w:r>
        <w:t xml:space="preserve"> already been finalised and </w:t>
      </w:r>
      <w:r w:rsidR="006D3BC3">
        <w:t xml:space="preserve">so were </w:t>
      </w:r>
      <w:r>
        <w:t xml:space="preserve">not </w:t>
      </w:r>
      <w:r w:rsidR="006D3BC3">
        <w:t xml:space="preserve">subject </w:t>
      </w:r>
      <w:r>
        <w:t>to the</w:t>
      </w:r>
      <w:r w:rsidR="006D3BC3">
        <w:t xml:space="preserve"> Advisory</w:t>
      </w:r>
      <w:r>
        <w:t xml:space="preserve"> </w:t>
      </w:r>
      <w:r w:rsidR="006D3BC3">
        <w:t>Board’s input</w:t>
      </w:r>
      <w:r>
        <w:t>. Th</w:t>
      </w:r>
      <w:r w:rsidR="00957E1D">
        <w:t>ese</w:t>
      </w:r>
      <w:r>
        <w:t xml:space="preserve"> included:</w:t>
      </w:r>
    </w:p>
    <w:p w:rsidR="008A42AB" w:rsidRDefault="008A42AB" w:rsidP="00127745">
      <w:pPr>
        <w:pStyle w:val="ListBullet"/>
        <w:tabs>
          <w:tab w:val="clear" w:pos="2836"/>
          <w:tab w:val="num" w:pos="567"/>
        </w:tabs>
        <w:ind w:left="567"/>
      </w:pPr>
      <w:r>
        <w:t xml:space="preserve">the </w:t>
      </w:r>
      <w:r w:rsidR="00CC0AA9">
        <w:t>EYQF</w:t>
      </w:r>
      <w:r>
        <w:t xml:space="preserve"> being lim</w:t>
      </w:r>
      <w:r w:rsidR="00C443BF">
        <w:t>ited to long day care providers</w:t>
      </w:r>
    </w:p>
    <w:p w:rsidR="008A42AB" w:rsidRDefault="008A42AB" w:rsidP="00127745">
      <w:pPr>
        <w:pStyle w:val="ListBullet"/>
        <w:tabs>
          <w:tab w:val="clear" w:pos="2836"/>
          <w:tab w:val="num" w:pos="567"/>
        </w:tabs>
        <w:ind w:left="567"/>
      </w:pPr>
      <w:r>
        <w:t>applications being assessed on a ‘first in first served’ basis</w:t>
      </w:r>
    </w:p>
    <w:p w:rsidR="008A42AB" w:rsidRDefault="006D3BC3" w:rsidP="00127745">
      <w:pPr>
        <w:pStyle w:val="ListBullet"/>
        <w:tabs>
          <w:tab w:val="clear" w:pos="2836"/>
          <w:tab w:val="num" w:pos="567"/>
        </w:tabs>
        <w:ind w:left="567"/>
      </w:pPr>
      <w:r>
        <w:t xml:space="preserve">the </w:t>
      </w:r>
      <w:r w:rsidR="00C443BF">
        <w:t>requirement that</w:t>
      </w:r>
      <w:r w:rsidR="008A42AB">
        <w:t xml:space="preserve"> wage </w:t>
      </w:r>
      <w:r w:rsidR="00C443BF">
        <w:t xml:space="preserve">increases </w:t>
      </w:r>
      <w:r w:rsidR="008A42AB">
        <w:t>be incorporated into an Enterprise Agreement or similar instrument</w:t>
      </w:r>
    </w:p>
    <w:p w:rsidR="008A42AB" w:rsidRDefault="008A42AB" w:rsidP="00127745">
      <w:pPr>
        <w:pStyle w:val="ListBullet"/>
        <w:tabs>
          <w:tab w:val="clear" w:pos="2836"/>
          <w:tab w:val="num" w:pos="567"/>
        </w:tabs>
        <w:ind w:left="567"/>
      </w:pPr>
      <w:proofErr w:type="gramStart"/>
      <w:r>
        <w:t>the</w:t>
      </w:r>
      <w:proofErr w:type="gramEnd"/>
      <w:r>
        <w:t xml:space="preserve"> </w:t>
      </w:r>
      <w:r w:rsidR="006D3BC3">
        <w:t xml:space="preserve">requirement that </w:t>
      </w:r>
      <w:r>
        <w:t>wage increase</w:t>
      </w:r>
      <w:r w:rsidR="006D3BC3">
        <w:t>s</w:t>
      </w:r>
      <w:r>
        <w:t xml:space="preserve"> be applied across all employee classification rather than being targeted.</w:t>
      </w:r>
    </w:p>
    <w:p w:rsidR="008A42AB" w:rsidRDefault="008A42AB" w:rsidP="009D5682">
      <w:pPr>
        <w:pStyle w:val="PwCNormal"/>
        <w:rPr>
          <w:b/>
          <w:i/>
          <w:color w:val="70170F" w:themeColor="accent2" w:themeShade="80"/>
          <w:sz w:val="18"/>
          <w:szCs w:val="18"/>
        </w:rPr>
      </w:pPr>
      <w:r>
        <w:t xml:space="preserve">While the </w:t>
      </w:r>
      <w:r w:rsidR="005317F5">
        <w:t>B</w:t>
      </w:r>
      <w:r>
        <w:t xml:space="preserve">oard had some </w:t>
      </w:r>
      <w:r w:rsidR="006D3BC3">
        <w:t xml:space="preserve">input </w:t>
      </w:r>
      <w:r>
        <w:t xml:space="preserve">with regard to the </w:t>
      </w:r>
      <w:r w:rsidR="006D3BC3">
        <w:t xml:space="preserve">proposed management of the implementation of </w:t>
      </w:r>
      <w:r>
        <w:t>these parameters</w:t>
      </w:r>
      <w:r w:rsidR="00C443BF">
        <w:t xml:space="preserve"> of</w:t>
      </w:r>
      <w:r>
        <w:t xml:space="preserve"> the </w:t>
      </w:r>
      <w:r w:rsidR="00C443BF">
        <w:t>EYQF</w:t>
      </w:r>
      <w:r>
        <w:t xml:space="preserve"> through the drafting of the guidelines</w:t>
      </w:r>
      <w:r w:rsidR="006D3BC3">
        <w:t>,</w:t>
      </w:r>
      <w:r>
        <w:t xml:space="preserve"> these </w:t>
      </w:r>
      <w:r w:rsidR="006D3BC3">
        <w:t>parameter</w:t>
      </w:r>
      <w:r>
        <w:t>s were maintain</w:t>
      </w:r>
      <w:r w:rsidR="005629FE">
        <w:t xml:space="preserve">ed throughout the process, </w:t>
      </w:r>
      <w:r>
        <w:t>to the frustration of some members.</w:t>
      </w:r>
      <w:r w:rsidRPr="00670504">
        <w:rPr>
          <w:b/>
          <w:i/>
          <w:color w:val="70170F" w:themeColor="accent2" w:themeShade="80"/>
          <w:sz w:val="18"/>
          <w:szCs w:val="18"/>
        </w:rPr>
        <w:t xml:space="preserve"> </w:t>
      </w:r>
    </w:p>
    <w:p w:rsidR="008A42AB" w:rsidRPr="00957E1D" w:rsidRDefault="008A42AB" w:rsidP="008A42AB">
      <w:pPr>
        <w:pStyle w:val="ListBullet"/>
        <w:numPr>
          <w:ilvl w:val="0"/>
          <w:numId w:val="0"/>
        </w:numPr>
        <w:ind w:left="720"/>
      </w:pPr>
      <w:r w:rsidRPr="009D5682">
        <w:rPr>
          <w:i/>
          <w:color w:val="A32020" w:themeColor="text2"/>
        </w:rPr>
        <w:t xml:space="preserve">“We were told at the commencement of the process that a number of elements of the fund were </w:t>
      </w:r>
      <w:r w:rsidRPr="00957E1D">
        <w:rPr>
          <w:i/>
          <w:color w:val="A32020" w:themeColor="text2"/>
        </w:rPr>
        <w:t>simply not subject to change. This made our job more challenging particularly in ensuring that the fund was applied in an equitable manner</w:t>
      </w:r>
      <w:r w:rsidR="009166A3">
        <w:rPr>
          <w:i/>
          <w:color w:val="A32020" w:themeColor="text2"/>
        </w:rPr>
        <w:t>.</w:t>
      </w:r>
      <w:r w:rsidRPr="00957E1D">
        <w:rPr>
          <w:i/>
          <w:color w:val="A32020" w:themeColor="text2"/>
        </w:rPr>
        <w:t>”</w:t>
      </w:r>
      <w:r w:rsidRPr="00957E1D">
        <w:t xml:space="preserve"> </w:t>
      </w:r>
      <w:r w:rsidR="00957E1D">
        <w:br/>
      </w:r>
      <w:r w:rsidRPr="00957E1D">
        <w:t xml:space="preserve">– Advisory </w:t>
      </w:r>
      <w:r w:rsidR="005317F5" w:rsidRPr="00957E1D">
        <w:t>B</w:t>
      </w:r>
      <w:r w:rsidRPr="00957E1D">
        <w:t>oard member</w:t>
      </w:r>
    </w:p>
    <w:p w:rsidR="008A42AB" w:rsidRDefault="008A42AB" w:rsidP="008A42AB">
      <w:pPr>
        <w:pStyle w:val="Caption"/>
      </w:pPr>
      <w:r>
        <w:t>Composition</w:t>
      </w:r>
    </w:p>
    <w:p w:rsidR="008A42AB" w:rsidRDefault="008A42AB" w:rsidP="009D5682">
      <w:pPr>
        <w:pStyle w:val="PwCNormal"/>
      </w:pPr>
      <w:r>
        <w:t xml:space="preserve">The composition of the </w:t>
      </w:r>
      <w:r w:rsidR="005317F5">
        <w:t>B</w:t>
      </w:r>
      <w:r>
        <w:t>oard</w:t>
      </w:r>
      <w:r w:rsidR="005421BC">
        <w:t>,</w:t>
      </w:r>
      <w:r>
        <w:t xml:space="preserve"> as determined by the Minister</w:t>
      </w:r>
      <w:r w:rsidR="005421BC">
        <w:t>, was:</w:t>
      </w:r>
      <w:r w:rsidR="005A2749">
        <w:rPr>
          <w:rStyle w:val="FootnoteReference"/>
        </w:rPr>
        <w:footnoteReference w:id="15"/>
      </w:r>
    </w:p>
    <w:p w:rsidR="008A42AB" w:rsidRDefault="008A42AB" w:rsidP="00127745">
      <w:pPr>
        <w:pStyle w:val="ListBullet"/>
        <w:tabs>
          <w:tab w:val="clear" w:pos="2836"/>
          <w:tab w:val="num" w:pos="567"/>
        </w:tabs>
        <w:ind w:left="567"/>
      </w:pPr>
      <w:r>
        <w:t xml:space="preserve">Rachel Hunter – Chair, Australian Children’s Education and </w:t>
      </w:r>
      <w:r w:rsidR="005629FE">
        <w:t>Care Quality Authority</w:t>
      </w:r>
    </w:p>
    <w:p w:rsidR="008A42AB" w:rsidRDefault="008A42AB" w:rsidP="00127745">
      <w:pPr>
        <w:pStyle w:val="ListBullet"/>
        <w:tabs>
          <w:tab w:val="clear" w:pos="2836"/>
          <w:tab w:val="num" w:pos="567"/>
        </w:tabs>
        <w:ind w:left="567"/>
      </w:pPr>
      <w:r>
        <w:t>Samantha Page – CEO,</w:t>
      </w:r>
      <w:r w:rsidR="005629FE">
        <w:t xml:space="preserve"> Early Childhood Australia</w:t>
      </w:r>
    </w:p>
    <w:p w:rsidR="008A42AB" w:rsidRDefault="008A42AB" w:rsidP="00127745">
      <w:pPr>
        <w:pStyle w:val="ListBullet"/>
        <w:tabs>
          <w:tab w:val="clear" w:pos="2836"/>
          <w:tab w:val="num" w:pos="567"/>
        </w:tabs>
        <w:ind w:left="567"/>
      </w:pPr>
      <w:r>
        <w:t>Michael Crosby – National President, United Voice</w:t>
      </w:r>
    </w:p>
    <w:p w:rsidR="008A42AB" w:rsidRDefault="008A42AB" w:rsidP="00127745">
      <w:pPr>
        <w:pStyle w:val="ListBullet"/>
        <w:tabs>
          <w:tab w:val="clear" w:pos="2836"/>
          <w:tab w:val="num" w:pos="567"/>
        </w:tabs>
        <w:ind w:left="567"/>
      </w:pPr>
      <w:r>
        <w:t>Julia Davison – CEO, Goodstart Early Learning</w:t>
      </w:r>
    </w:p>
    <w:p w:rsidR="008A42AB" w:rsidRDefault="008A42AB" w:rsidP="00127745">
      <w:pPr>
        <w:pStyle w:val="ListBullet"/>
        <w:tabs>
          <w:tab w:val="clear" w:pos="2836"/>
          <w:tab w:val="num" w:pos="567"/>
        </w:tabs>
        <w:ind w:left="567"/>
      </w:pPr>
      <w:r>
        <w:t>Tom Hardwick – CEO Guardian Childcare</w:t>
      </w:r>
    </w:p>
    <w:p w:rsidR="008A42AB" w:rsidRDefault="008A42AB" w:rsidP="00127745">
      <w:pPr>
        <w:pStyle w:val="ListBullet"/>
        <w:tabs>
          <w:tab w:val="clear" w:pos="2836"/>
          <w:tab w:val="num" w:pos="567"/>
        </w:tabs>
        <w:ind w:left="567"/>
      </w:pPr>
      <w:r>
        <w:t xml:space="preserve">Prue </w:t>
      </w:r>
      <w:proofErr w:type="spellStart"/>
      <w:r>
        <w:t>Warrilow</w:t>
      </w:r>
      <w:proofErr w:type="spellEnd"/>
      <w:r>
        <w:t xml:space="preserve"> – National Convenor, Australian Comm</w:t>
      </w:r>
      <w:r w:rsidR="005629FE">
        <w:t>unity Children’s Services</w:t>
      </w:r>
    </w:p>
    <w:p w:rsidR="008A42AB" w:rsidRDefault="008A42AB" w:rsidP="00127745">
      <w:pPr>
        <w:pStyle w:val="ListBullet"/>
        <w:tabs>
          <w:tab w:val="clear" w:pos="2836"/>
          <w:tab w:val="num" w:pos="567"/>
        </w:tabs>
        <w:ind w:left="567"/>
      </w:pPr>
      <w:r>
        <w:t>Jennifer Taylor – Department of Education Employment</w:t>
      </w:r>
      <w:r w:rsidR="005629FE">
        <w:t xml:space="preserve"> and Workplace Relations</w:t>
      </w:r>
      <w:r w:rsidR="004D4C72">
        <w:t>.</w:t>
      </w:r>
    </w:p>
    <w:p w:rsidR="008A42AB" w:rsidRDefault="006D3BC3" w:rsidP="00ED3E14">
      <w:pPr>
        <w:pStyle w:val="CommentText"/>
      </w:pPr>
      <w:r>
        <w:t>C</w:t>
      </w:r>
      <w:r w:rsidR="008A42AB">
        <w:t>andidates were selected based on their individual expertise in the sector as oppose</w:t>
      </w:r>
      <w:r w:rsidR="00C443BF">
        <w:t>d</w:t>
      </w:r>
      <w:r w:rsidR="008A42AB">
        <w:t xml:space="preserve"> to being based on their capacity as a representative of relevant organisation</w:t>
      </w:r>
      <w:r w:rsidR="00ED3E14">
        <w:t>. This distinction was made to address potential conflicts of interest that would arise for those</w:t>
      </w:r>
      <w:r>
        <w:t xml:space="preserve"> members </w:t>
      </w:r>
      <w:r w:rsidR="00ED3E14">
        <w:t xml:space="preserve">who </w:t>
      </w:r>
      <w:r>
        <w:t>were potential recipients of funding under the EYQF</w:t>
      </w:r>
      <w:r w:rsidR="00A91DDC">
        <w:t>, and the Department reports that the intention was not to allow proxy representation</w:t>
      </w:r>
      <w:r w:rsidR="00ED3E14">
        <w:t xml:space="preserve">. However, </w:t>
      </w:r>
      <w:r w:rsidR="00A91DDC">
        <w:t xml:space="preserve">due to time, Board members’ availability and in order to get a quorum of Board representation, the Department reported that the Minister accepted proxy representation and six out of seven </w:t>
      </w:r>
      <w:r w:rsidR="00ED3E14">
        <w:t xml:space="preserve">members were represented by proxies at least once. </w:t>
      </w:r>
    </w:p>
    <w:p w:rsidR="008A42AB" w:rsidRDefault="008A42AB" w:rsidP="008A42AB">
      <w:pPr>
        <w:pStyle w:val="Caption"/>
      </w:pPr>
      <w:r>
        <w:lastRenderedPageBreak/>
        <w:t>Governance charter</w:t>
      </w:r>
    </w:p>
    <w:p w:rsidR="008A42AB" w:rsidRDefault="008A42AB" w:rsidP="008A42AB">
      <w:pPr>
        <w:pStyle w:val="PwCNormal"/>
      </w:pPr>
      <w:r>
        <w:t xml:space="preserve">The Department provided the </w:t>
      </w:r>
      <w:r w:rsidR="005317F5">
        <w:t>B</w:t>
      </w:r>
      <w:r>
        <w:t>oard with a comprehensive governance charter to guide its operations. The charter included an outline of</w:t>
      </w:r>
      <w:r w:rsidR="00957E1D">
        <w:t xml:space="preserve"> the</w:t>
      </w:r>
      <w:r>
        <w:t>:</w:t>
      </w:r>
    </w:p>
    <w:p w:rsidR="008A42AB" w:rsidRDefault="008A42AB" w:rsidP="00127745">
      <w:pPr>
        <w:pStyle w:val="ListBullet"/>
        <w:tabs>
          <w:tab w:val="clear" w:pos="2836"/>
          <w:tab w:val="num" w:pos="567"/>
        </w:tabs>
        <w:ind w:left="567"/>
      </w:pPr>
      <w:r>
        <w:t xml:space="preserve">role of the </w:t>
      </w:r>
      <w:r w:rsidR="005317F5">
        <w:t>B</w:t>
      </w:r>
      <w:r>
        <w:t>oard</w:t>
      </w:r>
    </w:p>
    <w:p w:rsidR="008A42AB" w:rsidRDefault="002515E6" w:rsidP="00127745">
      <w:pPr>
        <w:pStyle w:val="ListBullet"/>
        <w:tabs>
          <w:tab w:val="clear" w:pos="2836"/>
          <w:tab w:val="num" w:pos="567"/>
        </w:tabs>
        <w:ind w:left="567"/>
      </w:pPr>
      <w:r>
        <w:t>responsibilities of the chair, A</w:t>
      </w:r>
      <w:r w:rsidR="008A42AB">
        <w:t xml:space="preserve">dvisory </w:t>
      </w:r>
      <w:r>
        <w:t>B</w:t>
      </w:r>
      <w:r w:rsidR="008A42AB">
        <w:t>oard members and the secretariat</w:t>
      </w:r>
    </w:p>
    <w:p w:rsidR="008A42AB" w:rsidRDefault="008A42AB" w:rsidP="00127745">
      <w:pPr>
        <w:pStyle w:val="ListBullet"/>
        <w:tabs>
          <w:tab w:val="clear" w:pos="2836"/>
          <w:tab w:val="num" w:pos="567"/>
        </w:tabs>
        <w:ind w:left="567"/>
      </w:pPr>
      <w:r>
        <w:t>dispute resolution</w:t>
      </w:r>
      <w:r w:rsidR="00957E1D">
        <w:t xml:space="preserve"> mechanism</w:t>
      </w:r>
    </w:p>
    <w:p w:rsidR="008A42AB" w:rsidRDefault="00957E1D" w:rsidP="00127745">
      <w:pPr>
        <w:pStyle w:val="ListBullet"/>
        <w:tabs>
          <w:tab w:val="clear" w:pos="2836"/>
          <w:tab w:val="num" w:pos="567"/>
        </w:tabs>
        <w:ind w:left="567"/>
      </w:pPr>
      <w:r>
        <w:t>process</w:t>
      </w:r>
      <w:r w:rsidR="00C443BF">
        <w:t xml:space="preserve"> for managing</w:t>
      </w:r>
      <w:r>
        <w:t xml:space="preserve"> </w:t>
      </w:r>
      <w:r w:rsidR="00C443BF">
        <w:t>conflicts of interest</w:t>
      </w:r>
    </w:p>
    <w:p w:rsidR="008A42AB" w:rsidRDefault="008A42AB" w:rsidP="00127745">
      <w:pPr>
        <w:pStyle w:val="ListBullet"/>
        <w:tabs>
          <w:tab w:val="clear" w:pos="2836"/>
          <w:tab w:val="num" w:pos="567"/>
        </w:tabs>
        <w:ind w:left="567"/>
      </w:pPr>
      <w:proofErr w:type="gramStart"/>
      <w:r>
        <w:t>confidentiality</w:t>
      </w:r>
      <w:proofErr w:type="gramEnd"/>
      <w:r w:rsidR="00957E1D">
        <w:t xml:space="preserve"> requirements</w:t>
      </w:r>
      <w:r>
        <w:t>.</w:t>
      </w:r>
    </w:p>
    <w:p w:rsidR="008A42AB" w:rsidRDefault="008A42AB" w:rsidP="008A42AB">
      <w:pPr>
        <w:pStyle w:val="Caption"/>
      </w:pPr>
      <w:r>
        <w:t>Conflicts of interest: actual &amp; perceived</w:t>
      </w:r>
    </w:p>
    <w:p w:rsidR="007B51F8" w:rsidRDefault="008A42AB" w:rsidP="009D5682">
      <w:pPr>
        <w:pStyle w:val="PwCNormal"/>
      </w:pPr>
      <w:r>
        <w:t xml:space="preserve">Conflicts of interest, both actual and perceived, were a prominent area of discussion </w:t>
      </w:r>
      <w:r w:rsidR="006D3BC3">
        <w:t>by the B</w:t>
      </w:r>
      <w:r>
        <w:t xml:space="preserve">oard. All </w:t>
      </w:r>
      <w:r w:rsidR="005317F5">
        <w:t>B</w:t>
      </w:r>
      <w:r>
        <w:t>oard members understood the potential conflict of interest that</w:t>
      </w:r>
      <w:r w:rsidR="00C443BF">
        <w:t xml:space="preserve"> existed between their role as A</w:t>
      </w:r>
      <w:r>
        <w:t>dvisory</w:t>
      </w:r>
      <w:r w:rsidR="00C443BF">
        <w:t xml:space="preserve"> Board</w:t>
      </w:r>
      <w:r>
        <w:t xml:space="preserve"> members and their respective roles within their organisations. This was most prominent amongst members who represented potential applicants under the </w:t>
      </w:r>
      <w:r w:rsidR="005317F5">
        <w:t>EYQF</w:t>
      </w:r>
      <w:r>
        <w:t>.</w:t>
      </w:r>
    </w:p>
    <w:p w:rsidR="007B51F8" w:rsidRDefault="007B51F8" w:rsidP="00EE2490">
      <w:pPr>
        <w:pStyle w:val="ListBullet"/>
        <w:numPr>
          <w:ilvl w:val="0"/>
          <w:numId w:val="0"/>
        </w:numPr>
        <w:spacing w:after="120"/>
      </w:pPr>
      <w:r>
        <w:t>Minutes from Advisory Board meetings indicate that members were aware of potential for conflict of interest issues and in particular the issue of Members assisting in the preparation of applications</w:t>
      </w:r>
      <w:r w:rsidR="00ED7461">
        <w:t xml:space="preserve"> before the opening date of the EYQF</w:t>
      </w:r>
      <w:r>
        <w:t xml:space="preserve"> and the appropriate use of information gained from participation in meetings. </w:t>
      </w:r>
      <w:r w:rsidR="00EE2490">
        <w:t>The Department also acknowledge</w:t>
      </w:r>
      <w:r w:rsidR="00ED7461">
        <w:t>d</w:t>
      </w:r>
      <w:r w:rsidR="00EE2490">
        <w:t xml:space="preserve"> this as a potential issue and procured a probity adviser to assist. The probity officer played an active part in resolving potential issues as they arose. This incl</w:t>
      </w:r>
      <w:r w:rsidR="002515E6">
        <w:t>uded explaining at the initial B</w:t>
      </w:r>
      <w:r w:rsidR="00EE2490">
        <w:t>oard meeting their obligations</w:t>
      </w:r>
      <w:r>
        <w:t>. Regardless of these measures, it seems unlikely that this will alleviate the perceptions regarding bias, particularly as</w:t>
      </w:r>
      <w:r w:rsidR="00C443BF">
        <w:t xml:space="preserve"> of</w:t>
      </w:r>
      <w:r>
        <w:t xml:space="preserve"> the three large providers that were given conditional offers of </w:t>
      </w:r>
      <w:proofErr w:type="gramStart"/>
      <w:r>
        <w:t>funding,</w:t>
      </w:r>
      <w:proofErr w:type="gramEnd"/>
      <w:r>
        <w:t xml:space="preserve"> two of those had representatives on the Board.</w:t>
      </w:r>
    </w:p>
    <w:p w:rsidR="00F37183" w:rsidRDefault="00F37183" w:rsidP="00F37183">
      <w:pPr>
        <w:pStyle w:val="PwCNormal"/>
      </w:pPr>
      <w:r>
        <w:t>Members were also asked to sign a registry detailing any potential and actual conflicts of interests. All members participated in this process and believed it was a transparent and fair method of ensuring adequate disclosure of conflicts.</w:t>
      </w:r>
    </w:p>
    <w:p w:rsidR="008A42AB" w:rsidRDefault="005421BC" w:rsidP="009D5682">
      <w:pPr>
        <w:pStyle w:val="PwCNormal"/>
      </w:pPr>
      <w:r>
        <w:t>A member of the Board</w:t>
      </w:r>
      <w:r w:rsidR="00A91DDC">
        <w:t>,</w:t>
      </w:r>
      <w:r>
        <w:t xml:space="preserve"> whose service was applying for funding</w:t>
      </w:r>
      <w:r w:rsidR="00A91DDC">
        <w:t>,</w:t>
      </w:r>
      <w:r>
        <w:t xml:space="preserve"> offered her resignation from the Board the day before applications opened. The Department reports that it advised that the resignation need</w:t>
      </w:r>
      <w:r w:rsidR="007B51F8">
        <w:t>ed</w:t>
      </w:r>
      <w:r>
        <w:t xml:space="preserve"> to be made to the Minister rather than the Department as the appointment was made at that level. It is unclear whether the member offered the resignation to the Minister.</w:t>
      </w:r>
    </w:p>
    <w:p w:rsidR="008A42AB" w:rsidRDefault="008A42AB" w:rsidP="008A42AB">
      <w:pPr>
        <w:pStyle w:val="PwCNormal"/>
        <w:numPr>
          <w:ilvl w:val="0"/>
          <w:numId w:val="0"/>
        </w:numPr>
      </w:pPr>
      <w:r>
        <w:t xml:space="preserve">Perceptions of conflict were expressed by providers in the sector. Many perceived the inclusion of providers onto the </w:t>
      </w:r>
      <w:r w:rsidR="002515E6">
        <w:t>B</w:t>
      </w:r>
      <w:r>
        <w:t xml:space="preserve">oard as unjust and unfair and believed that the guidelines and funding process was manipulated to their benefit. </w:t>
      </w:r>
      <w:r w:rsidR="006D3BC3">
        <w:t>However, n</w:t>
      </w:r>
      <w:r>
        <w:t xml:space="preserve">o evidence has been presented to </w:t>
      </w:r>
      <w:r w:rsidR="006D3BC3">
        <w:t>this review to substantiate such a perception</w:t>
      </w:r>
      <w:r>
        <w:t>. Regardless</w:t>
      </w:r>
      <w:r w:rsidR="006D3BC3">
        <w:t>, it seems unlikely that this will</w:t>
      </w:r>
      <w:r>
        <w:t xml:space="preserve"> alleviate the perception</w:t>
      </w:r>
      <w:r w:rsidR="006D3BC3">
        <w:t>s regarding</w:t>
      </w:r>
      <w:r>
        <w:t xml:space="preserve"> bias</w:t>
      </w:r>
      <w:r w:rsidR="006D3BC3">
        <w:t xml:space="preserve"> held by some in</w:t>
      </w:r>
      <w:r>
        <w:t xml:space="preserve"> the sector</w:t>
      </w:r>
      <w:r w:rsidR="005421BC">
        <w:t xml:space="preserve">, including because of the three large providers that were </w:t>
      </w:r>
      <w:r w:rsidR="00D04B86">
        <w:t>given conditional offers of funding</w:t>
      </w:r>
      <w:r w:rsidR="005421BC">
        <w:t>, two of those had representatives on the Board.</w:t>
      </w:r>
    </w:p>
    <w:p w:rsidR="008A42AB" w:rsidRPr="00957E1D" w:rsidRDefault="009166A3" w:rsidP="008A42AB">
      <w:pPr>
        <w:pStyle w:val="ListBullet"/>
        <w:numPr>
          <w:ilvl w:val="0"/>
          <w:numId w:val="0"/>
        </w:numPr>
        <w:ind w:left="567"/>
        <w:rPr>
          <w:b/>
          <w:i/>
          <w:color w:val="70170F" w:themeColor="accent2" w:themeShade="80"/>
        </w:rPr>
      </w:pPr>
      <w:r>
        <w:rPr>
          <w:i/>
          <w:color w:val="A32020" w:themeColor="text2"/>
        </w:rPr>
        <w:t>“T</w:t>
      </w:r>
      <w:r w:rsidR="008A42AB" w:rsidRPr="009D5682">
        <w:rPr>
          <w:i/>
          <w:color w:val="A32020" w:themeColor="text2"/>
        </w:rPr>
        <w:t xml:space="preserve">he members of the </w:t>
      </w:r>
      <w:r w:rsidR="005317F5" w:rsidRPr="00957E1D">
        <w:rPr>
          <w:i/>
          <w:color w:val="A32020" w:themeColor="text2"/>
        </w:rPr>
        <w:t>B</w:t>
      </w:r>
      <w:r w:rsidR="008A42AB" w:rsidRPr="00957E1D">
        <w:rPr>
          <w:i/>
          <w:color w:val="A32020" w:themeColor="text2"/>
        </w:rPr>
        <w:t>oard had an obvious conflict of interest that provided them with an unfair advantage in submitting an application within the timeframes</w:t>
      </w:r>
      <w:r>
        <w:rPr>
          <w:i/>
          <w:color w:val="A32020" w:themeColor="text2"/>
        </w:rPr>
        <w:t>.</w:t>
      </w:r>
      <w:r w:rsidR="008A42AB" w:rsidRPr="00957E1D">
        <w:rPr>
          <w:i/>
          <w:color w:val="A32020" w:themeColor="text2"/>
        </w:rPr>
        <w:t>”</w:t>
      </w:r>
      <w:r w:rsidR="008A42AB" w:rsidRPr="00957E1D">
        <w:rPr>
          <w:b/>
          <w:i/>
          <w:color w:val="70170F" w:themeColor="accent2" w:themeShade="80"/>
        </w:rPr>
        <w:t xml:space="preserve"> </w:t>
      </w:r>
      <w:r w:rsidR="00957E1D">
        <w:rPr>
          <w:b/>
          <w:i/>
          <w:color w:val="70170F" w:themeColor="accent2" w:themeShade="80"/>
        </w:rPr>
        <w:br/>
      </w:r>
      <w:r w:rsidR="008A42AB" w:rsidRPr="00957E1D">
        <w:t>– senior representative of a provider</w:t>
      </w:r>
    </w:p>
    <w:p w:rsidR="008A42AB" w:rsidRDefault="008A42AB" w:rsidP="008A42AB">
      <w:pPr>
        <w:pStyle w:val="Caption"/>
      </w:pPr>
      <w:r>
        <w:t xml:space="preserve">Confidentiality Restrictions </w:t>
      </w:r>
    </w:p>
    <w:p w:rsidR="008A42AB" w:rsidRDefault="008A42AB" w:rsidP="008A42AB">
      <w:pPr>
        <w:pStyle w:val="PwCNormal"/>
        <w:numPr>
          <w:ilvl w:val="0"/>
          <w:numId w:val="0"/>
        </w:numPr>
      </w:pPr>
      <w:r>
        <w:t xml:space="preserve">A condition of </w:t>
      </w:r>
      <w:r w:rsidR="005317F5">
        <w:t>B</w:t>
      </w:r>
      <w:r>
        <w:t xml:space="preserve">oard memberships was that all members agree to a confidentiality agreement with the Department. The confidentiality agreement placed significations obligations on </w:t>
      </w:r>
      <w:r w:rsidR="005317F5">
        <w:t>B</w:t>
      </w:r>
      <w:r>
        <w:t xml:space="preserve">oard members not to discuss issues related to their role as </w:t>
      </w:r>
      <w:r w:rsidR="005317F5">
        <w:t>B</w:t>
      </w:r>
      <w:r>
        <w:t xml:space="preserve">oard members outside of the formal </w:t>
      </w:r>
      <w:r w:rsidR="005317F5">
        <w:t>B</w:t>
      </w:r>
      <w:r>
        <w:t xml:space="preserve">oard meetings. All members agreed to these conditions. </w:t>
      </w:r>
    </w:p>
    <w:p w:rsidR="008A42AB" w:rsidRDefault="008A42AB" w:rsidP="008A42AB">
      <w:pPr>
        <w:pStyle w:val="PwCNormal"/>
        <w:numPr>
          <w:ilvl w:val="0"/>
          <w:numId w:val="0"/>
        </w:numPr>
      </w:pPr>
      <w:r>
        <w:lastRenderedPageBreak/>
        <w:t xml:space="preserve">Most </w:t>
      </w:r>
      <w:r w:rsidR="005317F5">
        <w:t>B</w:t>
      </w:r>
      <w:r>
        <w:t xml:space="preserve">oard members found complying with these agreements onerous but in hindsight a necessary part of the process. </w:t>
      </w:r>
    </w:p>
    <w:p w:rsidR="008A42AB" w:rsidRPr="00957E1D" w:rsidRDefault="008A42AB" w:rsidP="008A42AB">
      <w:pPr>
        <w:pStyle w:val="ListBullet"/>
        <w:numPr>
          <w:ilvl w:val="0"/>
          <w:numId w:val="0"/>
        </w:numPr>
        <w:ind w:left="720"/>
      </w:pPr>
      <w:r w:rsidRPr="009D5682">
        <w:rPr>
          <w:i/>
          <w:color w:val="A32020" w:themeColor="text2"/>
        </w:rPr>
        <w:t xml:space="preserve">“Confidentiality restrictions were extremely stringent to the point of being intrusive. However looking back they were probably </w:t>
      </w:r>
      <w:r w:rsidRPr="00957E1D">
        <w:rPr>
          <w:i/>
          <w:color w:val="A32020" w:themeColor="text2"/>
        </w:rPr>
        <w:t>appropriate</w:t>
      </w:r>
      <w:r w:rsidR="00E16FF2">
        <w:rPr>
          <w:i/>
          <w:color w:val="A32020" w:themeColor="text2"/>
        </w:rPr>
        <w:t>.</w:t>
      </w:r>
      <w:r w:rsidRPr="00957E1D">
        <w:rPr>
          <w:i/>
          <w:color w:val="A32020" w:themeColor="text2"/>
        </w:rPr>
        <w:t>”</w:t>
      </w:r>
      <w:r w:rsidRPr="00957E1D">
        <w:t xml:space="preserve"> </w:t>
      </w:r>
      <w:r w:rsidR="00957E1D">
        <w:br/>
      </w:r>
      <w:r w:rsidR="002515E6">
        <w:t>– Advisory B</w:t>
      </w:r>
      <w:r w:rsidRPr="00957E1D">
        <w:t>oard member</w:t>
      </w:r>
    </w:p>
    <w:p w:rsidR="008A42AB" w:rsidRDefault="008A42AB" w:rsidP="008A42AB">
      <w:pPr>
        <w:pStyle w:val="PwCNormal"/>
        <w:numPr>
          <w:ilvl w:val="0"/>
          <w:numId w:val="0"/>
        </w:numPr>
      </w:pPr>
      <w:r>
        <w:t xml:space="preserve">Advisory </w:t>
      </w:r>
      <w:r w:rsidR="005317F5">
        <w:t>B</w:t>
      </w:r>
      <w:r>
        <w:t xml:space="preserve">oard members found the requirements stringent both in terms of not making comments on the public record and </w:t>
      </w:r>
      <w:r w:rsidR="006D3BC3">
        <w:t xml:space="preserve">in terms of </w:t>
      </w:r>
      <w:r>
        <w:t xml:space="preserve">discussions within their work organisation. In exercising their obligations members chose to enforce strict restrictions on discussions that were conducted in their workplace and excluded themselves from discussions that would conflict with their agreement. All members believed that they were able to comply with the obligations under the agreement. </w:t>
      </w:r>
    </w:p>
    <w:p w:rsidR="008A42AB" w:rsidRDefault="008A42AB" w:rsidP="008A42AB">
      <w:pPr>
        <w:pStyle w:val="Caption"/>
      </w:pPr>
      <w:r>
        <w:t xml:space="preserve">Role and influence of the </w:t>
      </w:r>
      <w:r w:rsidR="006D3BC3">
        <w:t>Board</w:t>
      </w:r>
    </w:p>
    <w:p w:rsidR="008A42AB" w:rsidRDefault="008A42AB" w:rsidP="005629FE">
      <w:pPr>
        <w:pStyle w:val="PwCNormal"/>
        <w:numPr>
          <w:ilvl w:val="0"/>
          <w:numId w:val="0"/>
        </w:numPr>
      </w:pPr>
      <w:r>
        <w:t xml:space="preserve">The changing role of the </w:t>
      </w:r>
      <w:r w:rsidR="006D3BC3">
        <w:t xml:space="preserve">Board </w:t>
      </w:r>
      <w:r>
        <w:t xml:space="preserve">in the development and implementation of the EYQF was an issue raised by </w:t>
      </w:r>
      <w:r w:rsidR="006D3BC3">
        <w:t xml:space="preserve">Advisory Board </w:t>
      </w:r>
      <w:r>
        <w:t xml:space="preserve">members. The role of the </w:t>
      </w:r>
      <w:r w:rsidR="002515E6">
        <w:t>B</w:t>
      </w:r>
      <w:r>
        <w:t xml:space="preserve">oard was specified in a number of key documents including </w:t>
      </w:r>
      <w:r w:rsidR="006D3BC3">
        <w:t xml:space="preserve">in </w:t>
      </w:r>
      <w:r>
        <w:t xml:space="preserve">the </w:t>
      </w:r>
      <w:r w:rsidR="006D3BC3">
        <w:t xml:space="preserve">Board’s </w:t>
      </w:r>
      <w:r>
        <w:t xml:space="preserve">governance charter, </w:t>
      </w:r>
      <w:r w:rsidR="006D3BC3">
        <w:t xml:space="preserve">the </w:t>
      </w:r>
      <w:r>
        <w:t>term</w:t>
      </w:r>
      <w:r w:rsidR="006D3BC3">
        <w:t>s</w:t>
      </w:r>
      <w:r>
        <w:t xml:space="preserve"> of reference and</w:t>
      </w:r>
      <w:r w:rsidR="006D3BC3">
        <w:t xml:space="preserve"> the</w:t>
      </w:r>
      <w:r>
        <w:t xml:space="preserve"> media release issued by the </w:t>
      </w:r>
      <w:r w:rsidR="006D3BC3">
        <w:t>Department</w:t>
      </w:r>
      <w:r>
        <w:t xml:space="preserve">. According to the governance charter the role of the </w:t>
      </w:r>
      <w:r w:rsidR="005317F5">
        <w:t>B</w:t>
      </w:r>
      <w:r>
        <w:t xml:space="preserve">oard was to provide advice to the Department on the content and operation of the </w:t>
      </w:r>
      <w:r w:rsidR="002515E6">
        <w:t>P</w:t>
      </w:r>
      <w:r>
        <w:t xml:space="preserve">rogram </w:t>
      </w:r>
      <w:r w:rsidR="002515E6">
        <w:t>G</w:t>
      </w:r>
      <w:r>
        <w:t xml:space="preserve">uidelines for the </w:t>
      </w:r>
      <w:r w:rsidR="00CC0AA9">
        <w:t>EYQF</w:t>
      </w:r>
      <w:r>
        <w:t>, including:</w:t>
      </w:r>
    </w:p>
    <w:p w:rsidR="008A42AB" w:rsidRDefault="008A42AB" w:rsidP="00417F74">
      <w:pPr>
        <w:pStyle w:val="PwCNormal"/>
        <w:numPr>
          <w:ilvl w:val="0"/>
          <w:numId w:val="29"/>
        </w:numPr>
      </w:pPr>
      <w:r>
        <w:t>eligibility criteria</w:t>
      </w:r>
    </w:p>
    <w:p w:rsidR="008A42AB" w:rsidRDefault="008A42AB" w:rsidP="00417F74">
      <w:pPr>
        <w:pStyle w:val="PwCNormal"/>
        <w:numPr>
          <w:ilvl w:val="0"/>
          <w:numId w:val="29"/>
        </w:numPr>
      </w:pPr>
      <w:r>
        <w:t>equitable funding distribution</w:t>
      </w:r>
    </w:p>
    <w:p w:rsidR="008A42AB" w:rsidRDefault="008A42AB" w:rsidP="00417F74">
      <w:pPr>
        <w:pStyle w:val="PwCNormal"/>
        <w:numPr>
          <w:ilvl w:val="0"/>
          <w:numId w:val="29"/>
        </w:numPr>
      </w:pPr>
      <w:r>
        <w:t>conditionality of funding</w:t>
      </w:r>
    </w:p>
    <w:p w:rsidR="008A42AB" w:rsidRDefault="008A42AB" w:rsidP="00417F74">
      <w:pPr>
        <w:pStyle w:val="PwCNormal"/>
        <w:numPr>
          <w:ilvl w:val="0"/>
          <w:numId w:val="29"/>
        </w:numPr>
      </w:pPr>
      <w:r>
        <w:t>application and assessment process</w:t>
      </w:r>
    </w:p>
    <w:p w:rsidR="008A42AB" w:rsidRDefault="008A42AB" w:rsidP="00417F74">
      <w:pPr>
        <w:pStyle w:val="PwCNormal"/>
        <w:numPr>
          <w:ilvl w:val="0"/>
          <w:numId w:val="29"/>
        </w:numPr>
      </w:pPr>
      <w:r>
        <w:t>monitoring and reporting to ensure transparency and compliance, and</w:t>
      </w:r>
    </w:p>
    <w:p w:rsidR="008A42AB" w:rsidRDefault="008A42AB" w:rsidP="00417F74">
      <w:pPr>
        <w:pStyle w:val="PwCNormal"/>
        <w:numPr>
          <w:ilvl w:val="0"/>
          <w:numId w:val="29"/>
        </w:numPr>
      </w:pPr>
      <w:proofErr w:type="gramStart"/>
      <w:r>
        <w:t>engagement</w:t>
      </w:r>
      <w:proofErr w:type="gramEnd"/>
      <w:r>
        <w:t xml:space="preserve"> and communication with the sector.</w:t>
      </w:r>
    </w:p>
    <w:p w:rsidR="008A42AB" w:rsidRDefault="008A42AB" w:rsidP="008A42AB">
      <w:pPr>
        <w:pStyle w:val="PwCNormal"/>
        <w:numPr>
          <w:ilvl w:val="0"/>
          <w:numId w:val="0"/>
        </w:numPr>
      </w:pPr>
      <w:r>
        <w:t xml:space="preserve">According to the </w:t>
      </w:r>
      <w:r w:rsidR="005317F5">
        <w:t>B</w:t>
      </w:r>
      <w:r>
        <w:t xml:space="preserve">oard, the role of members </w:t>
      </w:r>
      <w:r w:rsidR="006D3BC3">
        <w:t xml:space="preserve">was </w:t>
      </w:r>
      <w:r>
        <w:t xml:space="preserve">to </w:t>
      </w:r>
      <w:r w:rsidR="006D3BC3">
        <w:t xml:space="preserve">advise on the </w:t>
      </w:r>
      <w:r>
        <w:t>develop</w:t>
      </w:r>
      <w:r w:rsidR="006D3BC3">
        <w:t>ment of</w:t>
      </w:r>
      <w:r>
        <w:t xml:space="preserve"> the guidelines that would be used for the application process and </w:t>
      </w:r>
      <w:r w:rsidR="006D3BC3">
        <w:t xml:space="preserve">to </w:t>
      </w:r>
      <w:r>
        <w:t xml:space="preserve">provide specialist advice and support to the Department where required. Initially many members found </w:t>
      </w:r>
      <w:r w:rsidR="006D3BC3">
        <w:t xml:space="preserve">it challenging to </w:t>
      </w:r>
      <w:r>
        <w:t>separat</w:t>
      </w:r>
      <w:r w:rsidR="006D3BC3">
        <w:t>e</w:t>
      </w:r>
      <w:r>
        <w:t xml:space="preserve"> their roles as independent members of the </w:t>
      </w:r>
      <w:r w:rsidR="005317F5">
        <w:t>B</w:t>
      </w:r>
      <w:r>
        <w:t>oard providing advice to the Department in relation to the early childhood matters from</w:t>
      </w:r>
      <w:r w:rsidR="006D3BC3">
        <w:t xml:space="preserve"> their role as</w:t>
      </w:r>
      <w:r>
        <w:t xml:space="preserve"> being</w:t>
      </w:r>
      <w:r w:rsidR="006D3BC3">
        <w:t xml:space="preserve"> a</w:t>
      </w:r>
      <w:r>
        <w:t xml:space="preserve"> representative </w:t>
      </w:r>
      <w:r w:rsidR="00864F39">
        <w:t xml:space="preserve">of </w:t>
      </w:r>
      <w:r>
        <w:t xml:space="preserve">their respective organisations. </w:t>
      </w:r>
      <w:r w:rsidR="00513D6C">
        <w:t xml:space="preserve">Discussions with Advisory Board members indicate that this remained a challenge for many members throughout the process. </w:t>
      </w:r>
      <w:r w:rsidR="00F37183">
        <w:t>The Advisory Board minutes indicate that the external probity officer provided advice to members regarding how this</w:t>
      </w:r>
      <w:r w:rsidR="00513D6C">
        <w:t xml:space="preserve"> could be managed. </w:t>
      </w:r>
      <w:r>
        <w:t xml:space="preserve">All members chose to deal with this issue within their own organisation with many explaining directly to their organisational boards of the distinction of their roles and their inability to comment on discussions within the </w:t>
      </w:r>
      <w:r w:rsidR="005317F5">
        <w:t>B</w:t>
      </w:r>
      <w:r>
        <w:t>oard.</w:t>
      </w:r>
    </w:p>
    <w:p w:rsidR="008A42AB" w:rsidRDefault="008A42AB" w:rsidP="008A42AB">
      <w:pPr>
        <w:pStyle w:val="PwCNormal"/>
        <w:numPr>
          <w:ilvl w:val="0"/>
          <w:numId w:val="0"/>
        </w:numPr>
      </w:pPr>
      <w:r>
        <w:t xml:space="preserve">Many </w:t>
      </w:r>
      <w:r w:rsidR="005317F5">
        <w:t>B</w:t>
      </w:r>
      <w:r>
        <w:t xml:space="preserve">oard members argued that whilst the intention was for the </w:t>
      </w:r>
      <w:r w:rsidR="005317F5">
        <w:t>B</w:t>
      </w:r>
      <w:r>
        <w:t xml:space="preserve">oard to have a significant degree of influence during the process this waned over time. Members commented that </w:t>
      </w:r>
      <w:r w:rsidR="00864F39">
        <w:t xml:space="preserve">in practice </w:t>
      </w:r>
      <w:r>
        <w:t xml:space="preserve">they had very little influence over the process and that in many instances decisions had already been made. </w:t>
      </w:r>
    </w:p>
    <w:p w:rsidR="008A42AB" w:rsidRPr="00957E1D" w:rsidRDefault="009166A3" w:rsidP="008A42AB">
      <w:pPr>
        <w:pStyle w:val="ListBullet"/>
        <w:numPr>
          <w:ilvl w:val="0"/>
          <w:numId w:val="0"/>
        </w:numPr>
        <w:ind w:left="720"/>
      </w:pPr>
      <w:r>
        <w:rPr>
          <w:i/>
          <w:color w:val="A32020" w:themeColor="text2"/>
        </w:rPr>
        <w:t>“T</w:t>
      </w:r>
      <w:r w:rsidR="008A42AB" w:rsidRPr="008A42AB">
        <w:rPr>
          <w:i/>
          <w:color w:val="A32020" w:themeColor="text2"/>
        </w:rPr>
        <w:t xml:space="preserve">he process was commonly </w:t>
      </w:r>
      <w:r w:rsidR="008A42AB" w:rsidRPr="00957E1D">
        <w:rPr>
          <w:i/>
          <w:color w:val="A32020" w:themeColor="text2"/>
        </w:rPr>
        <w:t>frustrated by the fact that decisions had already been made that we were not privy to</w:t>
      </w:r>
      <w:r>
        <w:rPr>
          <w:i/>
          <w:color w:val="A32020" w:themeColor="text2"/>
        </w:rPr>
        <w:t>.</w:t>
      </w:r>
      <w:r w:rsidR="008A42AB" w:rsidRPr="00957E1D">
        <w:rPr>
          <w:i/>
          <w:color w:val="A32020" w:themeColor="text2"/>
        </w:rPr>
        <w:t>”</w:t>
      </w:r>
      <w:r w:rsidR="008A42AB" w:rsidRPr="00957E1D">
        <w:t xml:space="preserve"> – Advisory </w:t>
      </w:r>
      <w:r w:rsidR="002515E6">
        <w:t>B</w:t>
      </w:r>
      <w:r w:rsidR="008A42AB" w:rsidRPr="00957E1D">
        <w:t>oard member</w:t>
      </w:r>
    </w:p>
    <w:p w:rsidR="008A42AB" w:rsidRDefault="008A42AB" w:rsidP="008A42AB">
      <w:pPr>
        <w:pStyle w:val="PwCNormal"/>
        <w:numPr>
          <w:ilvl w:val="0"/>
          <w:numId w:val="0"/>
        </w:numPr>
      </w:pPr>
      <w:r>
        <w:t>Based on the information provided</w:t>
      </w:r>
      <w:r w:rsidR="00864F39">
        <w:t>,</w:t>
      </w:r>
      <w:r>
        <w:t xml:space="preserve"> it would appear that</w:t>
      </w:r>
      <w:r w:rsidR="00864F39">
        <w:t xml:space="preserve"> overall</w:t>
      </w:r>
      <w:r>
        <w:t xml:space="preserve"> the </w:t>
      </w:r>
      <w:r w:rsidR="00864F39">
        <w:t xml:space="preserve">Board </w:t>
      </w:r>
      <w:r>
        <w:t xml:space="preserve">did have an impact on the development of the EYQF. Draft versions of the guidelines indicate that edits made by the </w:t>
      </w:r>
      <w:r w:rsidR="002515E6">
        <w:t>B</w:t>
      </w:r>
      <w:r>
        <w:t xml:space="preserve">oard were incorporated into the guidelines and the </w:t>
      </w:r>
      <w:r w:rsidR="002515E6">
        <w:t>B</w:t>
      </w:r>
      <w:r>
        <w:t xml:space="preserve">oard had a significant impact on the decision to distribute funding evenly between large and smaller providers. </w:t>
      </w:r>
    </w:p>
    <w:p w:rsidR="008A42AB" w:rsidRDefault="008A42AB" w:rsidP="008A42AB">
      <w:pPr>
        <w:pStyle w:val="Caption"/>
      </w:pPr>
      <w:r>
        <w:lastRenderedPageBreak/>
        <w:t xml:space="preserve">Impact of the </w:t>
      </w:r>
      <w:r w:rsidR="005317F5">
        <w:t>B</w:t>
      </w:r>
      <w:r>
        <w:t>oard</w:t>
      </w:r>
    </w:p>
    <w:p w:rsidR="008A42AB" w:rsidRDefault="008A42AB" w:rsidP="008A42AB">
      <w:pPr>
        <w:pStyle w:val="PwCNormal"/>
        <w:numPr>
          <w:ilvl w:val="0"/>
          <w:numId w:val="0"/>
        </w:numPr>
      </w:pPr>
      <w:r>
        <w:t xml:space="preserve">The documentation provided by the Department indicates that the </w:t>
      </w:r>
      <w:r w:rsidR="00957E1D">
        <w:t>B</w:t>
      </w:r>
      <w:r>
        <w:t>oard has significant impact in the development of th</w:t>
      </w:r>
      <w:r w:rsidR="00957E1D">
        <w:t xml:space="preserve">e </w:t>
      </w:r>
      <w:r w:rsidR="00CC0AA9">
        <w:t>EYQF</w:t>
      </w:r>
      <w:r w:rsidR="00957E1D">
        <w:t xml:space="preserve"> in a number of key areas</w:t>
      </w:r>
      <w:r w:rsidR="00C443BF">
        <w:t xml:space="preserve"> as</w:t>
      </w:r>
      <w:r w:rsidR="00957E1D">
        <w:t xml:space="preserve"> outlined below.</w:t>
      </w:r>
    </w:p>
    <w:p w:rsidR="008A42AB" w:rsidRDefault="008C2464" w:rsidP="008A42AB">
      <w:pPr>
        <w:pStyle w:val="Heading9"/>
      </w:pPr>
      <w:r>
        <w:t>E</w:t>
      </w:r>
      <w:r w:rsidR="00711713">
        <w:t xml:space="preserve">nterprise </w:t>
      </w:r>
      <w:r w:rsidR="008A42AB">
        <w:t>agreements</w:t>
      </w:r>
    </w:p>
    <w:p w:rsidR="00CB3735" w:rsidRDefault="008A42AB" w:rsidP="008A42AB">
      <w:pPr>
        <w:pStyle w:val="PwCNormal"/>
        <w:numPr>
          <w:ilvl w:val="0"/>
          <w:numId w:val="0"/>
        </w:numPr>
      </w:pPr>
      <w:r w:rsidRPr="00D40362">
        <w:t xml:space="preserve">One of the </w:t>
      </w:r>
      <w:r>
        <w:t xml:space="preserve">parameters that </w:t>
      </w:r>
      <w:r w:rsidR="005930AA">
        <w:t>A</w:t>
      </w:r>
      <w:r>
        <w:t xml:space="preserve">dvisory </w:t>
      </w:r>
      <w:r w:rsidR="005930AA">
        <w:t>B</w:t>
      </w:r>
      <w:r>
        <w:t xml:space="preserve">oard was required to work within </w:t>
      </w:r>
      <w:r w:rsidR="005930AA">
        <w:t>when advising on the</w:t>
      </w:r>
      <w:r>
        <w:t xml:space="preserve"> </w:t>
      </w:r>
      <w:r w:rsidR="00957E1D">
        <w:t>Program G</w:t>
      </w:r>
      <w:r>
        <w:t xml:space="preserve">uidelines was the requirement </w:t>
      </w:r>
      <w:r w:rsidR="00957E1D">
        <w:t>for</w:t>
      </w:r>
      <w:r>
        <w:t xml:space="preserve"> an </w:t>
      </w:r>
      <w:r w:rsidR="005930AA">
        <w:t>enterprise agreement. The aim was</w:t>
      </w:r>
      <w:r>
        <w:t xml:space="preserve"> to ensure that the funding was allocated to wages for staff</w:t>
      </w:r>
      <w:r w:rsidR="005930AA">
        <w:t>, and not other purposes</w:t>
      </w:r>
      <w:r>
        <w:t xml:space="preserve">. Minutes and drafting notes indicate that the </w:t>
      </w:r>
      <w:r w:rsidR="002515E6">
        <w:t>B</w:t>
      </w:r>
      <w:r>
        <w:t xml:space="preserve">oard ensured that this requirement could be met using other industrial instruments that had the same effect. The </w:t>
      </w:r>
      <w:r w:rsidR="002515E6">
        <w:t>A</w:t>
      </w:r>
      <w:r>
        <w:t xml:space="preserve">dvisory </w:t>
      </w:r>
      <w:r w:rsidR="002515E6">
        <w:t>B</w:t>
      </w:r>
      <w:r>
        <w:t>oard also recommended that the requirements should be relaxed to the extent th</w:t>
      </w:r>
      <w:r w:rsidR="00F06B3E">
        <w:t>at applicants need not have an enterprise agreement</w:t>
      </w:r>
      <w:r>
        <w:t xml:space="preserve"> at the time of the applica</w:t>
      </w:r>
      <w:r w:rsidR="005930AA">
        <w:t>tion,</w:t>
      </w:r>
      <w:r>
        <w:t xml:space="preserve"> but must </w:t>
      </w:r>
      <w:r w:rsidR="005317F5">
        <w:t>provide evidence of</w:t>
      </w:r>
      <w:r>
        <w:t xml:space="preserve"> intent to do so.</w:t>
      </w:r>
      <w:r w:rsidR="00CB3735">
        <w:t xml:space="preserve"> The final Program Guidelines allow for applications to be submitted without an Enterprise Agreement. </w:t>
      </w:r>
    </w:p>
    <w:p w:rsidR="008A42AB" w:rsidRDefault="008A42AB" w:rsidP="008A42AB">
      <w:pPr>
        <w:pStyle w:val="Heading9"/>
      </w:pPr>
      <w:r>
        <w:t xml:space="preserve">Funding </w:t>
      </w:r>
      <w:r w:rsidR="00B12373">
        <w:t>distribution</w:t>
      </w:r>
    </w:p>
    <w:p w:rsidR="004C5966" w:rsidRDefault="008A42AB" w:rsidP="004C5966">
      <w:pPr>
        <w:pStyle w:val="PwCNormal"/>
        <w:numPr>
          <w:ilvl w:val="0"/>
          <w:numId w:val="0"/>
        </w:numPr>
      </w:pPr>
      <w:r w:rsidRPr="00A3203D">
        <w:t xml:space="preserve">Discussions with the </w:t>
      </w:r>
      <w:r w:rsidR="005317F5">
        <w:t>B</w:t>
      </w:r>
      <w:r w:rsidRPr="00A3203D">
        <w:t xml:space="preserve">oard and </w:t>
      </w:r>
      <w:r w:rsidR="005317F5">
        <w:t xml:space="preserve">the </w:t>
      </w:r>
      <w:r w:rsidRPr="00A3203D">
        <w:t xml:space="preserve">minutes </w:t>
      </w:r>
      <w:r w:rsidR="005317F5">
        <w:t xml:space="preserve">of meetings </w:t>
      </w:r>
      <w:r w:rsidRPr="00A3203D">
        <w:t xml:space="preserve">illustrate that the </w:t>
      </w:r>
      <w:r w:rsidR="005317F5">
        <w:t>B</w:t>
      </w:r>
      <w:r w:rsidRPr="00A3203D">
        <w:t>oard had a role in deciding on the allocation of the funding</w:t>
      </w:r>
      <w:r w:rsidR="005317F5">
        <w:t xml:space="preserve"> pools for</w:t>
      </w:r>
      <w:r w:rsidRPr="00A3203D">
        <w:t xml:space="preserve"> larger and smaller </w:t>
      </w:r>
      <w:r>
        <w:t xml:space="preserve">providers. Information provided indicates that this decision was driven by equity concerns that given the requirement of a first in first served basis there was a strong likelihood that the funding would be </w:t>
      </w:r>
      <w:r w:rsidR="005930AA">
        <w:t xml:space="preserve">largely </w:t>
      </w:r>
      <w:r>
        <w:t>exhausted by large providers. Therefore</w:t>
      </w:r>
      <w:r w:rsidR="005930AA">
        <w:t>,</w:t>
      </w:r>
      <w:r>
        <w:t xml:space="preserve"> there was recommendation </w:t>
      </w:r>
      <w:r w:rsidR="005930AA">
        <w:t xml:space="preserve">proposed </w:t>
      </w:r>
      <w:r>
        <w:t xml:space="preserve">by the </w:t>
      </w:r>
      <w:r w:rsidR="005930AA">
        <w:t>B</w:t>
      </w:r>
      <w:r>
        <w:t>oard to</w:t>
      </w:r>
      <w:r w:rsidR="005629FE">
        <w:t xml:space="preserve"> divide the funding allocation.</w:t>
      </w:r>
    </w:p>
    <w:p w:rsidR="00B12373" w:rsidRDefault="00B12373" w:rsidP="00B12373">
      <w:pPr>
        <w:pStyle w:val="PwCNormal"/>
        <w:numPr>
          <w:ilvl w:val="0"/>
          <w:numId w:val="0"/>
        </w:numPr>
      </w:pPr>
      <w:r>
        <w:t xml:space="preserve">The original approach discussed by the </w:t>
      </w:r>
      <w:r w:rsidR="00957E1D">
        <w:t xml:space="preserve">Board was </w:t>
      </w:r>
      <w:r>
        <w:t>a service by service proce</w:t>
      </w:r>
      <w:r w:rsidR="00957E1D">
        <w:t xml:space="preserve">ss </w:t>
      </w:r>
      <w:r>
        <w:t>to promote equitable distribution. The Department reports that several members of the Advisory Board considered service by service applications would mean multiple applications from the same providers with a significant risk that only a proportion would be funded.</w:t>
      </w:r>
    </w:p>
    <w:p w:rsidR="00513D6C" w:rsidRDefault="00513D6C" w:rsidP="00513D6C">
      <w:pPr>
        <w:pStyle w:val="PwCNormal"/>
      </w:pPr>
      <w:r>
        <w:t>The Advisory Board did consider options to address the potential inequity including recommending that the funding be split into two funding pools. The final Program Guidelines indicate that:</w:t>
      </w:r>
    </w:p>
    <w:p w:rsidR="00513D6C" w:rsidRDefault="004D4C72" w:rsidP="00513D6C">
      <w:pPr>
        <w:pStyle w:val="ListBullet"/>
        <w:tabs>
          <w:tab w:val="clear" w:pos="2836"/>
          <w:tab w:val="num" w:pos="567"/>
        </w:tabs>
        <w:ind w:left="567"/>
      </w:pPr>
      <w:r>
        <w:t>50</w:t>
      </w:r>
      <w:r w:rsidR="00513D6C">
        <w:t xml:space="preserve"> per cent of the total funds were allocated for large providers, which </w:t>
      </w:r>
      <w:r w:rsidR="00ED7461">
        <w:t xml:space="preserve">represent </w:t>
      </w:r>
      <w:r w:rsidR="00513D6C">
        <w:t>19 per cent of the sector</w:t>
      </w:r>
      <w:r w:rsidR="00513D6C">
        <w:rPr>
          <w:rStyle w:val="FootnoteReference"/>
        </w:rPr>
        <w:footnoteReference w:id="16"/>
      </w:r>
    </w:p>
    <w:p w:rsidR="00513D6C" w:rsidRDefault="00513D6C" w:rsidP="00513D6C">
      <w:pPr>
        <w:pStyle w:val="ListBullet"/>
        <w:tabs>
          <w:tab w:val="clear" w:pos="2836"/>
          <w:tab w:val="num" w:pos="567"/>
        </w:tabs>
        <w:ind w:left="567"/>
      </w:pPr>
      <w:proofErr w:type="gramStart"/>
      <w:r>
        <w:t>the</w:t>
      </w:r>
      <w:proofErr w:type="gramEnd"/>
      <w:r>
        <w:t xml:space="preserve"> other 50 per cent of the total funds were allocated for small providers which </w:t>
      </w:r>
      <w:r w:rsidR="00ED7461">
        <w:t xml:space="preserve">represent </w:t>
      </w:r>
      <w:r>
        <w:t>81 per cent of the sector</w:t>
      </w:r>
      <w:r>
        <w:rPr>
          <w:rStyle w:val="FootnoteReference"/>
        </w:rPr>
        <w:footnoteReference w:id="17"/>
      </w:r>
      <w:r>
        <w:t>.</w:t>
      </w:r>
    </w:p>
    <w:p w:rsidR="00F00207" w:rsidRDefault="00513D6C" w:rsidP="00F00207">
      <w:pPr>
        <w:pStyle w:val="PwCNormal"/>
      </w:pPr>
      <w:r>
        <w:t>It was acknowledged</w:t>
      </w:r>
      <w:r w:rsidR="00ED7461">
        <w:t xml:space="preserve"> that 50 per cent</w:t>
      </w:r>
      <w:r>
        <w:t xml:space="preserve"> of funding </w:t>
      </w:r>
      <w:r w:rsidR="00ED7461">
        <w:t>ensured</w:t>
      </w:r>
      <w:r>
        <w:t xml:space="preserve"> </w:t>
      </w:r>
      <w:r w:rsidR="004D4C72">
        <w:t>the EYQF</w:t>
      </w:r>
      <w:r>
        <w:t xml:space="preserve"> </w:t>
      </w:r>
      <w:r w:rsidR="004D4C72">
        <w:t xml:space="preserve">was available </w:t>
      </w:r>
      <w:r>
        <w:t>to small provider</w:t>
      </w:r>
      <w:r w:rsidR="00ED7461">
        <w:t xml:space="preserve">s but the split </w:t>
      </w:r>
      <w:r>
        <w:t xml:space="preserve">demonstrates that </w:t>
      </w:r>
      <w:r w:rsidR="004D4C72">
        <w:t>it</w:t>
      </w:r>
      <w:r>
        <w:t xml:space="preserve"> was not allocated equally based on their representative size.</w:t>
      </w:r>
      <w:r w:rsidR="00F00207">
        <w:t xml:space="preserve"> Minutes from an Advisory Board meeting show that the Board considered splitting the pools into amounts that were more aligned to their representation of the sector i.e. 19 per of the pool ($57 million) should be allocated for larger providers. However, the Department reports that this was not supported by the Board as they recognised that $57 million was not sufficient to fund an application from the largest service provider.</w:t>
      </w:r>
    </w:p>
    <w:p w:rsidR="00513D6C" w:rsidRDefault="00513D6C" w:rsidP="00513D6C">
      <w:pPr>
        <w:pStyle w:val="ListBullet"/>
        <w:numPr>
          <w:ilvl w:val="0"/>
          <w:numId w:val="0"/>
        </w:numPr>
      </w:pPr>
    </w:p>
    <w:p w:rsidR="008A42AB" w:rsidRDefault="008A42AB" w:rsidP="008A42AB">
      <w:pPr>
        <w:pStyle w:val="Heading9"/>
      </w:pPr>
      <w:r>
        <w:lastRenderedPageBreak/>
        <w:t>Evaluation criteria</w:t>
      </w:r>
    </w:p>
    <w:p w:rsidR="008A42AB" w:rsidRDefault="008A42AB" w:rsidP="008A42AB">
      <w:pPr>
        <w:pStyle w:val="PwCNormal"/>
      </w:pPr>
      <w:r w:rsidRPr="00A3203D">
        <w:t xml:space="preserve">Minutes and drafting notes illustrate that the </w:t>
      </w:r>
      <w:r w:rsidR="005317F5">
        <w:t>A</w:t>
      </w:r>
      <w:r w:rsidRPr="00A3203D">
        <w:t xml:space="preserve">dvisory </w:t>
      </w:r>
      <w:r w:rsidR="005317F5">
        <w:t>B</w:t>
      </w:r>
      <w:r w:rsidRPr="00A3203D">
        <w:t>oard had a significant impact in the development and finalisation of the evaluation criteria that w</w:t>
      </w:r>
      <w:r w:rsidR="005930AA">
        <w:t>ere</w:t>
      </w:r>
      <w:r w:rsidRPr="00A3203D">
        <w:t xml:space="preserve"> used to assess the application process. Those criteria recommended by the </w:t>
      </w:r>
      <w:r w:rsidR="002515E6">
        <w:t>B</w:t>
      </w:r>
      <w:r w:rsidRPr="00A3203D">
        <w:t xml:space="preserve">oard were adopted </w:t>
      </w:r>
      <w:r w:rsidR="005930AA">
        <w:t>almost in</w:t>
      </w:r>
      <w:r w:rsidRPr="00A3203D">
        <w:t xml:space="preserve"> their entirety </w:t>
      </w:r>
      <w:r w:rsidR="00CB3735">
        <w:t>in the Program Guidelines.</w:t>
      </w:r>
    </w:p>
    <w:p w:rsidR="008A42AB" w:rsidRDefault="008A42AB" w:rsidP="008A42AB">
      <w:pPr>
        <w:pStyle w:val="Heading7"/>
      </w:pPr>
      <w:r>
        <w:t xml:space="preserve">Introduction of legislation and </w:t>
      </w:r>
      <w:r w:rsidR="008739E8">
        <w:t>Committee</w:t>
      </w:r>
      <w:r>
        <w:t xml:space="preserve"> inquiries</w:t>
      </w:r>
    </w:p>
    <w:p w:rsidR="008A42AB" w:rsidRDefault="008A42AB" w:rsidP="008A42AB">
      <w:pPr>
        <w:pStyle w:val="PwCNormal"/>
      </w:pPr>
      <w:r>
        <w:t xml:space="preserve">On the 30 May 2013 the </w:t>
      </w:r>
      <w:r w:rsidRPr="00062CA7">
        <w:rPr>
          <w:i/>
        </w:rPr>
        <w:t>Early Years Quality Fund Special Account Bill</w:t>
      </w:r>
      <w:r>
        <w:rPr>
          <w:i/>
        </w:rPr>
        <w:t xml:space="preserve"> </w:t>
      </w:r>
      <w:r>
        <w:t>was introduced in</w:t>
      </w:r>
      <w:r w:rsidR="005930AA">
        <w:t>to</w:t>
      </w:r>
      <w:r>
        <w:t xml:space="preserve"> the House of Representatives by the then Minister for School Education, Early Childhood and Youth Peter Garret</w:t>
      </w:r>
      <w:r w:rsidR="00ED7461">
        <w:t>t</w:t>
      </w:r>
      <w:r w:rsidR="00CC0AA9">
        <w:t>. In his speech commending the B</w:t>
      </w:r>
      <w:r>
        <w:t xml:space="preserve">ill to the </w:t>
      </w:r>
      <w:r w:rsidR="005930AA">
        <w:t>H</w:t>
      </w:r>
      <w:r>
        <w:t xml:space="preserve">ouse, Minister Garrett outlined that the </w:t>
      </w:r>
      <w:r w:rsidR="005317F5">
        <w:t>B</w:t>
      </w:r>
      <w:r>
        <w:t xml:space="preserve">ill </w:t>
      </w:r>
      <w:r w:rsidRPr="004C3566">
        <w:t>acknowledges that</w:t>
      </w:r>
      <w:r w:rsidR="00C443BF">
        <w:t xml:space="preserve"> the</w:t>
      </w:r>
      <w:r w:rsidRPr="004C3566">
        <w:t xml:space="preserve"> commitment</w:t>
      </w:r>
      <w:r>
        <w:t xml:space="preserve"> of child care educators</w:t>
      </w:r>
      <w:r w:rsidRPr="004C3566">
        <w:t xml:space="preserve"> by securing for these educators the necessary recognition of their professionalism and to reward them accordingly with higher wages.</w:t>
      </w:r>
    </w:p>
    <w:p w:rsidR="008A42AB" w:rsidRDefault="00596B47" w:rsidP="008A42AB">
      <w:pPr>
        <w:pStyle w:val="PwCNormal"/>
      </w:pPr>
      <w:r>
        <w:t xml:space="preserve">In May </w:t>
      </w:r>
      <w:r w:rsidR="008A42AB">
        <w:t>2013</w:t>
      </w:r>
      <w:r>
        <w:t>,</w:t>
      </w:r>
      <w:r w:rsidR="008A42AB">
        <w:t xml:space="preserve"> both the House of Representatives and the Senate submitted the </w:t>
      </w:r>
      <w:r w:rsidR="008A42AB" w:rsidRPr="00062CA7">
        <w:rPr>
          <w:i/>
        </w:rPr>
        <w:t>Early Years Quality Fund Special Account Bill 2013</w:t>
      </w:r>
      <w:r w:rsidR="008A42AB">
        <w:rPr>
          <w:i/>
        </w:rPr>
        <w:t xml:space="preserve"> </w:t>
      </w:r>
      <w:r w:rsidR="008A42AB">
        <w:t xml:space="preserve">to their respective </w:t>
      </w:r>
      <w:r w:rsidR="008739E8">
        <w:t>Committee</w:t>
      </w:r>
      <w:r w:rsidR="008A42AB">
        <w:t xml:space="preserve">s, the House of Representatives Education and Employment </w:t>
      </w:r>
      <w:r w:rsidR="008739E8">
        <w:t>Committee</w:t>
      </w:r>
      <w:r w:rsidR="008A42AB">
        <w:t xml:space="preserve"> and the </w:t>
      </w:r>
      <w:r w:rsidR="008A42AB" w:rsidRPr="00062CA7">
        <w:t>Senate Education, Employment an</w:t>
      </w:r>
      <w:r w:rsidR="008A42AB">
        <w:t xml:space="preserve">d Workplace Relations </w:t>
      </w:r>
      <w:r w:rsidR="008739E8">
        <w:t>Committee</w:t>
      </w:r>
      <w:r w:rsidR="008A42AB">
        <w:t xml:space="preserve"> for inquiry and report. Interested parties were provided the opportunity to make a submission to the </w:t>
      </w:r>
      <w:r w:rsidR="008739E8">
        <w:t>Committee</w:t>
      </w:r>
      <w:r w:rsidR="008A42AB">
        <w:t xml:space="preserve">. A public hearing was also conducted with </w:t>
      </w:r>
      <w:r w:rsidR="008A42AB" w:rsidRPr="008A42AB">
        <w:t>representation</w:t>
      </w:r>
      <w:r w:rsidR="008A42AB">
        <w:t xml:space="preserve"> from United Voice, Independent Education Union, Australian Childcare Alliance, Child Care Centres Association of Victoria and the Department.</w:t>
      </w:r>
    </w:p>
    <w:p w:rsidR="008A42AB" w:rsidRDefault="008A42AB" w:rsidP="008A42AB">
      <w:pPr>
        <w:pStyle w:val="PwCNormal"/>
        <w:numPr>
          <w:ilvl w:val="0"/>
          <w:numId w:val="0"/>
        </w:numPr>
      </w:pPr>
      <w:r>
        <w:t>Submissions provided to both Inquiries were diverse, covering a range of interested parties including long day care centres, individual early childhood educators, unions, and industry associations. While a diverse range of parties responded to the Inquiry</w:t>
      </w:r>
      <w:r w:rsidR="005930AA">
        <w:t>,</w:t>
      </w:r>
      <w:r>
        <w:t xml:space="preserve"> a number of common issues were raised in relation to the establishment and the implementation of the EYQF. </w:t>
      </w:r>
    </w:p>
    <w:p w:rsidR="008A42AB" w:rsidRDefault="008A42AB" w:rsidP="008A42AB">
      <w:pPr>
        <w:pStyle w:val="Heading9"/>
      </w:pPr>
      <w:r>
        <w:t>Inadequacy of funding</w:t>
      </w:r>
    </w:p>
    <w:p w:rsidR="00513D6C" w:rsidRDefault="008A42AB" w:rsidP="008A42AB">
      <w:pPr>
        <w:pStyle w:val="PwCNormal"/>
        <w:numPr>
          <w:ilvl w:val="0"/>
          <w:numId w:val="0"/>
        </w:numPr>
      </w:pPr>
      <w:r>
        <w:t xml:space="preserve">Almost all submissions referred to the fact that the </w:t>
      </w:r>
      <w:r w:rsidR="00CC0AA9">
        <w:t>EYQF</w:t>
      </w:r>
      <w:r>
        <w:t xml:space="preserve"> will only be provided to 40 per cent of the sector. </w:t>
      </w:r>
      <w:r w:rsidR="00513D6C">
        <w:t xml:space="preserve">This figure did not take into account decisions such as </w:t>
      </w:r>
      <w:r w:rsidR="00943DC7">
        <w:t xml:space="preserve">the inclusion of </w:t>
      </w:r>
      <w:r w:rsidR="00513D6C">
        <w:t xml:space="preserve">on-costs and </w:t>
      </w:r>
      <w:r w:rsidR="00943DC7">
        <w:t>wages for</w:t>
      </w:r>
      <w:r w:rsidR="00513D6C">
        <w:t xml:space="preserve"> non-qualified staff which impacted on the final amount </w:t>
      </w:r>
      <w:r w:rsidR="00943DC7">
        <w:t xml:space="preserve">of funding distributed and </w:t>
      </w:r>
      <w:r w:rsidR="00ED7461">
        <w:t>estimates suggest that</w:t>
      </w:r>
      <w:r w:rsidR="00C443BF">
        <w:t xml:space="preserve"> only</w:t>
      </w:r>
      <w:r w:rsidR="00ED7461">
        <w:t xml:space="preserve"> 30 per cent of the LDC workforce would benefit under the EYQF</w:t>
      </w:r>
      <w:r w:rsidR="00513D6C">
        <w:t>.</w:t>
      </w:r>
    </w:p>
    <w:p w:rsidR="008A42AB" w:rsidRDefault="008A42AB" w:rsidP="008A42AB">
      <w:pPr>
        <w:pStyle w:val="PwCNormal"/>
        <w:numPr>
          <w:ilvl w:val="0"/>
          <w:numId w:val="0"/>
        </w:numPr>
      </w:pPr>
      <w:r>
        <w:t>While recognising that that th</w:t>
      </w:r>
      <w:r w:rsidR="00EE2490">
        <w:t>e program</w:t>
      </w:r>
      <w:r w:rsidR="00ED7461">
        <w:t xml:space="preserve"> was a first step </w:t>
      </w:r>
      <w:r>
        <w:t xml:space="preserve">towards professional wages for the sector the implications of a proportion of the workforce not receiving a pay increase </w:t>
      </w:r>
      <w:r w:rsidR="005930AA">
        <w:t>was seen by many as</w:t>
      </w:r>
      <w:r>
        <w:t xml:space="preserve"> divisive. Comments were also made about the inequality of th</w:t>
      </w:r>
      <w:r w:rsidR="005930AA">
        <w:t>e</w:t>
      </w:r>
      <w:r>
        <w:t xml:space="preserve"> scenario of having early child care educators doing the same job but </w:t>
      </w:r>
      <w:r w:rsidR="005930AA">
        <w:t xml:space="preserve">some </w:t>
      </w:r>
      <w:r>
        <w:t>being paid less than their counterpart because the centre missed out on funding. This was the most common area of concern raised by parties who made submissions to the Inquiry.</w:t>
      </w:r>
    </w:p>
    <w:p w:rsidR="008A42AB" w:rsidRDefault="008A42AB" w:rsidP="008A42AB">
      <w:pPr>
        <w:pStyle w:val="Heading9"/>
      </w:pPr>
      <w:r>
        <w:t>Temporary funding arrangement</w:t>
      </w:r>
    </w:p>
    <w:p w:rsidR="008A42AB" w:rsidRDefault="008A42AB" w:rsidP="008A42AB">
      <w:pPr>
        <w:pStyle w:val="PwCNormal"/>
        <w:numPr>
          <w:ilvl w:val="0"/>
          <w:numId w:val="0"/>
        </w:numPr>
      </w:pPr>
      <w:r>
        <w:t>Submission</w:t>
      </w:r>
      <w:r w:rsidR="005930AA">
        <w:t>s</w:t>
      </w:r>
      <w:r>
        <w:t xml:space="preserve"> to the Inquiry also raised issue with the temporary nature of the funding arrangement. At the time, </w:t>
      </w:r>
      <w:r w:rsidR="005930AA">
        <w:t xml:space="preserve">the proposed </w:t>
      </w:r>
      <w:r>
        <w:t xml:space="preserve">funding was only sufficient to provide increased wages for two years. Submissions to the Inquiry questioned what the outcome would be in two years times when the funding lapsed and whether the </w:t>
      </w:r>
      <w:r w:rsidR="005930AA">
        <w:t xml:space="preserve">higher </w:t>
      </w:r>
      <w:r>
        <w:t>wage levels would be sustained.</w:t>
      </w:r>
    </w:p>
    <w:p w:rsidR="008A42AB" w:rsidRDefault="008A42AB" w:rsidP="008A42AB">
      <w:pPr>
        <w:pStyle w:val="Heading9"/>
      </w:pPr>
      <w:r>
        <w:t xml:space="preserve">Eligibility </w:t>
      </w:r>
    </w:p>
    <w:p w:rsidR="008A42AB" w:rsidRDefault="008A42AB" w:rsidP="008A42AB">
      <w:pPr>
        <w:pStyle w:val="PwCNormal"/>
        <w:numPr>
          <w:ilvl w:val="0"/>
          <w:numId w:val="0"/>
        </w:numPr>
      </w:pPr>
      <w:r>
        <w:t>A smaller proportion of submission</w:t>
      </w:r>
      <w:r w:rsidR="00C443BF">
        <w:t>s</w:t>
      </w:r>
      <w:r>
        <w:t xml:space="preserve"> argued that restricting eligibility for funding to only long day care providers was not a fair outcome. The argument was </w:t>
      </w:r>
      <w:r w:rsidR="005930AA">
        <w:t xml:space="preserve">that all providers (e.g. </w:t>
      </w:r>
      <w:r w:rsidR="00596B47">
        <w:t>FDC</w:t>
      </w:r>
      <w:r>
        <w:t xml:space="preserve"> providers</w:t>
      </w:r>
      <w:r w:rsidR="005930AA">
        <w:t>)</w:t>
      </w:r>
      <w:r>
        <w:t xml:space="preserve">, must submit to the same requirements and standards under the </w:t>
      </w:r>
      <w:r w:rsidR="000B5367">
        <w:t>NQF</w:t>
      </w:r>
      <w:r>
        <w:t xml:space="preserve">, and </w:t>
      </w:r>
      <w:r w:rsidR="005930AA">
        <w:t xml:space="preserve">if </w:t>
      </w:r>
      <w:r>
        <w:t>the funding was established to assist providers in meeting these standards</w:t>
      </w:r>
      <w:r w:rsidR="005930AA">
        <w:t>,</w:t>
      </w:r>
      <w:r>
        <w:t xml:space="preserve"> then all providers should be</w:t>
      </w:r>
      <w:r w:rsidR="005930AA">
        <w:t xml:space="preserve"> potentially</w:t>
      </w:r>
      <w:r>
        <w:t xml:space="preserve"> eligible for funding.</w:t>
      </w:r>
    </w:p>
    <w:p w:rsidR="008A42AB" w:rsidRDefault="008A42AB" w:rsidP="008A42AB">
      <w:pPr>
        <w:pStyle w:val="Heading9"/>
      </w:pPr>
      <w:r>
        <w:lastRenderedPageBreak/>
        <w:t xml:space="preserve">Composition of the </w:t>
      </w:r>
      <w:r w:rsidR="002515E6">
        <w:t>A</w:t>
      </w:r>
      <w:r>
        <w:t xml:space="preserve">dvisory </w:t>
      </w:r>
      <w:r w:rsidR="002515E6">
        <w:t>B</w:t>
      </w:r>
      <w:r>
        <w:t>oard</w:t>
      </w:r>
    </w:p>
    <w:p w:rsidR="008A42AB" w:rsidRPr="00277C2A" w:rsidRDefault="008A42AB" w:rsidP="008A42AB">
      <w:pPr>
        <w:pStyle w:val="PwCNormal"/>
      </w:pPr>
      <w:r>
        <w:t>Commentary was also made in the submiss</w:t>
      </w:r>
      <w:r w:rsidR="002515E6">
        <w:t>ions on the composition of the A</w:t>
      </w:r>
      <w:r>
        <w:t xml:space="preserve">dvisory </w:t>
      </w:r>
      <w:r w:rsidR="002515E6">
        <w:t>B</w:t>
      </w:r>
      <w:r>
        <w:t xml:space="preserve">oard. A number of submissions raised an issue of the inclusion of </w:t>
      </w:r>
      <w:r w:rsidR="005930AA">
        <w:t>representatives</w:t>
      </w:r>
      <w:r>
        <w:t xml:space="preserve"> of</w:t>
      </w:r>
      <w:r w:rsidR="005930AA">
        <w:t xml:space="preserve"> two</w:t>
      </w:r>
      <w:r>
        <w:t xml:space="preserve"> large providers on the </w:t>
      </w:r>
      <w:r w:rsidR="005930AA">
        <w:t>B</w:t>
      </w:r>
      <w:r>
        <w:t xml:space="preserve">oard. It was argued that this raised a conflict of interest </w:t>
      </w:r>
      <w:r w:rsidR="005930AA">
        <w:t>and that these providers may be</w:t>
      </w:r>
      <w:r>
        <w:t xml:space="preserve"> able to influence the process. Some submissions also raised the issue that there was insufficient representation of small providers on the </w:t>
      </w:r>
      <w:r w:rsidR="002515E6">
        <w:t>B</w:t>
      </w:r>
      <w:r>
        <w:t>oard.</w:t>
      </w:r>
    </w:p>
    <w:p w:rsidR="008A42AB" w:rsidRDefault="008A42AB" w:rsidP="008A42AB">
      <w:pPr>
        <w:pStyle w:val="Heading9"/>
      </w:pPr>
      <w:r>
        <w:t xml:space="preserve">First in first served implications </w:t>
      </w:r>
    </w:p>
    <w:p w:rsidR="008A42AB" w:rsidRDefault="008A42AB" w:rsidP="008A42AB">
      <w:pPr>
        <w:pStyle w:val="PwCNormal"/>
        <w:numPr>
          <w:ilvl w:val="0"/>
          <w:numId w:val="0"/>
        </w:numPr>
      </w:pPr>
      <w:r>
        <w:t xml:space="preserve">A small proportion of parties also raised </w:t>
      </w:r>
      <w:r w:rsidR="005930AA">
        <w:t xml:space="preserve">an </w:t>
      </w:r>
      <w:r>
        <w:t xml:space="preserve">issue </w:t>
      </w:r>
      <w:r w:rsidR="005930AA">
        <w:t>regarding</w:t>
      </w:r>
      <w:r>
        <w:t xml:space="preserve"> the selection process being</w:t>
      </w:r>
      <w:r w:rsidR="005930AA">
        <w:t xml:space="preserve"> conducted</w:t>
      </w:r>
      <w:r>
        <w:t xml:space="preserve"> on a </w:t>
      </w:r>
      <w:r w:rsidR="005930AA">
        <w:t>‘</w:t>
      </w:r>
      <w:r>
        <w:t>first in</w:t>
      </w:r>
      <w:r w:rsidR="005930AA">
        <w:t>-</w:t>
      </w:r>
      <w:r>
        <w:t>first served</w:t>
      </w:r>
      <w:r w:rsidR="005930AA">
        <w:t>’</w:t>
      </w:r>
      <w:r>
        <w:t xml:space="preserve"> basis. </w:t>
      </w:r>
      <w:r w:rsidR="005930AA">
        <w:t>I</w:t>
      </w:r>
      <w:r>
        <w:t xml:space="preserve">t was argued that this would lead to larger providers taking a larger than proportional share of the funding available to the detriment of smaller providers. </w:t>
      </w:r>
    </w:p>
    <w:p w:rsidR="008A42AB" w:rsidRDefault="008A42AB" w:rsidP="008A42AB">
      <w:pPr>
        <w:pStyle w:val="PwCNormal"/>
        <w:numPr>
          <w:ilvl w:val="0"/>
          <w:numId w:val="0"/>
        </w:numPr>
      </w:pPr>
      <w:r>
        <w:t xml:space="preserve">The final report of the House of Representatives </w:t>
      </w:r>
      <w:r w:rsidR="008739E8">
        <w:t>Committee</w:t>
      </w:r>
      <w:r>
        <w:t xml:space="preserve"> acknowledged the concerns existing within the sector that the limited funds available in the scheme will lead to some pay disparity. However the </w:t>
      </w:r>
      <w:r w:rsidR="008739E8">
        <w:t>Committee</w:t>
      </w:r>
      <w:r>
        <w:t xml:space="preserve"> believed that the </w:t>
      </w:r>
      <w:r w:rsidR="00CC0AA9">
        <w:t>EYQF</w:t>
      </w:r>
      <w:r>
        <w:t xml:space="preserve"> was an important first step in working towards improved wages within the early childhood sector.</w:t>
      </w:r>
      <w:r w:rsidRPr="005A4BD7">
        <w:t xml:space="preserve"> The </w:t>
      </w:r>
      <w:r w:rsidR="008739E8">
        <w:t>Committee</w:t>
      </w:r>
      <w:r w:rsidRPr="005A4BD7">
        <w:t xml:space="preserve"> also acknowledge</w:t>
      </w:r>
      <w:r>
        <w:t>d</w:t>
      </w:r>
      <w:r w:rsidRPr="005A4BD7">
        <w:t xml:space="preserve"> stak</w:t>
      </w:r>
      <w:r w:rsidR="00841039">
        <w:t>eholder concerns regarding the two</w:t>
      </w:r>
      <w:r w:rsidRPr="005A4BD7">
        <w:t xml:space="preserve"> year life span of the </w:t>
      </w:r>
      <w:r w:rsidR="00CC0AA9">
        <w:t>EYQF</w:t>
      </w:r>
      <w:r w:rsidRPr="005A4BD7">
        <w:t xml:space="preserve"> and its associated remuneration benefits to workers in the sector. The </w:t>
      </w:r>
      <w:r w:rsidR="008739E8">
        <w:t>Committee</w:t>
      </w:r>
      <w:r w:rsidR="005930AA">
        <w:t>,</w:t>
      </w:r>
      <w:r w:rsidRPr="005A4BD7">
        <w:t xml:space="preserve"> </w:t>
      </w:r>
      <w:r>
        <w:t>however</w:t>
      </w:r>
      <w:r w:rsidR="005930AA">
        <w:t>,</w:t>
      </w:r>
      <w:r>
        <w:t xml:space="preserve"> believed that </w:t>
      </w:r>
      <w:r w:rsidRPr="005A4BD7">
        <w:t xml:space="preserve">the establishment of the pay equity unit in the Fair Work Commission </w:t>
      </w:r>
      <w:r w:rsidR="005930AA">
        <w:t>provided</w:t>
      </w:r>
      <w:r w:rsidRPr="005A4BD7">
        <w:t xml:space="preserve"> a forum </w:t>
      </w:r>
      <w:r w:rsidR="005930AA">
        <w:t>through which</w:t>
      </w:r>
      <w:r w:rsidRPr="005A4BD7">
        <w:t xml:space="preserve"> these concerns c</w:t>
      </w:r>
      <w:r w:rsidR="005930AA">
        <w:t>ould</w:t>
      </w:r>
      <w:r w:rsidRPr="005A4BD7">
        <w:t xml:space="preserve"> be pursued at a future date.</w:t>
      </w:r>
    </w:p>
    <w:p w:rsidR="008A42AB" w:rsidRDefault="008A42AB" w:rsidP="008A42AB">
      <w:pPr>
        <w:pStyle w:val="PwCNormal"/>
        <w:numPr>
          <w:ilvl w:val="0"/>
          <w:numId w:val="0"/>
        </w:numPr>
      </w:pPr>
      <w:r>
        <w:t xml:space="preserve">The final report from the Senate </w:t>
      </w:r>
      <w:r w:rsidR="008739E8">
        <w:t>Committee</w:t>
      </w:r>
      <w:r>
        <w:t xml:space="preserve"> noted th</w:t>
      </w:r>
      <w:r w:rsidR="00CC0AA9">
        <w:t>ese concerns but supported the B</w:t>
      </w:r>
      <w:r>
        <w:t xml:space="preserve">ill in its current form. The </w:t>
      </w:r>
      <w:r w:rsidR="008739E8">
        <w:t>Committee</w:t>
      </w:r>
      <w:r>
        <w:t xml:space="preserve"> expressed </w:t>
      </w:r>
      <w:r w:rsidR="005317F5">
        <w:t>its</w:t>
      </w:r>
      <w:r>
        <w:t xml:space="preserve"> satisfaction that the governance arrangements for the Advisory Board were appropriate with the administration of the funds being undertaken by the Department. In addition the </w:t>
      </w:r>
      <w:r w:rsidR="008739E8">
        <w:t>Committee</w:t>
      </w:r>
      <w:r>
        <w:t xml:space="preserve"> expressed its confidence that the Department would ensure that timely and accurate info</w:t>
      </w:r>
      <w:r w:rsidR="00841039">
        <w:t>rmation w</w:t>
      </w:r>
      <w:r w:rsidR="005930AA">
        <w:t>ould be</w:t>
      </w:r>
      <w:r w:rsidR="00841039">
        <w:t xml:space="preserve"> provided to the sec</w:t>
      </w:r>
      <w:r>
        <w:t>t</w:t>
      </w:r>
      <w:r w:rsidR="00841039">
        <w:t>o</w:t>
      </w:r>
      <w:r>
        <w:t>r.</w:t>
      </w:r>
    </w:p>
    <w:p w:rsidR="008A42AB" w:rsidRDefault="008A42AB" w:rsidP="008A42AB">
      <w:pPr>
        <w:pStyle w:val="PwCNormal"/>
        <w:numPr>
          <w:ilvl w:val="0"/>
          <w:numId w:val="0"/>
        </w:numPr>
      </w:pPr>
      <w:r>
        <w:t>In its final conclusion</w:t>
      </w:r>
      <w:r w:rsidR="00ED7461">
        <w:t>,</w:t>
      </w:r>
      <w:r>
        <w:t xml:space="preserve"> the </w:t>
      </w:r>
      <w:r w:rsidR="008739E8">
        <w:t>Committee</w:t>
      </w:r>
      <w:r>
        <w:t xml:space="preserve"> maintained that the </w:t>
      </w:r>
      <w:r w:rsidR="005930AA">
        <w:t>B</w:t>
      </w:r>
      <w:r>
        <w:t>ill w</w:t>
      </w:r>
      <w:r w:rsidR="005930AA">
        <w:t>ould</w:t>
      </w:r>
      <w:r>
        <w:t xml:space="preserve"> improve the wages for early childhood educators and help </w:t>
      </w:r>
      <w:r w:rsidR="00AE2F18">
        <w:t xml:space="preserve">providers attract </w:t>
      </w:r>
      <w:r>
        <w:t xml:space="preserve">and retain people </w:t>
      </w:r>
      <w:r w:rsidR="00AE2F18">
        <w:t>to</w:t>
      </w:r>
      <w:r>
        <w:t xml:space="preserve"> the sector. The </w:t>
      </w:r>
      <w:r w:rsidR="008739E8">
        <w:t>Committee</w:t>
      </w:r>
      <w:r>
        <w:t xml:space="preserve"> also concluded that the </w:t>
      </w:r>
      <w:r w:rsidR="00CC0AA9">
        <w:t>EYQF</w:t>
      </w:r>
      <w:r>
        <w:t xml:space="preserve"> will support the Governm</w:t>
      </w:r>
      <w:r w:rsidR="00AE2F18">
        <w:t>ents broader objective of ensuring a</w:t>
      </w:r>
      <w:r>
        <w:t xml:space="preserve"> high quality s</w:t>
      </w:r>
      <w:r w:rsidR="00FB190C">
        <w:t>tandard of education and care for</w:t>
      </w:r>
      <w:r>
        <w:t xml:space="preserve"> Australian children. </w:t>
      </w:r>
    </w:p>
    <w:p w:rsidR="0072009B" w:rsidRPr="004B20A6" w:rsidRDefault="00EC6C74" w:rsidP="005629FE">
      <w:pPr>
        <w:pStyle w:val="PwCNormal"/>
        <w:numPr>
          <w:ilvl w:val="0"/>
          <w:numId w:val="0"/>
        </w:numPr>
      </w:pPr>
      <w:r>
        <w:t xml:space="preserve">The </w:t>
      </w:r>
      <w:r>
        <w:rPr>
          <w:i/>
        </w:rPr>
        <w:t>EYQF Special Account Bill</w:t>
      </w:r>
      <w:r>
        <w:t xml:space="preserve"> was passed by both Houses of Parliament on 28 June 2013.</w:t>
      </w:r>
    </w:p>
    <w:p w:rsidR="002F27EB" w:rsidRDefault="002F27EB" w:rsidP="007F0F1B">
      <w:pPr>
        <w:pStyle w:val="Heading2"/>
      </w:pPr>
      <w:bookmarkStart w:id="43" w:name="_Toc372100974"/>
      <w:r>
        <w:lastRenderedPageBreak/>
        <w:t>Communication with the sector</w:t>
      </w:r>
      <w:bookmarkEnd w:id="43"/>
    </w:p>
    <w:p w:rsidR="0054341E" w:rsidRDefault="0054341E" w:rsidP="0054341E">
      <w:pPr>
        <w:pStyle w:val="PwCNormal"/>
        <w:numPr>
          <w:ilvl w:val="0"/>
          <w:numId w:val="0"/>
        </w:numPr>
      </w:pPr>
      <w:r>
        <w:t>As the timeline outlined earlier highlights, there was a significant gap between the</w:t>
      </w:r>
      <w:r w:rsidR="00AE2F18">
        <w:t xml:space="preserve"> announcement of the creation of the EYQF and the</w:t>
      </w:r>
      <w:r>
        <w:t xml:space="preserve"> issuing of </w:t>
      </w:r>
      <w:r w:rsidR="00957E1D">
        <w:t>the Program G</w:t>
      </w:r>
      <w:r>
        <w:t xml:space="preserve">uidelines to the sector. Based on our consultations this caused anxiety and confusion </w:t>
      </w:r>
      <w:r w:rsidR="00AE2F18">
        <w:t>within</w:t>
      </w:r>
      <w:r>
        <w:t xml:space="preserve"> the sector</w:t>
      </w:r>
      <w:r w:rsidR="00B358FE">
        <w:t>, specifically</w:t>
      </w:r>
      <w:r w:rsidR="00AE2F18">
        <w:t xml:space="preserve"> related to</w:t>
      </w:r>
      <w:r>
        <w:t xml:space="preserve"> the </w:t>
      </w:r>
      <w:r w:rsidR="00B358FE">
        <w:t>eligibility criteria and requirements of the</w:t>
      </w:r>
      <w:r>
        <w:t xml:space="preserve"> application process.</w:t>
      </w:r>
    </w:p>
    <w:p w:rsidR="0054341E" w:rsidRDefault="0054341E" w:rsidP="0054341E">
      <w:pPr>
        <w:pStyle w:val="Heading6"/>
      </w:pPr>
      <w:bookmarkStart w:id="44" w:name="_Toc372100975"/>
      <w:r>
        <w:t>Experience of the sector</w:t>
      </w:r>
      <w:bookmarkEnd w:id="44"/>
    </w:p>
    <w:p w:rsidR="00957E1D" w:rsidRDefault="00957E1D" w:rsidP="00957E1D">
      <w:pPr>
        <w:pStyle w:val="PwCNormal"/>
        <w:numPr>
          <w:ilvl w:val="0"/>
          <w:numId w:val="0"/>
        </w:numPr>
      </w:pPr>
      <w:r>
        <w:t xml:space="preserve">The time taken to settle the detail of the policy of the EYQF meant that little information could be released by the Department in the period between when the policy was announced and when the </w:t>
      </w:r>
      <w:r w:rsidR="002515E6">
        <w:t>P</w:t>
      </w:r>
      <w:r>
        <w:t xml:space="preserve">rogram </w:t>
      </w:r>
      <w:r w:rsidR="002515E6">
        <w:t>G</w:t>
      </w:r>
      <w:r>
        <w:t>uidelines were released. This heightened the level of confusion and provided the opportunity for instances of misinformation.</w:t>
      </w:r>
    </w:p>
    <w:p w:rsidR="0054341E" w:rsidRDefault="0054341E" w:rsidP="0054341E">
      <w:pPr>
        <w:pStyle w:val="Heading7"/>
      </w:pPr>
      <w:r w:rsidRPr="00274B77">
        <w:t>Misinformation</w:t>
      </w:r>
    </w:p>
    <w:p w:rsidR="00B46607" w:rsidRDefault="00B46607" w:rsidP="00B46607">
      <w:pPr>
        <w:pStyle w:val="PwCNormal"/>
        <w:numPr>
          <w:ilvl w:val="0"/>
          <w:numId w:val="0"/>
        </w:numPr>
      </w:pPr>
      <w:r>
        <w:t xml:space="preserve">A consistent message from consultations was that the union was providing </w:t>
      </w:r>
      <w:r w:rsidR="00B358FE">
        <w:t>the sector</w:t>
      </w:r>
      <w:r>
        <w:t xml:space="preserve"> with information that was not consistent with information being</w:t>
      </w:r>
      <w:r w:rsidR="00A91DDC">
        <w:t xml:space="preserve"> issued through the Department.</w:t>
      </w:r>
    </w:p>
    <w:p w:rsidR="00A91DDC" w:rsidRDefault="00A91DDC" w:rsidP="00A91DDC">
      <w:pPr>
        <w:pStyle w:val="Heading9"/>
      </w:pPr>
      <w:r>
        <w:t>Wages schedule</w:t>
      </w:r>
    </w:p>
    <w:p w:rsidR="00B46607" w:rsidRDefault="00B46607" w:rsidP="00B46607">
      <w:pPr>
        <w:pStyle w:val="ListBullet"/>
        <w:numPr>
          <w:ilvl w:val="0"/>
          <w:numId w:val="0"/>
        </w:numPr>
      </w:pPr>
      <w:r>
        <w:t xml:space="preserve">Providers reported being shown </w:t>
      </w:r>
      <w:r w:rsidR="00FB190C">
        <w:t xml:space="preserve">an </w:t>
      </w:r>
      <w:r>
        <w:t>as</w:t>
      </w:r>
      <w:r w:rsidR="00FB190C">
        <w:t xml:space="preserve"> </w:t>
      </w:r>
      <w:r>
        <w:t>yet</w:t>
      </w:r>
      <w:r w:rsidR="005421BC">
        <w:t xml:space="preserve"> unapproved and</w:t>
      </w:r>
      <w:r>
        <w:t xml:space="preserve"> unpublished </w:t>
      </w:r>
      <w:r w:rsidR="00B358FE">
        <w:t xml:space="preserve">schedule of </w:t>
      </w:r>
      <w:r>
        <w:t xml:space="preserve">wage rates and told to include these in their </w:t>
      </w:r>
      <w:r w:rsidR="000B5367">
        <w:t>enterprise agreement</w:t>
      </w:r>
      <w:r w:rsidR="00B358FE">
        <w:t>. P</w:t>
      </w:r>
      <w:r>
        <w:t>roviders were unable to confirm the accuracy of the</w:t>
      </w:r>
      <w:r w:rsidR="00B358FE">
        <w:t xml:space="preserve"> </w:t>
      </w:r>
      <w:r>
        <w:t>schedule until the Program Guidelines were issued</w:t>
      </w:r>
      <w:r w:rsidR="00F00207">
        <w:t xml:space="preserve"> on 19</w:t>
      </w:r>
      <w:r w:rsidR="004D4C72">
        <w:t> July</w:t>
      </w:r>
      <w:r w:rsidR="00596B47">
        <w:t> 2013</w:t>
      </w:r>
      <w:r>
        <w:t>.</w:t>
      </w:r>
    </w:p>
    <w:p w:rsidR="00A91DDC" w:rsidRDefault="00A91DDC" w:rsidP="00A91DDC">
      <w:pPr>
        <w:pStyle w:val="PwCNormal"/>
        <w:numPr>
          <w:ilvl w:val="0"/>
          <w:numId w:val="0"/>
        </w:numPr>
      </w:pPr>
      <w:r>
        <w:t xml:space="preserve">It is important to note that the </w:t>
      </w:r>
      <w:r w:rsidR="002515E6">
        <w:t>P</w:t>
      </w:r>
      <w:r>
        <w:t xml:space="preserve">rogram </w:t>
      </w:r>
      <w:r w:rsidR="002515E6">
        <w:t>G</w:t>
      </w:r>
      <w:r>
        <w:t xml:space="preserve">uidelines allowed for applicants to either have an enterprise agreement with the approved wages schedule or a commitment to have this in place before receiving funding. However, given the timeframe between the release of the </w:t>
      </w:r>
      <w:r w:rsidR="002515E6">
        <w:t>P</w:t>
      </w:r>
      <w:r>
        <w:t xml:space="preserve">rogram </w:t>
      </w:r>
      <w:r w:rsidR="002515E6">
        <w:t>G</w:t>
      </w:r>
      <w:r>
        <w:t xml:space="preserve">uidelines (which contained the approved wages schedule) and the applications opening was only two working days, it would be unlikely that an applicant would have met this condition. Therefore, </w:t>
      </w:r>
      <w:r w:rsidR="00FB190C">
        <w:t xml:space="preserve">it </w:t>
      </w:r>
      <w:r>
        <w:t>is unclear why United Voice was promoting a wages schedule and negotiating enterprise agreements prior to the opening of the application process.</w:t>
      </w:r>
    </w:p>
    <w:p w:rsidR="00A91DDC" w:rsidRDefault="00A91DDC" w:rsidP="00A91DDC">
      <w:pPr>
        <w:pStyle w:val="Heading9"/>
      </w:pPr>
      <w:r>
        <w:t>Union membership</w:t>
      </w:r>
      <w:r w:rsidR="00B12373">
        <w:t xml:space="preserve"> as a requirement for funding</w:t>
      </w:r>
    </w:p>
    <w:p w:rsidR="00B46607" w:rsidRDefault="00B46607" w:rsidP="00B46607">
      <w:pPr>
        <w:pStyle w:val="ListBullet"/>
        <w:numPr>
          <w:ilvl w:val="0"/>
          <w:numId w:val="0"/>
        </w:numPr>
      </w:pPr>
      <w:r>
        <w:t>Despite the Department’s FAQ</w:t>
      </w:r>
      <w:r w:rsidR="000B5367">
        <w:t>s</w:t>
      </w:r>
      <w:r>
        <w:t xml:space="preserve"> clearly stating that union membership was not a requirement for EYQF eligibility, a United Voice newsletter for members in Queensland (dated 20 March</w:t>
      </w:r>
      <w:r w:rsidR="00596B47">
        <w:t xml:space="preserve"> 2013</w:t>
      </w:r>
      <w:r>
        <w:t>) explained the process for qualifying for EYQF as follows:</w:t>
      </w:r>
      <w:r>
        <w:rPr>
          <w:rStyle w:val="FootnoteReference"/>
        </w:rPr>
        <w:footnoteReference w:id="18"/>
      </w:r>
    </w:p>
    <w:p w:rsidR="00B46607" w:rsidRDefault="00B46607" w:rsidP="00B46607">
      <w:pPr>
        <w:pStyle w:val="ChapterNumberedList1"/>
        <w:tabs>
          <w:tab w:val="clear" w:pos="567"/>
          <w:tab w:val="num" w:pos="1134"/>
        </w:tabs>
        <w:ind w:left="993" w:hanging="426"/>
      </w:pPr>
      <w:r>
        <w:t>A clear majority of workers join United Voice</w:t>
      </w:r>
    </w:p>
    <w:p w:rsidR="00B46607" w:rsidRDefault="00B46607" w:rsidP="00B46607">
      <w:pPr>
        <w:pStyle w:val="ChapterNumberedList1"/>
        <w:tabs>
          <w:tab w:val="clear" w:pos="567"/>
          <w:tab w:val="num" w:pos="1134"/>
        </w:tabs>
        <w:ind w:left="993" w:hanging="426"/>
      </w:pPr>
      <w:r>
        <w:t>United Voice negotiates a new enterprise bargaining agreement</w:t>
      </w:r>
    </w:p>
    <w:p w:rsidR="00B46607" w:rsidRDefault="00B46607" w:rsidP="00B46607">
      <w:pPr>
        <w:pStyle w:val="ChapterNumberedList1"/>
        <w:tabs>
          <w:tab w:val="clear" w:pos="567"/>
          <w:tab w:val="num" w:pos="1134"/>
        </w:tabs>
        <w:ind w:left="993" w:hanging="426"/>
      </w:pPr>
      <w:r>
        <w:t>Owner/Operator signs agreement with government</w:t>
      </w:r>
    </w:p>
    <w:p w:rsidR="00B46607" w:rsidRDefault="00B46607" w:rsidP="00B46607">
      <w:pPr>
        <w:pStyle w:val="ChapterNumberedList1"/>
        <w:tabs>
          <w:tab w:val="clear" w:pos="567"/>
          <w:tab w:val="num" w:pos="1134"/>
        </w:tabs>
        <w:ind w:left="993" w:hanging="426"/>
      </w:pPr>
      <w:r>
        <w:t>New funding flows, workers get raise.</w:t>
      </w:r>
    </w:p>
    <w:p w:rsidR="00BD5855" w:rsidRPr="00B358FE" w:rsidRDefault="00BD5855" w:rsidP="00BD5855">
      <w:pPr>
        <w:pStyle w:val="ListBullet"/>
        <w:numPr>
          <w:ilvl w:val="0"/>
          <w:numId w:val="0"/>
        </w:numPr>
        <w:ind w:left="567"/>
      </w:pPr>
      <w:r w:rsidRPr="00B46607">
        <w:rPr>
          <w:i/>
          <w:color w:val="A32020" w:themeColor="text2"/>
        </w:rPr>
        <w:lastRenderedPageBreak/>
        <w:t>“The union advised in</w:t>
      </w:r>
      <w:r w:rsidR="000B5367">
        <w:rPr>
          <w:i/>
          <w:color w:val="A32020" w:themeColor="text2"/>
        </w:rPr>
        <w:t xml:space="preserve"> our meeting</w:t>
      </w:r>
      <w:r w:rsidR="009166A3">
        <w:rPr>
          <w:i/>
          <w:color w:val="A32020" w:themeColor="text2"/>
        </w:rPr>
        <w:t xml:space="preserve"> that</w:t>
      </w:r>
      <w:r w:rsidR="000B5367">
        <w:rPr>
          <w:i/>
          <w:color w:val="A32020" w:themeColor="text2"/>
        </w:rPr>
        <w:t xml:space="preserve"> an </w:t>
      </w:r>
      <w:r w:rsidR="000B5367" w:rsidRPr="000B5367">
        <w:rPr>
          <w:color w:val="A32020" w:themeColor="text2"/>
        </w:rPr>
        <w:t>[enterprise agreement]</w:t>
      </w:r>
      <w:r w:rsidRPr="00B46607">
        <w:rPr>
          <w:i/>
          <w:color w:val="A32020" w:themeColor="text2"/>
        </w:rPr>
        <w:t xml:space="preserve"> is required and that 60% of the staff of </w:t>
      </w:r>
      <w:r w:rsidRPr="00B358FE">
        <w:rPr>
          <w:i/>
          <w:color w:val="A32020" w:themeColor="text2"/>
        </w:rPr>
        <w:t>our centre needed to be members of United Voice for our Centre to qualify for funding.”</w:t>
      </w:r>
      <w:r w:rsidRPr="00B358FE">
        <w:t xml:space="preserve"> – CEO of a small provider</w:t>
      </w:r>
    </w:p>
    <w:p w:rsidR="00BD5855" w:rsidRPr="00B358FE" w:rsidRDefault="00BD5855" w:rsidP="00BD5855">
      <w:pPr>
        <w:pStyle w:val="ListBullet"/>
        <w:numPr>
          <w:ilvl w:val="0"/>
          <w:numId w:val="0"/>
        </w:numPr>
        <w:ind w:left="567"/>
      </w:pPr>
      <w:r w:rsidRPr="00DD7DD9">
        <w:rPr>
          <w:i/>
          <w:color w:val="A32020" w:themeColor="text2"/>
        </w:rPr>
        <w:t xml:space="preserve">“Staff reported being told by union reps that unless they joined </w:t>
      </w:r>
      <w:r w:rsidRPr="00DD7DD9">
        <w:rPr>
          <w:color w:val="A32020" w:themeColor="text2"/>
        </w:rPr>
        <w:t>[the union]</w:t>
      </w:r>
      <w:r w:rsidRPr="00DD7DD9">
        <w:rPr>
          <w:i/>
          <w:color w:val="A32020" w:themeColor="text2"/>
        </w:rPr>
        <w:t xml:space="preserve"> they wouldn’t get EYQF funding and </w:t>
      </w:r>
      <w:r w:rsidRPr="00B358FE">
        <w:rPr>
          <w:i/>
          <w:color w:val="A32020" w:themeColor="text2"/>
        </w:rPr>
        <w:t>they’re letting down everyone else at their centre</w:t>
      </w:r>
      <w:r w:rsidR="009166A3">
        <w:rPr>
          <w:i/>
          <w:color w:val="A32020" w:themeColor="text2"/>
        </w:rPr>
        <w:t>.</w:t>
      </w:r>
      <w:r w:rsidRPr="00B358FE">
        <w:rPr>
          <w:color w:val="A32020" w:themeColor="text2"/>
        </w:rPr>
        <w:t>”</w:t>
      </w:r>
      <w:r w:rsidRPr="00B358FE">
        <w:t xml:space="preserve"> </w:t>
      </w:r>
      <w:r w:rsidR="00B358FE">
        <w:br/>
      </w:r>
      <w:r w:rsidR="009166A3">
        <w:t>– c</w:t>
      </w:r>
      <w:r w:rsidRPr="00B358FE">
        <w:t>entre director of a multi-location service provider</w:t>
      </w:r>
    </w:p>
    <w:p w:rsidR="001E4D17" w:rsidRDefault="001E4D17" w:rsidP="001E4D17">
      <w:pPr>
        <w:pStyle w:val="ListBullet"/>
        <w:numPr>
          <w:ilvl w:val="0"/>
          <w:numId w:val="0"/>
        </w:numPr>
      </w:pPr>
      <w:r>
        <w:t>Peak bodies also reported staff at member service providers being phoned inappropriately at home late at night by union representatives.</w:t>
      </w:r>
    </w:p>
    <w:p w:rsidR="001E4D17" w:rsidRPr="00B358FE" w:rsidRDefault="001E4D17" w:rsidP="001E4D17">
      <w:pPr>
        <w:pStyle w:val="ListBullet"/>
        <w:numPr>
          <w:ilvl w:val="0"/>
          <w:numId w:val="0"/>
        </w:numPr>
        <w:ind w:left="567"/>
      </w:pPr>
      <w:r w:rsidRPr="00DD7DD9">
        <w:rPr>
          <w:i/>
          <w:color w:val="A32020" w:themeColor="text2"/>
        </w:rPr>
        <w:t xml:space="preserve">“This caused distressed and angst, </w:t>
      </w:r>
      <w:r w:rsidRPr="00B358FE">
        <w:rPr>
          <w:i/>
          <w:color w:val="A32020" w:themeColor="text2"/>
        </w:rPr>
        <w:t>and disruption within our workplaces</w:t>
      </w:r>
      <w:r w:rsidR="009166A3">
        <w:rPr>
          <w:i/>
          <w:color w:val="A32020" w:themeColor="text2"/>
        </w:rPr>
        <w:t>.</w:t>
      </w:r>
      <w:r w:rsidRPr="00B358FE">
        <w:rPr>
          <w:i/>
          <w:color w:val="A32020" w:themeColor="text2"/>
        </w:rPr>
        <w:t>”</w:t>
      </w:r>
      <w:r w:rsidR="00B358FE">
        <w:rPr>
          <w:i/>
          <w:color w:val="A32020" w:themeColor="text2"/>
        </w:rPr>
        <w:br/>
      </w:r>
      <w:r w:rsidRPr="00B358FE">
        <w:t xml:space="preserve"> – participant at the National Children’s Services Forum</w:t>
      </w:r>
    </w:p>
    <w:p w:rsidR="00B46607" w:rsidRDefault="00B46607" w:rsidP="00B46607">
      <w:pPr>
        <w:pStyle w:val="PwCNormal"/>
        <w:numPr>
          <w:ilvl w:val="0"/>
          <w:numId w:val="0"/>
        </w:numPr>
      </w:pPr>
      <w:r>
        <w:t>Similar instances of miscommunication by union representatives have been reported across the sector. We note that United Voice has indicated that this was not done with the consent of union leadership, and that steps have been taken to address union organisers that misled workers.</w:t>
      </w:r>
    </w:p>
    <w:p w:rsidR="005421BC" w:rsidRDefault="00A91DDC" w:rsidP="00B46607">
      <w:pPr>
        <w:pStyle w:val="PwCNormal"/>
        <w:numPr>
          <w:ilvl w:val="0"/>
          <w:numId w:val="0"/>
        </w:numPr>
      </w:pPr>
      <w:r>
        <w:t>In its submissions to the parliamentary inquiries for the EYQF Special Account Bill</w:t>
      </w:r>
      <w:r w:rsidR="005421BC">
        <w:t xml:space="preserve">, the Department made available letters it sent to United Voice and to every eligible applicant. The Department advised PwC that the letter was in response to a number of complaints concerning information being provided by United Voice. The Department also reported to PwC that one of the complaints involved a director of a service who contacted the EYQF Call Centre and was quite distressed by a statement alleged to have been made by a union official </w:t>
      </w:r>
      <w:r w:rsidR="008B0155">
        <w:t>saying that a majority of employees had to be members of the union in order to receive funding and that he was willing to pay the union membership fees for all his staff in order to be eligible.</w:t>
      </w:r>
    </w:p>
    <w:p w:rsidR="00A91DDC" w:rsidRDefault="00A91DDC" w:rsidP="00B46607">
      <w:pPr>
        <w:pStyle w:val="PwCNormal"/>
        <w:numPr>
          <w:ilvl w:val="0"/>
          <w:numId w:val="0"/>
        </w:numPr>
      </w:pPr>
      <w:r>
        <w:t xml:space="preserve">At the </w:t>
      </w:r>
      <w:r w:rsidR="00E23396">
        <w:t>Senate</w:t>
      </w:r>
      <w:r>
        <w:t xml:space="preserve"> </w:t>
      </w:r>
      <w:r w:rsidR="008739E8">
        <w:t>Committee</w:t>
      </w:r>
      <w:r>
        <w:t xml:space="preserve"> Inquiry, United Voice was asked by the Chair to respond to criticisms that the EYQF provided an exercise for union recruitment</w:t>
      </w:r>
      <w:r w:rsidR="001E4D17">
        <w:t>. Michael Crosby (National President, United Voice) responded:</w:t>
      </w:r>
    </w:p>
    <w:p w:rsidR="001E4D17" w:rsidRDefault="00263E9B" w:rsidP="001E4D17">
      <w:pPr>
        <w:pStyle w:val="ListBullet"/>
        <w:numPr>
          <w:ilvl w:val="0"/>
          <w:numId w:val="0"/>
        </w:numPr>
        <w:ind w:left="567"/>
      </w:pPr>
      <w:r>
        <w:t>‘</w:t>
      </w:r>
      <w:r w:rsidR="001E4D17">
        <w:t xml:space="preserve">Any enterprise agreement helps unions to sign up </w:t>
      </w:r>
      <w:proofErr w:type="gramStart"/>
      <w:r w:rsidR="001E4D17">
        <w:t>members,</w:t>
      </w:r>
      <w:proofErr w:type="gramEnd"/>
      <w:r w:rsidR="001E4D17">
        <w:t xml:space="preserve"> there is just no doubt about that. Every enterprise agreement we do starts off with a message to workers to join the union. We get our credibility, we get the money to do our job and we get the ability to bargain on behalf of the group of workers on the basis of 'Do we represent a majority of the workers or not?</w:t>
      </w:r>
      <w:proofErr w:type="gramStart"/>
      <w:r w:rsidR="001E4D17">
        <w:t>'.</w:t>
      </w:r>
      <w:proofErr w:type="gramEnd"/>
      <w:r w:rsidR="001E4D17">
        <w:t xml:space="preserve"> I heard this </w:t>
      </w:r>
      <w:proofErr w:type="gramStart"/>
      <w:r w:rsidR="001E4D17">
        <w:t>attack,</w:t>
      </w:r>
      <w:proofErr w:type="gramEnd"/>
      <w:r w:rsidR="001E4D17">
        <w:t xml:space="preserve"> and I saw it in </w:t>
      </w:r>
      <w:r w:rsidR="001E4D17">
        <w:rPr>
          <w:i/>
          <w:iCs/>
        </w:rPr>
        <w:t xml:space="preserve">The Australian </w:t>
      </w:r>
      <w:r w:rsidR="001E4D17">
        <w:t xml:space="preserve">yesterday, that we are using this to sign up workers. Of course we are. We have signed up workers all the way through the Big Steps campaign. </w:t>
      </w:r>
    </w:p>
    <w:p w:rsidR="001E4D17" w:rsidRDefault="001E4D17" w:rsidP="001E4D17">
      <w:pPr>
        <w:pStyle w:val="ListBullet"/>
        <w:numPr>
          <w:ilvl w:val="0"/>
          <w:numId w:val="0"/>
        </w:numPr>
        <w:ind w:left="567"/>
      </w:pPr>
      <w:r>
        <w:t xml:space="preserve">[...] </w:t>
      </w:r>
    </w:p>
    <w:p w:rsidR="001E4D17" w:rsidRDefault="001E4D17" w:rsidP="001E4D17">
      <w:pPr>
        <w:pStyle w:val="ListBullet"/>
        <w:numPr>
          <w:ilvl w:val="0"/>
          <w:numId w:val="0"/>
        </w:numPr>
        <w:ind w:left="567"/>
      </w:pPr>
      <w:r>
        <w:t>Yes, it is true: we want to be a powerful union in this sector. At the moment we represent around 30 per cent of the total workforce. Obviously, we want to represent at least double that, and represent a majority of the educators</w:t>
      </w:r>
      <w:r w:rsidRPr="00C96A57">
        <w:t xml:space="preserve"> </w:t>
      </w:r>
      <w:r>
        <w:t xml:space="preserve">in the sector. We are on a path to doing that. But to criticise us for actually doing our job as a union and giving voice to </w:t>
      </w:r>
      <w:r w:rsidR="00263E9B">
        <w:t>workers—I just do not get that.’</w:t>
      </w:r>
      <w:r w:rsidR="00263E9B">
        <w:rPr>
          <w:rStyle w:val="FootnoteReference"/>
        </w:rPr>
        <w:footnoteReference w:id="19"/>
      </w:r>
    </w:p>
    <w:p w:rsidR="0054341E" w:rsidRDefault="0054341E" w:rsidP="0054341E">
      <w:pPr>
        <w:pStyle w:val="Heading7"/>
      </w:pPr>
      <w:r>
        <w:t>Lack of information from the Department</w:t>
      </w:r>
    </w:p>
    <w:p w:rsidR="0054341E" w:rsidRDefault="0054341E" w:rsidP="0054341E">
      <w:pPr>
        <w:pStyle w:val="PwCNormal"/>
        <w:numPr>
          <w:ilvl w:val="0"/>
          <w:numId w:val="0"/>
        </w:numPr>
      </w:pPr>
      <w:r>
        <w:t xml:space="preserve">There was a clear lack of information provided by the Department to the sector from the announcement of the </w:t>
      </w:r>
      <w:r w:rsidR="00CC0AA9">
        <w:t>EYQF</w:t>
      </w:r>
      <w:r>
        <w:t xml:space="preserve"> to the issuing of the guidelines. This was due to the fact that </w:t>
      </w:r>
      <w:r>
        <w:lastRenderedPageBreak/>
        <w:t xml:space="preserve">there </w:t>
      </w:r>
      <w:r w:rsidR="00AE2F18">
        <w:t xml:space="preserve">were </w:t>
      </w:r>
      <w:r>
        <w:t>few developments that could be communicated</w:t>
      </w:r>
      <w:r w:rsidR="00AE2F18">
        <w:t>,</w:t>
      </w:r>
      <w:r w:rsidR="00F10DD3">
        <w:t xml:space="preserve"> as it took two months to establish the Advisory Board and then discussions at the Advisory B</w:t>
      </w:r>
      <w:r>
        <w:t>oard level were confidential.</w:t>
      </w:r>
    </w:p>
    <w:p w:rsidR="0054341E" w:rsidRDefault="0054341E" w:rsidP="0054341E">
      <w:pPr>
        <w:pStyle w:val="PwCNormal"/>
        <w:numPr>
          <w:ilvl w:val="0"/>
          <w:numId w:val="0"/>
        </w:numPr>
      </w:pPr>
      <w:r>
        <w:t>During this process the Department did remain accessible to the sector for any questions that they had. While providers expressed frustration at the lack of information provided by the Department there was consensus that the Department was transparent in</w:t>
      </w:r>
      <w:r w:rsidR="00AE2F18">
        <w:t xml:space="preserve"> sharing</w:t>
      </w:r>
      <w:r>
        <w:t xml:space="preserve"> any information they were able to share and </w:t>
      </w:r>
      <w:r w:rsidR="00AE2F18">
        <w:t xml:space="preserve">in </w:t>
      </w:r>
      <w:r>
        <w:t>provid</w:t>
      </w:r>
      <w:r w:rsidR="00AE2F18">
        <w:t>ing</w:t>
      </w:r>
      <w:r>
        <w:t xml:space="preserve"> answers to queries </w:t>
      </w:r>
      <w:r w:rsidR="00AE2F18">
        <w:t>where possible</w:t>
      </w:r>
      <w:r>
        <w:t xml:space="preserve">. </w:t>
      </w:r>
    </w:p>
    <w:p w:rsidR="0054341E" w:rsidRDefault="00AE2F18" w:rsidP="0054341E">
      <w:pPr>
        <w:pStyle w:val="PwCNormal"/>
        <w:numPr>
          <w:ilvl w:val="0"/>
          <w:numId w:val="0"/>
        </w:numPr>
      </w:pPr>
      <w:r>
        <w:t>A number of</w:t>
      </w:r>
      <w:r w:rsidR="0054341E">
        <w:t xml:space="preserve"> providers</w:t>
      </w:r>
      <w:r>
        <w:t xml:space="preserve"> reported that this</w:t>
      </w:r>
      <w:r w:rsidR="0054341E">
        <w:t xml:space="preserve"> gap in information was filled by the union. As discussed previously this was both a positive and negative experience. While </w:t>
      </w:r>
      <w:r>
        <w:t xml:space="preserve">some </w:t>
      </w:r>
      <w:r w:rsidR="0054341E">
        <w:t xml:space="preserve">providers </w:t>
      </w:r>
      <w:r w:rsidR="00ED7461">
        <w:t xml:space="preserve">reported </w:t>
      </w:r>
      <w:r>
        <w:t>receiv</w:t>
      </w:r>
      <w:r w:rsidR="00ED7461">
        <w:t>ing</w:t>
      </w:r>
      <w:r w:rsidR="0054341E">
        <w:t xml:space="preserve"> misinformation</w:t>
      </w:r>
      <w:r w:rsidR="00943DC7">
        <w:t xml:space="preserve"> and inappropriate contact</w:t>
      </w:r>
      <w:r w:rsidR="0054341E">
        <w:t>, others found union involvement extremely useful in navigating the uncertainty. These providers worked wit</w:t>
      </w:r>
      <w:r w:rsidR="00F10DD3">
        <w:t>h the union to develop their enterprise agreement</w:t>
      </w:r>
      <w:r w:rsidR="0054341E">
        <w:t>s and felt better prepared for the application process when it did commence.</w:t>
      </w:r>
    </w:p>
    <w:p w:rsidR="0054341E" w:rsidRDefault="0054341E" w:rsidP="0054341E">
      <w:pPr>
        <w:pStyle w:val="Heading7"/>
      </w:pPr>
      <w:r>
        <w:t>Impact</w:t>
      </w:r>
    </w:p>
    <w:p w:rsidR="001E4D17" w:rsidRDefault="0054341E" w:rsidP="0054341E">
      <w:pPr>
        <w:pStyle w:val="PwCNormal"/>
        <w:numPr>
          <w:ilvl w:val="0"/>
          <w:numId w:val="0"/>
        </w:numPr>
      </w:pPr>
      <w:r>
        <w:t xml:space="preserve">The </w:t>
      </w:r>
      <w:r w:rsidR="00FB190C">
        <w:t xml:space="preserve">issue of </w:t>
      </w:r>
      <w:r>
        <w:t xml:space="preserve">misinformation related to the requirements of the </w:t>
      </w:r>
      <w:r w:rsidR="00AE2F18">
        <w:t>enterprise agreement and</w:t>
      </w:r>
      <w:r>
        <w:t xml:space="preserve"> had a significant impact on </w:t>
      </w:r>
      <w:r w:rsidR="00AE2F18">
        <w:t xml:space="preserve">a number of providers in </w:t>
      </w:r>
      <w:r>
        <w:t>the sector. From the consultation process</w:t>
      </w:r>
      <w:r w:rsidR="00AE2F18">
        <w:t>, some</w:t>
      </w:r>
      <w:r>
        <w:t xml:space="preserve"> providers believed that the process </w:t>
      </w:r>
      <w:r w:rsidR="00AE2F18">
        <w:t>le</w:t>
      </w:r>
      <w:r>
        <w:t>d</w:t>
      </w:r>
      <w:r w:rsidR="00AE2F18">
        <w:t xml:space="preserve"> to a</w:t>
      </w:r>
      <w:r>
        <w:t xml:space="preserve"> significant deteriorat</w:t>
      </w:r>
      <w:r w:rsidR="00AE2F18">
        <w:t>ion</w:t>
      </w:r>
      <w:r>
        <w:t xml:space="preserve"> </w:t>
      </w:r>
      <w:r w:rsidR="00943DC7">
        <w:t xml:space="preserve">of </w:t>
      </w:r>
      <w:r>
        <w:t>their relationship with the union. The confusion and angst caused by the misinformation</w:t>
      </w:r>
      <w:r w:rsidR="00ED7461">
        <w:t xml:space="preserve"> </w:t>
      </w:r>
      <w:r>
        <w:t xml:space="preserve">generated a sense of hostility towards the unions by </w:t>
      </w:r>
      <w:r w:rsidR="00AE2F18">
        <w:t xml:space="preserve">some </w:t>
      </w:r>
      <w:r>
        <w:t>providers</w:t>
      </w:r>
      <w:r w:rsidR="00AE2F18">
        <w:t>,</w:t>
      </w:r>
      <w:r>
        <w:t xml:space="preserve"> but also by </w:t>
      </w:r>
      <w:r w:rsidR="00AE2F18">
        <w:t xml:space="preserve">some </w:t>
      </w:r>
      <w:r>
        <w:t xml:space="preserve">employees </w:t>
      </w:r>
      <w:r w:rsidR="00AE2F18">
        <w:t>who believed</w:t>
      </w:r>
      <w:r>
        <w:t xml:space="preserve"> they had been misled. </w:t>
      </w:r>
    </w:p>
    <w:p w:rsidR="0054341E" w:rsidRDefault="0054341E" w:rsidP="0054341E">
      <w:pPr>
        <w:pStyle w:val="PwCNormal"/>
        <w:numPr>
          <w:ilvl w:val="0"/>
          <w:numId w:val="0"/>
        </w:numPr>
      </w:pPr>
      <w:r>
        <w:t xml:space="preserve">It should be noted that this was not the experience of all providers. Many expressed their appreciation for the union’s involvement in navigating the uncertainty caused by the lack of information. </w:t>
      </w:r>
    </w:p>
    <w:p w:rsidR="0054341E" w:rsidRDefault="0054341E" w:rsidP="0054341E">
      <w:pPr>
        <w:pStyle w:val="Heading6"/>
      </w:pPr>
      <w:bookmarkStart w:id="45" w:name="_Toc372100976"/>
      <w:r>
        <w:t>Issuing of guidelines</w:t>
      </w:r>
      <w:bookmarkEnd w:id="45"/>
    </w:p>
    <w:p w:rsidR="00943DC7" w:rsidRDefault="005C04C7" w:rsidP="00943DC7">
      <w:pPr>
        <w:pStyle w:val="PwCNormal"/>
      </w:pPr>
      <w:r>
        <w:t>The issuing of the g</w:t>
      </w:r>
      <w:r w:rsidR="0054341E">
        <w:t xml:space="preserve">uidelines was conducted swiftly. </w:t>
      </w:r>
      <w:r w:rsidR="00943DC7">
        <w:t xml:space="preserve">The Program </w:t>
      </w:r>
      <w:r w:rsidR="00ED7461">
        <w:t>G</w:t>
      </w:r>
      <w:r w:rsidR="00943DC7">
        <w:t xml:space="preserve">uidelines for the </w:t>
      </w:r>
      <w:r w:rsidR="00ED7461">
        <w:t>EYQF</w:t>
      </w:r>
      <w:r w:rsidR="00943DC7">
        <w:t xml:space="preserve"> were published on the </w:t>
      </w:r>
      <w:r w:rsidR="00ED7461">
        <w:t>Department’s</w:t>
      </w:r>
      <w:r w:rsidR="00943DC7">
        <w:t xml:space="preserve"> website on Friday 19 July 2013 at 11am. </w:t>
      </w:r>
      <w:r w:rsidR="00ED7461">
        <w:t xml:space="preserve">LDC providers and </w:t>
      </w:r>
      <w:r w:rsidR="00943DC7">
        <w:t>Advisory Board members were advised via email that the Program Guidelines were going to be released that morning</w:t>
      </w:r>
      <w:r w:rsidR="00FC1B7B">
        <w:t xml:space="preserve"> and that applications would open from </w:t>
      </w:r>
      <w:r w:rsidR="00943DC7">
        <w:t>11am on 23 July 2013.</w:t>
      </w:r>
    </w:p>
    <w:p w:rsidR="00F00207" w:rsidRDefault="00F00207" w:rsidP="00F00207">
      <w:pPr>
        <w:pStyle w:val="PwCNormal"/>
      </w:pPr>
      <w:r>
        <w:t>While the Commonwealth Grant Guidelines do not mandate appropriate timeframes it would be fair to say that as a general rule for competitive grants processes, four weeks from release of Program Guidelines to application submission date is fairly standard.</w:t>
      </w:r>
    </w:p>
    <w:p w:rsidR="00943DC7" w:rsidRDefault="00F00207" w:rsidP="00943DC7">
      <w:pPr>
        <w:pStyle w:val="PwCNormal"/>
        <w:numPr>
          <w:ilvl w:val="0"/>
          <w:numId w:val="0"/>
        </w:numPr>
      </w:pPr>
      <w:r>
        <w:t xml:space="preserve">The Program Guidelines were published on the Department’s website on Friday 19 July 2013 at 11am providing services with only two working days to prepare an application. </w:t>
      </w:r>
      <w:r w:rsidR="00943DC7">
        <w:t xml:space="preserve">Providers were also advised via email that Program Guidelines were available and the opening date and time. </w:t>
      </w:r>
    </w:p>
    <w:p w:rsidR="00943DC7" w:rsidRDefault="00943DC7" w:rsidP="00943DC7">
      <w:pPr>
        <w:pStyle w:val="PwCNormal"/>
        <w:numPr>
          <w:ilvl w:val="0"/>
          <w:numId w:val="0"/>
        </w:numPr>
      </w:pPr>
      <w:r>
        <w:t>The Department has advised that indicative timeframes for grant programs are</w:t>
      </w:r>
      <w:r w:rsidR="008F3AE8">
        <w:t xml:space="preserve"> generally </w:t>
      </w:r>
      <w:r w:rsidR="004D4C72">
        <w:t xml:space="preserve">three to </w:t>
      </w:r>
      <w:r w:rsidR="00FC1B7B">
        <w:t xml:space="preserve">four </w:t>
      </w:r>
      <w:r w:rsidR="008F3AE8">
        <w:t>weeks from release or publication date to application submission date</w:t>
      </w:r>
      <w:r w:rsidR="00FC1B7B">
        <w:t xml:space="preserve">. </w:t>
      </w:r>
    </w:p>
    <w:p w:rsidR="00FC1B7B" w:rsidRDefault="0054341E" w:rsidP="0054341E">
      <w:pPr>
        <w:pStyle w:val="PwCNormal"/>
        <w:numPr>
          <w:ilvl w:val="0"/>
          <w:numId w:val="0"/>
        </w:numPr>
      </w:pPr>
      <w:r>
        <w:t xml:space="preserve">Given that funding was to be provided on a </w:t>
      </w:r>
      <w:r w:rsidR="00AE2F18">
        <w:t>‘</w:t>
      </w:r>
      <w:r w:rsidR="005317F5">
        <w:t>first in</w:t>
      </w:r>
      <w:r w:rsidR="00AE2F18">
        <w:t>-</w:t>
      </w:r>
      <w:r>
        <w:t>first served</w:t>
      </w:r>
      <w:r w:rsidR="00AE2F18">
        <w:t>’</w:t>
      </w:r>
      <w:r>
        <w:t xml:space="preserve"> basis it became critical that providers get across the detail of the guidelines and application process. Further information in relation to the calculation of wage rates was provided the day before applications opened.</w:t>
      </w:r>
    </w:p>
    <w:p w:rsidR="0054341E" w:rsidRDefault="00C56F7A" w:rsidP="0054341E">
      <w:pPr>
        <w:pStyle w:val="PwCNormal"/>
        <w:numPr>
          <w:ilvl w:val="0"/>
          <w:numId w:val="0"/>
        </w:numPr>
      </w:pPr>
      <w:r>
        <w:t>The Department provided</w:t>
      </w:r>
      <w:r w:rsidR="0054341E">
        <w:t xml:space="preserve"> a telephone line for questions and also an email database where issues could be reported. The documentation provided </w:t>
      </w:r>
      <w:r>
        <w:t xml:space="preserve">to this review </w:t>
      </w:r>
      <w:r w:rsidR="0054341E">
        <w:t>demonstrates that a large number of questions were raised during this period. While the Department provided resources to deal with these questions</w:t>
      </w:r>
      <w:r w:rsidR="00AE2F18">
        <w:t xml:space="preserve">, according to </w:t>
      </w:r>
      <w:r>
        <w:t>LDC services</w:t>
      </w:r>
      <w:r w:rsidR="0054341E">
        <w:t xml:space="preserve"> many responses came too late </w:t>
      </w:r>
      <w:r w:rsidR="00AE2F18">
        <w:t xml:space="preserve">to be effective </w:t>
      </w:r>
      <w:r w:rsidR="0054341E">
        <w:t xml:space="preserve">given the </w:t>
      </w:r>
      <w:r w:rsidR="00AE2F18">
        <w:t>tight timeframes and substantial requirements of the</w:t>
      </w:r>
      <w:r w:rsidR="0054341E">
        <w:t xml:space="preserve"> application</w:t>
      </w:r>
      <w:r w:rsidR="00AE2F18">
        <w:t xml:space="preserve"> process</w:t>
      </w:r>
      <w:r w:rsidR="0054341E">
        <w:t>.</w:t>
      </w:r>
    </w:p>
    <w:p w:rsidR="00232558" w:rsidRDefault="00232558" w:rsidP="007F0F1B">
      <w:pPr>
        <w:pStyle w:val="Heading2"/>
      </w:pPr>
      <w:bookmarkStart w:id="46" w:name="_Toc372100977"/>
      <w:r>
        <w:lastRenderedPageBreak/>
        <w:t>Application and assessment process</w:t>
      </w:r>
      <w:bookmarkEnd w:id="46"/>
    </w:p>
    <w:p w:rsidR="00EC6C74" w:rsidRPr="00FE26D6" w:rsidRDefault="00EC6C74" w:rsidP="00EC6C74">
      <w:pPr>
        <w:pStyle w:val="PwCNormal"/>
      </w:pPr>
      <w:r>
        <w:t xml:space="preserve">Overall, the application and assessment process appeared to be conducted in an effective and appropriate manner </w:t>
      </w:r>
      <w:r w:rsidR="00AE2F18">
        <w:t xml:space="preserve">by the Department </w:t>
      </w:r>
      <w:r>
        <w:t>given the</w:t>
      </w:r>
      <w:r w:rsidR="00AE2F18">
        <w:t xml:space="preserve"> constraints of the</w:t>
      </w:r>
      <w:r>
        <w:t xml:space="preserve"> policy parameters</w:t>
      </w:r>
      <w:r w:rsidR="00AE2F18">
        <w:t xml:space="preserve"> including</w:t>
      </w:r>
      <w:r>
        <w:t xml:space="preserve"> the timing requirement. However, PwC notes that the ‘first in</w:t>
      </w:r>
      <w:r w:rsidR="00AE2F18">
        <w:t>-</w:t>
      </w:r>
      <w:r>
        <w:t>first serve</w:t>
      </w:r>
      <w:r w:rsidR="00AE2F18">
        <w:t>d</w:t>
      </w:r>
      <w:r>
        <w:t xml:space="preserve">’ parameter </w:t>
      </w:r>
      <w:r w:rsidR="00AE2F18">
        <w:t>required under</w:t>
      </w:r>
      <w:r>
        <w:t xml:space="preserve"> the assessment process may have impacted the implementation of the EYQ</w:t>
      </w:r>
      <w:r w:rsidR="00AE2F18">
        <w:t>F</w:t>
      </w:r>
      <w:r>
        <w:t xml:space="preserve">. This parameter did not appear to align with the policy objectives of the EYQF – </w:t>
      </w:r>
      <w:r w:rsidRPr="00FE26D6">
        <w:t>to assist services providers to offer higher wages consistent with changes in staff-to-child ratios and the increased qualification requirements of the NQF.</w:t>
      </w:r>
      <w:r w:rsidRPr="00FE26D6">
        <w:rPr>
          <w:rStyle w:val="FootnoteReference"/>
        </w:rPr>
        <w:footnoteReference w:id="20"/>
      </w:r>
    </w:p>
    <w:p w:rsidR="00EC6C74" w:rsidRDefault="00EC6C74" w:rsidP="00EC6C74">
      <w:pPr>
        <w:pStyle w:val="Heading7"/>
        <w:tabs>
          <w:tab w:val="clear" w:pos="850"/>
          <w:tab w:val="num" w:pos="1570"/>
        </w:tabs>
      </w:pPr>
      <w:r>
        <w:t>Application process</w:t>
      </w:r>
    </w:p>
    <w:p w:rsidR="00EC6C74" w:rsidRDefault="00EC6C74" w:rsidP="00EC6C74">
      <w:pPr>
        <w:pStyle w:val="PwCNormal"/>
      </w:pPr>
      <w:r>
        <w:t xml:space="preserve">The application process for </w:t>
      </w:r>
      <w:r w:rsidR="007F33DC">
        <w:t>the EYQF opened at</w:t>
      </w:r>
      <w:r>
        <w:t xml:space="preserve"> 11</w:t>
      </w:r>
      <w:proofErr w:type="gramStart"/>
      <w:r>
        <w:t>am</w:t>
      </w:r>
      <w:proofErr w:type="gramEnd"/>
      <w:r w:rsidR="007F33DC">
        <w:t xml:space="preserve"> AEST</w:t>
      </w:r>
      <w:r>
        <w:t xml:space="preserve"> on</w:t>
      </w:r>
      <w:r w:rsidR="007F33DC">
        <w:t xml:space="preserve"> Tuesday</w:t>
      </w:r>
      <w:r>
        <w:t xml:space="preserve"> 23 July 2013. The process</w:t>
      </w:r>
      <w:r w:rsidR="003C7A3F">
        <w:t xml:space="preserve"> required applicants to complete forms online that required information on the following elements</w:t>
      </w:r>
      <w:r>
        <w:t>:</w:t>
      </w:r>
    </w:p>
    <w:p w:rsidR="00EC6C74" w:rsidRPr="003C7A3F" w:rsidRDefault="00F00207" w:rsidP="00AD51E5">
      <w:pPr>
        <w:pStyle w:val="PwCNormal"/>
        <w:numPr>
          <w:ilvl w:val="0"/>
          <w:numId w:val="29"/>
        </w:numPr>
      </w:pPr>
      <w:r>
        <w:t>s</w:t>
      </w:r>
      <w:r w:rsidRPr="003C7A3F">
        <w:t xml:space="preserve">ervice </w:t>
      </w:r>
      <w:r w:rsidR="003C7A3F" w:rsidRPr="003C7A3F">
        <w:t>details</w:t>
      </w:r>
    </w:p>
    <w:p w:rsidR="003C7A3F" w:rsidRPr="003C7A3F" w:rsidRDefault="00F00207" w:rsidP="00AD51E5">
      <w:pPr>
        <w:pStyle w:val="PwCNormal"/>
        <w:numPr>
          <w:ilvl w:val="0"/>
          <w:numId w:val="29"/>
        </w:numPr>
      </w:pPr>
      <w:r>
        <w:t>c</w:t>
      </w:r>
      <w:r w:rsidRPr="003C7A3F">
        <w:t xml:space="preserve">ompleted </w:t>
      </w:r>
      <w:r w:rsidR="004D4C72">
        <w:t>e</w:t>
      </w:r>
      <w:r w:rsidR="003C7A3F" w:rsidRPr="003C7A3F">
        <w:t xml:space="preserve">mployee hours and </w:t>
      </w:r>
      <w:r w:rsidR="004D4C72">
        <w:t>g</w:t>
      </w:r>
      <w:r w:rsidR="003C7A3F" w:rsidRPr="003C7A3F">
        <w:t>rants calculator</w:t>
      </w:r>
    </w:p>
    <w:p w:rsidR="003C7A3F" w:rsidRPr="003C7A3F" w:rsidRDefault="00F00207" w:rsidP="00AD51E5">
      <w:pPr>
        <w:pStyle w:val="PwCNormal"/>
        <w:numPr>
          <w:ilvl w:val="0"/>
          <w:numId w:val="29"/>
        </w:numPr>
      </w:pPr>
      <w:r>
        <w:t>c</w:t>
      </w:r>
      <w:r w:rsidRPr="003C7A3F">
        <w:t xml:space="preserve">urrent </w:t>
      </w:r>
      <w:r w:rsidR="004D4C72">
        <w:t>w</w:t>
      </w:r>
      <w:r w:rsidR="003C7A3F" w:rsidRPr="003C7A3F">
        <w:t xml:space="preserve">orkforce </w:t>
      </w:r>
      <w:r w:rsidR="004D4C72">
        <w:t>d</w:t>
      </w:r>
      <w:r w:rsidR="003C7A3F" w:rsidRPr="003C7A3F">
        <w:t xml:space="preserve">evelopment </w:t>
      </w:r>
      <w:r w:rsidR="004D4C72">
        <w:t>p</w:t>
      </w:r>
      <w:r w:rsidR="003C7A3F" w:rsidRPr="003C7A3F">
        <w:t>lan</w:t>
      </w:r>
    </w:p>
    <w:p w:rsidR="003C7A3F" w:rsidRPr="003C7A3F" w:rsidRDefault="00F00207" w:rsidP="00AD51E5">
      <w:pPr>
        <w:pStyle w:val="PwCNormal"/>
        <w:numPr>
          <w:ilvl w:val="0"/>
          <w:numId w:val="29"/>
        </w:numPr>
      </w:pPr>
      <w:r>
        <w:t>m</w:t>
      </w:r>
      <w:r w:rsidRPr="003C7A3F">
        <w:t xml:space="preserve">ost </w:t>
      </w:r>
      <w:r w:rsidR="003C7A3F" w:rsidRPr="003C7A3F">
        <w:t>recent payroll for all current staff, demonstrating current hourly rates for all staff for which grants funding was being sought</w:t>
      </w:r>
    </w:p>
    <w:p w:rsidR="003C7A3F" w:rsidRPr="003C7A3F" w:rsidRDefault="004D4C72" w:rsidP="00AD51E5">
      <w:pPr>
        <w:pStyle w:val="PwCNormal"/>
        <w:numPr>
          <w:ilvl w:val="0"/>
          <w:numId w:val="29"/>
        </w:numPr>
      </w:pPr>
      <w:proofErr w:type="gramStart"/>
      <w:r>
        <w:t>evidence</w:t>
      </w:r>
      <w:proofErr w:type="gramEnd"/>
      <w:r>
        <w:t xml:space="preserve"> d</w:t>
      </w:r>
      <w:r w:rsidR="003C7A3F" w:rsidRPr="003C7A3F">
        <w:t>emonstra</w:t>
      </w:r>
      <w:r>
        <w:t>ting</w:t>
      </w:r>
      <w:r w:rsidR="003C7A3F" w:rsidRPr="003C7A3F">
        <w:t xml:space="preserve"> commitment from employees </w:t>
      </w:r>
      <w:r>
        <w:t xml:space="preserve">to </w:t>
      </w:r>
      <w:r w:rsidR="003C7A3F" w:rsidRPr="003C7A3F">
        <w:t>supporting the NQF.</w:t>
      </w:r>
    </w:p>
    <w:p w:rsidR="00EC6C74" w:rsidRPr="003C7A3F" w:rsidRDefault="00EC6C74" w:rsidP="003C7A3F">
      <w:pPr>
        <w:pStyle w:val="Heading7"/>
        <w:tabs>
          <w:tab w:val="clear" w:pos="850"/>
          <w:tab w:val="num" w:pos="1570"/>
        </w:tabs>
      </w:pPr>
      <w:r w:rsidRPr="003C7A3F">
        <w:t>Best practice according to the Commonwealth Grant Guidelines</w:t>
      </w:r>
      <w:r w:rsidR="00A3748E">
        <w:t xml:space="preserve"> (CGGs)</w:t>
      </w:r>
    </w:p>
    <w:p w:rsidR="00EC6C74" w:rsidRPr="00834FA4" w:rsidRDefault="00EC6C74" w:rsidP="00EC6C74">
      <w:pPr>
        <w:pStyle w:val="PwCNormal"/>
        <w:rPr>
          <w:b/>
        </w:rPr>
      </w:pPr>
      <w:r>
        <w:t xml:space="preserve">To assess whether the application process was appropriate, PwC refers to the </w:t>
      </w:r>
      <w:r w:rsidR="0008445E">
        <w:t>CGGs</w:t>
      </w:r>
      <w:r>
        <w:t>:</w:t>
      </w:r>
    </w:p>
    <w:p w:rsidR="00EC6C74" w:rsidRPr="00834FA4" w:rsidRDefault="00EC6C74" w:rsidP="00EC6C74">
      <w:pPr>
        <w:pStyle w:val="BodyText"/>
        <w:ind w:left="720"/>
        <w:rPr>
          <w:b/>
          <w:i/>
        </w:rPr>
      </w:pPr>
      <w:r w:rsidRPr="00834FA4">
        <w:rPr>
          <w:i/>
        </w:rPr>
        <w:t xml:space="preserve">8.5 It is important that agency staff develop clear, consistent and well-documented grant guidelines and other related documentation. Agency staff should consider that </w:t>
      </w:r>
      <w:r w:rsidRPr="00834FA4">
        <w:rPr>
          <w:i/>
          <w:spacing w:val="-4"/>
        </w:rPr>
        <w:t xml:space="preserve">a single reference source for policy guidance and other documentation (for example, administrative procedures, eligibility and assessment criteria appraisal processes, monitoring requirements, evaluation strategies and standard forms) </w:t>
      </w:r>
      <w:proofErr w:type="gramStart"/>
      <w:r w:rsidRPr="00834FA4">
        <w:rPr>
          <w:i/>
          <w:spacing w:val="-4"/>
        </w:rPr>
        <w:t>helps</w:t>
      </w:r>
      <w:proofErr w:type="gramEnd"/>
      <w:r w:rsidRPr="00834FA4">
        <w:rPr>
          <w:i/>
          <w:spacing w:val="-4"/>
        </w:rPr>
        <w:t xml:space="preserve"> to ensure consistent and efficient grants administration.</w:t>
      </w:r>
    </w:p>
    <w:p w:rsidR="00EC6C74" w:rsidRPr="00834FA4" w:rsidRDefault="00EC6C74" w:rsidP="00EC6C74">
      <w:pPr>
        <w:pStyle w:val="BodyText"/>
        <w:ind w:left="720"/>
        <w:rPr>
          <w:i/>
        </w:rPr>
      </w:pPr>
      <w:r w:rsidRPr="00834FA4">
        <w:rPr>
          <w:i/>
        </w:rPr>
        <w:t xml:space="preserve">8.7 Agency staff must ensure that any </w:t>
      </w:r>
      <w:proofErr w:type="gramStart"/>
      <w:r w:rsidRPr="00834FA4">
        <w:rPr>
          <w:i/>
        </w:rPr>
        <w:t>suite</w:t>
      </w:r>
      <w:proofErr w:type="gramEnd"/>
      <w:r w:rsidRPr="00834FA4">
        <w:rPr>
          <w:i/>
        </w:rPr>
        <w:t xml:space="preserve"> of documents that form the grant guidelines for any granting activity are consistent with the CGGs.</w:t>
      </w:r>
    </w:p>
    <w:p w:rsidR="00EC6C74" w:rsidRPr="00834FA4" w:rsidRDefault="00EC6C74" w:rsidP="00EC6C74">
      <w:pPr>
        <w:pStyle w:val="ListBullet"/>
        <w:tabs>
          <w:tab w:val="num" w:pos="1287"/>
        </w:tabs>
        <w:ind w:left="1287"/>
        <w:rPr>
          <w:i/>
        </w:rPr>
      </w:pPr>
      <w:r w:rsidRPr="00834FA4">
        <w:rPr>
          <w:i/>
        </w:rPr>
        <w:t>Agency staff should ensure that the rules of granting activities are simply expressed, are clear in their intent and are effectively communicated to stakeholders. Agency staff should consider testing the clarity of grant guidelines with stakeholders prior to their release.</w:t>
      </w:r>
    </w:p>
    <w:p w:rsidR="00EC6C74" w:rsidRPr="00834FA4" w:rsidRDefault="00EC6C74" w:rsidP="00EC6C74">
      <w:pPr>
        <w:pStyle w:val="ListBullet"/>
        <w:ind w:left="1287"/>
        <w:rPr>
          <w:i/>
        </w:rPr>
      </w:pPr>
      <w:r w:rsidRPr="00834FA4">
        <w:rPr>
          <w:i/>
        </w:rPr>
        <w:t xml:space="preserve">Potential grant applicants need access to adequate information to enable them to submit a grant application. Application documentation, developed </w:t>
      </w:r>
      <w:r w:rsidRPr="00834FA4">
        <w:rPr>
          <w:i/>
        </w:rPr>
        <w:lastRenderedPageBreak/>
        <w:t>by agency staff, should contain clear eligibility and assessment criteria to enable the selection of applications in a consistent, transparent and accountable manner. The design of the application form should assist applicants to provide information in respect of all selection criteria.</w:t>
      </w:r>
    </w:p>
    <w:p w:rsidR="00EC6C74" w:rsidRPr="00834FA4" w:rsidRDefault="00EC6C74" w:rsidP="00EC6C74">
      <w:pPr>
        <w:pStyle w:val="ListBullet"/>
        <w:ind w:left="1287"/>
        <w:rPr>
          <w:i/>
        </w:rPr>
      </w:pPr>
      <w:r w:rsidRPr="00834FA4">
        <w:rPr>
          <w:i/>
        </w:rPr>
        <w:t xml:space="preserve">Application forms and associated information should be easy to understand and provide all necessary information. </w:t>
      </w:r>
      <w:r w:rsidRPr="00834FA4">
        <w:rPr>
          <w:rFonts w:cs="Times"/>
          <w:i/>
        </w:rPr>
        <w:t xml:space="preserve">Guidance should include </w:t>
      </w:r>
      <w:r w:rsidRPr="00834FA4">
        <w:rPr>
          <w:i/>
        </w:rPr>
        <w:t xml:space="preserve">contact points and details for further information, application forms and other information. Prompt action should be taken to update websites and other sources of public information following changes to granting activities (including grant programs). </w:t>
      </w:r>
    </w:p>
    <w:p w:rsidR="00EC6C74" w:rsidRPr="00834FA4" w:rsidRDefault="00EC6C74" w:rsidP="00EC6C74">
      <w:pPr>
        <w:pStyle w:val="ListBullet"/>
        <w:ind w:left="1287"/>
        <w:rPr>
          <w:i/>
          <w:color w:val="000000"/>
        </w:rPr>
      </w:pPr>
      <w:r w:rsidRPr="00834FA4">
        <w:rPr>
          <w:i/>
        </w:rPr>
        <w:t xml:space="preserve">Eligibility criteria, prepared by agency staff, should be straightforward, easily understood and effectively communicated to potential applicants. This helps avoid frustration and potential costs to applicants associated with developing and submitting applications that are not eligible or that have little chance of success. </w:t>
      </w:r>
    </w:p>
    <w:p w:rsidR="00EC6C74" w:rsidRPr="00834FA4" w:rsidRDefault="00EC6C74" w:rsidP="00EC6C74">
      <w:pPr>
        <w:pStyle w:val="ListBullet"/>
        <w:ind w:left="1287"/>
        <w:rPr>
          <w:i/>
        </w:rPr>
      </w:pPr>
      <w:r w:rsidRPr="00834FA4">
        <w:rPr>
          <w:i/>
        </w:rPr>
        <w:t>The information supplied with application forms should include: a statement of the granting activity objectives; the information required to assess the application; the appraisal criteria to be used when assessing applications for approval and their relative importance; and information about the approval process itself (including the closing date for applications and likely decision dates, if applicable; an outline of the selection process including who will be responsible for making the final recommendations and approval decisions; requirements to ensure the provision of performance information; a description of complaint handling, appeal, review and/or FOI mechanisms; and reporting and acquittal requirements).</w:t>
      </w:r>
    </w:p>
    <w:p w:rsidR="00EC6C74" w:rsidRPr="00CF7A79" w:rsidRDefault="00EC6C74" w:rsidP="00EC6C74">
      <w:pPr>
        <w:pStyle w:val="ListBullet"/>
        <w:ind w:left="1287"/>
        <w:rPr>
          <w:i/>
        </w:rPr>
      </w:pPr>
      <w:r w:rsidRPr="00CF7A79">
        <w:rPr>
          <w:i/>
        </w:rPr>
        <w:t>Agency staff should ensure that grant guidelines clearly inform potential grant recipients of terms and conditions that recipients will need to meet during the life of the grant, such as financial and performance reporting. The proposed grant agreement should be included with the grant guidelines so that grant applicants can consider this at the time that they are considering applying for a grant.</w:t>
      </w:r>
    </w:p>
    <w:p w:rsidR="00EC6C74" w:rsidRPr="00834FA4" w:rsidRDefault="00EC6C74" w:rsidP="00EC6C74">
      <w:pPr>
        <w:pStyle w:val="ListBullet"/>
        <w:ind w:left="1287"/>
        <w:rPr>
          <w:i/>
        </w:rPr>
      </w:pPr>
      <w:r w:rsidRPr="00834FA4">
        <w:rPr>
          <w:i/>
        </w:rPr>
        <w:t>Timely appraisal avoids possible inequities and waste that may a</w:t>
      </w:r>
      <w:r w:rsidR="00A3748E">
        <w:rPr>
          <w:i/>
        </w:rPr>
        <w:t>rise through unnecessary delay.</w:t>
      </w:r>
      <w:r w:rsidR="00A3748E" w:rsidRPr="00A3748E">
        <w:rPr>
          <w:rStyle w:val="FootnoteReference"/>
        </w:rPr>
        <w:t xml:space="preserve"> </w:t>
      </w:r>
      <w:r w:rsidR="00A3748E">
        <w:rPr>
          <w:rStyle w:val="FootnoteReference"/>
        </w:rPr>
        <w:footnoteReference w:id="21"/>
      </w:r>
    </w:p>
    <w:p w:rsidR="00EC6C74" w:rsidRDefault="00EC6C74" w:rsidP="00EC6C74">
      <w:pPr>
        <w:pStyle w:val="PwCNormal"/>
      </w:pPr>
      <w:r>
        <w:t xml:space="preserve">Based </w:t>
      </w:r>
      <w:r w:rsidR="003C7A3F">
        <w:t>information provided by the Department and information</w:t>
      </w:r>
      <w:r>
        <w:t xml:space="preserve"> from consultations, the application process generally appears to have:</w:t>
      </w:r>
    </w:p>
    <w:p w:rsidR="00EC6C74" w:rsidRDefault="00EC6C74" w:rsidP="00AD51E5">
      <w:pPr>
        <w:pStyle w:val="PwCNormal"/>
        <w:numPr>
          <w:ilvl w:val="0"/>
          <w:numId w:val="29"/>
        </w:numPr>
      </w:pPr>
      <w:r>
        <w:t xml:space="preserve">provided the sector with consistent and appropriate materials to complete the application – service providers </w:t>
      </w:r>
      <w:r w:rsidR="003C7A3F">
        <w:t>reported</w:t>
      </w:r>
      <w:r>
        <w:t xml:space="preserve"> that the application form was reasonable in terms of the information requested and understood the eligibility criteria</w:t>
      </w:r>
    </w:p>
    <w:p w:rsidR="00EC6C74" w:rsidRDefault="00EC6C74" w:rsidP="00AD51E5">
      <w:pPr>
        <w:pStyle w:val="PwCNormal"/>
        <w:numPr>
          <w:ilvl w:val="0"/>
          <w:numId w:val="29"/>
        </w:numPr>
      </w:pPr>
      <w:r>
        <w:t xml:space="preserve">provided applicants with the objective of the </w:t>
      </w:r>
      <w:r w:rsidR="00CC0AA9">
        <w:t>EYQF</w:t>
      </w:r>
      <w:r>
        <w:t xml:space="preserve"> </w:t>
      </w:r>
    </w:p>
    <w:p w:rsidR="00EC6C74" w:rsidRPr="00855213" w:rsidRDefault="00EC6C74" w:rsidP="00AD51E5">
      <w:pPr>
        <w:pStyle w:val="PwCNormal"/>
        <w:numPr>
          <w:ilvl w:val="0"/>
          <w:numId w:val="29"/>
        </w:numPr>
      </w:pPr>
      <w:proofErr w:type="gramStart"/>
      <w:r w:rsidRPr="00855213">
        <w:t>reflect</w:t>
      </w:r>
      <w:r w:rsidR="00AE2F18">
        <w:t>ed</w:t>
      </w:r>
      <w:proofErr w:type="gramEnd"/>
      <w:r w:rsidRPr="00855213">
        <w:t xml:space="preserve"> the </w:t>
      </w:r>
      <w:r>
        <w:t xml:space="preserve">set </w:t>
      </w:r>
      <w:r w:rsidRPr="00855213">
        <w:t>policy parameters</w:t>
      </w:r>
      <w:r>
        <w:t>– for example the requirement for an</w:t>
      </w:r>
      <w:r w:rsidR="00800C24">
        <w:t xml:space="preserve"> enterprise agreement</w:t>
      </w:r>
      <w:r>
        <w:t xml:space="preserve"> or to be working towards </w:t>
      </w:r>
      <w:r w:rsidR="00800C24">
        <w:t>one</w:t>
      </w:r>
      <w:r>
        <w:t>.</w:t>
      </w:r>
    </w:p>
    <w:p w:rsidR="00EC6C74" w:rsidRDefault="00EC6C74" w:rsidP="00EC6C74">
      <w:pPr>
        <w:pStyle w:val="PwCNormal"/>
      </w:pPr>
      <w:r>
        <w:t xml:space="preserve">However, </w:t>
      </w:r>
      <w:r w:rsidR="003C7A3F">
        <w:t>consultation with services suggests there may not have been consistent interpretation of the</w:t>
      </w:r>
      <w:r>
        <w:t xml:space="preserve"> requirement to demonstrate commitment towards the NQF. This may </w:t>
      </w:r>
      <w:r>
        <w:lastRenderedPageBreak/>
        <w:t xml:space="preserve">have resulted from the </w:t>
      </w:r>
      <w:r w:rsidR="003C7A3F">
        <w:t>Program</w:t>
      </w:r>
      <w:r w:rsidR="00A3748E">
        <w:t xml:space="preserve"> Guidelines being unclear</w:t>
      </w:r>
      <w:r>
        <w:t xml:space="preserve"> and </w:t>
      </w:r>
      <w:r w:rsidR="003C7A3F">
        <w:t xml:space="preserve">the timeframe preventing providers from seeking clarification from </w:t>
      </w:r>
      <w:r>
        <w:t>the Department</w:t>
      </w:r>
      <w:r w:rsidR="003C7A3F">
        <w:t xml:space="preserve"> as providers</w:t>
      </w:r>
      <w:r>
        <w:t xml:space="preserve"> had three days to </w:t>
      </w:r>
      <w:r w:rsidR="003C7A3F">
        <w:t>understand</w:t>
      </w:r>
      <w:r>
        <w:t xml:space="preserve"> the application requirements</w:t>
      </w:r>
      <w:r w:rsidR="003C7A3F">
        <w:t xml:space="preserve"> and compile the require information</w:t>
      </w:r>
      <w:r>
        <w:t xml:space="preserve"> before the application process opened.</w:t>
      </w:r>
    </w:p>
    <w:p w:rsidR="00EC6C74" w:rsidRPr="00B358FE" w:rsidRDefault="00EC6C74" w:rsidP="007E11DB">
      <w:pPr>
        <w:pStyle w:val="ListBullet"/>
        <w:numPr>
          <w:ilvl w:val="0"/>
          <w:numId w:val="0"/>
        </w:numPr>
        <w:ind w:left="567"/>
        <w:rPr>
          <w:b/>
          <w:i/>
          <w:color w:val="A32020" w:themeColor="accent1"/>
        </w:rPr>
      </w:pPr>
      <w:r w:rsidRPr="007E11DB">
        <w:rPr>
          <w:i/>
          <w:color w:val="A32020" w:themeColor="text2"/>
        </w:rPr>
        <w:t xml:space="preserve">“It is difficult to understand how any provider could have completed an application so early. Demonstrating </w:t>
      </w:r>
      <w:r w:rsidRPr="00B358FE">
        <w:rPr>
          <w:i/>
          <w:color w:val="A32020" w:themeColor="text2"/>
        </w:rPr>
        <w:t>progression towards the NQF was incredibly resource intensive</w:t>
      </w:r>
      <w:r w:rsidR="009166A3">
        <w:rPr>
          <w:i/>
          <w:color w:val="A32020" w:themeColor="text2"/>
        </w:rPr>
        <w:t>.</w:t>
      </w:r>
      <w:r w:rsidRPr="00B358FE">
        <w:rPr>
          <w:i/>
          <w:color w:val="A32020" w:themeColor="text2"/>
        </w:rPr>
        <w:t>”</w:t>
      </w:r>
      <w:r w:rsidRPr="00B358FE">
        <w:rPr>
          <w:b/>
          <w:i/>
          <w:color w:val="A32020" w:themeColor="accent1"/>
        </w:rPr>
        <w:t xml:space="preserve"> </w:t>
      </w:r>
      <w:r w:rsidRPr="00B358FE">
        <w:t>– a service provider</w:t>
      </w:r>
    </w:p>
    <w:p w:rsidR="00EC6C74" w:rsidRDefault="003C7A3F" w:rsidP="00EC6C74">
      <w:pPr>
        <w:pStyle w:val="PwCNormal"/>
      </w:pPr>
      <w:r>
        <w:t>T</w:t>
      </w:r>
      <w:r w:rsidR="00EC6C74">
        <w:t>he ‘first in</w:t>
      </w:r>
      <w:r>
        <w:t>-</w:t>
      </w:r>
      <w:r w:rsidR="00EC6C74">
        <w:t xml:space="preserve">first served’ </w:t>
      </w:r>
      <w:r>
        <w:t>approach to</w:t>
      </w:r>
      <w:r w:rsidR="00EC6C74">
        <w:t xml:space="preserve"> assessing applications d</w:t>
      </w:r>
      <w:r>
        <w:t xml:space="preserve">oes not directly </w:t>
      </w:r>
      <w:r w:rsidR="00EC6C74">
        <w:t xml:space="preserve">align with PwC’s understanding of the purpose of the EYQF – </w:t>
      </w:r>
      <w:r w:rsidR="00EC6C74" w:rsidRPr="00FE26D6">
        <w:t>to assist services providers to offer higher wages consistent with changes in staff-to-child ratios and the increased qualification requirements of the NQF.</w:t>
      </w:r>
      <w:r w:rsidR="00EC6C74">
        <w:t xml:space="preserve"> This aspect of the application process served to: </w:t>
      </w:r>
    </w:p>
    <w:p w:rsidR="00EC6C74" w:rsidRDefault="00EC6C74" w:rsidP="00AD51E5">
      <w:pPr>
        <w:pStyle w:val="PwCNormal"/>
        <w:numPr>
          <w:ilvl w:val="0"/>
          <w:numId w:val="29"/>
        </w:numPr>
      </w:pPr>
      <w:r>
        <w:t xml:space="preserve">favour service providers who were better resourced and could therefore devote staff time and resources to completing the applications in a timely manner – this was exacerbated by the requirement for accurate applications as errors meant applications needed to be resubmitted and </w:t>
      </w:r>
      <w:r w:rsidR="00800C24">
        <w:t xml:space="preserve">were </w:t>
      </w:r>
      <w:r>
        <w:t>therefore sent to the back of the queue</w:t>
      </w:r>
    </w:p>
    <w:p w:rsidR="00EC6C74" w:rsidRDefault="00EC6C74" w:rsidP="00AD51E5">
      <w:pPr>
        <w:pStyle w:val="PwCNormal"/>
        <w:numPr>
          <w:ilvl w:val="0"/>
          <w:numId w:val="29"/>
        </w:numPr>
      </w:pPr>
      <w:r>
        <w:t xml:space="preserve">favour service providers who were more advanced in meeting the NQF and therefore had many of the required application materials ready and on hand </w:t>
      </w:r>
    </w:p>
    <w:p w:rsidR="00EC6C74" w:rsidRDefault="00EC6C74" w:rsidP="00AD51E5">
      <w:pPr>
        <w:pStyle w:val="PwCNormal"/>
        <w:numPr>
          <w:ilvl w:val="0"/>
          <w:numId w:val="29"/>
        </w:numPr>
      </w:pPr>
      <w:r>
        <w:t>disadvantage smaller service providers who found it costly to collate information required to complete the application forms  – some services noted that they needed to take staff off the floor to submit the application at 11am and this time did not coincide with break-times</w:t>
      </w:r>
    </w:p>
    <w:p w:rsidR="00EC6C74" w:rsidRPr="00B358FE" w:rsidRDefault="00EC6C74" w:rsidP="007E11DB">
      <w:pPr>
        <w:pStyle w:val="ListBullet"/>
        <w:numPr>
          <w:ilvl w:val="0"/>
          <w:numId w:val="0"/>
        </w:numPr>
        <w:ind w:left="567"/>
        <w:rPr>
          <w:b/>
          <w:i/>
          <w:color w:val="A32020" w:themeColor="accent1"/>
        </w:rPr>
      </w:pPr>
      <w:r w:rsidRPr="007E11DB">
        <w:rPr>
          <w:i/>
          <w:color w:val="A32020" w:themeColor="text2"/>
        </w:rPr>
        <w:t xml:space="preserve">“[First in first served] was to the detriment of small providers who would need to spend time making the decision whether to apply. For bigger providers this was simply an </w:t>
      </w:r>
      <w:r w:rsidRPr="00B358FE">
        <w:rPr>
          <w:i/>
          <w:color w:val="A32020" w:themeColor="text2"/>
        </w:rPr>
        <w:t>operational issue with the decision making already completed</w:t>
      </w:r>
      <w:r w:rsidR="009166A3">
        <w:rPr>
          <w:i/>
          <w:color w:val="A32020" w:themeColor="text2"/>
        </w:rPr>
        <w:t>.</w:t>
      </w:r>
      <w:r w:rsidRPr="00B358FE">
        <w:rPr>
          <w:i/>
          <w:color w:val="A32020" w:themeColor="text2"/>
        </w:rPr>
        <w:t>”</w:t>
      </w:r>
      <w:r w:rsidRPr="00B358FE">
        <w:rPr>
          <w:b/>
          <w:i/>
          <w:color w:val="A32020" w:themeColor="accent1"/>
        </w:rPr>
        <w:t xml:space="preserve"> </w:t>
      </w:r>
      <w:r w:rsidR="00B358FE">
        <w:rPr>
          <w:b/>
          <w:i/>
          <w:color w:val="A32020" w:themeColor="accent1"/>
        </w:rPr>
        <w:br/>
      </w:r>
      <w:r w:rsidRPr="00B358FE">
        <w:t>– Peak body representative</w:t>
      </w:r>
    </w:p>
    <w:p w:rsidR="00EC6C74" w:rsidRDefault="00EC6C74" w:rsidP="00AD51E5">
      <w:pPr>
        <w:pStyle w:val="PwCNormal"/>
        <w:numPr>
          <w:ilvl w:val="0"/>
          <w:numId w:val="29"/>
        </w:numPr>
      </w:pPr>
      <w:proofErr w:type="gramStart"/>
      <w:r>
        <w:t>disadvantage</w:t>
      </w:r>
      <w:proofErr w:type="gramEnd"/>
      <w:r>
        <w:t xml:space="preserve"> medium sized providers who may operate enough services such that the information that needed to be collated was complex, but did not have the dedicated administrative resources of larger service providers. </w:t>
      </w:r>
    </w:p>
    <w:p w:rsidR="007E11DB" w:rsidRPr="00B358FE" w:rsidRDefault="007E11DB" w:rsidP="007E11DB">
      <w:pPr>
        <w:pStyle w:val="ListBullet"/>
        <w:numPr>
          <w:ilvl w:val="0"/>
          <w:numId w:val="0"/>
        </w:numPr>
        <w:ind w:left="567"/>
      </w:pPr>
      <w:r w:rsidRPr="006966F0">
        <w:rPr>
          <w:i/>
          <w:color w:val="A32020" w:themeColor="text2"/>
        </w:rPr>
        <w:t xml:space="preserve">“Our centre devoted a significant amount of staff hours to compiling our response to this application given that we operate multiple </w:t>
      </w:r>
      <w:proofErr w:type="gramStart"/>
      <w:r w:rsidRPr="00B358FE">
        <w:rPr>
          <w:i/>
          <w:color w:val="A32020" w:themeColor="text2"/>
        </w:rPr>
        <w:t>centres,</w:t>
      </w:r>
      <w:proofErr w:type="gramEnd"/>
      <w:r w:rsidRPr="00B358FE">
        <w:rPr>
          <w:i/>
          <w:color w:val="A32020" w:themeColor="text2"/>
        </w:rPr>
        <w:t xml:space="preserve"> this made it difficult to submit our application within the short time frames</w:t>
      </w:r>
      <w:r w:rsidR="009166A3">
        <w:rPr>
          <w:i/>
          <w:color w:val="A32020" w:themeColor="text2"/>
        </w:rPr>
        <w:t>.</w:t>
      </w:r>
      <w:r w:rsidRPr="00B358FE">
        <w:rPr>
          <w:i/>
          <w:color w:val="A32020" w:themeColor="text2"/>
        </w:rPr>
        <w:t>”</w:t>
      </w:r>
      <w:r w:rsidRPr="00B358FE">
        <w:t xml:space="preserve"> </w:t>
      </w:r>
      <w:r w:rsidR="00B358FE">
        <w:br/>
      </w:r>
      <w:r w:rsidRPr="00B358FE">
        <w:t>– senior representative of a large provider</w:t>
      </w:r>
    </w:p>
    <w:p w:rsidR="002B6B83" w:rsidRDefault="00EC6C74" w:rsidP="002B6B83">
      <w:pPr>
        <w:pStyle w:val="PwCNormal"/>
        <w:numPr>
          <w:ilvl w:val="0"/>
          <w:numId w:val="0"/>
        </w:numPr>
      </w:pPr>
      <w:r>
        <w:t>‘First in</w:t>
      </w:r>
      <w:r w:rsidR="003C7A3F">
        <w:t>-</w:t>
      </w:r>
      <w:r>
        <w:t>first serve</w:t>
      </w:r>
      <w:r w:rsidR="00FC1B7B">
        <w:t>d</w:t>
      </w:r>
      <w:r>
        <w:t xml:space="preserve">’ </w:t>
      </w:r>
      <w:r w:rsidR="003C7A3F">
        <w:t>prevents the assessment of applications on the level of quality or the level of need.</w:t>
      </w:r>
      <w:r w:rsidR="00B358FE">
        <w:t xml:space="preserve"> </w:t>
      </w:r>
      <w:r>
        <w:t>Th</w:t>
      </w:r>
      <w:r w:rsidR="00417F74">
        <w:t>e implications of the ‘first in-</w:t>
      </w:r>
      <w:r>
        <w:t>first serve</w:t>
      </w:r>
      <w:r w:rsidR="00FC1B7B">
        <w:t>d</w:t>
      </w:r>
      <w:r>
        <w:t>’ aspect of the application process are particularly concerning given the speed at which the total pool of funding was exhausted (see</w:t>
      </w:r>
      <w:r w:rsidR="002B6B83">
        <w:t xml:space="preserve"> </w:t>
      </w:r>
      <w:r w:rsidR="002554AA">
        <w:fldChar w:fldCharType="begin"/>
      </w:r>
      <w:r w:rsidR="002B6B83">
        <w:instrText xml:space="preserve"> REF _Ref370390166 \h </w:instrText>
      </w:r>
      <w:r w:rsidR="002554AA">
        <w:fldChar w:fldCharType="separate"/>
      </w:r>
      <w:r w:rsidR="000B2006">
        <w:t xml:space="preserve">Figure </w:t>
      </w:r>
      <w:r w:rsidR="000B2006">
        <w:rPr>
          <w:noProof/>
        </w:rPr>
        <w:t>1</w:t>
      </w:r>
      <w:r w:rsidR="002554AA">
        <w:fldChar w:fldCharType="end"/>
      </w:r>
      <w:r w:rsidR="002B6B83">
        <w:t xml:space="preserve"> and </w:t>
      </w:r>
      <w:r w:rsidR="002554AA">
        <w:fldChar w:fldCharType="begin"/>
      </w:r>
      <w:r w:rsidR="002B6B83">
        <w:instrText xml:space="preserve"> REF _Ref370835252 \h </w:instrText>
      </w:r>
      <w:r w:rsidR="002554AA">
        <w:fldChar w:fldCharType="separate"/>
      </w:r>
      <w:r w:rsidR="000B2006">
        <w:t xml:space="preserve">Table </w:t>
      </w:r>
      <w:r w:rsidR="000B2006">
        <w:rPr>
          <w:noProof/>
        </w:rPr>
        <w:t>1</w:t>
      </w:r>
      <w:r w:rsidR="002554AA">
        <w:fldChar w:fldCharType="end"/>
      </w:r>
      <w:r w:rsidR="002B6B83">
        <w:t xml:space="preserve">). </w:t>
      </w:r>
    </w:p>
    <w:p w:rsidR="00EC6C74" w:rsidRDefault="00FC1B7B" w:rsidP="00EC6C74">
      <w:pPr>
        <w:pStyle w:val="PwCNormal"/>
      </w:pPr>
      <w:r>
        <w:t>PwC</w:t>
      </w:r>
      <w:r w:rsidR="00EC6C74">
        <w:t xml:space="preserve"> analysis of the data shows that:</w:t>
      </w:r>
    </w:p>
    <w:p w:rsidR="00800C24" w:rsidRDefault="00800C24" w:rsidP="00AD51E5">
      <w:pPr>
        <w:pStyle w:val="PwCNormal"/>
        <w:numPr>
          <w:ilvl w:val="0"/>
          <w:numId w:val="29"/>
        </w:numPr>
      </w:pPr>
      <w:r>
        <w:t xml:space="preserve">there were a total of 453 applications </w:t>
      </w:r>
      <w:r w:rsidR="00F3765C">
        <w:t>that met the assessment criteria</w:t>
      </w:r>
    </w:p>
    <w:p w:rsidR="00EC6C74" w:rsidRDefault="00EC6C74" w:rsidP="00AD51E5">
      <w:pPr>
        <w:pStyle w:val="PwCNormal"/>
        <w:numPr>
          <w:ilvl w:val="0"/>
          <w:numId w:val="29"/>
        </w:numPr>
      </w:pPr>
      <w:r>
        <w:t>the funding cap of $300 million was reached within 13 hours of the application process opening (</w:t>
      </w:r>
      <w:r w:rsidRPr="008D362B">
        <w:t>a total of $297.4</w:t>
      </w:r>
      <w:r w:rsidR="000B5367">
        <w:t xml:space="preserve"> </w:t>
      </w:r>
      <w:r w:rsidRPr="008D362B">
        <w:t>m</w:t>
      </w:r>
      <w:r w:rsidR="000B5367">
        <w:t>illion</w:t>
      </w:r>
      <w:r w:rsidRPr="008D362B">
        <w:t xml:space="preserve"> was al</w:t>
      </w:r>
      <w:r>
        <w:t xml:space="preserve">located to </w:t>
      </w:r>
      <w:r w:rsidR="00F3765C">
        <w:t>applications that met the assessment criteria,</w:t>
      </w:r>
      <w:r>
        <w:t xml:space="preserve"> after adjustments and corrections)</w:t>
      </w:r>
    </w:p>
    <w:p w:rsidR="00EC6C74" w:rsidRDefault="00EC6C74" w:rsidP="00AD51E5">
      <w:pPr>
        <w:pStyle w:val="PwCNormal"/>
        <w:numPr>
          <w:ilvl w:val="0"/>
          <w:numId w:val="29"/>
        </w:numPr>
      </w:pPr>
      <w:r>
        <w:t>over 80 per cent of the funding for large providers was exhausted within</w:t>
      </w:r>
      <w:r w:rsidR="007E11DB">
        <w:t xml:space="preserve"> the first hour due to an</w:t>
      </w:r>
      <w:r>
        <w:t xml:space="preserve"> application from</w:t>
      </w:r>
      <w:r w:rsidR="007E11DB">
        <w:t xml:space="preserve"> the largest service provider </w:t>
      </w:r>
    </w:p>
    <w:p w:rsidR="00EC6C74" w:rsidRDefault="00EC6C74" w:rsidP="00AD51E5">
      <w:pPr>
        <w:pStyle w:val="PwCNormal"/>
        <w:numPr>
          <w:ilvl w:val="0"/>
          <w:numId w:val="29"/>
        </w:numPr>
      </w:pPr>
      <w:proofErr w:type="gramStart"/>
      <w:r>
        <w:t>over</w:t>
      </w:r>
      <w:proofErr w:type="gramEnd"/>
      <w:r>
        <w:t xml:space="preserve"> 80 per cent of the funding pool for small providers was exhausted within</w:t>
      </w:r>
      <w:r w:rsidR="00417F74">
        <w:t xml:space="preserve"> </w:t>
      </w:r>
      <w:r w:rsidR="002E55A6">
        <w:t>five</w:t>
      </w:r>
      <w:r>
        <w:t xml:space="preserve"> hours of applications opening.</w:t>
      </w:r>
    </w:p>
    <w:p w:rsidR="00EC6C74" w:rsidRDefault="00EC6C74" w:rsidP="00EC6C74">
      <w:pPr>
        <w:pStyle w:val="Caption"/>
      </w:pPr>
      <w:bookmarkStart w:id="47" w:name="_Ref370390166"/>
      <w:r>
        <w:lastRenderedPageBreak/>
        <w:t xml:space="preserve">Figure </w:t>
      </w:r>
      <w:r w:rsidR="002554AA">
        <w:fldChar w:fldCharType="begin"/>
      </w:r>
      <w:r w:rsidR="00D76309">
        <w:instrText xml:space="preserve"> SEQ Figure \* ARABIC </w:instrText>
      </w:r>
      <w:r w:rsidR="002554AA">
        <w:fldChar w:fldCharType="separate"/>
      </w:r>
      <w:r w:rsidR="000B2006">
        <w:rPr>
          <w:noProof/>
        </w:rPr>
        <w:t>1</w:t>
      </w:r>
      <w:r w:rsidR="002554AA">
        <w:rPr>
          <w:noProof/>
        </w:rPr>
        <w:fldChar w:fldCharType="end"/>
      </w:r>
      <w:bookmarkEnd w:id="47"/>
      <w:r>
        <w:t xml:space="preserve">: </w:t>
      </w:r>
      <w:r w:rsidR="00F3765C">
        <w:t>A</w:t>
      </w:r>
      <w:r>
        <w:t>pplications</w:t>
      </w:r>
      <w:r w:rsidR="00F3765C">
        <w:t xml:space="preserve"> that met the assessment criteria</w:t>
      </w:r>
      <w:r>
        <w:t xml:space="preserve"> – cumulative percentage of total funding pool</w:t>
      </w:r>
    </w:p>
    <w:p w:rsidR="00EC6C74" w:rsidRPr="00722859" w:rsidRDefault="00EC6C74" w:rsidP="00EC6C74">
      <w:pPr>
        <w:pStyle w:val="ListBullet"/>
        <w:numPr>
          <w:ilvl w:val="0"/>
          <w:numId w:val="0"/>
        </w:numPr>
      </w:pPr>
      <w:r>
        <w:rPr>
          <w:noProof/>
          <w:snapToGrid/>
          <w:lang w:eastAsia="en-AU"/>
        </w:rPr>
        <w:drawing>
          <wp:inline distT="0" distB="0" distL="0" distR="0">
            <wp:extent cx="5773479" cy="2626242"/>
            <wp:effectExtent l="0" t="0" r="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C6C74" w:rsidRDefault="00EC6C74" w:rsidP="00EC6C74">
      <w:pPr>
        <w:pStyle w:val="PwCNormal"/>
        <w:numPr>
          <w:ilvl w:val="0"/>
          <w:numId w:val="0"/>
        </w:numPr>
        <w:rPr>
          <w:sz w:val="16"/>
        </w:rPr>
      </w:pPr>
      <w:bookmarkStart w:id="48" w:name="_Ref370382658"/>
      <w:r w:rsidRPr="00B90E9A">
        <w:rPr>
          <w:sz w:val="16"/>
        </w:rPr>
        <w:t>Source: EYQF application data provided by the Department</w:t>
      </w:r>
    </w:p>
    <w:p w:rsidR="00B358FE" w:rsidRPr="00B90E9A" w:rsidRDefault="00B358FE" w:rsidP="00EC6C74">
      <w:pPr>
        <w:pStyle w:val="PwCNormal"/>
        <w:numPr>
          <w:ilvl w:val="0"/>
          <w:numId w:val="0"/>
        </w:numPr>
        <w:rPr>
          <w:sz w:val="16"/>
        </w:rPr>
      </w:pPr>
    </w:p>
    <w:p w:rsidR="00EC6C74" w:rsidRDefault="00EC6C74" w:rsidP="00EC6C74">
      <w:pPr>
        <w:pStyle w:val="Caption"/>
      </w:pPr>
      <w:bookmarkStart w:id="49" w:name="_Ref370835252"/>
      <w:r>
        <w:t xml:space="preserve">Table </w:t>
      </w:r>
      <w:r w:rsidR="002554AA">
        <w:fldChar w:fldCharType="begin"/>
      </w:r>
      <w:r w:rsidR="00D76309">
        <w:instrText xml:space="preserve"> SEQ Table \* ARABIC </w:instrText>
      </w:r>
      <w:r w:rsidR="002554AA">
        <w:fldChar w:fldCharType="separate"/>
      </w:r>
      <w:r w:rsidR="000B2006">
        <w:rPr>
          <w:noProof/>
        </w:rPr>
        <w:t>1</w:t>
      </w:r>
      <w:r w:rsidR="002554AA">
        <w:rPr>
          <w:noProof/>
        </w:rPr>
        <w:fldChar w:fldCharType="end"/>
      </w:r>
      <w:bookmarkEnd w:id="48"/>
      <w:bookmarkEnd w:id="49"/>
      <w:r>
        <w:t xml:space="preserve">: </w:t>
      </w:r>
      <w:r w:rsidR="00F3765C">
        <w:t>A</w:t>
      </w:r>
      <w:r>
        <w:t>pplications</w:t>
      </w:r>
      <w:r w:rsidR="00F3765C">
        <w:t xml:space="preserve"> that met the assessment criteria</w:t>
      </w:r>
      <w:r>
        <w:t xml:space="preserve"> – time of submission</w:t>
      </w:r>
    </w:p>
    <w:tbl>
      <w:tblPr>
        <w:tblW w:w="8879" w:type="dxa"/>
        <w:tblInd w:w="5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3"/>
        <w:gridCol w:w="1417"/>
        <w:gridCol w:w="1224"/>
        <w:gridCol w:w="1328"/>
        <w:gridCol w:w="1417"/>
        <w:gridCol w:w="1276"/>
        <w:gridCol w:w="1224"/>
      </w:tblGrid>
      <w:tr w:rsidR="00EC6C74" w:rsidRPr="00240683" w:rsidTr="00E16FF2">
        <w:trPr>
          <w:cantSplit/>
          <w:trHeight w:val="420"/>
        </w:trPr>
        <w:tc>
          <w:tcPr>
            <w:tcW w:w="993"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rPr>
                <w:rFonts w:asciiTheme="majorHAnsi" w:hAnsiTheme="majorHAnsi" w:cstheme="minorHAnsi"/>
                <w:snapToGrid/>
                <w:color w:val="000000"/>
                <w:sz w:val="18"/>
                <w:szCs w:val="18"/>
                <w:lang w:eastAsia="en-AU"/>
              </w:rPr>
            </w:pPr>
          </w:p>
        </w:tc>
        <w:tc>
          <w:tcPr>
            <w:tcW w:w="3969" w:type="dxa"/>
            <w:gridSpan w:val="3"/>
            <w:shd w:val="clear" w:color="auto" w:fill="A32020" w:themeFill="accent1"/>
            <w:noWrap/>
            <w:tcMar>
              <w:left w:w="0" w:type="dxa"/>
              <w:right w:w="113" w:type="dxa"/>
            </w:tcMar>
            <w:vAlign w:val="center"/>
            <w:hideMark/>
          </w:tcPr>
          <w:p w:rsidR="00EC6C74" w:rsidRPr="00240683" w:rsidRDefault="00EC6C74" w:rsidP="009931ED">
            <w:pPr>
              <w:kinsoku/>
              <w:overflowPunct/>
              <w:autoSpaceDE/>
              <w:autoSpaceDN/>
              <w:adjustRightInd/>
              <w:snapToGrid/>
              <w:jc w:val="center"/>
              <w:rPr>
                <w:rFonts w:asciiTheme="majorHAnsi" w:hAnsiTheme="majorHAnsi" w:cstheme="minorHAnsi"/>
                <w:b/>
                <w:bCs/>
                <w:snapToGrid/>
                <w:color w:val="FFFFFF" w:themeColor="background1"/>
                <w:sz w:val="18"/>
                <w:szCs w:val="18"/>
                <w:u w:val="single"/>
                <w:lang w:eastAsia="en-AU"/>
              </w:rPr>
            </w:pPr>
            <w:r w:rsidRPr="00240683">
              <w:rPr>
                <w:rFonts w:asciiTheme="majorHAnsi" w:hAnsiTheme="majorHAnsi" w:cstheme="minorHAnsi"/>
                <w:b/>
                <w:bCs/>
                <w:snapToGrid/>
                <w:color w:val="FFFFFF" w:themeColor="background1"/>
                <w:sz w:val="18"/>
                <w:szCs w:val="18"/>
                <w:u w:val="single"/>
                <w:lang w:eastAsia="en-AU"/>
              </w:rPr>
              <w:t>Large providers</w:t>
            </w:r>
          </w:p>
        </w:tc>
        <w:tc>
          <w:tcPr>
            <w:tcW w:w="3917" w:type="dxa"/>
            <w:gridSpan w:val="3"/>
            <w:shd w:val="clear" w:color="auto" w:fill="A32020" w:themeFill="accent1"/>
            <w:noWrap/>
            <w:tcMar>
              <w:left w:w="0" w:type="dxa"/>
              <w:right w:w="113" w:type="dxa"/>
            </w:tcMar>
            <w:vAlign w:val="center"/>
            <w:hideMark/>
          </w:tcPr>
          <w:p w:rsidR="00EC6C74" w:rsidRPr="00240683" w:rsidRDefault="00EC6C74" w:rsidP="009931ED">
            <w:pPr>
              <w:kinsoku/>
              <w:overflowPunct/>
              <w:autoSpaceDE/>
              <w:autoSpaceDN/>
              <w:adjustRightInd/>
              <w:snapToGrid/>
              <w:jc w:val="center"/>
              <w:rPr>
                <w:rFonts w:asciiTheme="majorHAnsi" w:hAnsiTheme="majorHAnsi" w:cstheme="minorHAnsi"/>
                <w:b/>
                <w:bCs/>
                <w:snapToGrid/>
                <w:color w:val="FFFFFF" w:themeColor="background1"/>
                <w:sz w:val="18"/>
                <w:szCs w:val="18"/>
                <w:u w:val="single"/>
                <w:lang w:eastAsia="en-AU"/>
              </w:rPr>
            </w:pPr>
            <w:r w:rsidRPr="00240683">
              <w:rPr>
                <w:rFonts w:asciiTheme="majorHAnsi" w:hAnsiTheme="majorHAnsi" w:cstheme="minorHAnsi"/>
                <w:b/>
                <w:bCs/>
                <w:snapToGrid/>
                <w:color w:val="FFFFFF" w:themeColor="background1"/>
                <w:sz w:val="18"/>
                <w:szCs w:val="18"/>
                <w:u w:val="single"/>
                <w:lang w:eastAsia="en-AU"/>
              </w:rPr>
              <w:t>Small providers</w:t>
            </w:r>
          </w:p>
        </w:tc>
      </w:tr>
      <w:tr w:rsidR="00EC6C74" w:rsidRPr="00240683" w:rsidTr="00E16FF2">
        <w:trPr>
          <w:cantSplit/>
          <w:trHeight w:val="773"/>
        </w:trPr>
        <w:tc>
          <w:tcPr>
            <w:tcW w:w="993" w:type="dxa"/>
            <w:shd w:val="clear" w:color="auto" w:fill="auto"/>
            <w:tcMar>
              <w:left w:w="0" w:type="dxa"/>
              <w:right w:w="113" w:type="dxa"/>
            </w:tcMar>
            <w:vAlign w:val="center"/>
            <w:hideMark/>
          </w:tcPr>
          <w:p w:rsidR="00EC6C74" w:rsidRPr="00240683" w:rsidRDefault="00EC6C74" w:rsidP="009931ED">
            <w:pPr>
              <w:kinsoku/>
              <w:overflowPunct/>
              <w:autoSpaceDE/>
              <w:autoSpaceDN/>
              <w:adjustRightInd/>
              <w:snapToGrid/>
              <w:jc w:val="center"/>
              <w:rPr>
                <w:rFonts w:asciiTheme="majorHAnsi" w:hAnsiTheme="majorHAnsi" w:cstheme="minorHAnsi"/>
                <w:i/>
                <w:iCs/>
                <w:snapToGrid/>
                <w:color w:val="000000"/>
                <w:sz w:val="18"/>
                <w:szCs w:val="18"/>
                <w:lang w:eastAsia="en-AU"/>
              </w:rPr>
            </w:pPr>
            <w:r w:rsidRPr="00240683">
              <w:rPr>
                <w:rFonts w:asciiTheme="majorHAnsi" w:hAnsiTheme="majorHAnsi" w:cstheme="minorHAnsi"/>
                <w:i/>
                <w:iCs/>
                <w:snapToGrid/>
                <w:color w:val="000000"/>
                <w:sz w:val="18"/>
                <w:szCs w:val="18"/>
                <w:lang w:eastAsia="en-AU"/>
              </w:rPr>
              <w:t>Within X hours of opening</w:t>
            </w:r>
          </w:p>
        </w:tc>
        <w:tc>
          <w:tcPr>
            <w:tcW w:w="1417" w:type="dxa"/>
            <w:shd w:val="clear" w:color="auto" w:fill="EA9595" w:themeFill="accent1" w:themeFillTint="66"/>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b/>
                <w:bCs/>
                <w:snapToGrid/>
                <w:color w:val="FFFFFF" w:themeColor="background1"/>
                <w:sz w:val="18"/>
                <w:szCs w:val="18"/>
                <w:lang w:eastAsia="en-AU"/>
              </w:rPr>
            </w:pPr>
            <w:r w:rsidRPr="00240683">
              <w:rPr>
                <w:rFonts w:asciiTheme="majorHAnsi" w:hAnsiTheme="majorHAnsi" w:cstheme="minorHAnsi"/>
                <w:b/>
                <w:bCs/>
                <w:snapToGrid/>
                <w:color w:val="FFFFFF" w:themeColor="background1"/>
                <w:sz w:val="18"/>
                <w:szCs w:val="18"/>
                <w:lang w:eastAsia="en-AU"/>
              </w:rPr>
              <w:t>Funding amount ($)</w:t>
            </w:r>
          </w:p>
        </w:tc>
        <w:tc>
          <w:tcPr>
            <w:tcW w:w="1224" w:type="dxa"/>
            <w:shd w:val="clear" w:color="auto" w:fill="EA9595" w:themeFill="accent1" w:themeFillTint="66"/>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b/>
                <w:bCs/>
                <w:snapToGrid/>
                <w:color w:val="FFFFFF" w:themeColor="background1"/>
                <w:sz w:val="18"/>
                <w:szCs w:val="18"/>
                <w:lang w:eastAsia="en-AU"/>
              </w:rPr>
            </w:pPr>
            <w:r w:rsidRPr="00240683">
              <w:rPr>
                <w:rFonts w:asciiTheme="majorHAnsi" w:hAnsiTheme="majorHAnsi" w:cstheme="minorHAnsi"/>
                <w:b/>
                <w:bCs/>
                <w:snapToGrid/>
                <w:color w:val="FFFFFF" w:themeColor="background1"/>
                <w:sz w:val="18"/>
                <w:szCs w:val="18"/>
                <w:lang w:eastAsia="en-AU"/>
              </w:rPr>
              <w:t>Applicants</w:t>
            </w:r>
          </w:p>
        </w:tc>
        <w:tc>
          <w:tcPr>
            <w:tcW w:w="1328" w:type="dxa"/>
            <w:shd w:val="clear" w:color="auto" w:fill="EA9595" w:themeFill="accent1" w:themeFillTint="66"/>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b/>
                <w:bCs/>
                <w:snapToGrid/>
                <w:color w:val="FFFFFF" w:themeColor="background1"/>
                <w:sz w:val="18"/>
                <w:szCs w:val="18"/>
                <w:lang w:eastAsia="en-AU"/>
              </w:rPr>
            </w:pPr>
            <w:r w:rsidRPr="00240683">
              <w:rPr>
                <w:rFonts w:asciiTheme="majorHAnsi" w:hAnsiTheme="majorHAnsi" w:cstheme="minorHAnsi"/>
                <w:b/>
                <w:bCs/>
                <w:snapToGrid/>
                <w:color w:val="FFFFFF" w:themeColor="background1"/>
                <w:sz w:val="18"/>
                <w:szCs w:val="18"/>
                <w:lang w:eastAsia="en-AU"/>
              </w:rPr>
              <w:t xml:space="preserve">Cumulative % of total funding </w:t>
            </w:r>
          </w:p>
        </w:tc>
        <w:tc>
          <w:tcPr>
            <w:tcW w:w="1417" w:type="dxa"/>
            <w:shd w:val="clear" w:color="auto" w:fill="EA9595" w:themeFill="accent1" w:themeFillTint="66"/>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b/>
                <w:bCs/>
                <w:snapToGrid/>
                <w:color w:val="FFFFFF" w:themeColor="background1"/>
                <w:sz w:val="18"/>
                <w:szCs w:val="18"/>
                <w:lang w:eastAsia="en-AU"/>
              </w:rPr>
            </w:pPr>
            <w:r w:rsidRPr="00240683">
              <w:rPr>
                <w:rFonts w:asciiTheme="majorHAnsi" w:hAnsiTheme="majorHAnsi" w:cstheme="minorHAnsi"/>
                <w:b/>
                <w:bCs/>
                <w:snapToGrid/>
                <w:color w:val="FFFFFF" w:themeColor="background1"/>
                <w:sz w:val="18"/>
                <w:szCs w:val="18"/>
                <w:lang w:eastAsia="en-AU"/>
              </w:rPr>
              <w:t>Funding amount ($)</w:t>
            </w:r>
          </w:p>
        </w:tc>
        <w:tc>
          <w:tcPr>
            <w:tcW w:w="1276" w:type="dxa"/>
            <w:shd w:val="clear" w:color="auto" w:fill="EA9595" w:themeFill="accent1" w:themeFillTint="66"/>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b/>
                <w:bCs/>
                <w:snapToGrid/>
                <w:color w:val="FFFFFF" w:themeColor="background1"/>
                <w:sz w:val="18"/>
                <w:szCs w:val="18"/>
                <w:lang w:eastAsia="en-AU"/>
              </w:rPr>
            </w:pPr>
            <w:r w:rsidRPr="00240683">
              <w:rPr>
                <w:rFonts w:asciiTheme="majorHAnsi" w:hAnsiTheme="majorHAnsi" w:cstheme="minorHAnsi"/>
                <w:b/>
                <w:bCs/>
                <w:snapToGrid/>
                <w:color w:val="FFFFFF" w:themeColor="background1"/>
                <w:sz w:val="18"/>
                <w:szCs w:val="18"/>
                <w:lang w:eastAsia="en-AU"/>
              </w:rPr>
              <w:t>Applicants</w:t>
            </w:r>
          </w:p>
        </w:tc>
        <w:tc>
          <w:tcPr>
            <w:tcW w:w="1224" w:type="dxa"/>
            <w:shd w:val="clear" w:color="auto" w:fill="EA9595" w:themeFill="accent1" w:themeFillTint="66"/>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b/>
                <w:bCs/>
                <w:snapToGrid/>
                <w:color w:val="FFFFFF" w:themeColor="background1"/>
                <w:sz w:val="18"/>
                <w:szCs w:val="18"/>
                <w:lang w:eastAsia="en-AU"/>
              </w:rPr>
            </w:pPr>
            <w:r w:rsidRPr="00240683">
              <w:rPr>
                <w:rFonts w:asciiTheme="majorHAnsi" w:hAnsiTheme="majorHAnsi" w:cstheme="minorHAnsi"/>
                <w:b/>
                <w:bCs/>
                <w:snapToGrid/>
                <w:color w:val="FFFFFF" w:themeColor="background1"/>
                <w:sz w:val="18"/>
                <w:szCs w:val="18"/>
                <w:lang w:eastAsia="en-AU"/>
              </w:rPr>
              <w:t xml:space="preserve">Cumulative % of total funding </w:t>
            </w:r>
          </w:p>
        </w:tc>
      </w:tr>
      <w:tr w:rsidR="00EC6C74" w:rsidRPr="00240683" w:rsidTr="00E16FF2">
        <w:trPr>
          <w:cantSplit/>
          <w:trHeight w:val="300"/>
        </w:trPr>
        <w:tc>
          <w:tcPr>
            <w:tcW w:w="993"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center"/>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132,186,695</w:t>
            </w:r>
          </w:p>
        </w:tc>
        <w:tc>
          <w:tcPr>
            <w:tcW w:w="1224"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1</w:t>
            </w:r>
          </w:p>
        </w:tc>
        <w:tc>
          <w:tcPr>
            <w:tcW w:w="1328"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88.3</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21,760,586</w:t>
            </w:r>
          </w:p>
        </w:tc>
        <w:tc>
          <w:tcPr>
            <w:tcW w:w="1276"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72</w:t>
            </w:r>
          </w:p>
        </w:tc>
        <w:tc>
          <w:tcPr>
            <w:tcW w:w="1224"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14.7</w:t>
            </w:r>
          </w:p>
        </w:tc>
      </w:tr>
      <w:tr w:rsidR="00EC6C74" w:rsidRPr="00240683" w:rsidTr="00E16FF2">
        <w:trPr>
          <w:cantSplit/>
          <w:trHeight w:val="300"/>
        </w:trPr>
        <w:tc>
          <w:tcPr>
            <w:tcW w:w="993"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center"/>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2</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0</w:t>
            </w:r>
          </w:p>
        </w:tc>
        <w:tc>
          <w:tcPr>
            <w:tcW w:w="1224"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0</w:t>
            </w:r>
          </w:p>
        </w:tc>
        <w:tc>
          <w:tcPr>
            <w:tcW w:w="1328"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88.3</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31,552,519</w:t>
            </w:r>
          </w:p>
        </w:tc>
        <w:tc>
          <w:tcPr>
            <w:tcW w:w="1276"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120</w:t>
            </w:r>
          </w:p>
        </w:tc>
        <w:tc>
          <w:tcPr>
            <w:tcW w:w="1224"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36.1</w:t>
            </w:r>
          </w:p>
        </w:tc>
      </w:tr>
      <w:tr w:rsidR="00EC6C74" w:rsidRPr="00240683" w:rsidTr="00E16FF2">
        <w:trPr>
          <w:cantSplit/>
          <w:trHeight w:val="300"/>
        </w:trPr>
        <w:tc>
          <w:tcPr>
            <w:tcW w:w="993"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center"/>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3</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17,565,660</w:t>
            </w:r>
          </w:p>
        </w:tc>
        <w:tc>
          <w:tcPr>
            <w:tcW w:w="1224"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2</w:t>
            </w:r>
          </w:p>
        </w:tc>
        <w:tc>
          <w:tcPr>
            <w:tcW w:w="1328"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100.0</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30,715,764</w:t>
            </w:r>
          </w:p>
        </w:tc>
        <w:tc>
          <w:tcPr>
            <w:tcW w:w="1276"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94</w:t>
            </w:r>
          </w:p>
        </w:tc>
        <w:tc>
          <w:tcPr>
            <w:tcW w:w="1224"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56.9</w:t>
            </w:r>
          </w:p>
        </w:tc>
      </w:tr>
      <w:tr w:rsidR="00EC6C74" w:rsidRPr="00240683" w:rsidTr="00E16FF2">
        <w:trPr>
          <w:cantSplit/>
          <w:trHeight w:val="300"/>
        </w:trPr>
        <w:tc>
          <w:tcPr>
            <w:tcW w:w="993"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center"/>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4</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0</w:t>
            </w:r>
          </w:p>
        </w:tc>
        <w:tc>
          <w:tcPr>
            <w:tcW w:w="1224"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0</w:t>
            </w:r>
          </w:p>
        </w:tc>
        <w:tc>
          <w:tcPr>
            <w:tcW w:w="1328"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100.0</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15,130,308</w:t>
            </w:r>
          </w:p>
        </w:tc>
        <w:tc>
          <w:tcPr>
            <w:tcW w:w="1276"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42</w:t>
            </w:r>
          </w:p>
        </w:tc>
        <w:tc>
          <w:tcPr>
            <w:tcW w:w="1224"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67.2</w:t>
            </w:r>
          </w:p>
        </w:tc>
      </w:tr>
      <w:tr w:rsidR="00EC6C74" w:rsidRPr="00240683" w:rsidTr="00E16FF2">
        <w:trPr>
          <w:cantSplit/>
          <w:trHeight w:val="300"/>
        </w:trPr>
        <w:tc>
          <w:tcPr>
            <w:tcW w:w="993"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center"/>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5</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0</w:t>
            </w:r>
          </w:p>
        </w:tc>
        <w:tc>
          <w:tcPr>
            <w:tcW w:w="1224"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0</w:t>
            </w:r>
          </w:p>
        </w:tc>
        <w:tc>
          <w:tcPr>
            <w:tcW w:w="1328"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100.0</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20,444,548</w:t>
            </w:r>
          </w:p>
        </w:tc>
        <w:tc>
          <w:tcPr>
            <w:tcW w:w="1276"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52</w:t>
            </w:r>
          </w:p>
        </w:tc>
        <w:tc>
          <w:tcPr>
            <w:tcW w:w="1224"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81.0</w:t>
            </w:r>
          </w:p>
        </w:tc>
      </w:tr>
      <w:tr w:rsidR="00EC6C74" w:rsidRPr="00240683" w:rsidTr="00E16FF2">
        <w:trPr>
          <w:cantSplit/>
          <w:trHeight w:val="300"/>
        </w:trPr>
        <w:tc>
          <w:tcPr>
            <w:tcW w:w="993"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center"/>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6</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0</w:t>
            </w:r>
          </w:p>
        </w:tc>
        <w:tc>
          <w:tcPr>
            <w:tcW w:w="1224"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0</w:t>
            </w:r>
          </w:p>
        </w:tc>
        <w:tc>
          <w:tcPr>
            <w:tcW w:w="1328"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100.0</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11,468,600</w:t>
            </w:r>
          </w:p>
        </w:tc>
        <w:tc>
          <w:tcPr>
            <w:tcW w:w="1276"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25</w:t>
            </w:r>
          </w:p>
        </w:tc>
        <w:tc>
          <w:tcPr>
            <w:tcW w:w="1224"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88.8</w:t>
            </w:r>
          </w:p>
        </w:tc>
      </w:tr>
      <w:tr w:rsidR="00EC6C74" w:rsidRPr="00240683" w:rsidTr="00E16FF2">
        <w:trPr>
          <w:cantSplit/>
          <w:trHeight w:val="300"/>
        </w:trPr>
        <w:tc>
          <w:tcPr>
            <w:tcW w:w="993"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center"/>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7</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0</w:t>
            </w:r>
          </w:p>
        </w:tc>
        <w:tc>
          <w:tcPr>
            <w:tcW w:w="1224"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0</w:t>
            </w:r>
          </w:p>
        </w:tc>
        <w:tc>
          <w:tcPr>
            <w:tcW w:w="1328"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100.0</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5,533,553</w:t>
            </w:r>
          </w:p>
        </w:tc>
        <w:tc>
          <w:tcPr>
            <w:tcW w:w="1276"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17</w:t>
            </w:r>
          </w:p>
        </w:tc>
        <w:tc>
          <w:tcPr>
            <w:tcW w:w="1224"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92.5</w:t>
            </w:r>
          </w:p>
        </w:tc>
      </w:tr>
      <w:tr w:rsidR="00EC6C74" w:rsidRPr="00240683" w:rsidTr="00E16FF2">
        <w:trPr>
          <w:cantSplit/>
          <w:trHeight w:val="300"/>
        </w:trPr>
        <w:tc>
          <w:tcPr>
            <w:tcW w:w="993"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center"/>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8</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0</w:t>
            </w:r>
          </w:p>
        </w:tc>
        <w:tc>
          <w:tcPr>
            <w:tcW w:w="1224"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0</w:t>
            </w:r>
          </w:p>
        </w:tc>
        <w:tc>
          <w:tcPr>
            <w:tcW w:w="1328"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100.0</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3,246,930</w:t>
            </w:r>
          </w:p>
        </w:tc>
        <w:tc>
          <w:tcPr>
            <w:tcW w:w="1276"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10</w:t>
            </w:r>
          </w:p>
        </w:tc>
        <w:tc>
          <w:tcPr>
            <w:tcW w:w="1224"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94.7</w:t>
            </w:r>
          </w:p>
        </w:tc>
      </w:tr>
      <w:tr w:rsidR="00EC6C74" w:rsidRPr="00240683" w:rsidTr="00E16FF2">
        <w:trPr>
          <w:cantSplit/>
          <w:trHeight w:val="300"/>
        </w:trPr>
        <w:tc>
          <w:tcPr>
            <w:tcW w:w="993"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center"/>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9</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0</w:t>
            </w:r>
          </w:p>
        </w:tc>
        <w:tc>
          <w:tcPr>
            <w:tcW w:w="1224"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0</w:t>
            </w:r>
          </w:p>
        </w:tc>
        <w:tc>
          <w:tcPr>
            <w:tcW w:w="1328"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100.0</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6,547,296</w:t>
            </w:r>
          </w:p>
        </w:tc>
        <w:tc>
          <w:tcPr>
            <w:tcW w:w="1276"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12</w:t>
            </w:r>
          </w:p>
        </w:tc>
        <w:tc>
          <w:tcPr>
            <w:tcW w:w="1224"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99.2</w:t>
            </w:r>
          </w:p>
        </w:tc>
      </w:tr>
      <w:tr w:rsidR="00EC6C74" w:rsidRPr="00240683" w:rsidTr="00E16FF2">
        <w:trPr>
          <w:cantSplit/>
          <w:trHeight w:val="300"/>
        </w:trPr>
        <w:tc>
          <w:tcPr>
            <w:tcW w:w="993"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center"/>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10</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0</w:t>
            </w:r>
          </w:p>
        </w:tc>
        <w:tc>
          <w:tcPr>
            <w:tcW w:w="1224"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0</w:t>
            </w:r>
          </w:p>
        </w:tc>
        <w:tc>
          <w:tcPr>
            <w:tcW w:w="1328"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100.0</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161,186</w:t>
            </w:r>
          </w:p>
        </w:tc>
        <w:tc>
          <w:tcPr>
            <w:tcW w:w="1276"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1</w:t>
            </w:r>
          </w:p>
        </w:tc>
        <w:tc>
          <w:tcPr>
            <w:tcW w:w="1224"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99.3</w:t>
            </w:r>
          </w:p>
        </w:tc>
      </w:tr>
      <w:tr w:rsidR="00EC6C74" w:rsidRPr="00240683" w:rsidTr="00E16FF2">
        <w:trPr>
          <w:cantSplit/>
          <w:trHeight w:val="300"/>
        </w:trPr>
        <w:tc>
          <w:tcPr>
            <w:tcW w:w="993"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center"/>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11</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0</w:t>
            </w:r>
          </w:p>
        </w:tc>
        <w:tc>
          <w:tcPr>
            <w:tcW w:w="1224"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0</w:t>
            </w:r>
          </w:p>
        </w:tc>
        <w:tc>
          <w:tcPr>
            <w:tcW w:w="1328"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100.0</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369,833</w:t>
            </w:r>
          </w:p>
        </w:tc>
        <w:tc>
          <w:tcPr>
            <w:tcW w:w="1276"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2</w:t>
            </w:r>
          </w:p>
        </w:tc>
        <w:tc>
          <w:tcPr>
            <w:tcW w:w="1224"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99.5</w:t>
            </w:r>
          </w:p>
        </w:tc>
      </w:tr>
      <w:tr w:rsidR="00EC6C74" w:rsidRPr="00240683" w:rsidTr="00E16FF2">
        <w:trPr>
          <w:cantSplit/>
          <w:trHeight w:val="300"/>
        </w:trPr>
        <w:tc>
          <w:tcPr>
            <w:tcW w:w="993"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center"/>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12</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0</w:t>
            </w:r>
          </w:p>
        </w:tc>
        <w:tc>
          <w:tcPr>
            <w:tcW w:w="1224"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0</w:t>
            </w:r>
          </w:p>
        </w:tc>
        <w:tc>
          <w:tcPr>
            <w:tcW w:w="1328"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100.0</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323,458</w:t>
            </w:r>
          </w:p>
        </w:tc>
        <w:tc>
          <w:tcPr>
            <w:tcW w:w="1276"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2</w:t>
            </w:r>
          </w:p>
        </w:tc>
        <w:tc>
          <w:tcPr>
            <w:tcW w:w="1224"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99.7</w:t>
            </w:r>
          </w:p>
        </w:tc>
      </w:tr>
      <w:tr w:rsidR="00EC6C74" w:rsidRPr="00240683" w:rsidTr="00E16FF2">
        <w:trPr>
          <w:cantSplit/>
          <w:trHeight w:val="300"/>
        </w:trPr>
        <w:tc>
          <w:tcPr>
            <w:tcW w:w="993"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center"/>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13</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0</w:t>
            </w:r>
          </w:p>
        </w:tc>
        <w:tc>
          <w:tcPr>
            <w:tcW w:w="1224"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0</w:t>
            </w:r>
          </w:p>
        </w:tc>
        <w:tc>
          <w:tcPr>
            <w:tcW w:w="1328"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100.0</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373,563</w:t>
            </w:r>
          </w:p>
        </w:tc>
        <w:tc>
          <w:tcPr>
            <w:tcW w:w="1276" w:type="dxa"/>
            <w:shd w:val="clear" w:color="auto" w:fill="auto"/>
            <w:noWrap/>
            <w:tcMar>
              <w:left w:w="0" w:type="dxa"/>
              <w:right w:w="113" w:type="dxa"/>
            </w:tcMar>
            <w:vAlign w:val="center"/>
            <w:hideMark/>
          </w:tcPr>
          <w:p w:rsidR="00EC6C74" w:rsidRPr="00240683" w:rsidRDefault="00EC6C74" w:rsidP="009931ED">
            <w:pPr>
              <w:jc w:val="right"/>
              <w:rPr>
                <w:rFonts w:asciiTheme="majorHAnsi" w:hAnsiTheme="majorHAnsi" w:cstheme="minorHAnsi"/>
                <w:color w:val="000000"/>
                <w:sz w:val="18"/>
                <w:szCs w:val="18"/>
              </w:rPr>
            </w:pPr>
            <w:r w:rsidRPr="00240683">
              <w:rPr>
                <w:rFonts w:asciiTheme="majorHAnsi" w:hAnsiTheme="majorHAnsi" w:cstheme="minorHAnsi"/>
                <w:color w:val="000000"/>
                <w:sz w:val="18"/>
                <w:szCs w:val="18"/>
              </w:rPr>
              <w:t>1</w:t>
            </w:r>
          </w:p>
        </w:tc>
        <w:tc>
          <w:tcPr>
            <w:tcW w:w="1224"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100.0</w:t>
            </w:r>
          </w:p>
        </w:tc>
      </w:tr>
      <w:tr w:rsidR="00EC6C74" w:rsidRPr="00240683" w:rsidTr="00E16FF2">
        <w:trPr>
          <w:cantSplit/>
          <w:trHeight w:val="300"/>
        </w:trPr>
        <w:tc>
          <w:tcPr>
            <w:tcW w:w="993"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center"/>
              <w:rPr>
                <w:rFonts w:asciiTheme="majorHAnsi" w:hAnsiTheme="majorHAnsi" w:cstheme="minorHAnsi"/>
                <w:b/>
                <w:bCs/>
                <w:snapToGrid/>
                <w:color w:val="000000"/>
                <w:sz w:val="18"/>
                <w:szCs w:val="18"/>
                <w:lang w:eastAsia="en-AU"/>
              </w:rPr>
            </w:pPr>
            <w:r w:rsidRPr="00240683">
              <w:rPr>
                <w:rFonts w:asciiTheme="majorHAnsi" w:hAnsiTheme="majorHAnsi" w:cstheme="minorHAnsi"/>
                <w:b/>
                <w:bCs/>
                <w:snapToGrid/>
                <w:color w:val="000000"/>
                <w:sz w:val="18"/>
                <w:szCs w:val="18"/>
                <w:lang w:eastAsia="en-AU"/>
              </w:rPr>
              <w:t>Total</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b/>
                <w:bCs/>
                <w:snapToGrid/>
                <w:color w:val="000000"/>
                <w:sz w:val="18"/>
                <w:szCs w:val="18"/>
                <w:lang w:eastAsia="en-AU"/>
              </w:rPr>
            </w:pPr>
            <w:r w:rsidRPr="00240683">
              <w:rPr>
                <w:rFonts w:asciiTheme="majorHAnsi" w:hAnsiTheme="majorHAnsi" w:cstheme="minorHAnsi"/>
                <w:b/>
                <w:bCs/>
                <w:snapToGrid/>
                <w:color w:val="000000"/>
                <w:sz w:val="18"/>
                <w:szCs w:val="18"/>
                <w:lang w:eastAsia="en-AU"/>
              </w:rPr>
              <w:t>149,752,355</w:t>
            </w:r>
          </w:p>
        </w:tc>
        <w:tc>
          <w:tcPr>
            <w:tcW w:w="1224"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b/>
                <w:bCs/>
                <w:snapToGrid/>
                <w:color w:val="000000"/>
                <w:sz w:val="18"/>
                <w:szCs w:val="18"/>
                <w:lang w:eastAsia="en-AU"/>
              </w:rPr>
            </w:pPr>
            <w:r w:rsidRPr="00240683">
              <w:rPr>
                <w:rFonts w:asciiTheme="majorHAnsi" w:hAnsiTheme="majorHAnsi" w:cstheme="minorHAnsi"/>
                <w:b/>
                <w:bCs/>
                <w:snapToGrid/>
                <w:color w:val="000000"/>
                <w:sz w:val="18"/>
                <w:szCs w:val="18"/>
                <w:lang w:eastAsia="en-AU"/>
              </w:rPr>
              <w:t>3</w:t>
            </w:r>
          </w:p>
        </w:tc>
        <w:tc>
          <w:tcPr>
            <w:tcW w:w="1328"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 </w:t>
            </w:r>
          </w:p>
        </w:tc>
        <w:tc>
          <w:tcPr>
            <w:tcW w:w="1417"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b/>
                <w:bCs/>
                <w:snapToGrid/>
                <w:color w:val="000000"/>
                <w:sz w:val="18"/>
                <w:szCs w:val="18"/>
                <w:lang w:eastAsia="en-AU"/>
              </w:rPr>
            </w:pPr>
            <w:r w:rsidRPr="00240683">
              <w:rPr>
                <w:rFonts w:asciiTheme="majorHAnsi" w:hAnsiTheme="majorHAnsi" w:cstheme="minorHAnsi"/>
                <w:b/>
                <w:bCs/>
                <w:snapToGrid/>
                <w:color w:val="000000"/>
                <w:sz w:val="18"/>
                <w:szCs w:val="18"/>
                <w:lang w:eastAsia="en-AU"/>
              </w:rPr>
              <w:t>147,628,145</w:t>
            </w:r>
          </w:p>
        </w:tc>
        <w:tc>
          <w:tcPr>
            <w:tcW w:w="1276"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b/>
                <w:bCs/>
                <w:snapToGrid/>
                <w:color w:val="000000"/>
                <w:sz w:val="18"/>
                <w:szCs w:val="18"/>
                <w:lang w:eastAsia="en-AU"/>
              </w:rPr>
            </w:pPr>
            <w:r w:rsidRPr="00240683">
              <w:rPr>
                <w:rFonts w:asciiTheme="majorHAnsi" w:hAnsiTheme="majorHAnsi" w:cstheme="minorHAnsi"/>
                <w:b/>
                <w:bCs/>
                <w:snapToGrid/>
                <w:color w:val="000000"/>
                <w:sz w:val="18"/>
                <w:szCs w:val="18"/>
                <w:lang w:eastAsia="en-AU"/>
              </w:rPr>
              <w:t>450</w:t>
            </w:r>
          </w:p>
        </w:tc>
        <w:tc>
          <w:tcPr>
            <w:tcW w:w="1224" w:type="dxa"/>
            <w:shd w:val="clear" w:color="auto" w:fill="auto"/>
            <w:noWrap/>
            <w:tcMar>
              <w:left w:w="0" w:type="dxa"/>
              <w:right w:w="113" w:type="dxa"/>
            </w:tcMar>
            <w:vAlign w:val="center"/>
            <w:hideMark/>
          </w:tcPr>
          <w:p w:rsidR="00EC6C74" w:rsidRPr="00240683" w:rsidRDefault="00EC6C74" w:rsidP="009931ED">
            <w:pPr>
              <w:kinsoku/>
              <w:overflowPunct/>
              <w:autoSpaceDE/>
              <w:autoSpaceDN/>
              <w:adjustRightInd/>
              <w:snapToGrid/>
              <w:jc w:val="right"/>
              <w:rPr>
                <w:rFonts w:asciiTheme="majorHAnsi" w:hAnsiTheme="majorHAnsi" w:cstheme="minorHAnsi"/>
                <w:snapToGrid/>
                <w:color w:val="000000"/>
                <w:sz w:val="18"/>
                <w:szCs w:val="18"/>
                <w:lang w:eastAsia="en-AU"/>
              </w:rPr>
            </w:pPr>
            <w:r w:rsidRPr="00240683">
              <w:rPr>
                <w:rFonts w:asciiTheme="majorHAnsi" w:hAnsiTheme="majorHAnsi" w:cstheme="minorHAnsi"/>
                <w:snapToGrid/>
                <w:color w:val="000000"/>
                <w:sz w:val="18"/>
                <w:szCs w:val="18"/>
                <w:lang w:eastAsia="en-AU"/>
              </w:rPr>
              <w:t> </w:t>
            </w:r>
          </w:p>
        </w:tc>
      </w:tr>
    </w:tbl>
    <w:p w:rsidR="00EC6C74" w:rsidRDefault="00EC6C74" w:rsidP="00EC6C74">
      <w:pPr>
        <w:pStyle w:val="PwCNormal"/>
        <w:numPr>
          <w:ilvl w:val="0"/>
          <w:numId w:val="0"/>
        </w:numPr>
        <w:rPr>
          <w:sz w:val="16"/>
        </w:rPr>
      </w:pPr>
      <w:r w:rsidRPr="00B90E9A">
        <w:rPr>
          <w:sz w:val="16"/>
        </w:rPr>
        <w:t>Source: EYQF application data provided by the Department</w:t>
      </w:r>
    </w:p>
    <w:p w:rsidR="00B358FE" w:rsidRDefault="00B358FE" w:rsidP="00EC6C74">
      <w:pPr>
        <w:pStyle w:val="PwCNormal"/>
        <w:numPr>
          <w:ilvl w:val="0"/>
          <w:numId w:val="0"/>
        </w:numPr>
        <w:rPr>
          <w:sz w:val="16"/>
        </w:rPr>
      </w:pPr>
    </w:p>
    <w:p w:rsidR="00B358FE" w:rsidRDefault="00B358FE" w:rsidP="00EC6C74">
      <w:pPr>
        <w:pStyle w:val="PwCNormal"/>
        <w:numPr>
          <w:ilvl w:val="0"/>
          <w:numId w:val="0"/>
        </w:numPr>
        <w:rPr>
          <w:sz w:val="16"/>
        </w:rPr>
      </w:pPr>
    </w:p>
    <w:p w:rsidR="00B358FE" w:rsidRPr="00B90E9A" w:rsidRDefault="00B358FE" w:rsidP="00EC6C74">
      <w:pPr>
        <w:pStyle w:val="PwCNormal"/>
        <w:numPr>
          <w:ilvl w:val="0"/>
          <w:numId w:val="0"/>
        </w:numPr>
        <w:rPr>
          <w:sz w:val="16"/>
        </w:rPr>
      </w:pPr>
    </w:p>
    <w:p w:rsidR="00EC6C74" w:rsidRDefault="00EC6C74" w:rsidP="00EC6C74">
      <w:pPr>
        <w:pStyle w:val="Heading7"/>
      </w:pPr>
      <w:r>
        <w:lastRenderedPageBreak/>
        <w:t>Assessment process</w:t>
      </w:r>
    </w:p>
    <w:p w:rsidR="00EC6C74" w:rsidRPr="00DC4118" w:rsidRDefault="00EC6C74" w:rsidP="00EC6C74">
      <w:pPr>
        <w:pStyle w:val="PwCNormal"/>
        <w:numPr>
          <w:ilvl w:val="0"/>
          <w:numId w:val="0"/>
        </w:numPr>
      </w:pPr>
      <w:r w:rsidRPr="00DC4118">
        <w:t xml:space="preserve">The </w:t>
      </w:r>
      <w:r>
        <w:t xml:space="preserve">process involved the assessment of </w:t>
      </w:r>
      <w:r w:rsidR="00716335">
        <w:t xml:space="preserve">received </w:t>
      </w:r>
      <w:r>
        <w:t>EYQF applica</w:t>
      </w:r>
      <w:r w:rsidR="00716335">
        <w:t>tions against criteria outlined</w:t>
      </w:r>
      <w:r>
        <w:t xml:space="preserve"> in the </w:t>
      </w:r>
      <w:r w:rsidR="00716335">
        <w:t>Program G</w:t>
      </w:r>
      <w:r>
        <w:t>uidelines. As discussed, applications were asses</w:t>
      </w:r>
      <w:r w:rsidR="00716335">
        <w:t xml:space="preserve">sed on a </w:t>
      </w:r>
      <w:r w:rsidR="00040036">
        <w:t>‘</w:t>
      </w:r>
      <w:r w:rsidR="00716335">
        <w:t>first in-first served</w:t>
      </w:r>
      <w:r w:rsidR="00040036">
        <w:t>’</w:t>
      </w:r>
      <w:r>
        <w:t xml:space="preserve"> basis</w:t>
      </w:r>
      <w:r w:rsidR="00716335">
        <w:t>, such that applications received after the $300 million funding cap was reached were not assessed.</w:t>
      </w:r>
      <w:r w:rsidR="00FC1B7B">
        <w:t xml:space="preserve"> </w:t>
      </w:r>
      <w:r>
        <w:t>These guidelines were developed</w:t>
      </w:r>
      <w:r w:rsidRPr="00DC4118">
        <w:t xml:space="preserve"> in conjunction with ap</w:t>
      </w:r>
      <w:r>
        <w:t>plication forms and guidelines.</w:t>
      </w:r>
    </w:p>
    <w:p w:rsidR="00EC6C74" w:rsidRPr="00DC4118" w:rsidRDefault="00EC6C74" w:rsidP="00EC6C74">
      <w:pPr>
        <w:pStyle w:val="PwCNormal"/>
        <w:numPr>
          <w:ilvl w:val="0"/>
          <w:numId w:val="0"/>
        </w:numPr>
      </w:pPr>
      <w:r w:rsidRPr="00DC4118">
        <w:t xml:space="preserve">Tight timeframes were imposed on the assessment team. </w:t>
      </w:r>
      <w:r w:rsidR="007E11DB">
        <w:t>A</w:t>
      </w:r>
      <w:r w:rsidRPr="00DC4118">
        <w:t xml:space="preserve">pplications opened </w:t>
      </w:r>
      <w:r w:rsidR="007E11DB">
        <w:t>at</w:t>
      </w:r>
      <w:r w:rsidRPr="000A20D0">
        <w:t xml:space="preserve"> 11am </w:t>
      </w:r>
      <w:r w:rsidR="007E11DB">
        <w:t xml:space="preserve">AEST </w:t>
      </w:r>
      <w:r w:rsidRPr="000A20D0">
        <w:t>on Tuesday 23 July 2013, and assessments w</w:t>
      </w:r>
      <w:r>
        <w:t xml:space="preserve">ere </w:t>
      </w:r>
      <w:r w:rsidR="007E11DB">
        <w:t>undertaken</w:t>
      </w:r>
      <w:r>
        <w:t xml:space="preserve"> </w:t>
      </w:r>
      <w:r w:rsidR="007E11DB">
        <w:t>until the total of approved applications reached the $300 million funding cap, which was on Friday 26 July</w:t>
      </w:r>
      <w:r w:rsidR="00596B47">
        <w:t xml:space="preserve"> 2013</w:t>
      </w:r>
      <w:r w:rsidR="007E11DB">
        <w:t xml:space="preserve">. </w:t>
      </w:r>
    </w:p>
    <w:p w:rsidR="00EC6C74" w:rsidRDefault="00EC6C74" w:rsidP="00EC6C74">
      <w:pPr>
        <w:pStyle w:val="PwCNormal"/>
        <w:numPr>
          <w:ilvl w:val="0"/>
          <w:numId w:val="0"/>
        </w:numPr>
      </w:pPr>
      <w:r w:rsidRPr="00DC4118">
        <w:t>The Department rec</w:t>
      </w:r>
      <w:r>
        <w:t>ruited external staff to assist internal Departmental staff with the assessment process to ensure it could be completed within the tight timeframe. According to the Department, there were n</w:t>
      </w:r>
      <w:r w:rsidR="007E11DB">
        <w:t>ine internal staff members and 13</w:t>
      </w:r>
      <w:r>
        <w:t xml:space="preserve"> external staff members assessing the applications.</w:t>
      </w:r>
      <w:r>
        <w:rPr>
          <w:rStyle w:val="FootnoteReference"/>
        </w:rPr>
        <w:footnoteReference w:id="22"/>
      </w:r>
      <w:r>
        <w:t xml:space="preserve"> External </w:t>
      </w:r>
      <w:proofErr w:type="gramStart"/>
      <w:r>
        <w:t>staff w</w:t>
      </w:r>
      <w:r w:rsidR="00FB190C">
        <w:t>ere</w:t>
      </w:r>
      <w:proofErr w:type="gramEnd"/>
      <w:r>
        <w:t xml:space="preserve"> trained </w:t>
      </w:r>
      <w:r w:rsidRPr="00DC4118">
        <w:t>by experienced staff from the Department</w:t>
      </w:r>
      <w:r>
        <w:t xml:space="preserve"> over the course of one day. </w:t>
      </w:r>
    </w:p>
    <w:p w:rsidR="00EC6C74" w:rsidRDefault="00EC6C74" w:rsidP="00EC6C74">
      <w:pPr>
        <w:pStyle w:val="PwCNormal"/>
      </w:pPr>
      <w:r>
        <w:t>Based on PwC’s understanding of the assessment process and on evidence gathered from consultations with internal Departmental assessors, the assessment process appeared to:</w:t>
      </w:r>
    </w:p>
    <w:p w:rsidR="00EC6C74" w:rsidRDefault="00800C24" w:rsidP="00AD51E5">
      <w:pPr>
        <w:pStyle w:val="PwCNormal"/>
        <w:numPr>
          <w:ilvl w:val="0"/>
          <w:numId w:val="29"/>
        </w:numPr>
      </w:pPr>
      <w:proofErr w:type="gramStart"/>
      <w:r>
        <w:t>be</w:t>
      </w:r>
      <w:proofErr w:type="gramEnd"/>
      <w:r w:rsidR="00EC6C74">
        <w:t xml:space="preserve"> ‘objective’ – the assessment of</w:t>
      </w:r>
      <w:r w:rsidR="00716335">
        <w:t xml:space="preserve"> applications was based on discr</w:t>
      </w:r>
      <w:r w:rsidR="00EC6C74">
        <w:t>ete criteria with limited subjectivity which limited the risk of inconsistent assessments . For example</w:t>
      </w:r>
      <w:r w:rsidR="00040036">
        <w:t>,</w:t>
      </w:r>
      <w:r w:rsidR="00EC6C74">
        <w:t xml:space="preserve"> assessors were asked to determine whether an applicant was CCB approved.</w:t>
      </w:r>
    </w:p>
    <w:p w:rsidR="00EC6C74" w:rsidRDefault="00EC6C74" w:rsidP="00AD51E5">
      <w:pPr>
        <w:pStyle w:val="PwCNormal"/>
        <w:numPr>
          <w:ilvl w:val="0"/>
          <w:numId w:val="29"/>
        </w:numPr>
      </w:pPr>
      <w:r>
        <w:t xml:space="preserve">have sufficient quality assurance measures to mitigate the </w:t>
      </w:r>
      <w:r w:rsidR="00B358FE">
        <w:t xml:space="preserve">risk of inaccurate assessments, </w:t>
      </w:r>
      <w:r>
        <w:t>while using external staff to assess applications may appear risky and error prone, PwC notes that the Department attempted to mitigate the risk of assessment errors by:</w:t>
      </w:r>
    </w:p>
    <w:p w:rsidR="00EC6C74" w:rsidRDefault="00EC6C74" w:rsidP="00EC6C74">
      <w:pPr>
        <w:pStyle w:val="ListBullet2"/>
      </w:pPr>
      <w:r>
        <w:t>conducting quali</w:t>
      </w:r>
      <w:r w:rsidR="007E11DB">
        <w:t xml:space="preserve">ty assurance on 20 per cent of </w:t>
      </w:r>
      <w:r>
        <w:t>applications</w:t>
      </w:r>
      <w:r>
        <w:rPr>
          <w:rStyle w:val="FootnoteReference"/>
        </w:rPr>
        <w:footnoteReference w:id="23"/>
      </w:r>
    </w:p>
    <w:p w:rsidR="00EC6C74" w:rsidRDefault="00EC6C74" w:rsidP="00EC6C74">
      <w:pPr>
        <w:pStyle w:val="ListBullet2"/>
      </w:pPr>
      <w:r>
        <w:t>allocating more complex applications to more experienced internal assessors</w:t>
      </w:r>
    </w:p>
    <w:p w:rsidR="00EC6C74" w:rsidRDefault="00EC6C74" w:rsidP="00EC6C74">
      <w:pPr>
        <w:pStyle w:val="ListBullet2"/>
      </w:pPr>
      <w:proofErr w:type="gramStart"/>
      <w:r>
        <w:t>providing</w:t>
      </w:r>
      <w:proofErr w:type="gramEnd"/>
      <w:r>
        <w:t xml:space="preserve"> avenues for external staff to check applications with more experienced staff.</w:t>
      </w:r>
    </w:p>
    <w:p w:rsidR="00EC6C74" w:rsidRDefault="00EC6C74" w:rsidP="00EC6C74">
      <w:pPr>
        <w:pStyle w:val="PwCNormal"/>
      </w:pPr>
      <w:r>
        <w:t xml:space="preserve">Despite the completion of the assessment process in the short timeframe, </w:t>
      </w:r>
      <w:r w:rsidR="00716335">
        <w:t xml:space="preserve">no evidence has been presented that </w:t>
      </w:r>
      <w:r>
        <w:t>suggest</w:t>
      </w:r>
      <w:r w:rsidR="00716335">
        <w:t>s</w:t>
      </w:r>
      <w:r>
        <w:t xml:space="preserve"> this </w:t>
      </w:r>
      <w:r w:rsidR="00716335">
        <w:t>impacted on the assessment of received applications</w:t>
      </w:r>
      <w:r>
        <w:t>.</w:t>
      </w:r>
    </w:p>
    <w:p w:rsidR="006475EE" w:rsidRDefault="006475EE" w:rsidP="007F0F1B">
      <w:pPr>
        <w:pStyle w:val="Heading2"/>
      </w:pPr>
      <w:bookmarkStart w:id="50" w:name="_Toc372100978"/>
      <w:r>
        <w:lastRenderedPageBreak/>
        <w:t>Outcomes of EYQF grants process</w:t>
      </w:r>
      <w:bookmarkEnd w:id="50"/>
    </w:p>
    <w:p w:rsidR="00424718" w:rsidRDefault="00424718" w:rsidP="00424718">
      <w:pPr>
        <w:pStyle w:val="PwCNormal"/>
      </w:pPr>
      <w:r>
        <w:t xml:space="preserve">The distribution of </w:t>
      </w:r>
      <w:r w:rsidR="00F3765C">
        <w:t>providers that were given conditional offers of funding</w:t>
      </w:r>
      <w:r>
        <w:t xml:space="preserve"> </w:t>
      </w:r>
      <w:r w:rsidR="002E55A6">
        <w:t xml:space="preserve">is </w:t>
      </w:r>
      <w:r>
        <w:t>an important outcome of the implementation process of the EYQF. Analysis of this distribution is necessary to determine the extent to which the implementation process was successful in achieving the stated policy outcomes</w:t>
      </w:r>
      <w:r w:rsidRPr="00FE26D6">
        <w:t>.</w:t>
      </w:r>
    </w:p>
    <w:p w:rsidR="00424718" w:rsidRDefault="00424718" w:rsidP="00424718">
      <w:pPr>
        <w:pStyle w:val="PwCNormal"/>
      </w:pPr>
      <w:r>
        <w:t>PwC has examined the distribution of funding with regard to:</w:t>
      </w:r>
    </w:p>
    <w:p w:rsidR="00424718" w:rsidRDefault="00424718" w:rsidP="00424718">
      <w:pPr>
        <w:pStyle w:val="PwCNormal"/>
        <w:numPr>
          <w:ilvl w:val="0"/>
          <w:numId w:val="29"/>
        </w:numPr>
      </w:pPr>
      <w:r>
        <w:t>whether applicants were already meeting the staff qualification requirements</w:t>
      </w:r>
    </w:p>
    <w:p w:rsidR="00424718" w:rsidRDefault="00424718" w:rsidP="00424718">
      <w:pPr>
        <w:pStyle w:val="PwCNormal"/>
        <w:numPr>
          <w:ilvl w:val="0"/>
          <w:numId w:val="29"/>
        </w:numPr>
      </w:pPr>
      <w:r>
        <w:t>whether applicants</w:t>
      </w:r>
      <w:r w:rsidR="00F3765C">
        <w:t xml:space="preserve"> indicated they</w:t>
      </w:r>
      <w:r>
        <w:t xml:space="preserve"> require an ECT</w:t>
      </w:r>
    </w:p>
    <w:p w:rsidR="00424718" w:rsidRDefault="00424718" w:rsidP="00424718">
      <w:pPr>
        <w:pStyle w:val="PwCNormal"/>
        <w:numPr>
          <w:ilvl w:val="0"/>
          <w:numId w:val="29"/>
        </w:numPr>
      </w:pPr>
      <w:proofErr w:type="gramStart"/>
      <w:r>
        <w:t>the</w:t>
      </w:r>
      <w:proofErr w:type="gramEnd"/>
      <w:r>
        <w:t xml:space="preserve"> geographic distribution, as PwC understands that the greatest need for support exists in services located in regional and remote locations.</w:t>
      </w:r>
    </w:p>
    <w:p w:rsidR="00424718" w:rsidRPr="0073061E" w:rsidRDefault="00424718" w:rsidP="00424718">
      <w:pPr>
        <w:pStyle w:val="PwCNormal"/>
        <w:numPr>
          <w:ilvl w:val="0"/>
          <w:numId w:val="0"/>
        </w:numPr>
      </w:pPr>
      <w:r>
        <w:t xml:space="preserve">As of 25 September 2013, 1,027 unique applications </w:t>
      </w:r>
      <w:r w:rsidR="002E55A6">
        <w:t xml:space="preserve">were submitted by </w:t>
      </w:r>
      <w:r>
        <w:t>LDC</w:t>
      </w:r>
      <w:r w:rsidR="002E55A6">
        <w:t xml:space="preserve"> providers</w:t>
      </w:r>
      <w:r>
        <w:t>.</w:t>
      </w:r>
    </w:p>
    <w:p w:rsidR="00424718" w:rsidRDefault="00424718" w:rsidP="00424718">
      <w:pPr>
        <w:pStyle w:val="PwCNormal"/>
        <w:numPr>
          <w:ilvl w:val="0"/>
          <w:numId w:val="29"/>
        </w:numPr>
      </w:pPr>
      <w:r>
        <w:t>453 letters of offer</w:t>
      </w:r>
      <w:r w:rsidR="00F3765C">
        <w:t xml:space="preserve"> for conditional funding were sent</w:t>
      </w:r>
      <w:r>
        <w:t xml:space="preserve"> </w:t>
      </w:r>
      <w:r w:rsidR="00B12373">
        <w:t xml:space="preserve">between </w:t>
      </w:r>
      <w:r>
        <w:t>26 July</w:t>
      </w:r>
      <w:r w:rsidR="00B12373">
        <w:t xml:space="preserve"> and 2 August</w:t>
      </w:r>
      <w:r>
        <w:t xml:space="preserve"> 2013.</w:t>
      </w:r>
    </w:p>
    <w:p w:rsidR="00424718" w:rsidRDefault="00424718" w:rsidP="00424718">
      <w:pPr>
        <w:pStyle w:val="PwCNormal"/>
        <w:numPr>
          <w:ilvl w:val="0"/>
          <w:numId w:val="29"/>
        </w:numPr>
      </w:pPr>
      <w:r>
        <w:t>12 Funding Agreements were signed and executed on 6 September 2013.</w:t>
      </w:r>
    </w:p>
    <w:p w:rsidR="00424718" w:rsidRDefault="00424718" w:rsidP="00424718">
      <w:pPr>
        <w:pStyle w:val="PwCNormal"/>
        <w:numPr>
          <w:ilvl w:val="0"/>
          <w:numId w:val="29"/>
        </w:numPr>
      </w:pPr>
      <w:r>
        <w:t>Of the remaining 574 applications, 29 were assessed as non-compliant.</w:t>
      </w:r>
    </w:p>
    <w:p w:rsidR="00424718" w:rsidRDefault="00424718" w:rsidP="00424718">
      <w:pPr>
        <w:pStyle w:val="PwCNormal"/>
        <w:numPr>
          <w:ilvl w:val="0"/>
          <w:numId w:val="29"/>
        </w:numPr>
      </w:pPr>
      <w:r>
        <w:t xml:space="preserve">Therefore, there are 545 eligible and compliant applicants that were not </w:t>
      </w:r>
      <w:r w:rsidR="00847976">
        <w:t xml:space="preserve">given conditional offers of funding for </w:t>
      </w:r>
      <w:r>
        <w:t>the $300 million pool.</w:t>
      </w:r>
    </w:p>
    <w:p w:rsidR="00251324" w:rsidRPr="006475EE" w:rsidRDefault="00251324" w:rsidP="00251324">
      <w:pPr>
        <w:pStyle w:val="ListBullet"/>
        <w:numPr>
          <w:ilvl w:val="0"/>
          <w:numId w:val="0"/>
        </w:numPr>
      </w:pPr>
      <w:r>
        <w:t>The Program Guidelines state that advice would be provided to the sector as soon as possible when the funding cap had been reached. Documentation provided by the Department included a statement for public release that was drafted regarding the funding cap. However, this statement was not released</w:t>
      </w:r>
      <w:r w:rsidR="008F3AE8">
        <w:t xml:space="preserve"> and resulted in applications continuing to be received after 26 July</w:t>
      </w:r>
      <w:r w:rsidR="00FC1B7B">
        <w:t xml:space="preserve"> 2013</w:t>
      </w:r>
      <w:r w:rsidR="008F3AE8">
        <w:t xml:space="preserve"> when it was known that the cap had been</w:t>
      </w:r>
      <w:r w:rsidR="00FC1B7B">
        <w:t xml:space="preserve"> reached.</w:t>
      </w:r>
    </w:p>
    <w:p w:rsidR="00424718" w:rsidRDefault="00424718" w:rsidP="00424718">
      <w:pPr>
        <w:pStyle w:val="ListBullet"/>
        <w:numPr>
          <w:ilvl w:val="0"/>
          <w:numId w:val="0"/>
        </w:numPr>
      </w:pPr>
      <w:r>
        <w:t>PwC notes that</w:t>
      </w:r>
      <w:r w:rsidR="002B6B83">
        <w:t xml:space="preserve"> Federal election</w:t>
      </w:r>
      <w:r>
        <w:t xml:space="preserve"> caretaker period commenced on 5 August 2013.</w:t>
      </w:r>
    </w:p>
    <w:p w:rsidR="00424718" w:rsidRDefault="00424718" w:rsidP="00424718">
      <w:pPr>
        <w:pStyle w:val="Heading7"/>
      </w:pPr>
      <w:r>
        <w:t xml:space="preserve">Analysis of the distribution of </w:t>
      </w:r>
      <w:r w:rsidR="00F3765C">
        <w:t>funding</w:t>
      </w:r>
    </w:p>
    <w:p w:rsidR="00424718" w:rsidRDefault="00424718" w:rsidP="00424718">
      <w:pPr>
        <w:pStyle w:val="PwCNormal"/>
        <w:numPr>
          <w:ilvl w:val="0"/>
          <w:numId w:val="0"/>
        </w:numPr>
      </w:pPr>
      <w:r>
        <w:t xml:space="preserve">PwC analysed data provided by the Department on those providers whose applications </w:t>
      </w:r>
      <w:r w:rsidR="00F3765C">
        <w:t>met the assessment criteria</w:t>
      </w:r>
      <w:r>
        <w:t>. A</w:t>
      </w:r>
      <w:r w:rsidRPr="008D362B">
        <w:t xml:space="preserve"> total of $297.4</w:t>
      </w:r>
      <w:r w:rsidR="002B6B83">
        <w:t xml:space="preserve"> </w:t>
      </w:r>
      <w:r w:rsidRPr="008D362B">
        <w:t>m</w:t>
      </w:r>
      <w:r w:rsidR="002B6B83">
        <w:t>illion</w:t>
      </w:r>
      <w:r w:rsidRPr="008D362B">
        <w:t xml:space="preserve"> was allocated to providers</w:t>
      </w:r>
      <w:r>
        <w:t xml:space="preserve">. </w:t>
      </w:r>
    </w:p>
    <w:p w:rsidR="00F6748D" w:rsidRDefault="00F6748D" w:rsidP="00424718">
      <w:pPr>
        <w:pStyle w:val="PwCNormal"/>
        <w:numPr>
          <w:ilvl w:val="0"/>
          <w:numId w:val="0"/>
        </w:numPr>
      </w:pPr>
      <w:r>
        <w:t xml:space="preserve">As </w:t>
      </w:r>
      <w:r w:rsidR="00B7496F">
        <w:t>shown in</w:t>
      </w:r>
      <w:r>
        <w:t xml:space="preserve"> </w:t>
      </w:r>
      <w:r w:rsidR="002554AA">
        <w:fldChar w:fldCharType="begin"/>
      </w:r>
      <w:r>
        <w:instrText xml:space="preserve"> REF _Ref370836389 \h </w:instrText>
      </w:r>
      <w:r w:rsidR="002554AA">
        <w:fldChar w:fldCharType="separate"/>
      </w:r>
      <w:r w:rsidR="000B2006">
        <w:t xml:space="preserve">Table </w:t>
      </w:r>
      <w:r w:rsidR="000B2006">
        <w:rPr>
          <w:noProof/>
        </w:rPr>
        <w:t>2</w:t>
      </w:r>
      <w:r w:rsidR="002554AA">
        <w:fldChar w:fldCharType="end"/>
      </w:r>
      <w:r>
        <w:t xml:space="preserve"> below, 20.3 </w:t>
      </w:r>
      <w:r w:rsidRPr="00B42DD9">
        <w:t>per cent</w:t>
      </w:r>
      <w:r>
        <w:t xml:space="preserve"> of LDC services w</w:t>
      </w:r>
      <w:r w:rsidR="00F3765C">
        <w:t>ould benefit under the</w:t>
      </w:r>
      <w:r>
        <w:t xml:space="preserve"> EYQF. Th</w:t>
      </w:r>
      <w:r w:rsidR="00B7496F">
        <w:t xml:space="preserve">ese services represent </w:t>
      </w:r>
      <w:r w:rsidRPr="00B42DD9">
        <w:t>30.5 per cent</w:t>
      </w:r>
      <w:r>
        <w:t xml:space="preserve"> of</w:t>
      </w:r>
      <w:r w:rsidR="00B7496F">
        <w:t xml:space="preserve"> the total</w:t>
      </w:r>
      <w:r>
        <w:t xml:space="preserve"> LDC workforce </w:t>
      </w:r>
      <w:r w:rsidR="00B7496F">
        <w:t>and</w:t>
      </w:r>
      <w:r>
        <w:t xml:space="preserve"> 16 </w:t>
      </w:r>
      <w:r w:rsidRPr="00B42DD9">
        <w:t>per cent</w:t>
      </w:r>
      <w:r w:rsidR="00B7496F">
        <w:t xml:space="preserve"> of the total ECEC workforce</w:t>
      </w:r>
      <w:r>
        <w:t>.</w:t>
      </w:r>
    </w:p>
    <w:p w:rsidR="00F6748D" w:rsidRDefault="00F6748D" w:rsidP="00F6748D">
      <w:pPr>
        <w:pStyle w:val="Caption"/>
      </w:pPr>
      <w:bookmarkStart w:id="51" w:name="_Ref370836389"/>
      <w:r>
        <w:t xml:space="preserve">Table </w:t>
      </w:r>
      <w:r w:rsidR="002554AA">
        <w:fldChar w:fldCharType="begin"/>
      </w:r>
      <w:r w:rsidR="00D76309">
        <w:instrText xml:space="preserve"> SEQ Table \* ARABIC </w:instrText>
      </w:r>
      <w:r w:rsidR="002554AA">
        <w:fldChar w:fldCharType="separate"/>
      </w:r>
      <w:r w:rsidR="000B2006">
        <w:rPr>
          <w:noProof/>
        </w:rPr>
        <w:t>2</w:t>
      </w:r>
      <w:r w:rsidR="002554AA">
        <w:rPr>
          <w:noProof/>
        </w:rPr>
        <w:fldChar w:fldCharType="end"/>
      </w:r>
      <w:bookmarkEnd w:id="51"/>
      <w:r>
        <w:t>: Coverage of the sector</w:t>
      </w:r>
    </w:p>
    <w:tbl>
      <w:tblPr>
        <w:tblW w:w="7088"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0"/>
        <w:gridCol w:w="2025"/>
        <w:gridCol w:w="1843"/>
      </w:tblGrid>
      <w:tr w:rsidR="00F6748D" w:rsidRPr="00B7496F" w:rsidTr="00B7496F">
        <w:trPr>
          <w:trHeight w:val="255"/>
        </w:trPr>
        <w:tc>
          <w:tcPr>
            <w:tcW w:w="3220" w:type="dxa"/>
            <w:shd w:val="clear" w:color="auto" w:fill="A32020" w:themeFill="accent1"/>
            <w:noWrap/>
            <w:vAlign w:val="center"/>
            <w:hideMark/>
          </w:tcPr>
          <w:p w:rsidR="00F6748D" w:rsidRPr="00B7496F" w:rsidRDefault="00F6748D" w:rsidP="00F6748D">
            <w:pPr>
              <w:pStyle w:val="Arial"/>
              <w:rPr>
                <w:rFonts w:asciiTheme="majorHAnsi" w:hAnsiTheme="majorHAnsi" w:cstheme="minorHAnsi"/>
                <w:b/>
                <w:bCs/>
                <w:color w:val="FFFFFF" w:themeColor="background1"/>
              </w:rPr>
            </w:pPr>
          </w:p>
        </w:tc>
        <w:tc>
          <w:tcPr>
            <w:tcW w:w="2025" w:type="dxa"/>
            <w:shd w:val="clear" w:color="auto" w:fill="A32020" w:themeFill="accent1"/>
            <w:noWrap/>
            <w:vAlign w:val="center"/>
            <w:hideMark/>
          </w:tcPr>
          <w:p w:rsidR="00F6748D" w:rsidRPr="00B7496F" w:rsidRDefault="00B7496F" w:rsidP="00E16FF2">
            <w:pPr>
              <w:pStyle w:val="Arial"/>
              <w:jc w:val="right"/>
              <w:rPr>
                <w:rFonts w:asciiTheme="majorHAnsi" w:hAnsiTheme="majorHAnsi" w:cstheme="minorHAnsi"/>
                <w:b/>
                <w:bCs/>
                <w:color w:val="FFFFFF" w:themeColor="background1"/>
              </w:rPr>
            </w:pPr>
            <w:r w:rsidRPr="00B7496F">
              <w:rPr>
                <w:rFonts w:asciiTheme="majorHAnsi" w:hAnsiTheme="majorHAnsi" w:cstheme="minorHAnsi"/>
                <w:b/>
                <w:bCs/>
                <w:color w:val="FFFFFF" w:themeColor="background1"/>
              </w:rPr>
              <w:t>Number of s</w:t>
            </w:r>
            <w:r w:rsidR="00F6748D" w:rsidRPr="00B7496F">
              <w:rPr>
                <w:rFonts w:asciiTheme="majorHAnsi" w:hAnsiTheme="majorHAnsi" w:cstheme="minorHAnsi"/>
                <w:b/>
                <w:bCs/>
                <w:color w:val="FFFFFF" w:themeColor="background1"/>
              </w:rPr>
              <w:t>ervices</w:t>
            </w:r>
          </w:p>
        </w:tc>
        <w:tc>
          <w:tcPr>
            <w:tcW w:w="1843" w:type="dxa"/>
            <w:shd w:val="clear" w:color="auto" w:fill="A32020" w:themeFill="accent1"/>
            <w:noWrap/>
            <w:vAlign w:val="center"/>
            <w:hideMark/>
          </w:tcPr>
          <w:p w:rsidR="00F6748D" w:rsidRPr="00B7496F" w:rsidRDefault="00B7496F" w:rsidP="00E16FF2">
            <w:pPr>
              <w:pStyle w:val="Arial"/>
              <w:jc w:val="right"/>
              <w:rPr>
                <w:rFonts w:asciiTheme="majorHAnsi" w:hAnsiTheme="majorHAnsi" w:cstheme="minorHAnsi"/>
                <w:b/>
                <w:bCs/>
                <w:color w:val="FFFFFF" w:themeColor="background1"/>
              </w:rPr>
            </w:pPr>
            <w:r w:rsidRPr="00B7496F">
              <w:rPr>
                <w:rFonts w:asciiTheme="majorHAnsi" w:hAnsiTheme="majorHAnsi" w:cstheme="minorHAnsi"/>
                <w:b/>
                <w:bCs/>
                <w:color w:val="FFFFFF" w:themeColor="background1"/>
              </w:rPr>
              <w:t>Number of s</w:t>
            </w:r>
            <w:r w:rsidR="00F6748D" w:rsidRPr="00B7496F">
              <w:rPr>
                <w:rFonts w:asciiTheme="majorHAnsi" w:hAnsiTheme="majorHAnsi" w:cstheme="minorHAnsi"/>
                <w:b/>
                <w:bCs/>
                <w:color w:val="FFFFFF" w:themeColor="background1"/>
              </w:rPr>
              <w:t>taff</w:t>
            </w:r>
          </w:p>
        </w:tc>
      </w:tr>
      <w:tr w:rsidR="00F6748D" w:rsidRPr="00B7496F" w:rsidTr="00B7496F">
        <w:trPr>
          <w:trHeight w:val="255"/>
        </w:trPr>
        <w:tc>
          <w:tcPr>
            <w:tcW w:w="3220" w:type="dxa"/>
            <w:shd w:val="clear" w:color="auto" w:fill="auto"/>
            <w:noWrap/>
            <w:vAlign w:val="center"/>
            <w:hideMark/>
          </w:tcPr>
          <w:p w:rsidR="00F6748D" w:rsidRPr="00B7496F" w:rsidRDefault="00040036" w:rsidP="00F6748D">
            <w:pPr>
              <w:kinsoku/>
              <w:overflowPunct/>
              <w:autoSpaceDE/>
              <w:autoSpaceDN/>
              <w:adjustRightInd/>
              <w:snapToGrid/>
              <w:rPr>
                <w:rFonts w:asciiTheme="majorHAnsi" w:hAnsiTheme="majorHAnsi" w:cstheme="minorHAnsi"/>
                <w:snapToGrid/>
                <w:color w:val="000000"/>
                <w:sz w:val="18"/>
                <w:szCs w:val="18"/>
                <w:lang w:eastAsia="en-AU"/>
              </w:rPr>
            </w:pPr>
            <w:r>
              <w:rPr>
                <w:rFonts w:asciiTheme="majorHAnsi" w:hAnsiTheme="majorHAnsi" w:cstheme="minorHAnsi"/>
                <w:snapToGrid/>
                <w:color w:val="000000"/>
                <w:sz w:val="18"/>
                <w:szCs w:val="18"/>
                <w:lang w:eastAsia="en-AU"/>
              </w:rPr>
              <w:t>Providers with conditional offers</w:t>
            </w:r>
          </w:p>
        </w:tc>
        <w:tc>
          <w:tcPr>
            <w:tcW w:w="2025" w:type="dxa"/>
            <w:shd w:val="clear" w:color="auto" w:fill="auto"/>
            <w:noWrap/>
            <w:vAlign w:val="center"/>
            <w:hideMark/>
          </w:tcPr>
          <w:p w:rsidR="00F6748D" w:rsidRPr="00B7496F" w:rsidRDefault="00F6748D"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B7496F">
              <w:rPr>
                <w:rFonts w:asciiTheme="majorHAnsi" w:hAnsiTheme="majorHAnsi" w:cstheme="minorHAnsi"/>
                <w:snapToGrid/>
                <w:color w:val="000000"/>
                <w:sz w:val="18"/>
                <w:szCs w:val="18"/>
                <w:lang w:eastAsia="en-AU"/>
              </w:rPr>
              <w:t>1,257</w:t>
            </w:r>
          </w:p>
        </w:tc>
        <w:tc>
          <w:tcPr>
            <w:tcW w:w="1843" w:type="dxa"/>
            <w:shd w:val="clear" w:color="auto" w:fill="auto"/>
            <w:noWrap/>
            <w:vAlign w:val="center"/>
            <w:hideMark/>
          </w:tcPr>
          <w:p w:rsidR="00F6748D" w:rsidRPr="00B7496F" w:rsidRDefault="00F6748D"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B7496F">
              <w:rPr>
                <w:rFonts w:asciiTheme="majorHAnsi" w:hAnsiTheme="majorHAnsi" w:cstheme="minorHAnsi"/>
                <w:snapToGrid/>
                <w:color w:val="000000"/>
                <w:sz w:val="18"/>
                <w:szCs w:val="18"/>
                <w:lang w:eastAsia="en-AU"/>
              </w:rPr>
              <w:t>23,966</w:t>
            </w:r>
          </w:p>
        </w:tc>
      </w:tr>
      <w:tr w:rsidR="00F6748D" w:rsidRPr="00B7496F" w:rsidTr="00B7496F">
        <w:trPr>
          <w:trHeight w:val="255"/>
        </w:trPr>
        <w:tc>
          <w:tcPr>
            <w:tcW w:w="3220" w:type="dxa"/>
            <w:shd w:val="clear" w:color="auto" w:fill="auto"/>
            <w:noWrap/>
            <w:vAlign w:val="center"/>
            <w:hideMark/>
          </w:tcPr>
          <w:p w:rsidR="00F6748D" w:rsidRPr="00B7496F" w:rsidRDefault="00F6748D" w:rsidP="00F6748D">
            <w:pPr>
              <w:kinsoku/>
              <w:overflowPunct/>
              <w:autoSpaceDE/>
              <w:autoSpaceDN/>
              <w:adjustRightInd/>
              <w:snapToGrid/>
              <w:rPr>
                <w:rFonts w:asciiTheme="majorHAnsi" w:hAnsiTheme="majorHAnsi" w:cstheme="minorHAnsi"/>
                <w:snapToGrid/>
                <w:color w:val="000000"/>
                <w:sz w:val="18"/>
                <w:szCs w:val="18"/>
                <w:lang w:eastAsia="en-AU"/>
              </w:rPr>
            </w:pPr>
            <w:r w:rsidRPr="00B7496F">
              <w:rPr>
                <w:rFonts w:asciiTheme="majorHAnsi" w:hAnsiTheme="majorHAnsi" w:cstheme="minorHAnsi"/>
                <w:snapToGrid/>
                <w:color w:val="000000"/>
                <w:sz w:val="18"/>
                <w:szCs w:val="18"/>
                <w:lang w:eastAsia="en-AU"/>
              </w:rPr>
              <w:t>Total LDC</w:t>
            </w:r>
            <w:r w:rsidR="00B7496F">
              <w:rPr>
                <w:rFonts w:asciiTheme="majorHAnsi" w:hAnsiTheme="majorHAnsi" w:cstheme="minorHAnsi"/>
                <w:snapToGrid/>
                <w:color w:val="000000"/>
                <w:sz w:val="18"/>
                <w:szCs w:val="18"/>
                <w:lang w:eastAsia="en-AU"/>
              </w:rPr>
              <w:t xml:space="preserve"> sector</w:t>
            </w:r>
          </w:p>
        </w:tc>
        <w:tc>
          <w:tcPr>
            <w:tcW w:w="2025" w:type="dxa"/>
            <w:shd w:val="clear" w:color="auto" w:fill="auto"/>
            <w:noWrap/>
            <w:vAlign w:val="center"/>
            <w:hideMark/>
          </w:tcPr>
          <w:p w:rsidR="00F6748D" w:rsidRPr="00B7496F" w:rsidRDefault="00F6748D"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B7496F">
              <w:rPr>
                <w:rFonts w:asciiTheme="majorHAnsi" w:hAnsiTheme="majorHAnsi" w:cstheme="minorHAnsi"/>
                <w:snapToGrid/>
                <w:color w:val="000000"/>
                <w:sz w:val="18"/>
                <w:szCs w:val="18"/>
                <w:lang w:eastAsia="en-AU"/>
              </w:rPr>
              <w:t>6,192</w:t>
            </w:r>
          </w:p>
        </w:tc>
        <w:tc>
          <w:tcPr>
            <w:tcW w:w="1843" w:type="dxa"/>
            <w:shd w:val="clear" w:color="auto" w:fill="auto"/>
            <w:noWrap/>
            <w:vAlign w:val="center"/>
            <w:hideMark/>
          </w:tcPr>
          <w:p w:rsidR="00F6748D" w:rsidRPr="00B7496F" w:rsidRDefault="00F6748D"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B7496F">
              <w:rPr>
                <w:rFonts w:asciiTheme="majorHAnsi" w:hAnsiTheme="majorHAnsi" w:cstheme="minorHAnsi"/>
                <w:snapToGrid/>
                <w:color w:val="000000"/>
                <w:sz w:val="18"/>
                <w:szCs w:val="18"/>
                <w:lang w:eastAsia="en-AU"/>
              </w:rPr>
              <w:t>78,647</w:t>
            </w:r>
          </w:p>
        </w:tc>
      </w:tr>
      <w:tr w:rsidR="00B7496F" w:rsidRPr="00B7496F" w:rsidTr="00F20C76">
        <w:trPr>
          <w:trHeight w:val="255"/>
        </w:trPr>
        <w:tc>
          <w:tcPr>
            <w:tcW w:w="3220" w:type="dxa"/>
            <w:shd w:val="clear" w:color="auto" w:fill="auto"/>
            <w:noWrap/>
            <w:vAlign w:val="center"/>
            <w:hideMark/>
          </w:tcPr>
          <w:p w:rsidR="00B7496F" w:rsidRPr="00B7496F" w:rsidRDefault="00B7496F" w:rsidP="00F20C76">
            <w:pPr>
              <w:kinsoku/>
              <w:overflowPunct/>
              <w:autoSpaceDE/>
              <w:autoSpaceDN/>
              <w:adjustRightInd/>
              <w:snapToGrid/>
              <w:rPr>
                <w:rFonts w:asciiTheme="majorHAnsi" w:hAnsiTheme="majorHAnsi" w:cstheme="minorHAnsi"/>
                <w:snapToGrid/>
                <w:color w:val="000000"/>
                <w:sz w:val="18"/>
                <w:szCs w:val="18"/>
                <w:lang w:eastAsia="en-AU"/>
              </w:rPr>
            </w:pPr>
            <w:r>
              <w:rPr>
                <w:rFonts w:asciiTheme="majorHAnsi" w:hAnsiTheme="majorHAnsi" w:cstheme="minorHAnsi"/>
                <w:snapToGrid/>
                <w:color w:val="000000"/>
                <w:sz w:val="18"/>
                <w:szCs w:val="18"/>
                <w:lang w:eastAsia="en-AU"/>
              </w:rPr>
              <w:t xml:space="preserve">   </w:t>
            </w:r>
            <w:r w:rsidRPr="00B7496F">
              <w:rPr>
                <w:rFonts w:asciiTheme="majorHAnsi" w:hAnsiTheme="majorHAnsi" w:cstheme="minorHAnsi"/>
                <w:snapToGrid/>
                <w:color w:val="000000"/>
                <w:sz w:val="18"/>
                <w:szCs w:val="18"/>
                <w:lang w:eastAsia="en-AU"/>
              </w:rPr>
              <w:t>% of total LDC</w:t>
            </w:r>
            <w:r>
              <w:rPr>
                <w:rFonts w:asciiTheme="majorHAnsi" w:hAnsiTheme="majorHAnsi" w:cstheme="minorHAnsi"/>
                <w:snapToGrid/>
                <w:color w:val="000000"/>
                <w:sz w:val="18"/>
                <w:szCs w:val="18"/>
                <w:lang w:eastAsia="en-AU"/>
              </w:rPr>
              <w:t xml:space="preserve"> sector</w:t>
            </w:r>
          </w:p>
        </w:tc>
        <w:tc>
          <w:tcPr>
            <w:tcW w:w="2025" w:type="dxa"/>
            <w:shd w:val="clear" w:color="auto" w:fill="auto"/>
            <w:noWrap/>
            <w:vAlign w:val="center"/>
            <w:hideMark/>
          </w:tcPr>
          <w:p w:rsidR="00B7496F" w:rsidRPr="00B7496F" w:rsidRDefault="00B7496F" w:rsidP="00E16FF2">
            <w:pPr>
              <w:kinsoku/>
              <w:overflowPunct/>
              <w:autoSpaceDE/>
              <w:autoSpaceDN/>
              <w:adjustRightInd/>
              <w:snapToGrid/>
              <w:jc w:val="right"/>
              <w:rPr>
                <w:rFonts w:asciiTheme="majorHAnsi" w:hAnsiTheme="majorHAnsi" w:cstheme="minorHAnsi"/>
                <w:snapToGrid/>
                <w:color w:val="000000"/>
                <w:sz w:val="18"/>
                <w:szCs w:val="18"/>
                <w:lang w:eastAsia="en-AU"/>
              </w:rPr>
            </w:pPr>
            <w:r>
              <w:rPr>
                <w:rFonts w:asciiTheme="majorHAnsi" w:hAnsiTheme="majorHAnsi" w:cstheme="minorHAnsi"/>
                <w:snapToGrid/>
                <w:color w:val="000000"/>
                <w:sz w:val="18"/>
                <w:szCs w:val="18"/>
                <w:lang w:eastAsia="en-AU"/>
              </w:rPr>
              <w:t xml:space="preserve">   </w:t>
            </w:r>
            <w:r w:rsidRPr="00B7496F">
              <w:rPr>
                <w:rFonts w:asciiTheme="majorHAnsi" w:hAnsiTheme="majorHAnsi" w:cstheme="minorHAnsi"/>
                <w:snapToGrid/>
                <w:color w:val="000000"/>
                <w:sz w:val="18"/>
                <w:szCs w:val="18"/>
                <w:lang w:eastAsia="en-AU"/>
              </w:rPr>
              <w:t>20.3%</w:t>
            </w:r>
          </w:p>
        </w:tc>
        <w:tc>
          <w:tcPr>
            <w:tcW w:w="1843" w:type="dxa"/>
            <w:shd w:val="clear" w:color="auto" w:fill="auto"/>
            <w:noWrap/>
            <w:vAlign w:val="center"/>
            <w:hideMark/>
          </w:tcPr>
          <w:p w:rsidR="00B7496F" w:rsidRPr="00B7496F" w:rsidRDefault="00B7496F" w:rsidP="00E16FF2">
            <w:pPr>
              <w:kinsoku/>
              <w:overflowPunct/>
              <w:autoSpaceDE/>
              <w:autoSpaceDN/>
              <w:adjustRightInd/>
              <w:snapToGrid/>
              <w:jc w:val="right"/>
              <w:rPr>
                <w:rFonts w:asciiTheme="majorHAnsi" w:hAnsiTheme="majorHAnsi" w:cstheme="minorHAnsi"/>
                <w:snapToGrid/>
                <w:color w:val="000000"/>
                <w:sz w:val="18"/>
                <w:szCs w:val="18"/>
                <w:lang w:eastAsia="en-AU"/>
              </w:rPr>
            </w:pPr>
            <w:r>
              <w:rPr>
                <w:rFonts w:asciiTheme="majorHAnsi" w:hAnsiTheme="majorHAnsi" w:cstheme="minorHAnsi"/>
                <w:snapToGrid/>
                <w:color w:val="000000"/>
                <w:sz w:val="18"/>
                <w:szCs w:val="18"/>
                <w:lang w:eastAsia="en-AU"/>
              </w:rPr>
              <w:t xml:space="preserve">   </w:t>
            </w:r>
            <w:r w:rsidRPr="00B7496F">
              <w:rPr>
                <w:rFonts w:asciiTheme="majorHAnsi" w:hAnsiTheme="majorHAnsi" w:cstheme="minorHAnsi"/>
                <w:snapToGrid/>
                <w:color w:val="000000"/>
                <w:sz w:val="18"/>
                <w:szCs w:val="18"/>
                <w:lang w:eastAsia="en-AU"/>
              </w:rPr>
              <w:t>30.5%</w:t>
            </w:r>
          </w:p>
        </w:tc>
      </w:tr>
      <w:tr w:rsidR="00B7496F" w:rsidRPr="00B7496F" w:rsidTr="00B7496F">
        <w:trPr>
          <w:trHeight w:val="255"/>
        </w:trPr>
        <w:tc>
          <w:tcPr>
            <w:tcW w:w="3220" w:type="dxa"/>
            <w:shd w:val="clear" w:color="auto" w:fill="auto"/>
            <w:noWrap/>
            <w:vAlign w:val="center"/>
            <w:hideMark/>
          </w:tcPr>
          <w:p w:rsidR="00B7496F" w:rsidRPr="00B7496F" w:rsidRDefault="00B7496F" w:rsidP="00F6748D">
            <w:pPr>
              <w:kinsoku/>
              <w:overflowPunct/>
              <w:autoSpaceDE/>
              <w:autoSpaceDN/>
              <w:adjustRightInd/>
              <w:snapToGrid/>
              <w:rPr>
                <w:rFonts w:asciiTheme="majorHAnsi" w:hAnsiTheme="majorHAnsi" w:cstheme="minorHAnsi"/>
                <w:snapToGrid/>
                <w:color w:val="000000"/>
                <w:sz w:val="18"/>
                <w:szCs w:val="18"/>
                <w:lang w:eastAsia="en-AU"/>
              </w:rPr>
            </w:pPr>
            <w:r>
              <w:rPr>
                <w:rFonts w:asciiTheme="majorHAnsi" w:hAnsiTheme="majorHAnsi" w:cstheme="minorHAnsi"/>
                <w:snapToGrid/>
                <w:color w:val="000000"/>
                <w:sz w:val="18"/>
                <w:szCs w:val="18"/>
                <w:lang w:eastAsia="en-AU"/>
              </w:rPr>
              <w:t>Total ECEC sector</w:t>
            </w:r>
          </w:p>
        </w:tc>
        <w:tc>
          <w:tcPr>
            <w:tcW w:w="2025" w:type="dxa"/>
            <w:shd w:val="clear" w:color="auto" w:fill="auto"/>
            <w:noWrap/>
            <w:vAlign w:val="center"/>
            <w:hideMark/>
          </w:tcPr>
          <w:p w:rsidR="00B7496F" w:rsidRPr="00B7496F" w:rsidRDefault="00B7496F" w:rsidP="00E16FF2">
            <w:pPr>
              <w:kinsoku/>
              <w:overflowPunct/>
              <w:autoSpaceDE/>
              <w:autoSpaceDN/>
              <w:adjustRightInd/>
              <w:snapToGrid/>
              <w:jc w:val="right"/>
              <w:rPr>
                <w:rFonts w:asciiTheme="majorHAnsi" w:hAnsiTheme="majorHAnsi" w:cstheme="minorHAnsi"/>
                <w:snapToGrid/>
                <w:color w:val="000000"/>
                <w:sz w:val="18"/>
                <w:szCs w:val="18"/>
                <w:lang w:eastAsia="en-AU"/>
              </w:rPr>
            </w:pPr>
            <w:r>
              <w:rPr>
                <w:rFonts w:asciiTheme="majorHAnsi" w:hAnsiTheme="majorHAnsi" w:cstheme="minorHAnsi"/>
                <w:snapToGrid/>
                <w:color w:val="000000"/>
                <w:sz w:val="18"/>
                <w:szCs w:val="18"/>
                <w:lang w:eastAsia="en-AU"/>
              </w:rPr>
              <w:t>N/A</w:t>
            </w:r>
          </w:p>
        </w:tc>
        <w:tc>
          <w:tcPr>
            <w:tcW w:w="1843" w:type="dxa"/>
            <w:shd w:val="clear" w:color="auto" w:fill="auto"/>
            <w:noWrap/>
            <w:vAlign w:val="center"/>
            <w:hideMark/>
          </w:tcPr>
          <w:p w:rsidR="00B7496F" w:rsidRPr="00B7496F" w:rsidRDefault="00B7496F" w:rsidP="00E16FF2">
            <w:pPr>
              <w:kinsoku/>
              <w:overflowPunct/>
              <w:autoSpaceDE/>
              <w:autoSpaceDN/>
              <w:adjustRightInd/>
              <w:snapToGrid/>
              <w:jc w:val="right"/>
              <w:rPr>
                <w:rFonts w:asciiTheme="majorHAnsi" w:hAnsiTheme="majorHAnsi" w:cstheme="minorHAnsi"/>
                <w:snapToGrid/>
                <w:color w:val="000000"/>
                <w:sz w:val="18"/>
                <w:szCs w:val="18"/>
                <w:lang w:eastAsia="en-AU"/>
              </w:rPr>
            </w:pPr>
            <w:r>
              <w:rPr>
                <w:rFonts w:asciiTheme="majorHAnsi" w:hAnsiTheme="majorHAnsi" w:cstheme="minorHAnsi"/>
                <w:snapToGrid/>
                <w:color w:val="000000"/>
                <w:sz w:val="18"/>
                <w:szCs w:val="18"/>
                <w:lang w:eastAsia="en-AU"/>
              </w:rPr>
              <w:t>150,000</w:t>
            </w:r>
          </w:p>
        </w:tc>
      </w:tr>
      <w:tr w:rsidR="00B7496F" w:rsidRPr="00B7496F" w:rsidTr="00B7496F">
        <w:trPr>
          <w:trHeight w:val="255"/>
        </w:trPr>
        <w:tc>
          <w:tcPr>
            <w:tcW w:w="3220" w:type="dxa"/>
            <w:shd w:val="clear" w:color="auto" w:fill="auto"/>
            <w:noWrap/>
            <w:vAlign w:val="center"/>
            <w:hideMark/>
          </w:tcPr>
          <w:p w:rsidR="00B7496F" w:rsidRDefault="00B7496F" w:rsidP="00F6748D">
            <w:pPr>
              <w:kinsoku/>
              <w:overflowPunct/>
              <w:autoSpaceDE/>
              <w:autoSpaceDN/>
              <w:adjustRightInd/>
              <w:snapToGrid/>
              <w:rPr>
                <w:rFonts w:asciiTheme="majorHAnsi" w:hAnsiTheme="majorHAnsi" w:cstheme="minorHAnsi"/>
                <w:snapToGrid/>
                <w:color w:val="000000"/>
                <w:sz w:val="18"/>
                <w:szCs w:val="18"/>
                <w:lang w:eastAsia="en-AU"/>
              </w:rPr>
            </w:pPr>
            <w:r>
              <w:rPr>
                <w:rFonts w:asciiTheme="majorHAnsi" w:hAnsiTheme="majorHAnsi" w:cstheme="minorHAnsi"/>
                <w:snapToGrid/>
                <w:color w:val="000000"/>
                <w:sz w:val="18"/>
                <w:szCs w:val="18"/>
                <w:lang w:eastAsia="en-AU"/>
              </w:rPr>
              <w:t xml:space="preserve">   % of total ECEC sector</w:t>
            </w:r>
          </w:p>
        </w:tc>
        <w:tc>
          <w:tcPr>
            <w:tcW w:w="2025" w:type="dxa"/>
            <w:shd w:val="clear" w:color="auto" w:fill="auto"/>
            <w:noWrap/>
            <w:vAlign w:val="center"/>
            <w:hideMark/>
          </w:tcPr>
          <w:p w:rsidR="00B7496F" w:rsidRDefault="00B7496F" w:rsidP="00E16FF2">
            <w:pPr>
              <w:kinsoku/>
              <w:overflowPunct/>
              <w:autoSpaceDE/>
              <w:autoSpaceDN/>
              <w:adjustRightInd/>
              <w:snapToGrid/>
              <w:jc w:val="right"/>
              <w:rPr>
                <w:rFonts w:asciiTheme="majorHAnsi" w:hAnsiTheme="majorHAnsi" w:cstheme="minorHAnsi"/>
                <w:snapToGrid/>
                <w:color w:val="000000"/>
                <w:sz w:val="18"/>
                <w:szCs w:val="18"/>
                <w:lang w:eastAsia="en-AU"/>
              </w:rPr>
            </w:pPr>
            <w:r>
              <w:rPr>
                <w:rFonts w:asciiTheme="majorHAnsi" w:hAnsiTheme="majorHAnsi" w:cstheme="minorHAnsi"/>
                <w:snapToGrid/>
                <w:color w:val="000000"/>
                <w:sz w:val="18"/>
                <w:szCs w:val="18"/>
                <w:lang w:eastAsia="en-AU"/>
              </w:rPr>
              <w:t>-</w:t>
            </w:r>
          </w:p>
        </w:tc>
        <w:tc>
          <w:tcPr>
            <w:tcW w:w="1843" w:type="dxa"/>
            <w:shd w:val="clear" w:color="auto" w:fill="auto"/>
            <w:noWrap/>
            <w:vAlign w:val="center"/>
            <w:hideMark/>
          </w:tcPr>
          <w:p w:rsidR="00B7496F" w:rsidRDefault="00B7496F" w:rsidP="00E16FF2">
            <w:pPr>
              <w:kinsoku/>
              <w:overflowPunct/>
              <w:autoSpaceDE/>
              <w:autoSpaceDN/>
              <w:adjustRightInd/>
              <w:snapToGrid/>
              <w:jc w:val="right"/>
              <w:rPr>
                <w:rFonts w:asciiTheme="majorHAnsi" w:hAnsiTheme="majorHAnsi" w:cstheme="minorHAnsi"/>
                <w:snapToGrid/>
                <w:color w:val="000000"/>
                <w:sz w:val="18"/>
                <w:szCs w:val="18"/>
                <w:lang w:eastAsia="en-AU"/>
              </w:rPr>
            </w:pPr>
            <w:r>
              <w:rPr>
                <w:rFonts w:asciiTheme="majorHAnsi" w:hAnsiTheme="majorHAnsi" w:cstheme="minorHAnsi"/>
                <w:snapToGrid/>
                <w:color w:val="000000"/>
                <w:sz w:val="18"/>
                <w:szCs w:val="18"/>
                <w:lang w:eastAsia="en-AU"/>
              </w:rPr>
              <w:t xml:space="preserve">   16%</w:t>
            </w:r>
          </w:p>
        </w:tc>
      </w:tr>
    </w:tbl>
    <w:p w:rsidR="00F6748D" w:rsidRDefault="00F6748D" w:rsidP="00F6748D">
      <w:pPr>
        <w:pStyle w:val="PwCNormal"/>
        <w:numPr>
          <w:ilvl w:val="0"/>
          <w:numId w:val="0"/>
        </w:numPr>
      </w:pPr>
      <w:r w:rsidRPr="00B90E9A">
        <w:rPr>
          <w:sz w:val="16"/>
        </w:rPr>
        <w:t>Source: EYQF application data provided by the Department</w:t>
      </w:r>
      <w:r>
        <w:rPr>
          <w:sz w:val="16"/>
        </w:rPr>
        <w:t>, estimates of total LDC</w:t>
      </w:r>
      <w:r w:rsidR="00B7496F">
        <w:rPr>
          <w:sz w:val="16"/>
        </w:rPr>
        <w:t xml:space="preserve"> and ECEC sector sectors &amp;</w:t>
      </w:r>
      <w:r>
        <w:rPr>
          <w:sz w:val="16"/>
        </w:rPr>
        <w:t xml:space="preserve"> staff provided by the Department, PwC analysis</w:t>
      </w:r>
    </w:p>
    <w:p w:rsidR="00F6748D" w:rsidRDefault="00424718" w:rsidP="00F6748D">
      <w:pPr>
        <w:pStyle w:val="ListBullet"/>
        <w:numPr>
          <w:ilvl w:val="0"/>
          <w:numId w:val="0"/>
        </w:numPr>
      </w:pPr>
      <w:r>
        <w:lastRenderedPageBreak/>
        <w:t xml:space="preserve">One grant of </w:t>
      </w:r>
      <w:r w:rsidRPr="008D362B">
        <w:t>$132.2</w:t>
      </w:r>
      <w:r w:rsidR="002B6B83">
        <w:t xml:space="preserve"> </w:t>
      </w:r>
      <w:r w:rsidRPr="008D362B">
        <w:t>m</w:t>
      </w:r>
      <w:r w:rsidR="002B6B83">
        <w:t>illion</w:t>
      </w:r>
      <w:r w:rsidRPr="008D362B">
        <w:t xml:space="preserve"> was allocated all Goodstart service providers. This accounts for 44.5</w:t>
      </w:r>
      <w:r>
        <w:t> per cent</w:t>
      </w:r>
      <w:r w:rsidRPr="008D362B">
        <w:t xml:space="preserve"> of the total funding pool and 88.1</w:t>
      </w:r>
      <w:r>
        <w:t xml:space="preserve"> per cent</w:t>
      </w:r>
      <w:r w:rsidRPr="008D362B">
        <w:t xml:space="preserve"> of the amount allocated to the large provider pool.</w:t>
      </w:r>
    </w:p>
    <w:p w:rsidR="00424718" w:rsidRDefault="00424718" w:rsidP="00424718">
      <w:pPr>
        <w:pStyle w:val="Heading9"/>
      </w:pPr>
      <w:r>
        <w:t>Distribution to services by progress towards meeting the qualification requirements</w:t>
      </w:r>
    </w:p>
    <w:p w:rsidR="00424718" w:rsidRDefault="00424718" w:rsidP="00424718">
      <w:pPr>
        <w:pStyle w:val="PwCNormal"/>
      </w:pPr>
      <w:r>
        <w:t xml:space="preserve">The EYQF is intended to support increased wages in the sector which is recognised as one of the key challenges for implemented the NQF qualification requirements.  </w:t>
      </w:r>
    </w:p>
    <w:p w:rsidR="00424718" w:rsidRDefault="00424718" w:rsidP="00424718">
      <w:pPr>
        <w:pStyle w:val="PwCNormal"/>
      </w:pPr>
      <w:r>
        <w:t>Based on data application data provided by the Department, it appears</w:t>
      </w:r>
      <w:r w:rsidR="00040036">
        <w:t xml:space="preserve"> that a large proportion of providers that were given conditional offers of funding</w:t>
      </w:r>
      <w:r>
        <w:t xml:space="preserve"> are already meeting the qualification requirements (</w:t>
      </w:r>
      <w:r w:rsidR="002554AA">
        <w:fldChar w:fldCharType="begin"/>
      </w:r>
      <w:r w:rsidR="002B6B83">
        <w:instrText xml:space="preserve"> REF _Ref370835451 \h </w:instrText>
      </w:r>
      <w:r w:rsidR="002554AA">
        <w:fldChar w:fldCharType="separate"/>
      </w:r>
      <w:r w:rsidR="000B2006">
        <w:t xml:space="preserve">Table </w:t>
      </w:r>
      <w:r w:rsidR="000B2006">
        <w:rPr>
          <w:noProof/>
        </w:rPr>
        <w:t>3</w:t>
      </w:r>
      <w:r w:rsidR="002554AA">
        <w:fldChar w:fldCharType="end"/>
      </w:r>
      <w:r>
        <w:t xml:space="preserve">): </w:t>
      </w:r>
    </w:p>
    <w:p w:rsidR="00424718" w:rsidRDefault="00424718" w:rsidP="00424718">
      <w:pPr>
        <w:pStyle w:val="PwCNormal"/>
        <w:numPr>
          <w:ilvl w:val="0"/>
          <w:numId w:val="29"/>
        </w:numPr>
      </w:pPr>
      <w:r>
        <w:t>35 per cent of services declared that they were currently meeting the qualification requirements</w:t>
      </w:r>
    </w:p>
    <w:p w:rsidR="00424718" w:rsidRDefault="00424718" w:rsidP="00424718">
      <w:pPr>
        <w:pStyle w:val="PwCNormal"/>
        <w:numPr>
          <w:ilvl w:val="0"/>
          <w:numId w:val="29"/>
        </w:numPr>
      </w:pPr>
      <w:r>
        <w:t xml:space="preserve">a significantly lower proportion of services from large providers (10 per cent) believed they were currently meeting the qualification requirements </w:t>
      </w:r>
    </w:p>
    <w:p w:rsidR="00424718" w:rsidRDefault="00424718" w:rsidP="00424718">
      <w:pPr>
        <w:pStyle w:val="PwCNormal"/>
        <w:numPr>
          <w:ilvl w:val="0"/>
          <w:numId w:val="29"/>
        </w:numPr>
      </w:pPr>
      <w:r>
        <w:t>67 per cent of services from small providers declared they were currently meeting the qualification requirements.</w:t>
      </w:r>
    </w:p>
    <w:p w:rsidR="002B6B83" w:rsidRDefault="002B6B83" w:rsidP="002B6B83">
      <w:pPr>
        <w:pStyle w:val="Caption"/>
      </w:pPr>
      <w:bookmarkStart w:id="52" w:name="_Ref370835451"/>
      <w:r>
        <w:t xml:space="preserve">Table </w:t>
      </w:r>
      <w:r w:rsidR="002554AA">
        <w:fldChar w:fldCharType="begin"/>
      </w:r>
      <w:r w:rsidR="00D76309">
        <w:instrText xml:space="preserve"> SEQ Table \* ARABIC </w:instrText>
      </w:r>
      <w:r w:rsidR="002554AA">
        <w:fldChar w:fldCharType="separate"/>
      </w:r>
      <w:r w:rsidR="000B2006">
        <w:rPr>
          <w:noProof/>
        </w:rPr>
        <w:t>3</w:t>
      </w:r>
      <w:r w:rsidR="002554AA">
        <w:rPr>
          <w:noProof/>
        </w:rPr>
        <w:fldChar w:fldCharType="end"/>
      </w:r>
      <w:bookmarkEnd w:id="52"/>
      <w:r>
        <w:t xml:space="preserve">: </w:t>
      </w:r>
      <w:r w:rsidR="00847976">
        <w:t>Applications that met the assessment criteria</w:t>
      </w:r>
      <w:r w:rsidRPr="0080516E">
        <w:t xml:space="preserve"> – progress towards meeting the qualification requirements</w:t>
      </w:r>
    </w:p>
    <w:tbl>
      <w:tblPr>
        <w:tblW w:w="9077" w:type="dxa"/>
        <w:tblInd w:w="103" w:type="dxa"/>
        <w:tblLayout w:type="fixed"/>
        <w:tblLook w:val="04A0" w:firstRow="1" w:lastRow="0" w:firstColumn="1" w:lastColumn="0" w:noHBand="0" w:noVBand="1"/>
      </w:tblPr>
      <w:tblGrid>
        <w:gridCol w:w="998"/>
        <w:gridCol w:w="1275"/>
        <w:gridCol w:w="1134"/>
        <w:gridCol w:w="1367"/>
        <w:gridCol w:w="901"/>
        <w:gridCol w:w="993"/>
        <w:gridCol w:w="1134"/>
        <w:gridCol w:w="1275"/>
      </w:tblGrid>
      <w:tr w:rsidR="00424718" w:rsidRPr="00E16FF2" w:rsidTr="00E16FF2">
        <w:trPr>
          <w:trHeight w:val="1191"/>
        </w:trPr>
        <w:tc>
          <w:tcPr>
            <w:tcW w:w="998" w:type="dxa"/>
            <w:tcBorders>
              <w:top w:val="single" w:sz="4" w:space="0" w:color="A6A6A6"/>
              <w:left w:val="single" w:sz="4" w:space="0" w:color="A6A6A6"/>
              <w:bottom w:val="single" w:sz="4" w:space="0" w:color="A6A6A6"/>
              <w:right w:val="single" w:sz="4" w:space="0" w:color="A6A6A6"/>
            </w:tcBorders>
            <w:shd w:val="clear" w:color="auto" w:fill="A32020" w:themeFill="accent1"/>
            <w:noWrap/>
            <w:tcMar>
              <w:left w:w="57" w:type="dxa"/>
              <w:right w:w="57" w:type="dxa"/>
            </w:tcMar>
            <w:vAlign w:val="center"/>
            <w:hideMark/>
          </w:tcPr>
          <w:p w:rsidR="00424718" w:rsidRPr="00E16FF2" w:rsidRDefault="00424718" w:rsidP="004C518F">
            <w:pPr>
              <w:kinsoku/>
              <w:overflowPunct/>
              <w:autoSpaceDE/>
              <w:autoSpaceDN/>
              <w:adjustRightInd/>
              <w:snapToGrid/>
              <w:rPr>
                <w:rFonts w:asciiTheme="majorHAnsi" w:hAnsiTheme="majorHAnsi" w:cstheme="minorHAnsi"/>
                <w:b/>
                <w:bCs/>
                <w:snapToGrid/>
                <w:color w:val="FFFFFF" w:themeColor="background1"/>
                <w:sz w:val="18"/>
                <w:szCs w:val="18"/>
                <w:lang w:eastAsia="en-AU"/>
              </w:rPr>
            </w:pPr>
            <w:r w:rsidRPr="00E16FF2">
              <w:rPr>
                <w:rFonts w:asciiTheme="majorHAnsi" w:hAnsiTheme="majorHAnsi" w:cstheme="minorHAnsi"/>
                <w:b/>
                <w:bCs/>
                <w:snapToGrid/>
                <w:color w:val="FFFFFF" w:themeColor="background1"/>
                <w:sz w:val="18"/>
                <w:szCs w:val="18"/>
                <w:lang w:eastAsia="en-AU"/>
              </w:rPr>
              <w:t>Provider type</w:t>
            </w:r>
          </w:p>
        </w:tc>
        <w:tc>
          <w:tcPr>
            <w:tcW w:w="1275" w:type="dxa"/>
            <w:tcBorders>
              <w:top w:val="single" w:sz="4" w:space="0" w:color="A6A6A6"/>
              <w:left w:val="nil"/>
              <w:bottom w:val="single" w:sz="4" w:space="0" w:color="A6A6A6"/>
              <w:right w:val="single" w:sz="4" w:space="0" w:color="A6A6A6"/>
            </w:tcBorders>
            <w:shd w:val="clear" w:color="auto" w:fill="A32020" w:themeFill="accent1"/>
            <w:tcMar>
              <w:left w:w="57" w:type="dxa"/>
              <w:right w:w="57" w:type="dxa"/>
            </w:tcMar>
            <w:vAlign w:val="center"/>
            <w:hideMark/>
          </w:tcPr>
          <w:p w:rsidR="00424718" w:rsidRPr="00E16FF2" w:rsidRDefault="00424718" w:rsidP="00E16FF2">
            <w:pPr>
              <w:pStyle w:val="Arial"/>
              <w:jc w:val="right"/>
              <w:rPr>
                <w:rFonts w:asciiTheme="majorHAnsi" w:hAnsiTheme="majorHAnsi" w:cstheme="minorHAnsi"/>
                <w:b/>
                <w:bCs/>
                <w:color w:val="FFFFFF" w:themeColor="background1"/>
              </w:rPr>
            </w:pPr>
            <w:r w:rsidRPr="00E16FF2">
              <w:rPr>
                <w:rFonts w:asciiTheme="majorHAnsi" w:hAnsiTheme="majorHAnsi" w:cstheme="minorHAnsi"/>
                <w:b/>
                <w:bCs/>
                <w:color w:val="FFFFFF" w:themeColor="background1"/>
              </w:rPr>
              <w:t>Services Declared Meeting</w:t>
            </w:r>
          </w:p>
        </w:tc>
        <w:tc>
          <w:tcPr>
            <w:tcW w:w="1134" w:type="dxa"/>
            <w:tcBorders>
              <w:top w:val="single" w:sz="4" w:space="0" w:color="A6A6A6"/>
              <w:left w:val="nil"/>
              <w:bottom w:val="single" w:sz="4" w:space="0" w:color="A6A6A6"/>
              <w:right w:val="single" w:sz="4" w:space="0" w:color="A6A6A6"/>
            </w:tcBorders>
            <w:shd w:val="clear" w:color="auto" w:fill="A32020" w:themeFill="accent1"/>
            <w:tcMar>
              <w:left w:w="57" w:type="dxa"/>
              <w:right w:w="57" w:type="dxa"/>
            </w:tcMar>
            <w:vAlign w:val="center"/>
            <w:hideMark/>
          </w:tcPr>
          <w:p w:rsidR="00424718" w:rsidRPr="00E16FF2" w:rsidRDefault="00424718" w:rsidP="00E16FF2">
            <w:pPr>
              <w:pStyle w:val="Arial"/>
              <w:jc w:val="right"/>
              <w:rPr>
                <w:rFonts w:asciiTheme="majorHAnsi" w:hAnsiTheme="majorHAnsi" w:cstheme="minorHAnsi"/>
                <w:b/>
                <w:bCs/>
                <w:color w:val="FFFFFF" w:themeColor="background1"/>
              </w:rPr>
            </w:pPr>
            <w:r w:rsidRPr="00E16FF2">
              <w:rPr>
                <w:rFonts w:asciiTheme="majorHAnsi" w:hAnsiTheme="majorHAnsi" w:cstheme="minorHAnsi"/>
                <w:b/>
                <w:bCs/>
                <w:color w:val="FFFFFF" w:themeColor="background1"/>
              </w:rPr>
              <w:t>Services Declared Not Meeting</w:t>
            </w:r>
          </w:p>
        </w:tc>
        <w:tc>
          <w:tcPr>
            <w:tcW w:w="1367" w:type="dxa"/>
            <w:tcBorders>
              <w:top w:val="single" w:sz="4" w:space="0" w:color="A6A6A6"/>
              <w:left w:val="nil"/>
              <w:bottom w:val="single" w:sz="4" w:space="0" w:color="A6A6A6"/>
              <w:right w:val="single" w:sz="4" w:space="0" w:color="A6A6A6"/>
            </w:tcBorders>
            <w:shd w:val="clear" w:color="auto" w:fill="A32020" w:themeFill="accent1"/>
            <w:tcMar>
              <w:left w:w="57" w:type="dxa"/>
              <w:right w:w="57" w:type="dxa"/>
            </w:tcMar>
            <w:vAlign w:val="center"/>
            <w:hideMark/>
          </w:tcPr>
          <w:p w:rsidR="00424718" w:rsidRPr="00E16FF2" w:rsidRDefault="00424718" w:rsidP="00E16FF2">
            <w:pPr>
              <w:pStyle w:val="Arial"/>
              <w:jc w:val="right"/>
              <w:rPr>
                <w:rFonts w:asciiTheme="majorHAnsi" w:hAnsiTheme="majorHAnsi" w:cstheme="minorHAnsi"/>
                <w:b/>
                <w:bCs/>
                <w:color w:val="FFFFFF" w:themeColor="background1"/>
              </w:rPr>
            </w:pPr>
            <w:r w:rsidRPr="00E16FF2">
              <w:rPr>
                <w:rFonts w:asciiTheme="majorHAnsi" w:hAnsiTheme="majorHAnsi" w:cstheme="minorHAnsi"/>
                <w:b/>
                <w:bCs/>
                <w:color w:val="FFFFFF" w:themeColor="background1"/>
              </w:rPr>
              <w:t>Services Undeclared</w:t>
            </w:r>
          </w:p>
        </w:tc>
        <w:tc>
          <w:tcPr>
            <w:tcW w:w="901" w:type="dxa"/>
            <w:tcBorders>
              <w:top w:val="single" w:sz="4" w:space="0" w:color="A6A6A6"/>
              <w:left w:val="nil"/>
              <w:bottom w:val="single" w:sz="4" w:space="0" w:color="A6A6A6"/>
              <w:right w:val="single" w:sz="4" w:space="0" w:color="A6A6A6"/>
            </w:tcBorders>
            <w:shd w:val="clear" w:color="auto" w:fill="A32020" w:themeFill="accent1"/>
            <w:tcMar>
              <w:left w:w="57" w:type="dxa"/>
              <w:right w:w="57" w:type="dxa"/>
            </w:tcMar>
            <w:vAlign w:val="center"/>
            <w:hideMark/>
          </w:tcPr>
          <w:p w:rsidR="00424718" w:rsidRPr="00E16FF2" w:rsidRDefault="00424718" w:rsidP="00E16FF2">
            <w:pPr>
              <w:pStyle w:val="Arial"/>
              <w:jc w:val="right"/>
              <w:rPr>
                <w:rFonts w:asciiTheme="majorHAnsi" w:hAnsiTheme="majorHAnsi" w:cstheme="minorHAnsi"/>
                <w:b/>
                <w:bCs/>
                <w:color w:val="FFFFFF" w:themeColor="background1"/>
              </w:rPr>
            </w:pPr>
            <w:r w:rsidRPr="00E16FF2">
              <w:rPr>
                <w:rFonts w:asciiTheme="majorHAnsi" w:hAnsiTheme="majorHAnsi" w:cstheme="minorHAnsi"/>
                <w:b/>
                <w:bCs/>
                <w:color w:val="FFFFFF" w:themeColor="background1"/>
              </w:rPr>
              <w:t>Total services</w:t>
            </w:r>
          </w:p>
        </w:tc>
        <w:tc>
          <w:tcPr>
            <w:tcW w:w="993" w:type="dxa"/>
            <w:tcBorders>
              <w:top w:val="single" w:sz="4" w:space="0" w:color="A6A6A6"/>
              <w:left w:val="nil"/>
              <w:bottom w:val="single" w:sz="4" w:space="0" w:color="A6A6A6"/>
              <w:right w:val="single" w:sz="4" w:space="0" w:color="A6A6A6"/>
            </w:tcBorders>
            <w:shd w:val="clear" w:color="auto" w:fill="A32020" w:themeFill="accent1"/>
            <w:tcMar>
              <w:left w:w="57" w:type="dxa"/>
              <w:right w:w="57" w:type="dxa"/>
            </w:tcMar>
            <w:vAlign w:val="center"/>
            <w:hideMark/>
          </w:tcPr>
          <w:p w:rsidR="00424718" w:rsidRPr="00E16FF2" w:rsidRDefault="00424718" w:rsidP="00E16FF2">
            <w:pPr>
              <w:pStyle w:val="Arial"/>
              <w:jc w:val="right"/>
              <w:rPr>
                <w:rFonts w:asciiTheme="majorHAnsi" w:hAnsiTheme="majorHAnsi" w:cstheme="minorHAnsi"/>
                <w:b/>
                <w:bCs/>
                <w:color w:val="FFFFFF" w:themeColor="background1"/>
              </w:rPr>
            </w:pPr>
            <w:r w:rsidRPr="00E16FF2">
              <w:rPr>
                <w:rFonts w:asciiTheme="majorHAnsi" w:hAnsiTheme="majorHAnsi" w:cstheme="minorHAnsi"/>
                <w:b/>
                <w:bCs/>
                <w:color w:val="FFFFFF" w:themeColor="background1"/>
              </w:rPr>
              <w:t>Services Declared Meeting (%)</w:t>
            </w:r>
          </w:p>
        </w:tc>
        <w:tc>
          <w:tcPr>
            <w:tcW w:w="1134" w:type="dxa"/>
            <w:tcBorders>
              <w:top w:val="single" w:sz="4" w:space="0" w:color="A6A6A6"/>
              <w:left w:val="nil"/>
              <w:bottom w:val="single" w:sz="4" w:space="0" w:color="A6A6A6"/>
              <w:right w:val="single" w:sz="4" w:space="0" w:color="A6A6A6"/>
            </w:tcBorders>
            <w:shd w:val="clear" w:color="auto" w:fill="A32020" w:themeFill="accent1"/>
            <w:tcMar>
              <w:left w:w="57" w:type="dxa"/>
              <w:right w:w="57" w:type="dxa"/>
            </w:tcMar>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b/>
                <w:bCs/>
                <w:snapToGrid/>
                <w:color w:val="FFFFFF" w:themeColor="background1"/>
                <w:sz w:val="18"/>
                <w:szCs w:val="18"/>
                <w:lang w:eastAsia="en-AU"/>
              </w:rPr>
            </w:pPr>
            <w:r w:rsidRPr="00E16FF2">
              <w:rPr>
                <w:rFonts w:asciiTheme="majorHAnsi" w:hAnsiTheme="majorHAnsi" w:cstheme="minorHAnsi"/>
                <w:b/>
                <w:bCs/>
                <w:snapToGrid/>
                <w:color w:val="FFFFFF" w:themeColor="background1"/>
                <w:sz w:val="18"/>
                <w:szCs w:val="18"/>
                <w:lang w:eastAsia="en-AU"/>
              </w:rPr>
              <w:t>Services Declared Not Meeting (%)</w:t>
            </w:r>
          </w:p>
        </w:tc>
        <w:tc>
          <w:tcPr>
            <w:tcW w:w="1275" w:type="dxa"/>
            <w:tcBorders>
              <w:top w:val="single" w:sz="4" w:space="0" w:color="A6A6A6"/>
              <w:left w:val="nil"/>
              <w:bottom w:val="single" w:sz="4" w:space="0" w:color="A6A6A6"/>
              <w:right w:val="single" w:sz="4" w:space="0" w:color="A6A6A6"/>
            </w:tcBorders>
            <w:shd w:val="clear" w:color="auto" w:fill="A32020" w:themeFill="accent1"/>
            <w:tcMar>
              <w:left w:w="57" w:type="dxa"/>
              <w:right w:w="57" w:type="dxa"/>
            </w:tcMar>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b/>
                <w:bCs/>
                <w:snapToGrid/>
                <w:color w:val="FFFFFF" w:themeColor="background1"/>
                <w:sz w:val="18"/>
                <w:szCs w:val="18"/>
                <w:lang w:eastAsia="en-AU"/>
              </w:rPr>
            </w:pPr>
            <w:r w:rsidRPr="00E16FF2">
              <w:rPr>
                <w:rFonts w:asciiTheme="majorHAnsi" w:hAnsiTheme="majorHAnsi" w:cstheme="minorHAnsi"/>
                <w:b/>
                <w:bCs/>
                <w:snapToGrid/>
                <w:color w:val="FFFFFF" w:themeColor="background1"/>
                <w:sz w:val="18"/>
                <w:szCs w:val="18"/>
                <w:lang w:eastAsia="en-AU"/>
              </w:rPr>
              <w:t>Services Undeclared (%)</w:t>
            </w:r>
          </w:p>
        </w:tc>
      </w:tr>
      <w:tr w:rsidR="00424718" w:rsidRPr="00E16FF2" w:rsidTr="00E16FF2">
        <w:trPr>
          <w:trHeight w:val="300"/>
        </w:trPr>
        <w:tc>
          <w:tcPr>
            <w:tcW w:w="998" w:type="dxa"/>
            <w:tcBorders>
              <w:top w:val="nil"/>
              <w:left w:val="single" w:sz="4" w:space="0" w:color="A6A6A6"/>
              <w:bottom w:val="single" w:sz="4" w:space="0" w:color="A6A6A6"/>
              <w:right w:val="single" w:sz="4" w:space="0" w:color="A6A6A6"/>
            </w:tcBorders>
            <w:shd w:val="clear" w:color="auto" w:fill="auto"/>
            <w:noWrap/>
            <w:tcMar>
              <w:left w:w="57" w:type="dxa"/>
              <w:right w:w="57" w:type="dxa"/>
            </w:tcMar>
            <w:vAlign w:val="center"/>
            <w:hideMark/>
          </w:tcPr>
          <w:p w:rsidR="00424718" w:rsidRPr="00E16FF2" w:rsidRDefault="00424718" w:rsidP="004C518F">
            <w:pPr>
              <w:kinsoku/>
              <w:overflowPunct/>
              <w:autoSpaceDE/>
              <w:autoSpaceDN/>
              <w:adjustRightInd/>
              <w:snapToGrid/>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 xml:space="preserve">Large </w:t>
            </w:r>
          </w:p>
        </w:tc>
        <w:tc>
          <w:tcPr>
            <w:tcW w:w="1275"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73</w:t>
            </w:r>
          </w:p>
        </w:tc>
        <w:tc>
          <w:tcPr>
            <w:tcW w:w="1134"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630</w:t>
            </w:r>
          </w:p>
        </w:tc>
        <w:tc>
          <w:tcPr>
            <w:tcW w:w="1367"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0</w:t>
            </w:r>
          </w:p>
        </w:tc>
        <w:tc>
          <w:tcPr>
            <w:tcW w:w="901"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703</w:t>
            </w:r>
          </w:p>
        </w:tc>
        <w:tc>
          <w:tcPr>
            <w:tcW w:w="993"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10.4</w:t>
            </w:r>
          </w:p>
        </w:tc>
        <w:tc>
          <w:tcPr>
            <w:tcW w:w="1134"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89.6</w:t>
            </w:r>
          </w:p>
        </w:tc>
        <w:tc>
          <w:tcPr>
            <w:tcW w:w="1275"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0.0</w:t>
            </w:r>
          </w:p>
        </w:tc>
      </w:tr>
      <w:tr w:rsidR="00424718" w:rsidRPr="00E16FF2" w:rsidTr="00E16FF2">
        <w:trPr>
          <w:trHeight w:val="300"/>
        </w:trPr>
        <w:tc>
          <w:tcPr>
            <w:tcW w:w="998" w:type="dxa"/>
            <w:tcBorders>
              <w:top w:val="nil"/>
              <w:left w:val="single" w:sz="4" w:space="0" w:color="A6A6A6"/>
              <w:bottom w:val="single" w:sz="4" w:space="0" w:color="A6A6A6"/>
              <w:right w:val="single" w:sz="4" w:space="0" w:color="A6A6A6"/>
            </w:tcBorders>
            <w:shd w:val="clear" w:color="auto" w:fill="auto"/>
            <w:noWrap/>
            <w:tcMar>
              <w:left w:w="57" w:type="dxa"/>
              <w:right w:w="57" w:type="dxa"/>
            </w:tcMar>
            <w:vAlign w:val="center"/>
            <w:hideMark/>
          </w:tcPr>
          <w:p w:rsidR="00424718" w:rsidRPr="00E16FF2" w:rsidRDefault="00424718" w:rsidP="004C518F">
            <w:pPr>
              <w:kinsoku/>
              <w:overflowPunct/>
              <w:autoSpaceDE/>
              <w:autoSpaceDN/>
              <w:adjustRightInd/>
              <w:snapToGrid/>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 xml:space="preserve">Small </w:t>
            </w:r>
          </w:p>
        </w:tc>
        <w:tc>
          <w:tcPr>
            <w:tcW w:w="1275"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369</w:t>
            </w:r>
          </w:p>
        </w:tc>
        <w:tc>
          <w:tcPr>
            <w:tcW w:w="1134"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147</w:t>
            </w:r>
          </w:p>
        </w:tc>
        <w:tc>
          <w:tcPr>
            <w:tcW w:w="1367"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38</w:t>
            </w:r>
          </w:p>
        </w:tc>
        <w:tc>
          <w:tcPr>
            <w:tcW w:w="901"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554</w:t>
            </w:r>
          </w:p>
        </w:tc>
        <w:tc>
          <w:tcPr>
            <w:tcW w:w="993"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66.6</w:t>
            </w:r>
          </w:p>
        </w:tc>
        <w:tc>
          <w:tcPr>
            <w:tcW w:w="1134"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26.5</w:t>
            </w:r>
          </w:p>
        </w:tc>
        <w:tc>
          <w:tcPr>
            <w:tcW w:w="1275"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6.9</w:t>
            </w:r>
          </w:p>
        </w:tc>
      </w:tr>
      <w:tr w:rsidR="00424718" w:rsidRPr="00E16FF2" w:rsidTr="00E16FF2">
        <w:trPr>
          <w:trHeight w:val="300"/>
        </w:trPr>
        <w:tc>
          <w:tcPr>
            <w:tcW w:w="998" w:type="dxa"/>
            <w:tcBorders>
              <w:top w:val="nil"/>
              <w:left w:val="single" w:sz="4" w:space="0" w:color="A6A6A6"/>
              <w:bottom w:val="single" w:sz="4" w:space="0" w:color="A6A6A6"/>
              <w:right w:val="single" w:sz="4" w:space="0" w:color="A6A6A6"/>
            </w:tcBorders>
            <w:shd w:val="clear" w:color="auto" w:fill="auto"/>
            <w:noWrap/>
            <w:tcMar>
              <w:left w:w="57" w:type="dxa"/>
              <w:right w:w="57" w:type="dxa"/>
            </w:tcMar>
            <w:vAlign w:val="center"/>
            <w:hideMark/>
          </w:tcPr>
          <w:p w:rsidR="00424718" w:rsidRPr="00E16FF2" w:rsidRDefault="00424718" w:rsidP="004C518F">
            <w:pPr>
              <w:kinsoku/>
              <w:overflowPunct/>
              <w:autoSpaceDE/>
              <w:autoSpaceDN/>
              <w:adjustRightInd/>
              <w:snapToGrid/>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Total</w:t>
            </w:r>
          </w:p>
        </w:tc>
        <w:tc>
          <w:tcPr>
            <w:tcW w:w="1275"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442</w:t>
            </w:r>
          </w:p>
        </w:tc>
        <w:tc>
          <w:tcPr>
            <w:tcW w:w="1134"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777</w:t>
            </w:r>
          </w:p>
        </w:tc>
        <w:tc>
          <w:tcPr>
            <w:tcW w:w="1367"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38</w:t>
            </w:r>
          </w:p>
        </w:tc>
        <w:tc>
          <w:tcPr>
            <w:tcW w:w="901"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1,257</w:t>
            </w:r>
          </w:p>
        </w:tc>
        <w:tc>
          <w:tcPr>
            <w:tcW w:w="993"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35.2</w:t>
            </w:r>
          </w:p>
        </w:tc>
        <w:tc>
          <w:tcPr>
            <w:tcW w:w="1134"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61.8</w:t>
            </w:r>
          </w:p>
        </w:tc>
        <w:tc>
          <w:tcPr>
            <w:tcW w:w="1275" w:type="dxa"/>
            <w:tcBorders>
              <w:top w:val="nil"/>
              <w:left w:val="nil"/>
              <w:bottom w:val="single" w:sz="4" w:space="0" w:color="A6A6A6"/>
              <w:right w:val="single" w:sz="4" w:space="0" w:color="A6A6A6"/>
            </w:tcBorders>
            <w:shd w:val="clear" w:color="auto" w:fill="FFFFFF" w:themeFill="background1"/>
            <w:noWrap/>
            <w:tcMar>
              <w:left w:w="57" w:type="dxa"/>
              <w:right w:w="57" w:type="dxa"/>
            </w:tcMar>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3.0</w:t>
            </w:r>
          </w:p>
        </w:tc>
      </w:tr>
    </w:tbl>
    <w:p w:rsidR="00424718" w:rsidRDefault="00424718" w:rsidP="00424718">
      <w:pPr>
        <w:pStyle w:val="PwCNormal"/>
        <w:numPr>
          <w:ilvl w:val="0"/>
          <w:numId w:val="0"/>
        </w:numPr>
      </w:pPr>
      <w:r w:rsidRPr="00B90E9A">
        <w:rPr>
          <w:sz w:val="16"/>
        </w:rPr>
        <w:t>Source: EYQF application data provided by the Department</w:t>
      </w:r>
      <w:r>
        <w:rPr>
          <w:sz w:val="16"/>
        </w:rPr>
        <w:t>, PwC analysis</w:t>
      </w:r>
    </w:p>
    <w:p w:rsidR="00424718" w:rsidRDefault="00424718" w:rsidP="00424718">
      <w:pPr>
        <w:pStyle w:val="Heading9"/>
      </w:pPr>
      <w:r>
        <w:t>Distribution of funding by staff qualifications</w:t>
      </w:r>
    </w:p>
    <w:p w:rsidR="00424718" w:rsidRDefault="00424718" w:rsidP="00424718">
      <w:pPr>
        <w:pStyle w:val="PwCNormal"/>
        <w:numPr>
          <w:ilvl w:val="0"/>
          <w:numId w:val="0"/>
        </w:numPr>
      </w:pPr>
      <w:r>
        <w:t xml:space="preserve">It is understood that services may be finding it difficult to meet the NQF qualification requirements in particular recruiting and retaining higher qualified staff such as ECTs. Based on the distribution of approved applications, there appears to be some evidence that a large proportion of funding has been allocated to services that do not require support </w:t>
      </w:r>
      <w:r w:rsidR="002B6B83">
        <w:t>to</w:t>
      </w:r>
      <w:r>
        <w:t xml:space="preserve"> obtaining an ECT (</w:t>
      </w:r>
      <w:r w:rsidR="002554AA">
        <w:fldChar w:fldCharType="begin"/>
      </w:r>
      <w:r>
        <w:instrText xml:space="preserve"> REF _Ref370822828 \h </w:instrText>
      </w:r>
      <w:r w:rsidR="002554AA">
        <w:fldChar w:fldCharType="separate"/>
      </w:r>
      <w:r w:rsidR="000B2006">
        <w:t xml:space="preserve">Table </w:t>
      </w:r>
      <w:r w:rsidR="000B2006">
        <w:rPr>
          <w:noProof/>
        </w:rPr>
        <w:t>4</w:t>
      </w:r>
      <w:r w:rsidR="002554AA">
        <w:fldChar w:fldCharType="end"/>
      </w:r>
      <w:r>
        <w:t>):</w:t>
      </w:r>
    </w:p>
    <w:p w:rsidR="00424718" w:rsidRDefault="00EB59B0" w:rsidP="00424718">
      <w:pPr>
        <w:pStyle w:val="PwCNormal"/>
        <w:numPr>
          <w:ilvl w:val="0"/>
          <w:numId w:val="29"/>
        </w:numPr>
      </w:pPr>
      <w:r>
        <w:t>11.6</w:t>
      </w:r>
      <w:r w:rsidR="00424718">
        <w:t xml:space="preserve"> per cent of </w:t>
      </w:r>
      <w:r w:rsidR="00091A7C">
        <w:t>applications that met the assessment criteria</w:t>
      </w:r>
      <w:r w:rsidR="00424718">
        <w:t xml:space="preserve"> identified a requirement for an ECT</w:t>
      </w:r>
    </w:p>
    <w:p w:rsidR="00424718" w:rsidRDefault="00EB59B0" w:rsidP="00424718">
      <w:pPr>
        <w:pStyle w:val="PwCNormal"/>
        <w:numPr>
          <w:ilvl w:val="0"/>
          <w:numId w:val="29"/>
        </w:numPr>
      </w:pPr>
      <w:r>
        <w:t>0.7</w:t>
      </w:r>
      <w:r w:rsidR="00424718">
        <w:t xml:space="preserve"> per cent of </w:t>
      </w:r>
      <w:r w:rsidR="00091A7C">
        <w:t>applications from large providers that met the assessment criteria</w:t>
      </w:r>
      <w:r w:rsidR="00424718">
        <w:t xml:space="preserve"> </w:t>
      </w:r>
      <w:r w:rsidR="00091A7C">
        <w:t xml:space="preserve">identified a requirement for </w:t>
      </w:r>
      <w:r w:rsidR="00424718">
        <w:t>an ECT</w:t>
      </w:r>
    </w:p>
    <w:p w:rsidR="00424718" w:rsidRDefault="00EB59B0" w:rsidP="00EB59B0">
      <w:pPr>
        <w:pStyle w:val="PwCNormal"/>
        <w:numPr>
          <w:ilvl w:val="0"/>
          <w:numId w:val="29"/>
        </w:numPr>
      </w:pPr>
      <w:r>
        <w:t>25.5</w:t>
      </w:r>
      <w:r w:rsidR="00424718">
        <w:t xml:space="preserve"> per cent of small provider services </w:t>
      </w:r>
      <w:r w:rsidR="00091A7C">
        <w:t xml:space="preserve">that met the assessment criteria identified a requirement for an </w:t>
      </w:r>
      <w:r w:rsidR="00424718">
        <w:t>ECT.</w:t>
      </w:r>
    </w:p>
    <w:p w:rsidR="00FC1B7B" w:rsidRDefault="00FC1B7B" w:rsidP="00FC1B7B">
      <w:pPr>
        <w:pStyle w:val="PwCNormal"/>
        <w:numPr>
          <w:ilvl w:val="0"/>
          <w:numId w:val="0"/>
        </w:numPr>
      </w:pPr>
    </w:p>
    <w:p w:rsidR="00FC1B7B" w:rsidRDefault="00FC1B7B" w:rsidP="00FC1B7B">
      <w:pPr>
        <w:pStyle w:val="PwCNormal"/>
        <w:numPr>
          <w:ilvl w:val="0"/>
          <w:numId w:val="0"/>
        </w:numPr>
      </w:pPr>
    </w:p>
    <w:p w:rsidR="00424718" w:rsidRDefault="00424718" w:rsidP="00424718">
      <w:pPr>
        <w:pStyle w:val="Caption"/>
      </w:pPr>
      <w:bookmarkStart w:id="53" w:name="_Ref370822828"/>
      <w:r>
        <w:lastRenderedPageBreak/>
        <w:t xml:space="preserve">Table </w:t>
      </w:r>
      <w:r w:rsidR="002554AA">
        <w:fldChar w:fldCharType="begin"/>
      </w:r>
      <w:r w:rsidR="00D76309">
        <w:instrText xml:space="preserve"> SEQ Table \* ARABIC </w:instrText>
      </w:r>
      <w:r w:rsidR="002554AA">
        <w:fldChar w:fldCharType="separate"/>
      </w:r>
      <w:r w:rsidR="000B2006">
        <w:rPr>
          <w:noProof/>
        </w:rPr>
        <w:t>4</w:t>
      </w:r>
      <w:r w:rsidR="002554AA">
        <w:rPr>
          <w:noProof/>
        </w:rPr>
        <w:fldChar w:fldCharType="end"/>
      </w:r>
      <w:bookmarkEnd w:id="53"/>
      <w:r>
        <w:t xml:space="preserve">: </w:t>
      </w:r>
      <w:r w:rsidR="00847976">
        <w:t>Applications that met the assessment criteria</w:t>
      </w:r>
      <w:r>
        <w:t xml:space="preserve"> – services requiring an ECT</w:t>
      </w:r>
    </w:p>
    <w:tbl>
      <w:tblPr>
        <w:tblW w:w="6951" w:type="dxa"/>
        <w:tblInd w:w="103" w:type="dxa"/>
        <w:tblLayout w:type="fixed"/>
        <w:tblLook w:val="04A0" w:firstRow="1" w:lastRow="0" w:firstColumn="1" w:lastColumn="0" w:noHBand="0" w:noVBand="1"/>
      </w:tblPr>
      <w:tblGrid>
        <w:gridCol w:w="1840"/>
        <w:gridCol w:w="1709"/>
        <w:gridCol w:w="1701"/>
        <w:gridCol w:w="1701"/>
      </w:tblGrid>
      <w:tr w:rsidR="00424718" w:rsidRPr="00E16FF2" w:rsidTr="00E16FF2">
        <w:trPr>
          <w:trHeight w:val="890"/>
        </w:trPr>
        <w:tc>
          <w:tcPr>
            <w:tcW w:w="1840" w:type="dxa"/>
            <w:tcBorders>
              <w:top w:val="single" w:sz="4" w:space="0" w:color="A6A6A6"/>
              <w:left w:val="single" w:sz="4" w:space="0" w:color="A6A6A6"/>
              <w:bottom w:val="single" w:sz="4" w:space="0" w:color="A6A6A6"/>
              <w:right w:val="single" w:sz="4" w:space="0" w:color="A6A6A6"/>
            </w:tcBorders>
            <w:shd w:val="clear" w:color="auto" w:fill="A32020" w:themeFill="accent1"/>
            <w:noWrap/>
            <w:vAlign w:val="center"/>
            <w:hideMark/>
          </w:tcPr>
          <w:p w:rsidR="00424718" w:rsidRPr="00E16FF2" w:rsidRDefault="00424718" w:rsidP="004C518F">
            <w:pPr>
              <w:kinsoku/>
              <w:overflowPunct/>
              <w:autoSpaceDE/>
              <w:autoSpaceDN/>
              <w:adjustRightInd/>
              <w:snapToGrid/>
              <w:rPr>
                <w:rFonts w:asciiTheme="majorHAnsi" w:hAnsiTheme="majorHAnsi" w:cstheme="minorHAnsi"/>
                <w:b/>
                <w:bCs/>
                <w:snapToGrid/>
                <w:color w:val="FFFFFF" w:themeColor="background1"/>
                <w:sz w:val="18"/>
                <w:szCs w:val="18"/>
                <w:lang w:eastAsia="en-AU"/>
              </w:rPr>
            </w:pPr>
            <w:r w:rsidRPr="00E16FF2">
              <w:rPr>
                <w:rFonts w:asciiTheme="majorHAnsi" w:hAnsiTheme="majorHAnsi" w:cstheme="minorHAnsi"/>
                <w:b/>
                <w:bCs/>
                <w:snapToGrid/>
                <w:color w:val="FFFFFF" w:themeColor="background1"/>
                <w:sz w:val="18"/>
                <w:szCs w:val="18"/>
                <w:lang w:eastAsia="en-AU"/>
              </w:rPr>
              <w:t>Provider type</w:t>
            </w:r>
          </w:p>
        </w:tc>
        <w:tc>
          <w:tcPr>
            <w:tcW w:w="1709" w:type="dxa"/>
            <w:tcBorders>
              <w:top w:val="single" w:sz="4" w:space="0" w:color="A6A6A6"/>
              <w:left w:val="nil"/>
              <w:bottom w:val="single" w:sz="4" w:space="0" w:color="A6A6A6"/>
              <w:right w:val="single" w:sz="4" w:space="0" w:color="A6A6A6"/>
            </w:tcBorders>
            <w:shd w:val="clear" w:color="auto" w:fill="A32020" w:themeFill="accent1"/>
            <w:vAlign w:val="center"/>
            <w:hideMark/>
          </w:tcPr>
          <w:p w:rsidR="00424718" w:rsidRPr="00E16FF2" w:rsidRDefault="00424718" w:rsidP="00E16FF2">
            <w:pPr>
              <w:pStyle w:val="Arial"/>
              <w:jc w:val="right"/>
              <w:rPr>
                <w:rFonts w:asciiTheme="majorHAnsi" w:hAnsiTheme="majorHAnsi" w:cstheme="minorHAnsi"/>
                <w:b/>
                <w:bCs/>
                <w:color w:val="FFFFFF" w:themeColor="background1"/>
              </w:rPr>
            </w:pPr>
            <w:r w:rsidRPr="00E16FF2">
              <w:rPr>
                <w:rFonts w:asciiTheme="majorHAnsi" w:hAnsiTheme="majorHAnsi" w:cstheme="minorHAnsi"/>
                <w:b/>
                <w:bCs/>
                <w:color w:val="FFFFFF" w:themeColor="background1"/>
              </w:rPr>
              <w:t>Services identified ECT required</w:t>
            </w:r>
          </w:p>
        </w:tc>
        <w:tc>
          <w:tcPr>
            <w:tcW w:w="1701" w:type="dxa"/>
            <w:tcBorders>
              <w:top w:val="single" w:sz="4" w:space="0" w:color="A6A6A6"/>
              <w:left w:val="nil"/>
              <w:bottom w:val="single" w:sz="4" w:space="0" w:color="A6A6A6"/>
              <w:right w:val="single" w:sz="4" w:space="0" w:color="A6A6A6"/>
            </w:tcBorders>
            <w:shd w:val="clear" w:color="auto" w:fill="A32020" w:themeFill="accent1"/>
            <w:vAlign w:val="center"/>
            <w:hideMark/>
          </w:tcPr>
          <w:p w:rsidR="00424718" w:rsidRPr="00E16FF2" w:rsidRDefault="00424718" w:rsidP="00E16FF2">
            <w:pPr>
              <w:pStyle w:val="Arial"/>
              <w:jc w:val="right"/>
              <w:rPr>
                <w:rFonts w:asciiTheme="majorHAnsi" w:hAnsiTheme="majorHAnsi" w:cstheme="minorHAnsi"/>
                <w:b/>
                <w:bCs/>
                <w:color w:val="FFFFFF" w:themeColor="background1"/>
              </w:rPr>
            </w:pPr>
            <w:r w:rsidRPr="00E16FF2">
              <w:rPr>
                <w:rFonts w:asciiTheme="majorHAnsi" w:hAnsiTheme="majorHAnsi" w:cstheme="minorHAnsi"/>
                <w:b/>
                <w:bCs/>
                <w:color w:val="FFFFFF" w:themeColor="background1"/>
              </w:rPr>
              <w:t>Total services</w:t>
            </w:r>
          </w:p>
        </w:tc>
        <w:tc>
          <w:tcPr>
            <w:tcW w:w="1701" w:type="dxa"/>
            <w:tcBorders>
              <w:top w:val="single" w:sz="4" w:space="0" w:color="A6A6A6"/>
              <w:left w:val="nil"/>
              <w:bottom w:val="single" w:sz="4" w:space="0" w:color="A6A6A6"/>
              <w:right w:val="single" w:sz="4" w:space="0" w:color="A6A6A6"/>
            </w:tcBorders>
            <w:shd w:val="clear" w:color="auto" w:fill="A32020" w:themeFill="accent1"/>
            <w:vAlign w:val="center"/>
            <w:hideMark/>
          </w:tcPr>
          <w:p w:rsidR="00424718" w:rsidRPr="00E16FF2" w:rsidRDefault="00424718" w:rsidP="00E16FF2">
            <w:pPr>
              <w:pStyle w:val="Arial"/>
              <w:jc w:val="right"/>
              <w:rPr>
                <w:rFonts w:asciiTheme="majorHAnsi" w:hAnsiTheme="majorHAnsi" w:cstheme="minorHAnsi"/>
                <w:b/>
                <w:bCs/>
                <w:color w:val="FFFFFF" w:themeColor="background1"/>
              </w:rPr>
            </w:pPr>
            <w:r w:rsidRPr="00E16FF2">
              <w:rPr>
                <w:rFonts w:asciiTheme="majorHAnsi" w:hAnsiTheme="majorHAnsi" w:cstheme="minorHAnsi"/>
                <w:b/>
                <w:bCs/>
                <w:color w:val="FFFFFF" w:themeColor="background1"/>
              </w:rPr>
              <w:t>% of total services</w:t>
            </w:r>
          </w:p>
        </w:tc>
      </w:tr>
      <w:tr w:rsidR="00424718" w:rsidRPr="00E16FF2" w:rsidTr="00E16FF2">
        <w:trPr>
          <w:trHeight w:val="300"/>
        </w:trPr>
        <w:tc>
          <w:tcPr>
            <w:tcW w:w="1840" w:type="dxa"/>
            <w:tcBorders>
              <w:top w:val="nil"/>
              <w:left w:val="single" w:sz="4" w:space="0" w:color="A6A6A6"/>
              <w:bottom w:val="single" w:sz="4" w:space="0" w:color="A6A6A6"/>
              <w:right w:val="single" w:sz="4" w:space="0" w:color="A6A6A6"/>
            </w:tcBorders>
            <w:shd w:val="clear" w:color="auto" w:fill="auto"/>
            <w:noWrap/>
            <w:vAlign w:val="center"/>
            <w:hideMark/>
          </w:tcPr>
          <w:p w:rsidR="00424718" w:rsidRPr="00E16FF2" w:rsidRDefault="00424718" w:rsidP="004C518F">
            <w:pPr>
              <w:kinsoku/>
              <w:overflowPunct/>
              <w:autoSpaceDE/>
              <w:autoSpaceDN/>
              <w:adjustRightInd/>
              <w:snapToGrid/>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 xml:space="preserve">Large </w:t>
            </w:r>
          </w:p>
        </w:tc>
        <w:tc>
          <w:tcPr>
            <w:tcW w:w="1709" w:type="dxa"/>
            <w:tcBorders>
              <w:top w:val="nil"/>
              <w:left w:val="nil"/>
              <w:bottom w:val="single" w:sz="4" w:space="0" w:color="A6A6A6"/>
              <w:right w:val="single" w:sz="4" w:space="0" w:color="A6A6A6"/>
            </w:tcBorders>
            <w:shd w:val="clear" w:color="auto" w:fill="FFFFFF" w:themeFill="background1"/>
            <w:noWrap/>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5</w:t>
            </w:r>
          </w:p>
        </w:tc>
        <w:tc>
          <w:tcPr>
            <w:tcW w:w="1701" w:type="dxa"/>
            <w:tcBorders>
              <w:top w:val="nil"/>
              <w:left w:val="nil"/>
              <w:bottom w:val="single" w:sz="4" w:space="0" w:color="A6A6A6"/>
              <w:right w:val="single" w:sz="4" w:space="0" w:color="A6A6A6"/>
            </w:tcBorders>
            <w:shd w:val="clear" w:color="auto" w:fill="FFFFFF" w:themeFill="background1"/>
            <w:noWrap/>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703</w:t>
            </w:r>
          </w:p>
        </w:tc>
        <w:tc>
          <w:tcPr>
            <w:tcW w:w="1701" w:type="dxa"/>
            <w:tcBorders>
              <w:top w:val="nil"/>
              <w:left w:val="nil"/>
              <w:bottom w:val="single" w:sz="4" w:space="0" w:color="A6A6A6"/>
              <w:right w:val="single" w:sz="4" w:space="0" w:color="A6A6A6"/>
            </w:tcBorders>
            <w:shd w:val="clear" w:color="auto" w:fill="FFFFFF" w:themeFill="background1"/>
            <w:noWrap/>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0.7</w:t>
            </w:r>
          </w:p>
        </w:tc>
      </w:tr>
      <w:tr w:rsidR="00424718" w:rsidRPr="00E16FF2" w:rsidTr="00E16FF2">
        <w:trPr>
          <w:trHeight w:val="300"/>
        </w:trPr>
        <w:tc>
          <w:tcPr>
            <w:tcW w:w="1840" w:type="dxa"/>
            <w:tcBorders>
              <w:top w:val="nil"/>
              <w:left w:val="single" w:sz="4" w:space="0" w:color="A6A6A6"/>
              <w:bottom w:val="single" w:sz="4" w:space="0" w:color="A6A6A6"/>
              <w:right w:val="single" w:sz="4" w:space="0" w:color="A6A6A6"/>
            </w:tcBorders>
            <w:shd w:val="clear" w:color="auto" w:fill="auto"/>
            <w:noWrap/>
            <w:vAlign w:val="center"/>
            <w:hideMark/>
          </w:tcPr>
          <w:p w:rsidR="00424718" w:rsidRPr="00E16FF2" w:rsidRDefault="00424718" w:rsidP="004C518F">
            <w:pPr>
              <w:kinsoku/>
              <w:overflowPunct/>
              <w:autoSpaceDE/>
              <w:autoSpaceDN/>
              <w:adjustRightInd/>
              <w:snapToGrid/>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 xml:space="preserve">Small </w:t>
            </w:r>
          </w:p>
        </w:tc>
        <w:tc>
          <w:tcPr>
            <w:tcW w:w="1709" w:type="dxa"/>
            <w:tcBorders>
              <w:top w:val="nil"/>
              <w:left w:val="nil"/>
              <w:bottom w:val="single" w:sz="4" w:space="0" w:color="A6A6A6"/>
              <w:right w:val="single" w:sz="4" w:space="0" w:color="A6A6A6"/>
            </w:tcBorders>
            <w:shd w:val="clear" w:color="auto" w:fill="FFFFFF" w:themeFill="background1"/>
            <w:noWrap/>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141</w:t>
            </w:r>
          </w:p>
        </w:tc>
        <w:tc>
          <w:tcPr>
            <w:tcW w:w="1701" w:type="dxa"/>
            <w:tcBorders>
              <w:top w:val="nil"/>
              <w:left w:val="nil"/>
              <w:bottom w:val="single" w:sz="4" w:space="0" w:color="A6A6A6"/>
              <w:right w:val="single" w:sz="4" w:space="0" w:color="A6A6A6"/>
            </w:tcBorders>
            <w:shd w:val="clear" w:color="auto" w:fill="FFFFFF" w:themeFill="background1"/>
            <w:noWrap/>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554</w:t>
            </w:r>
          </w:p>
        </w:tc>
        <w:tc>
          <w:tcPr>
            <w:tcW w:w="1701" w:type="dxa"/>
            <w:tcBorders>
              <w:top w:val="nil"/>
              <w:left w:val="nil"/>
              <w:bottom w:val="single" w:sz="4" w:space="0" w:color="A6A6A6"/>
              <w:right w:val="single" w:sz="4" w:space="0" w:color="A6A6A6"/>
            </w:tcBorders>
            <w:shd w:val="clear" w:color="auto" w:fill="FFFFFF" w:themeFill="background1"/>
            <w:noWrap/>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25.5</w:t>
            </w:r>
          </w:p>
        </w:tc>
      </w:tr>
      <w:tr w:rsidR="00424718" w:rsidRPr="00E16FF2" w:rsidTr="00E16FF2">
        <w:trPr>
          <w:trHeight w:val="300"/>
        </w:trPr>
        <w:tc>
          <w:tcPr>
            <w:tcW w:w="1840" w:type="dxa"/>
            <w:tcBorders>
              <w:top w:val="nil"/>
              <w:left w:val="single" w:sz="4" w:space="0" w:color="A6A6A6"/>
              <w:bottom w:val="single" w:sz="4" w:space="0" w:color="A6A6A6"/>
              <w:right w:val="single" w:sz="4" w:space="0" w:color="A6A6A6"/>
            </w:tcBorders>
            <w:shd w:val="clear" w:color="auto" w:fill="auto"/>
            <w:noWrap/>
            <w:vAlign w:val="center"/>
            <w:hideMark/>
          </w:tcPr>
          <w:p w:rsidR="00424718" w:rsidRPr="00E16FF2" w:rsidRDefault="00424718" w:rsidP="004C518F">
            <w:pPr>
              <w:kinsoku/>
              <w:overflowPunct/>
              <w:autoSpaceDE/>
              <w:autoSpaceDN/>
              <w:adjustRightInd/>
              <w:snapToGrid/>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Total</w:t>
            </w:r>
          </w:p>
        </w:tc>
        <w:tc>
          <w:tcPr>
            <w:tcW w:w="1709" w:type="dxa"/>
            <w:tcBorders>
              <w:top w:val="nil"/>
              <w:left w:val="nil"/>
              <w:bottom w:val="single" w:sz="4" w:space="0" w:color="A6A6A6"/>
              <w:right w:val="single" w:sz="4" w:space="0" w:color="A6A6A6"/>
            </w:tcBorders>
            <w:shd w:val="clear" w:color="auto" w:fill="FFFFFF" w:themeFill="background1"/>
            <w:noWrap/>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146</w:t>
            </w:r>
          </w:p>
        </w:tc>
        <w:tc>
          <w:tcPr>
            <w:tcW w:w="1701" w:type="dxa"/>
            <w:tcBorders>
              <w:top w:val="nil"/>
              <w:left w:val="nil"/>
              <w:bottom w:val="single" w:sz="4" w:space="0" w:color="A6A6A6"/>
              <w:right w:val="single" w:sz="4" w:space="0" w:color="A6A6A6"/>
            </w:tcBorders>
            <w:shd w:val="clear" w:color="auto" w:fill="FFFFFF" w:themeFill="background1"/>
            <w:noWrap/>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1,257</w:t>
            </w:r>
          </w:p>
        </w:tc>
        <w:tc>
          <w:tcPr>
            <w:tcW w:w="1701" w:type="dxa"/>
            <w:tcBorders>
              <w:top w:val="nil"/>
              <w:left w:val="nil"/>
              <w:bottom w:val="single" w:sz="4" w:space="0" w:color="A6A6A6"/>
              <w:right w:val="single" w:sz="4" w:space="0" w:color="A6A6A6"/>
            </w:tcBorders>
            <w:shd w:val="clear" w:color="auto" w:fill="FFFFFF" w:themeFill="background1"/>
            <w:noWrap/>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11.6</w:t>
            </w:r>
          </w:p>
        </w:tc>
      </w:tr>
    </w:tbl>
    <w:p w:rsidR="00424718" w:rsidRDefault="00424718" w:rsidP="00424718">
      <w:pPr>
        <w:pStyle w:val="PwCNormal"/>
        <w:numPr>
          <w:ilvl w:val="0"/>
          <w:numId w:val="0"/>
        </w:numPr>
        <w:rPr>
          <w:sz w:val="16"/>
        </w:rPr>
      </w:pPr>
      <w:r w:rsidRPr="00B90E9A">
        <w:rPr>
          <w:sz w:val="16"/>
        </w:rPr>
        <w:t>Source: EYQF application data provided by the Department</w:t>
      </w:r>
      <w:r>
        <w:rPr>
          <w:sz w:val="16"/>
        </w:rPr>
        <w:t>, PwC analysis</w:t>
      </w:r>
    </w:p>
    <w:p w:rsidR="00424718" w:rsidRDefault="00424718" w:rsidP="00424718">
      <w:pPr>
        <w:pStyle w:val="PwCNormal"/>
        <w:numPr>
          <w:ilvl w:val="0"/>
          <w:numId w:val="0"/>
        </w:numPr>
      </w:pPr>
      <w:r>
        <w:t xml:space="preserve">The results outlined in </w:t>
      </w:r>
      <w:r w:rsidR="002554AA">
        <w:fldChar w:fldCharType="begin"/>
      </w:r>
      <w:r>
        <w:instrText xml:space="preserve"> REF _Ref370822828 \h </w:instrText>
      </w:r>
      <w:r w:rsidR="002554AA">
        <w:fldChar w:fldCharType="separate"/>
      </w:r>
      <w:r w:rsidR="000B2006">
        <w:t xml:space="preserve">Table </w:t>
      </w:r>
      <w:r w:rsidR="000B2006">
        <w:rPr>
          <w:noProof/>
        </w:rPr>
        <w:t>4</w:t>
      </w:r>
      <w:r w:rsidR="002554AA">
        <w:fldChar w:fldCharType="end"/>
      </w:r>
      <w:r>
        <w:t xml:space="preserve"> might suggest that small provider services may on average require a higher funding amount per staff member to address the greater need for ECTs. However, the data shows that they receive less funding per staff member in comparison to large provider services (</w:t>
      </w:r>
      <w:r w:rsidR="002554AA">
        <w:fldChar w:fldCharType="begin"/>
      </w:r>
      <w:r>
        <w:instrText xml:space="preserve"> REF _Ref370826928 \h </w:instrText>
      </w:r>
      <w:r w:rsidR="002554AA">
        <w:fldChar w:fldCharType="separate"/>
      </w:r>
      <w:r w:rsidR="000B2006">
        <w:t xml:space="preserve">Table </w:t>
      </w:r>
      <w:r w:rsidR="000B2006">
        <w:rPr>
          <w:noProof/>
        </w:rPr>
        <w:t>5</w:t>
      </w:r>
      <w:r w:rsidR="002554AA">
        <w:fldChar w:fldCharType="end"/>
      </w:r>
      <w:r>
        <w:t xml:space="preserve">). </w:t>
      </w:r>
    </w:p>
    <w:p w:rsidR="00424718" w:rsidRDefault="00424718" w:rsidP="00424718">
      <w:pPr>
        <w:pStyle w:val="Caption"/>
      </w:pPr>
      <w:bookmarkStart w:id="54" w:name="_Ref370826928"/>
      <w:r>
        <w:t xml:space="preserve">Table </w:t>
      </w:r>
      <w:r w:rsidR="002554AA">
        <w:fldChar w:fldCharType="begin"/>
      </w:r>
      <w:r w:rsidR="00D76309">
        <w:instrText xml:space="preserve"> SEQ Table \* ARABIC </w:instrText>
      </w:r>
      <w:r w:rsidR="002554AA">
        <w:fldChar w:fldCharType="separate"/>
      </w:r>
      <w:r w:rsidR="000B2006">
        <w:rPr>
          <w:noProof/>
        </w:rPr>
        <w:t>5</w:t>
      </w:r>
      <w:r w:rsidR="002554AA">
        <w:rPr>
          <w:noProof/>
        </w:rPr>
        <w:fldChar w:fldCharType="end"/>
      </w:r>
      <w:bookmarkEnd w:id="54"/>
      <w:r>
        <w:t xml:space="preserve">: </w:t>
      </w:r>
      <w:r w:rsidR="00847976">
        <w:t>Applications that met the assessment criteria</w:t>
      </w:r>
      <w:r>
        <w:t xml:space="preserve"> – funding per staff</w:t>
      </w:r>
    </w:p>
    <w:tbl>
      <w:tblPr>
        <w:tblW w:w="7000" w:type="dxa"/>
        <w:tblInd w:w="103" w:type="dxa"/>
        <w:tblLook w:val="04A0" w:firstRow="1" w:lastRow="0" w:firstColumn="1" w:lastColumn="0" w:noHBand="0" w:noVBand="1"/>
      </w:tblPr>
      <w:tblGrid>
        <w:gridCol w:w="1840"/>
        <w:gridCol w:w="1720"/>
        <w:gridCol w:w="1720"/>
        <w:gridCol w:w="1720"/>
      </w:tblGrid>
      <w:tr w:rsidR="00424718" w:rsidRPr="00E16FF2" w:rsidTr="004C518F">
        <w:trPr>
          <w:trHeight w:val="556"/>
        </w:trPr>
        <w:tc>
          <w:tcPr>
            <w:tcW w:w="1840" w:type="dxa"/>
            <w:tcBorders>
              <w:top w:val="single" w:sz="4" w:space="0" w:color="A6A6A6"/>
              <w:left w:val="single" w:sz="4" w:space="0" w:color="A6A6A6"/>
              <w:bottom w:val="single" w:sz="4" w:space="0" w:color="A6A6A6"/>
              <w:right w:val="single" w:sz="4" w:space="0" w:color="A6A6A6"/>
            </w:tcBorders>
            <w:shd w:val="clear" w:color="auto" w:fill="A32020" w:themeFill="text2"/>
            <w:noWrap/>
            <w:vAlign w:val="center"/>
            <w:hideMark/>
          </w:tcPr>
          <w:p w:rsidR="00424718" w:rsidRPr="00E16FF2" w:rsidRDefault="00424718" w:rsidP="004C518F">
            <w:pPr>
              <w:pStyle w:val="Arial"/>
              <w:rPr>
                <w:rFonts w:asciiTheme="majorHAnsi" w:hAnsiTheme="majorHAnsi" w:cstheme="minorHAnsi"/>
                <w:b/>
                <w:bCs/>
                <w:color w:val="FFFFFF" w:themeColor="background1"/>
              </w:rPr>
            </w:pPr>
            <w:r w:rsidRPr="00E16FF2">
              <w:rPr>
                <w:rFonts w:asciiTheme="majorHAnsi" w:hAnsiTheme="majorHAnsi" w:cstheme="minorHAnsi"/>
                <w:b/>
                <w:bCs/>
                <w:color w:val="FFFFFF" w:themeColor="background1"/>
              </w:rPr>
              <w:t>Provider Type</w:t>
            </w:r>
          </w:p>
        </w:tc>
        <w:tc>
          <w:tcPr>
            <w:tcW w:w="1720" w:type="dxa"/>
            <w:tcBorders>
              <w:top w:val="single" w:sz="4" w:space="0" w:color="A6A6A6"/>
              <w:left w:val="nil"/>
              <w:bottom w:val="single" w:sz="4" w:space="0" w:color="A6A6A6"/>
              <w:right w:val="single" w:sz="4" w:space="0" w:color="A6A6A6"/>
            </w:tcBorders>
            <w:shd w:val="clear" w:color="auto" w:fill="A32020" w:themeFill="text2"/>
            <w:noWrap/>
            <w:vAlign w:val="center"/>
            <w:hideMark/>
          </w:tcPr>
          <w:p w:rsidR="00424718" w:rsidRPr="00E16FF2" w:rsidRDefault="00424718" w:rsidP="00E16FF2">
            <w:pPr>
              <w:pStyle w:val="Arial"/>
              <w:jc w:val="right"/>
              <w:rPr>
                <w:rFonts w:asciiTheme="majorHAnsi" w:hAnsiTheme="majorHAnsi" w:cstheme="minorHAnsi"/>
                <w:b/>
                <w:bCs/>
                <w:color w:val="FFFFFF" w:themeColor="background1"/>
              </w:rPr>
            </w:pPr>
            <w:r w:rsidRPr="00E16FF2">
              <w:rPr>
                <w:rFonts w:asciiTheme="majorHAnsi" w:hAnsiTheme="majorHAnsi" w:cstheme="minorHAnsi"/>
                <w:b/>
                <w:bCs/>
                <w:color w:val="FFFFFF" w:themeColor="background1"/>
              </w:rPr>
              <w:t>Staff</w:t>
            </w:r>
          </w:p>
        </w:tc>
        <w:tc>
          <w:tcPr>
            <w:tcW w:w="1720" w:type="dxa"/>
            <w:tcBorders>
              <w:top w:val="single" w:sz="4" w:space="0" w:color="A6A6A6"/>
              <w:left w:val="nil"/>
              <w:bottom w:val="single" w:sz="4" w:space="0" w:color="A6A6A6"/>
              <w:right w:val="single" w:sz="4" w:space="0" w:color="A6A6A6"/>
            </w:tcBorders>
            <w:shd w:val="clear" w:color="auto" w:fill="A32020" w:themeFill="text2"/>
            <w:vAlign w:val="center"/>
            <w:hideMark/>
          </w:tcPr>
          <w:p w:rsidR="00424718" w:rsidRPr="00E16FF2" w:rsidRDefault="00424718" w:rsidP="00E16FF2">
            <w:pPr>
              <w:pStyle w:val="Arial"/>
              <w:jc w:val="right"/>
              <w:rPr>
                <w:rFonts w:asciiTheme="majorHAnsi" w:hAnsiTheme="majorHAnsi" w:cstheme="minorHAnsi"/>
                <w:b/>
                <w:bCs/>
                <w:color w:val="FFFFFF" w:themeColor="background1"/>
              </w:rPr>
            </w:pPr>
            <w:r w:rsidRPr="00E16FF2">
              <w:rPr>
                <w:rFonts w:asciiTheme="majorHAnsi" w:hAnsiTheme="majorHAnsi" w:cstheme="minorHAnsi"/>
                <w:b/>
                <w:bCs/>
                <w:color w:val="FFFFFF" w:themeColor="background1"/>
              </w:rPr>
              <w:t>Funding ($)</w:t>
            </w:r>
          </w:p>
        </w:tc>
        <w:tc>
          <w:tcPr>
            <w:tcW w:w="1720" w:type="dxa"/>
            <w:tcBorders>
              <w:top w:val="single" w:sz="4" w:space="0" w:color="A6A6A6"/>
              <w:left w:val="nil"/>
              <w:bottom w:val="single" w:sz="4" w:space="0" w:color="A6A6A6"/>
              <w:right w:val="single" w:sz="4" w:space="0" w:color="A6A6A6"/>
            </w:tcBorders>
            <w:shd w:val="clear" w:color="auto" w:fill="A32020" w:themeFill="text2"/>
            <w:noWrap/>
            <w:vAlign w:val="center"/>
            <w:hideMark/>
          </w:tcPr>
          <w:p w:rsidR="00424718" w:rsidRPr="00E16FF2" w:rsidRDefault="00424718" w:rsidP="00E16FF2">
            <w:pPr>
              <w:pStyle w:val="Arial"/>
              <w:jc w:val="right"/>
              <w:rPr>
                <w:rFonts w:asciiTheme="majorHAnsi" w:hAnsiTheme="majorHAnsi" w:cstheme="minorHAnsi"/>
                <w:b/>
                <w:bCs/>
                <w:color w:val="FFFFFF" w:themeColor="background1"/>
              </w:rPr>
            </w:pPr>
            <w:r w:rsidRPr="00E16FF2">
              <w:rPr>
                <w:rFonts w:asciiTheme="majorHAnsi" w:hAnsiTheme="majorHAnsi" w:cstheme="minorHAnsi"/>
                <w:b/>
                <w:bCs/>
                <w:color w:val="FFFFFF" w:themeColor="background1"/>
              </w:rPr>
              <w:t>Per staff</w:t>
            </w:r>
          </w:p>
        </w:tc>
      </w:tr>
      <w:tr w:rsidR="00424718" w:rsidRPr="00E16FF2" w:rsidTr="004C518F">
        <w:trPr>
          <w:trHeight w:val="300"/>
        </w:trPr>
        <w:tc>
          <w:tcPr>
            <w:tcW w:w="1840" w:type="dxa"/>
            <w:tcBorders>
              <w:top w:val="nil"/>
              <w:left w:val="single" w:sz="4" w:space="0" w:color="A6A6A6"/>
              <w:bottom w:val="single" w:sz="4" w:space="0" w:color="A6A6A6"/>
              <w:right w:val="single" w:sz="4" w:space="0" w:color="A6A6A6"/>
            </w:tcBorders>
            <w:shd w:val="clear" w:color="auto" w:fill="auto"/>
            <w:noWrap/>
            <w:vAlign w:val="center"/>
            <w:hideMark/>
          </w:tcPr>
          <w:p w:rsidR="00424718" w:rsidRPr="00E16FF2" w:rsidRDefault="00424718" w:rsidP="004C518F">
            <w:pPr>
              <w:kinsoku/>
              <w:overflowPunct/>
              <w:autoSpaceDE/>
              <w:autoSpaceDN/>
              <w:adjustRightInd/>
              <w:snapToGrid/>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Large</w:t>
            </w:r>
          </w:p>
        </w:tc>
        <w:tc>
          <w:tcPr>
            <w:tcW w:w="1720" w:type="dxa"/>
            <w:tcBorders>
              <w:top w:val="nil"/>
              <w:left w:val="nil"/>
              <w:bottom w:val="single" w:sz="4" w:space="0" w:color="A6A6A6"/>
              <w:right w:val="single" w:sz="4" w:space="0" w:color="A6A6A6"/>
            </w:tcBorders>
            <w:shd w:val="clear" w:color="auto" w:fill="FFFFFF" w:themeFill="background1"/>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10,862</w:t>
            </w:r>
          </w:p>
        </w:tc>
        <w:tc>
          <w:tcPr>
            <w:tcW w:w="1720" w:type="dxa"/>
            <w:tcBorders>
              <w:top w:val="nil"/>
              <w:left w:val="nil"/>
              <w:bottom w:val="single" w:sz="4" w:space="0" w:color="A6A6A6"/>
              <w:right w:val="single" w:sz="4" w:space="0" w:color="A6A6A6"/>
            </w:tcBorders>
            <w:shd w:val="clear" w:color="auto" w:fill="FFFFFF" w:themeFill="background1"/>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149,752,355</w:t>
            </w:r>
          </w:p>
        </w:tc>
        <w:tc>
          <w:tcPr>
            <w:tcW w:w="1720" w:type="dxa"/>
            <w:tcBorders>
              <w:top w:val="nil"/>
              <w:left w:val="nil"/>
              <w:bottom w:val="single" w:sz="4" w:space="0" w:color="A6A6A6"/>
              <w:right w:val="single" w:sz="4" w:space="0" w:color="A6A6A6"/>
            </w:tcBorders>
            <w:shd w:val="clear" w:color="auto" w:fill="FFFFFF" w:themeFill="background1"/>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13,787</w:t>
            </w:r>
          </w:p>
        </w:tc>
      </w:tr>
      <w:tr w:rsidR="00424718" w:rsidRPr="00E16FF2" w:rsidTr="004C518F">
        <w:trPr>
          <w:trHeight w:val="300"/>
        </w:trPr>
        <w:tc>
          <w:tcPr>
            <w:tcW w:w="1840" w:type="dxa"/>
            <w:tcBorders>
              <w:top w:val="nil"/>
              <w:left w:val="single" w:sz="4" w:space="0" w:color="A6A6A6"/>
              <w:bottom w:val="single" w:sz="4" w:space="0" w:color="A6A6A6"/>
              <w:right w:val="single" w:sz="4" w:space="0" w:color="A6A6A6"/>
            </w:tcBorders>
            <w:shd w:val="clear" w:color="auto" w:fill="auto"/>
            <w:noWrap/>
            <w:vAlign w:val="center"/>
            <w:hideMark/>
          </w:tcPr>
          <w:p w:rsidR="00424718" w:rsidRPr="00E16FF2" w:rsidRDefault="00424718" w:rsidP="004C518F">
            <w:pPr>
              <w:kinsoku/>
              <w:overflowPunct/>
              <w:autoSpaceDE/>
              <w:autoSpaceDN/>
              <w:adjustRightInd/>
              <w:snapToGrid/>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Small</w:t>
            </w:r>
          </w:p>
        </w:tc>
        <w:tc>
          <w:tcPr>
            <w:tcW w:w="1720" w:type="dxa"/>
            <w:tcBorders>
              <w:top w:val="nil"/>
              <w:left w:val="nil"/>
              <w:bottom w:val="single" w:sz="4" w:space="0" w:color="A6A6A6"/>
              <w:right w:val="single" w:sz="4" w:space="0" w:color="A6A6A6"/>
            </w:tcBorders>
            <w:shd w:val="clear" w:color="auto" w:fill="FFFFFF" w:themeFill="background1"/>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13,104</w:t>
            </w:r>
          </w:p>
        </w:tc>
        <w:tc>
          <w:tcPr>
            <w:tcW w:w="1720" w:type="dxa"/>
            <w:tcBorders>
              <w:top w:val="nil"/>
              <w:left w:val="nil"/>
              <w:bottom w:val="single" w:sz="4" w:space="0" w:color="A6A6A6"/>
              <w:right w:val="single" w:sz="4" w:space="0" w:color="A6A6A6"/>
            </w:tcBorders>
            <w:shd w:val="clear" w:color="auto" w:fill="FFFFFF" w:themeFill="background1"/>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147,628,145</w:t>
            </w:r>
          </w:p>
        </w:tc>
        <w:tc>
          <w:tcPr>
            <w:tcW w:w="1720" w:type="dxa"/>
            <w:tcBorders>
              <w:top w:val="nil"/>
              <w:left w:val="nil"/>
              <w:bottom w:val="single" w:sz="4" w:space="0" w:color="A6A6A6"/>
              <w:right w:val="single" w:sz="4" w:space="0" w:color="A6A6A6"/>
            </w:tcBorders>
            <w:shd w:val="clear" w:color="auto" w:fill="FFFFFF" w:themeFill="background1"/>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11,266</w:t>
            </w:r>
          </w:p>
        </w:tc>
      </w:tr>
      <w:tr w:rsidR="00424718" w:rsidRPr="00E16FF2" w:rsidTr="004C518F">
        <w:trPr>
          <w:trHeight w:val="300"/>
        </w:trPr>
        <w:tc>
          <w:tcPr>
            <w:tcW w:w="1840" w:type="dxa"/>
            <w:tcBorders>
              <w:top w:val="nil"/>
              <w:left w:val="single" w:sz="4" w:space="0" w:color="A6A6A6"/>
              <w:bottom w:val="single" w:sz="4" w:space="0" w:color="A6A6A6"/>
              <w:right w:val="single" w:sz="4" w:space="0" w:color="A6A6A6"/>
            </w:tcBorders>
            <w:shd w:val="clear" w:color="auto" w:fill="auto"/>
            <w:noWrap/>
            <w:vAlign w:val="center"/>
            <w:hideMark/>
          </w:tcPr>
          <w:p w:rsidR="00424718" w:rsidRPr="00E16FF2" w:rsidRDefault="00424718" w:rsidP="004C518F">
            <w:pPr>
              <w:kinsoku/>
              <w:overflowPunct/>
              <w:autoSpaceDE/>
              <w:autoSpaceDN/>
              <w:adjustRightInd/>
              <w:snapToGrid/>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Total</w:t>
            </w:r>
          </w:p>
        </w:tc>
        <w:tc>
          <w:tcPr>
            <w:tcW w:w="1720" w:type="dxa"/>
            <w:tcBorders>
              <w:top w:val="nil"/>
              <w:left w:val="nil"/>
              <w:bottom w:val="single" w:sz="4" w:space="0" w:color="A6A6A6"/>
              <w:right w:val="single" w:sz="4" w:space="0" w:color="A6A6A6"/>
            </w:tcBorders>
            <w:shd w:val="clear" w:color="auto" w:fill="FFFFFF" w:themeFill="background1"/>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23,966</w:t>
            </w:r>
          </w:p>
        </w:tc>
        <w:tc>
          <w:tcPr>
            <w:tcW w:w="1720" w:type="dxa"/>
            <w:tcBorders>
              <w:top w:val="nil"/>
              <w:left w:val="nil"/>
              <w:bottom w:val="single" w:sz="4" w:space="0" w:color="A6A6A6"/>
              <w:right w:val="single" w:sz="4" w:space="0" w:color="A6A6A6"/>
            </w:tcBorders>
            <w:shd w:val="clear" w:color="auto" w:fill="FFFFFF" w:themeFill="background1"/>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297,380,500</w:t>
            </w:r>
          </w:p>
        </w:tc>
        <w:tc>
          <w:tcPr>
            <w:tcW w:w="1720" w:type="dxa"/>
            <w:tcBorders>
              <w:top w:val="nil"/>
              <w:left w:val="nil"/>
              <w:bottom w:val="single" w:sz="4" w:space="0" w:color="A6A6A6"/>
              <w:right w:val="single" w:sz="4" w:space="0" w:color="A6A6A6"/>
            </w:tcBorders>
            <w:shd w:val="clear" w:color="auto" w:fill="FFFFFF" w:themeFill="background1"/>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12,408</w:t>
            </w:r>
          </w:p>
        </w:tc>
      </w:tr>
    </w:tbl>
    <w:p w:rsidR="00424718" w:rsidRDefault="00424718" w:rsidP="00424718">
      <w:pPr>
        <w:pStyle w:val="PwCNormal"/>
        <w:numPr>
          <w:ilvl w:val="0"/>
          <w:numId w:val="0"/>
        </w:numPr>
      </w:pPr>
      <w:r w:rsidRPr="00B90E9A">
        <w:rPr>
          <w:sz w:val="16"/>
        </w:rPr>
        <w:t>Source: EYQF application data provided by the Department</w:t>
      </w:r>
      <w:r>
        <w:rPr>
          <w:sz w:val="16"/>
        </w:rPr>
        <w:t>, PwC analysis</w:t>
      </w:r>
    </w:p>
    <w:p w:rsidR="00424718" w:rsidRPr="009D0F9F" w:rsidRDefault="00424718" w:rsidP="00424718">
      <w:pPr>
        <w:pStyle w:val="Heading9"/>
      </w:pPr>
      <w:r>
        <w:t xml:space="preserve">Geographic distribution of </w:t>
      </w:r>
      <w:r w:rsidR="00091A7C">
        <w:t>applications that met the assessment criteria</w:t>
      </w:r>
    </w:p>
    <w:p w:rsidR="00424718" w:rsidRDefault="00424718" w:rsidP="00424718">
      <w:pPr>
        <w:pStyle w:val="PwCNormal"/>
        <w:numPr>
          <w:ilvl w:val="0"/>
          <w:numId w:val="0"/>
        </w:numPr>
      </w:pPr>
      <w:r>
        <w:t>ECEC services in rural and remote areas face specific challenges in meeting the NQF qualification requirements in regards to how access to training and development and affordable accommodation impact upon the pay and conditions available.</w:t>
      </w:r>
    </w:p>
    <w:p w:rsidR="00424718" w:rsidRDefault="00424718" w:rsidP="00424718">
      <w:pPr>
        <w:pStyle w:val="ListBullet"/>
        <w:numPr>
          <w:ilvl w:val="0"/>
          <w:numId w:val="0"/>
        </w:numPr>
      </w:pPr>
      <w:r>
        <w:t xml:space="preserve">The distribution of </w:t>
      </w:r>
      <w:r w:rsidR="00091A7C">
        <w:t>applications that met the assessment criteria</w:t>
      </w:r>
      <w:r>
        <w:t xml:space="preserve"> by remoteness level is largely consistent with the distribution of LDC services to those areas (see </w:t>
      </w:r>
      <w:r w:rsidR="002554AA">
        <w:fldChar w:fldCharType="begin"/>
      </w:r>
      <w:r>
        <w:instrText xml:space="preserve"> REF _Ref370307200 \h </w:instrText>
      </w:r>
      <w:r w:rsidR="002554AA">
        <w:fldChar w:fldCharType="separate"/>
      </w:r>
      <w:r w:rsidR="000B2006">
        <w:t xml:space="preserve">Table </w:t>
      </w:r>
      <w:r w:rsidR="000B2006">
        <w:rPr>
          <w:noProof/>
        </w:rPr>
        <w:t>6</w:t>
      </w:r>
      <w:r w:rsidR="002554AA">
        <w:fldChar w:fldCharType="end"/>
      </w:r>
      <w:r>
        <w:t>).</w:t>
      </w:r>
    </w:p>
    <w:p w:rsidR="00B27D75" w:rsidRDefault="00B27D75" w:rsidP="00B27D75">
      <w:pPr>
        <w:pStyle w:val="ListBullet"/>
        <w:numPr>
          <w:ilvl w:val="0"/>
          <w:numId w:val="0"/>
        </w:numPr>
      </w:pPr>
      <w:r>
        <w:t xml:space="preserve">It should be noted that for the purposes of analysis in this section, </w:t>
      </w:r>
      <w:r w:rsidR="00FC1B7B">
        <w:t xml:space="preserve">the application from </w:t>
      </w:r>
      <w:r>
        <w:t>Goodstart was broken down by service to provide a more detailed estimate of distribution.</w:t>
      </w:r>
      <w:r>
        <w:rPr>
          <w:rStyle w:val="FootnoteReference"/>
        </w:rPr>
        <w:footnoteReference w:id="24"/>
      </w:r>
      <w:r>
        <w:t xml:space="preserve"> </w:t>
      </w:r>
    </w:p>
    <w:p w:rsidR="00424718" w:rsidRDefault="00424718" w:rsidP="00424718">
      <w:pPr>
        <w:pStyle w:val="Caption"/>
      </w:pPr>
      <w:bookmarkStart w:id="55" w:name="_Ref370307200"/>
      <w:r>
        <w:t xml:space="preserve">Table </w:t>
      </w:r>
      <w:r w:rsidR="002554AA">
        <w:fldChar w:fldCharType="begin"/>
      </w:r>
      <w:r w:rsidR="00D76309">
        <w:instrText xml:space="preserve"> SEQ Table \* ARABIC </w:instrText>
      </w:r>
      <w:r w:rsidR="002554AA">
        <w:fldChar w:fldCharType="separate"/>
      </w:r>
      <w:r w:rsidR="000B2006">
        <w:rPr>
          <w:noProof/>
        </w:rPr>
        <w:t>6</w:t>
      </w:r>
      <w:r w:rsidR="002554AA">
        <w:rPr>
          <w:noProof/>
        </w:rPr>
        <w:fldChar w:fldCharType="end"/>
      </w:r>
      <w:bookmarkEnd w:id="55"/>
      <w:r>
        <w:t xml:space="preserve">: </w:t>
      </w:r>
      <w:r w:rsidR="00847976">
        <w:t>Applications that met the assessment criteria</w:t>
      </w:r>
      <w:r>
        <w:t xml:space="preserve"> – remoteness level</w:t>
      </w:r>
    </w:p>
    <w:tbl>
      <w:tblPr>
        <w:tblW w:w="8936" w:type="dxa"/>
        <w:tblInd w:w="103" w:type="dxa"/>
        <w:tblLayout w:type="fixed"/>
        <w:tblLook w:val="04A0" w:firstRow="1" w:lastRow="0" w:firstColumn="1" w:lastColumn="0" w:noHBand="0" w:noVBand="1"/>
      </w:tblPr>
      <w:tblGrid>
        <w:gridCol w:w="3220"/>
        <w:gridCol w:w="1429"/>
        <w:gridCol w:w="1429"/>
        <w:gridCol w:w="1582"/>
        <w:gridCol w:w="1276"/>
      </w:tblGrid>
      <w:tr w:rsidR="00424718" w:rsidRPr="00E16FF2" w:rsidTr="00E16FF2">
        <w:trPr>
          <w:trHeight w:val="828"/>
        </w:trPr>
        <w:tc>
          <w:tcPr>
            <w:tcW w:w="3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2020" w:themeFill="accent1"/>
            <w:noWrap/>
            <w:vAlign w:val="center"/>
            <w:hideMark/>
          </w:tcPr>
          <w:p w:rsidR="00424718" w:rsidRPr="00E16FF2" w:rsidRDefault="00424718" w:rsidP="004C518F">
            <w:pPr>
              <w:pStyle w:val="Arial"/>
              <w:rPr>
                <w:rFonts w:asciiTheme="majorHAnsi" w:hAnsiTheme="majorHAnsi" w:cstheme="minorHAnsi"/>
                <w:color w:val="FFFFFF" w:themeColor="background1"/>
              </w:rPr>
            </w:pPr>
            <w:r w:rsidRPr="00E16FF2">
              <w:rPr>
                <w:rFonts w:asciiTheme="majorHAnsi" w:hAnsiTheme="majorHAnsi" w:cstheme="minorHAnsi"/>
                <w:color w:val="FFFFFF" w:themeColor="background1"/>
              </w:rPr>
              <w:t> </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2020" w:themeFill="text2"/>
            <w:noWrap/>
            <w:vAlign w:val="center"/>
            <w:hideMark/>
          </w:tcPr>
          <w:p w:rsidR="00424718" w:rsidRPr="00E16FF2" w:rsidRDefault="00424718" w:rsidP="00E16FF2">
            <w:pPr>
              <w:pStyle w:val="Arial"/>
              <w:jc w:val="right"/>
              <w:rPr>
                <w:rFonts w:asciiTheme="majorHAnsi" w:hAnsiTheme="majorHAnsi" w:cstheme="minorHAnsi"/>
                <w:b/>
                <w:bCs/>
                <w:color w:val="FFFFFF" w:themeColor="background1"/>
              </w:rPr>
            </w:pPr>
            <w:r w:rsidRPr="00E16FF2">
              <w:rPr>
                <w:rFonts w:asciiTheme="majorHAnsi" w:hAnsiTheme="majorHAnsi" w:cstheme="minorHAnsi"/>
                <w:b/>
                <w:bCs/>
                <w:color w:val="FFFFFF" w:themeColor="background1"/>
              </w:rPr>
              <w:t>Funding amount approved ($)</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2020" w:themeFill="text2"/>
            <w:noWrap/>
            <w:vAlign w:val="center"/>
            <w:hideMark/>
          </w:tcPr>
          <w:p w:rsidR="00424718" w:rsidRPr="00E16FF2" w:rsidRDefault="00424718" w:rsidP="00E16FF2">
            <w:pPr>
              <w:pStyle w:val="Arial"/>
              <w:jc w:val="right"/>
              <w:rPr>
                <w:rFonts w:asciiTheme="majorHAnsi" w:hAnsiTheme="majorHAnsi" w:cstheme="minorHAnsi"/>
                <w:b/>
                <w:bCs/>
                <w:color w:val="FFFFFF" w:themeColor="background1"/>
              </w:rPr>
            </w:pPr>
            <w:r w:rsidRPr="00E16FF2">
              <w:rPr>
                <w:rFonts w:asciiTheme="majorHAnsi" w:hAnsiTheme="majorHAnsi" w:cstheme="minorHAnsi"/>
                <w:b/>
                <w:bCs/>
                <w:color w:val="FFFFFF" w:themeColor="background1"/>
              </w:rPr>
              <w:t>% of EYQF funding</w:t>
            </w:r>
          </w:p>
        </w:tc>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2020" w:themeFill="text2"/>
            <w:vAlign w:val="center"/>
          </w:tcPr>
          <w:p w:rsidR="00424718" w:rsidRPr="00E16FF2" w:rsidRDefault="00424718" w:rsidP="00E16FF2">
            <w:pPr>
              <w:pStyle w:val="Arial"/>
              <w:jc w:val="right"/>
              <w:rPr>
                <w:rFonts w:asciiTheme="majorHAnsi" w:hAnsiTheme="majorHAnsi" w:cstheme="minorHAnsi"/>
                <w:b/>
                <w:bCs/>
                <w:color w:val="FFFFFF" w:themeColor="background1"/>
              </w:rPr>
            </w:pPr>
            <w:r w:rsidRPr="00E16FF2">
              <w:rPr>
                <w:rFonts w:asciiTheme="majorHAnsi" w:hAnsiTheme="majorHAnsi" w:cstheme="minorHAnsi"/>
                <w:b/>
                <w:bCs/>
                <w:color w:val="FFFFFF" w:themeColor="background1"/>
              </w:rPr>
              <w:t>% of LDC services (2010 Census)</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2020" w:themeFill="text2"/>
            <w:vAlign w:val="center"/>
          </w:tcPr>
          <w:p w:rsidR="00424718" w:rsidRPr="00E16FF2" w:rsidRDefault="00424718" w:rsidP="00E16FF2">
            <w:pPr>
              <w:pStyle w:val="Arial"/>
              <w:jc w:val="right"/>
              <w:rPr>
                <w:rFonts w:asciiTheme="majorHAnsi" w:hAnsiTheme="majorHAnsi" w:cstheme="minorHAnsi"/>
                <w:b/>
                <w:bCs/>
                <w:color w:val="FFFFFF" w:themeColor="background1"/>
              </w:rPr>
            </w:pPr>
            <w:r w:rsidRPr="00E16FF2">
              <w:rPr>
                <w:rFonts w:asciiTheme="majorHAnsi" w:hAnsiTheme="majorHAnsi" w:cstheme="minorHAnsi"/>
                <w:b/>
                <w:bCs/>
                <w:color w:val="FFFFFF" w:themeColor="background1"/>
              </w:rPr>
              <w:t>Difference</w:t>
            </w:r>
          </w:p>
        </w:tc>
      </w:tr>
      <w:tr w:rsidR="00424718" w:rsidRPr="00E16FF2" w:rsidTr="00E16FF2">
        <w:trPr>
          <w:trHeight w:val="300"/>
        </w:trPr>
        <w:tc>
          <w:tcPr>
            <w:tcW w:w="3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4C518F">
            <w:pPr>
              <w:pStyle w:val="Arial"/>
              <w:rPr>
                <w:rFonts w:asciiTheme="majorHAnsi" w:hAnsiTheme="majorHAnsi" w:cstheme="minorHAnsi"/>
                <w:color w:val="auto"/>
              </w:rPr>
            </w:pPr>
            <w:r w:rsidRPr="00E16FF2">
              <w:rPr>
                <w:rFonts w:asciiTheme="majorHAnsi" w:hAnsiTheme="majorHAnsi" w:cstheme="minorHAnsi"/>
                <w:color w:val="auto"/>
              </w:rPr>
              <w:t>Major Cities of Australia</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221,249,608</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74.4</w:t>
            </w:r>
          </w:p>
        </w:tc>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73.0</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1.4</w:t>
            </w:r>
          </w:p>
        </w:tc>
      </w:tr>
      <w:tr w:rsidR="00424718" w:rsidRPr="00E16FF2" w:rsidTr="00E16FF2">
        <w:trPr>
          <w:trHeight w:val="300"/>
        </w:trPr>
        <w:tc>
          <w:tcPr>
            <w:tcW w:w="3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4C518F">
            <w:pPr>
              <w:pStyle w:val="Arial"/>
              <w:rPr>
                <w:rFonts w:asciiTheme="majorHAnsi" w:hAnsiTheme="majorHAnsi" w:cstheme="minorHAnsi"/>
                <w:color w:val="auto"/>
              </w:rPr>
            </w:pPr>
            <w:r w:rsidRPr="00E16FF2">
              <w:rPr>
                <w:rFonts w:asciiTheme="majorHAnsi" w:hAnsiTheme="majorHAnsi" w:cstheme="minorHAnsi"/>
                <w:color w:val="auto"/>
              </w:rPr>
              <w:t>Inner Regional Australia</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49,655,253</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16.7</w:t>
            </w:r>
          </w:p>
        </w:tc>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17.3</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-0.6</w:t>
            </w:r>
          </w:p>
        </w:tc>
      </w:tr>
      <w:tr w:rsidR="00424718" w:rsidRPr="00E16FF2" w:rsidTr="00E16FF2">
        <w:trPr>
          <w:trHeight w:val="300"/>
        </w:trPr>
        <w:tc>
          <w:tcPr>
            <w:tcW w:w="3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4C518F">
            <w:pPr>
              <w:pStyle w:val="Arial"/>
              <w:rPr>
                <w:rFonts w:asciiTheme="majorHAnsi" w:hAnsiTheme="majorHAnsi" w:cstheme="minorHAnsi"/>
                <w:color w:val="auto"/>
              </w:rPr>
            </w:pPr>
            <w:r w:rsidRPr="00E16FF2">
              <w:rPr>
                <w:rFonts w:asciiTheme="majorHAnsi" w:hAnsiTheme="majorHAnsi" w:cstheme="minorHAnsi"/>
                <w:color w:val="auto"/>
              </w:rPr>
              <w:t>Outer Regional Australia</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23,791,103</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8.0</w:t>
            </w:r>
          </w:p>
        </w:tc>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8.0</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0.0</w:t>
            </w:r>
          </w:p>
        </w:tc>
      </w:tr>
      <w:tr w:rsidR="00424718" w:rsidRPr="00E16FF2" w:rsidTr="00E16FF2">
        <w:trPr>
          <w:trHeight w:val="300"/>
        </w:trPr>
        <w:tc>
          <w:tcPr>
            <w:tcW w:w="3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4C518F">
            <w:pPr>
              <w:pStyle w:val="Arial"/>
              <w:rPr>
                <w:rFonts w:asciiTheme="majorHAnsi" w:hAnsiTheme="majorHAnsi" w:cstheme="minorHAnsi"/>
                <w:color w:val="auto"/>
              </w:rPr>
            </w:pPr>
            <w:r w:rsidRPr="00E16FF2">
              <w:rPr>
                <w:rFonts w:asciiTheme="majorHAnsi" w:hAnsiTheme="majorHAnsi" w:cstheme="minorHAnsi"/>
                <w:color w:val="auto"/>
              </w:rPr>
              <w:t>Remote and Very Remote Australia</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jc w:val="right"/>
              <w:rPr>
                <w:rFonts w:asciiTheme="majorHAnsi" w:hAnsiTheme="majorHAnsi" w:cstheme="minorHAnsi"/>
                <w:sz w:val="18"/>
                <w:szCs w:val="18"/>
              </w:rPr>
            </w:pPr>
            <w:r w:rsidRPr="00E16FF2">
              <w:rPr>
                <w:rFonts w:asciiTheme="majorHAnsi" w:hAnsiTheme="majorHAnsi" w:cstheme="minorHAnsi"/>
                <w:sz w:val="18"/>
                <w:szCs w:val="18"/>
              </w:rPr>
              <w:t>773,838</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jc w:val="right"/>
              <w:rPr>
                <w:rFonts w:asciiTheme="majorHAnsi" w:hAnsiTheme="majorHAnsi" w:cstheme="minorHAnsi"/>
                <w:sz w:val="18"/>
                <w:szCs w:val="18"/>
              </w:rPr>
            </w:pPr>
            <w:r w:rsidRPr="00E16FF2">
              <w:rPr>
                <w:rFonts w:asciiTheme="majorHAnsi" w:hAnsiTheme="majorHAnsi" w:cstheme="minorHAnsi"/>
                <w:sz w:val="18"/>
                <w:szCs w:val="18"/>
              </w:rPr>
              <w:t>0.3</w:t>
            </w:r>
          </w:p>
        </w:tc>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1.7</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-1.4</w:t>
            </w:r>
          </w:p>
        </w:tc>
      </w:tr>
      <w:tr w:rsidR="00424718" w:rsidRPr="00E16FF2" w:rsidTr="00E16FF2">
        <w:trPr>
          <w:trHeight w:val="300"/>
        </w:trPr>
        <w:tc>
          <w:tcPr>
            <w:tcW w:w="3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4C518F">
            <w:pPr>
              <w:pStyle w:val="Arial"/>
              <w:rPr>
                <w:rFonts w:asciiTheme="majorHAnsi" w:hAnsiTheme="majorHAnsi" w:cstheme="minorHAnsi"/>
                <w:color w:val="auto"/>
              </w:rPr>
            </w:pPr>
            <w:r w:rsidRPr="00E16FF2">
              <w:rPr>
                <w:rFonts w:asciiTheme="majorHAnsi" w:hAnsiTheme="majorHAnsi" w:cstheme="minorHAnsi"/>
                <w:color w:val="auto"/>
              </w:rPr>
              <w:t>#N/A</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1,910,698</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0.6</w:t>
            </w:r>
          </w:p>
        </w:tc>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0.0</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24718" w:rsidRPr="00E16FF2" w:rsidRDefault="00424718" w:rsidP="00E16FF2">
            <w:pPr>
              <w:jc w:val="right"/>
              <w:rPr>
                <w:rFonts w:asciiTheme="majorHAnsi" w:hAnsiTheme="majorHAnsi" w:cstheme="minorHAnsi"/>
                <w:color w:val="000000"/>
                <w:sz w:val="18"/>
                <w:szCs w:val="18"/>
              </w:rPr>
            </w:pPr>
            <w:r w:rsidRPr="00E16FF2">
              <w:rPr>
                <w:rFonts w:asciiTheme="majorHAnsi" w:hAnsiTheme="majorHAnsi" w:cstheme="minorHAnsi"/>
                <w:color w:val="000000"/>
                <w:sz w:val="18"/>
                <w:szCs w:val="18"/>
              </w:rPr>
              <w:t>0.6</w:t>
            </w:r>
          </w:p>
        </w:tc>
      </w:tr>
      <w:tr w:rsidR="00424718" w:rsidRPr="00E16FF2" w:rsidTr="00E16FF2">
        <w:trPr>
          <w:trHeight w:val="300"/>
        </w:trPr>
        <w:tc>
          <w:tcPr>
            <w:tcW w:w="3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4C518F">
            <w:pPr>
              <w:pStyle w:val="Arial"/>
              <w:rPr>
                <w:rFonts w:asciiTheme="majorHAnsi" w:hAnsiTheme="majorHAnsi" w:cstheme="minorHAnsi"/>
                <w:b/>
                <w:bCs/>
                <w:color w:val="auto"/>
              </w:rPr>
            </w:pPr>
            <w:r w:rsidRPr="00E16FF2">
              <w:rPr>
                <w:rFonts w:asciiTheme="majorHAnsi" w:hAnsiTheme="majorHAnsi" w:cstheme="minorHAnsi"/>
                <w:b/>
                <w:bCs/>
                <w:color w:val="auto"/>
              </w:rPr>
              <w:t>Total</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pStyle w:val="Arial"/>
              <w:jc w:val="right"/>
              <w:rPr>
                <w:rFonts w:asciiTheme="majorHAnsi" w:hAnsiTheme="majorHAnsi" w:cstheme="minorHAnsi"/>
                <w:b/>
                <w:bCs/>
                <w:color w:val="auto"/>
              </w:rPr>
            </w:pPr>
            <w:r w:rsidRPr="00E16FF2">
              <w:rPr>
                <w:rFonts w:asciiTheme="majorHAnsi" w:hAnsiTheme="majorHAnsi" w:cstheme="minorHAnsi"/>
                <w:b/>
                <w:bCs/>
                <w:color w:val="auto"/>
              </w:rPr>
              <w:t>297,380,499</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pStyle w:val="Arial"/>
              <w:jc w:val="right"/>
              <w:rPr>
                <w:rFonts w:asciiTheme="majorHAnsi" w:hAnsiTheme="majorHAnsi" w:cstheme="minorHAnsi"/>
                <w:b/>
                <w:bCs/>
                <w:color w:val="auto"/>
              </w:rPr>
            </w:pPr>
            <w:r w:rsidRPr="00E16FF2">
              <w:rPr>
                <w:rFonts w:asciiTheme="majorHAnsi" w:hAnsiTheme="majorHAnsi" w:cstheme="minorHAnsi"/>
                <w:b/>
                <w:bCs/>
                <w:color w:val="auto"/>
              </w:rPr>
              <w:t>100</w:t>
            </w:r>
          </w:p>
        </w:tc>
        <w:tc>
          <w:tcPr>
            <w:tcW w:w="1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24718" w:rsidRPr="00E16FF2" w:rsidRDefault="00424718" w:rsidP="00E16FF2">
            <w:pPr>
              <w:pStyle w:val="Arial"/>
              <w:jc w:val="right"/>
              <w:rPr>
                <w:rFonts w:asciiTheme="majorHAnsi" w:hAnsiTheme="majorHAnsi" w:cstheme="minorHAnsi"/>
                <w:b/>
                <w:bCs/>
                <w:color w:val="auto"/>
              </w:rPr>
            </w:pPr>
            <w:r w:rsidRPr="00E16FF2">
              <w:rPr>
                <w:rFonts w:asciiTheme="majorHAnsi" w:hAnsiTheme="majorHAnsi" w:cstheme="minorHAnsi"/>
                <w:b/>
                <w:bCs/>
                <w:color w:val="auto"/>
              </w:rPr>
              <w:t>100</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24718" w:rsidRPr="00E16FF2" w:rsidRDefault="00424718" w:rsidP="00E16FF2">
            <w:pPr>
              <w:pStyle w:val="Arial"/>
              <w:jc w:val="right"/>
              <w:rPr>
                <w:rFonts w:asciiTheme="majorHAnsi" w:hAnsiTheme="majorHAnsi" w:cstheme="minorHAnsi"/>
                <w:color w:val="auto"/>
              </w:rPr>
            </w:pPr>
          </w:p>
        </w:tc>
      </w:tr>
    </w:tbl>
    <w:p w:rsidR="00424718" w:rsidRDefault="00424718" w:rsidP="00424718">
      <w:pPr>
        <w:pStyle w:val="PwCNormal"/>
        <w:numPr>
          <w:ilvl w:val="0"/>
          <w:numId w:val="0"/>
        </w:numPr>
      </w:pPr>
      <w:r w:rsidRPr="00B90E9A">
        <w:rPr>
          <w:sz w:val="16"/>
        </w:rPr>
        <w:t>Source: EYQF application data provided by the Department</w:t>
      </w:r>
      <w:r>
        <w:rPr>
          <w:sz w:val="16"/>
        </w:rPr>
        <w:t>, 2010 ECEC Workforce Census</w:t>
      </w:r>
    </w:p>
    <w:p w:rsidR="00424718" w:rsidRDefault="00424718" w:rsidP="00424718">
      <w:pPr>
        <w:pStyle w:val="ListBullet"/>
        <w:numPr>
          <w:ilvl w:val="0"/>
          <w:numId w:val="0"/>
        </w:numPr>
      </w:pPr>
      <w:bookmarkStart w:id="56" w:name="_Ref370311398"/>
      <w:r>
        <w:lastRenderedPageBreak/>
        <w:t xml:space="preserve">New South Wales has significantly lower proportion of </w:t>
      </w:r>
      <w:r w:rsidR="00091A7C">
        <w:t>applications that met the assessment criteria</w:t>
      </w:r>
      <w:r>
        <w:t xml:space="preserve"> relative to its overall share of the number of services – this is largely the result of much of the funding being allocated to Goodstart which has relatively fewer services in New South Wales (see </w:t>
      </w:r>
      <w:r w:rsidR="002554AA">
        <w:fldChar w:fldCharType="begin"/>
      </w:r>
      <w:r>
        <w:instrText xml:space="preserve"> REF _Ref370497996 \h </w:instrText>
      </w:r>
      <w:r w:rsidR="002554AA">
        <w:fldChar w:fldCharType="separate"/>
      </w:r>
      <w:r w:rsidR="000B2006">
        <w:t xml:space="preserve">Table </w:t>
      </w:r>
      <w:r w:rsidR="000B2006">
        <w:rPr>
          <w:noProof/>
        </w:rPr>
        <w:t>7</w:t>
      </w:r>
      <w:r w:rsidR="002554AA">
        <w:fldChar w:fldCharType="end"/>
      </w:r>
      <w:r>
        <w:t>).</w:t>
      </w:r>
    </w:p>
    <w:p w:rsidR="00424718" w:rsidRDefault="00424718" w:rsidP="00424718">
      <w:pPr>
        <w:pStyle w:val="Caption"/>
      </w:pPr>
      <w:bookmarkStart w:id="57" w:name="_Ref370497996"/>
      <w:r>
        <w:t xml:space="preserve">Table </w:t>
      </w:r>
      <w:r w:rsidR="002554AA">
        <w:fldChar w:fldCharType="begin"/>
      </w:r>
      <w:r w:rsidR="00D76309">
        <w:instrText xml:space="preserve"> SEQ Table \* ARABIC </w:instrText>
      </w:r>
      <w:r w:rsidR="002554AA">
        <w:fldChar w:fldCharType="separate"/>
      </w:r>
      <w:r w:rsidR="000B2006">
        <w:rPr>
          <w:noProof/>
        </w:rPr>
        <w:t>7</w:t>
      </w:r>
      <w:r w:rsidR="002554AA">
        <w:rPr>
          <w:noProof/>
        </w:rPr>
        <w:fldChar w:fldCharType="end"/>
      </w:r>
      <w:bookmarkEnd w:id="56"/>
      <w:bookmarkEnd w:id="57"/>
      <w:r>
        <w:t xml:space="preserve">: </w:t>
      </w:r>
      <w:r w:rsidR="00847976">
        <w:t>Applications that met the assessment criteria</w:t>
      </w:r>
      <w:r>
        <w:t xml:space="preserve"> – jurisdiction </w:t>
      </w:r>
    </w:p>
    <w:tbl>
      <w:tblPr>
        <w:tblW w:w="8931" w:type="dxa"/>
        <w:tblInd w:w="108" w:type="dxa"/>
        <w:tblLayout w:type="fixed"/>
        <w:tblLook w:val="04A0" w:firstRow="1" w:lastRow="0" w:firstColumn="1" w:lastColumn="0" w:noHBand="0" w:noVBand="1"/>
      </w:tblPr>
      <w:tblGrid>
        <w:gridCol w:w="2552"/>
        <w:gridCol w:w="1701"/>
        <w:gridCol w:w="1559"/>
        <w:gridCol w:w="1701"/>
        <w:gridCol w:w="1418"/>
      </w:tblGrid>
      <w:tr w:rsidR="00424718" w:rsidRPr="00E16FF2" w:rsidTr="00E16FF2">
        <w:trPr>
          <w:trHeight w:val="808"/>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2020" w:themeFill="accent1"/>
            <w:noWrap/>
            <w:vAlign w:val="center"/>
            <w:hideMark/>
          </w:tcPr>
          <w:p w:rsidR="00424718" w:rsidRPr="00E16FF2" w:rsidRDefault="00424718" w:rsidP="004C518F">
            <w:pPr>
              <w:pStyle w:val="Arial"/>
              <w:rPr>
                <w:rFonts w:asciiTheme="majorHAnsi" w:hAnsiTheme="majorHAnsi" w:cstheme="minorHAnsi"/>
                <w:color w:val="000000"/>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2020" w:themeFill="accent1"/>
            <w:noWrap/>
            <w:vAlign w:val="center"/>
            <w:hideMark/>
          </w:tcPr>
          <w:p w:rsidR="00424718" w:rsidRPr="00E16FF2" w:rsidRDefault="00424718" w:rsidP="00E16FF2">
            <w:pPr>
              <w:pStyle w:val="Arial"/>
              <w:jc w:val="right"/>
              <w:rPr>
                <w:rFonts w:asciiTheme="majorHAnsi" w:hAnsiTheme="majorHAnsi" w:cstheme="minorHAnsi"/>
                <w:b/>
                <w:bCs/>
                <w:color w:val="FFFFFF" w:themeColor="background1"/>
              </w:rPr>
            </w:pPr>
            <w:r w:rsidRPr="00E16FF2">
              <w:rPr>
                <w:rFonts w:asciiTheme="majorHAnsi" w:hAnsiTheme="majorHAnsi" w:cstheme="minorHAnsi"/>
                <w:b/>
                <w:bCs/>
                <w:color w:val="FFFFFF" w:themeColor="background1"/>
              </w:rPr>
              <w:t>Funding amount approved ($)</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2020" w:themeFill="accent1"/>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b/>
                <w:bCs/>
                <w:snapToGrid/>
                <w:color w:val="FFFFFF"/>
                <w:sz w:val="18"/>
                <w:szCs w:val="18"/>
                <w:lang w:eastAsia="en-AU"/>
              </w:rPr>
            </w:pPr>
            <w:r w:rsidRPr="00E16FF2">
              <w:rPr>
                <w:rFonts w:asciiTheme="majorHAnsi" w:hAnsiTheme="majorHAnsi" w:cstheme="minorHAnsi"/>
                <w:b/>
                <w:bCs/>
                <w:snapToGrid/>
                <w:color w:val="FFFFFF"/>
                <w:sz w:val="18"/>
                <w:szCs w:val="18"/>
                <w:lang w:eastAsia="en-AU"/>
              </w:rPr>
              <w:t>% of EYQF funding</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2020" w:themeFill="accent1"/>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b/>
                <w:bCs/>
                <w:snapToGrid/>
                <w:color w:val="FFFFFF"/>
                <w:sz w:val="18"/>
                <w:szCs w:val="18"/>
                <w:lang w:eastAsia="en-AU"/>
              </w:rPr>
            </w:pPr>
            <w:r w:rsidRPr="00E16FF2">
              <w:rPr>
                <w:rFonts w:asciiTheme="majorHAnsi" w:hAnsiTheme="majorHAnsi" w:cstheme="minorHAnsi"/>
                <w:b/>
                <w:bCs/>
                <w:snapToGrid/>
                <w:color w:val="FFFFFF"/>
                <w:sz w:val="18"/>
                <w:szCs w:val="18"/>
                <w:lang w:eastAsia="en-AU"/>
              </w:rPr>
              <w:t xml:space="preserve">% of LDC </w:t>
            </w:r>
            <w:r w:rsidR="00E16FF2">
              <w:rPr>
                <w:rFonts w:asciiTheme="majorHAnsi" w:hAnsiTheme="majorHAnsi" w:cstheme="minorHAnsi"/>
                <w:b/>
                <w:bCs/>
                <w:snapToGrid/>
                <w:color w:val="FFFFFF"/>
                <w:sz w:val="18"/>
                <w:szCs w:val="18"/>
                <w:lang w:eastAsia="en-AU"/>
              </w:rPr>
              <w:t>services</w:t>
            </w:r>
            <w:r w:rsidR="00E16FF2">
              <w:rPr>
                <w:rFonts w:asciiTheme="majorHAnsi" w:hAnsiTheme="majorHAnsi" w:cstheme="minorHAnsi"/>
                <w:b/>
                <w:bCs/>
                <w:snapToGrid/>
                <w:color w:val="FFFFFF"/>
                <w:sz w:val="18"/>
                <w:szCs w:val="18"/>
                <w:lang w:eastAsia="en-AU"/>
              </w:rPr>
              <w:br/>
            </w:r>
            <w:r w:rsidRPr="00E16FF2">
              <w:rPr>
                <w:rFonts w:asciiTheme="majorHAnsi" w:hAnsiTheme="majorHAnsi" w:cstheme="minorHAnsi"/>
                <w:b/>
                <w:bCs/>
                <w:snapToGrid/>
                <w:color w:val="FFFFFF"/>
                <w:sz w:val="18"/>
                <w:szCs w:val="18"/>
                <w:lang w:eastAsia="en-AU"/>
              </w:rPr>
              <w:t>(2010 Census)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2020" w:themeFill="accent1"/>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b/>
                <w:bCs/>
                <w:snapToGrid/>
                <w:color w:val="FFFFFF"/>
                <w:sz w:val="18"/>
                <w:szCs w:val="18"/>
                <w:lang w:eastAsia="en-AU"/>
              </w:rPr>
            </w:pPr>
            <w:r w:rsidRPr="00E16FF2">
              <w:rPr>
                <w:rFonts w:asciiTheme="majorHAnsi" w:hAnsiTheme="majorHAnsi" w:cstheme="minorHAnsi"/>
                <w:b/>
                <w:bCs/>
                <w:snapToGrid/>
                <w:color w:val="FFFFFF"/>
                <w:sz w:val="18"/>
                <w:szCs w:val="18"/>
                <w:lang w:eastAsia="en-AU"/>
              </w:rPr>
              <w:t>Difference</w:t>
            </w:r>
          </w:p>
        </w:tc>
      </w:tr>
      <w:tr w:rsidR="00424718" w:rsidRPr="00E16FF2" w:rsidTr="00E16FF2">
        <w:trPr>
          <w:trHeight w:val="300"/>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4C518F">
            <w:pPr>
              <w:kinsoku/>
              <w:overflowPunct/>
              <w:autoSpaceDE/>
              <w:autoSpaceDN/>
              <w:adjustRightInd/>
              <w:snapToGrid/>
              <w:rPr>
                <w:rFonts w:asciiTheme="majorHAnsi" w:hAnsiTheme="majorHAnsi" w:cstheme="minorHAnsi"/>
                <w:snapToGrid/>
                <w:sz w:val="18"/>
                <w:szCs w:val="18"/>
                <w:lang w:eastAsia="en-AU"/>
              </w:rPr>
            </w:pPr>
            <w:r w:rsidRPr="00E16FF2">
              <w:rPr>
                <w:rFonts w:asciiTheme="majorHAnsi" w:hAnsiTheme="majorHAnsi" w:cstheme="minorHAnsi"/>
                <w:snapToGrid/>
                <w:sz w:val="18"/>
                <w:szCs w:val="18"/>
                <w:lang w:eastAsia="en-AU"/>
              </w:rPr>
              <w:t>NSW</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71,071,153</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23.9</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41.3</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-17.4</w:t>
            </w:r>
          </w:p>
        </w:tc>
      </w:tr>
      <w:tr w:rsidR="00424718" w:rsidRPr="00E16FF2" w:rsidTr="00E16FF2">
        <w:trPr>
          <w:trHeight w:val="300"/>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4C518F">
            <w:pPr>
              <w:kinsoku/>
              <w:overflowPunct/>
              <w:autoSpaceDE/>
              <w:autoSpaceDN/>
              <w:adjustRightInd/>
              <w:snapToGrid/>
              <w:rPr>
                <w:rFonts w:asciiTheme="majorHAnsi" w:hAnsiTheme="majorHAnsi" w:cstheme="minorHAnsi"/>
                <w:snapToGrid/>
                <w:sz w:val="18"/>
                <w:szCs w:val="18"/>
                <w:lang w:eastAsia="en-AU"/>
              </w:rPr>
            </w:pPr>
            <w:r w:rsidRPr="00E16FF2">
              <w:rPr>
                <w:rFonts w:asciiTheme="majorHAnsi" w:hAnsiTheme="majorHAnsi" w:cstheme="minorHAnsi"/>
                <w:snapToGrid/>
                <w:sz w:val="18"/>
                <w:szCs w:val="18"/>
                <w:lang w:eastAsia="en-AU"/>
              </w:rPr>
              <w:t>VIC</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72,675,388</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24.4</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18.0</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6.4</w:t>
            </w:r>
          </w:p>
        </w:tc>
      </w:tr>
      <w:tr w:rsidR="00424718" w:rsidRPr="00E16FF2" w:rsidTr="00E16FF2">
        <w:trPr>
          <w:trHeight w:val="300"/>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4C518F">
            <w:pPr>
              <w:kinsoku/>
              <w:overflowPunct/>
              <w:autoSpaceDE/>
              <w:autoSpaceDN/>
              <w:adjustRightInd/>
              <w:snapToGrid/>
              <w:rPr>
                <w:rFonts w:asciiTheme="majorHAnsi" w:hAnsiTheme="majorHAnsi" w:cstheme="minorHAnsi"/>
                <w:snapToGrid/>
                <w:sz w:val="18"/>
                <w:szCs w:val="18"/>
                <w:lang w:eastAsia="en-AU"/>
              </w:rPr>
            </w:pPr>
            <w:r w:rsidRPr="00E16FF2">
              <w:rPr>
                <w:rFonts w:asciiTheme="majorHAnsi" w:hAnsiTheme="majorHAnsi" w:cstheme="minorHAnsi"/>
                <w:snapToGrid/>
                <w:sz w:val="18"/>
                <w:szCs w:val="18"/>
                <w:lang w:eastAsia="en-AU"/>
              </w:rPr>
              <w:t>QLD</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85,691,967</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28.8</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21.9</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6.9</w:t>
            </w:r>
          </w:p>
        </w:tc>
      </w:tr>
      <w:tr w:rsidR="00424718" w:rsidRPr="00E16FF2" w:rsidTr="00E16FF2">
        <w:trPr>
          <w:trHeight w:val="300"/>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4C518F">
            <w:pPr>
              <w:kinsoku/>
              <w:overflowPunct/>
              <w:autoSpaceDE/>
              <w:autoSpaceDN/>
              <w:adjustRightInd/>
              <w:snapToGrid/>
              <w:rPr>
                <w:rFonts w:asciiTheme="majorHAnsi" w:hAnsiTheme="majorHAnsi" w:cstheme="minorHAnsi"/>
                <w:snapToGrid/>
                <w:sz w:val="18"/>
                <w:szCs w:val="18"/>
                <w:lang w:eastAsia="en-AU"/>
              </w:rPr>
            </w:pPr>
            <w:r w:rsidRPr="00E16FF2">
              <w:rPr>
                <w:rFonts w:asciiTheme="majorHAnsi" w:hAnsiTheme="majorHAnsi" w:cstheme="minorHAnsi"/>
                <w:snapToGrid/>
                <w:sz w:val="18"/>
                <w:szCs w:val="18"/>
                <w:lang w:eastAsia="en-AU"/>
              </w:rPr>
              <w:t>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32,608,209</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11.0</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5.2</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5.7</w:t>
            </w:r>
          </w:p>
        </w:tc>
      </w:tr>
      <w:tr w:rsidR="00424718" w:rsidRPr="00E16FF2" w:rsidTr="00E16FF2">
        <w:trPr>
          <w:trHeight w:val="300"/>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4C518F">
            <w:pPr>
              <w:kinsoku/>
              <w:overflowPunct/>
              <w:autoSpaceDE/>
              <w:autoSpaceDN/>
              <w:adjustRightInd/>
              <w:snapToGrid/>
              <w:rPr>
                <w:rFonts w:asciiTheme="majorHAnsi" w:hAnsiTheme="majorHAnsi" w:cstheme="minorHAnsi"/>
                <w:snapToGrid/>
                <w:sz w:val="18"/>
                <w:szCs w:val="18"/>
                <w:lang w:eastAsia="en-AU"/>
              </w:rPr>
            </w:pPr>
            <w:r w:rsidRPr="00E16FF2">
              <w:rPr>
                <w:rFonts w:asciiTheme="majorHAnsi" w:hAnsiTheme="majorHAnsi" w:cstheme="minorHAnsi"/>
                <w:snapToGrid/>
                <w:sz w:val="18"/>
                <w:szCs w:val="18"/>
                <w:lang w:eastAsia="en-AU"/>
              </w:rPr>
              <w:t>WA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16,645,504</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5.6</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8.5</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-2.9</w:t>
            </w:r>
          </w:p>
        </w:tc>
      </w:tr>
      <w:tr w:rsidR="00424718" w:rsidRPr="00E16FF2" w:rsidTr="00E16FF2">
        <w:trPr>
          <w:trHeight w:val="300"/>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4C518F">
            <w:pPr>
              <w:kinsoku/>
              <w:overflowPunct/>
              <w:autoSpaceDE/>
              <w:autoSpaceDN/>
              <w:adjustRightInd/>
              <w:snapToGrid/>
              <w:rPr>
                <w:rFonts w:asciiTheme="majorHAnsi" w:hAnsiTheme="majorHAnsi" w:cstheme="minorHAnsi"/>
                <w:snapToGrid/>
                <w:sz w:val="18"/>
                <w:szCs w:val="18"/>
                <w:lang w:eastAsia="en-AU"/>
              </w:rPr>
            </w:pPr>
            <w:r w:rsidRPr="00E16FF2">
              <w:rPr>
                <w:rFonts w:asciiTheme="majorHAnsi" w:hAnsiTheme="majorHAnsi" w:cstheme="minorHAnsi"/>
                <w:snapToGrid/>
                <w:sz w:val="18"/>
                <w:szCs w:val="18"/>
                <w:lang w:eastAsia="en-AU"/>
              </w:rPr>
              <w:t>TAS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7,705,277</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2.6</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1.7</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0.9</w:t>
            </w:r>
          </w:p>
        </w:tc>
      </w:tr>
      <w:tr w:rsidR="00424718" w:rsidRPr="00E16FF2" w:rsidTr="00E16FF2">
        <w:trPr>
          <w:trHeight w:val="300"/>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4C518F">
            <w:pPr>
              <w:kinsoku/>
              <w:overflowPunct/>
              <w:autoSpaceDE/>
              <w:autoSpaceDN/>
              <w:adjustRightInd/>
              <w:snapToGrid/>
              <w:rPr>
                <w:rFonts w:asciiTheme="majorHAnsi" w:hAnsiTheme="majorHAnsi" w:cstheme="minorHAnsi"/>
                <w:snapToGrid/>
                <w:sz w:val="18"/>
                <w:szCs w:val="18"/>
                <w:lang w:eastAsia="en-AU"/>
              </w:rPr>
            </w:pPr>
            <w:r w:rsidRPr="00E16FF2">
              <w:rPr>
                <w:rFonts w:asciiTheme="majorHAnsi" w:hAnsiTheme="majorHAnsi" w:cstheme="minorHAnsi"/>
                <w:snapToGrid/>
                <w:sz w:val="18"/>
                <w:szCs w:val="18"/>
                <w:lang w:eastAsia="en-AU"/>
              </w:rPr>
              <w:t>NT</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4,377,401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1.5</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1.2</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0.2</w:t>
            </w:r>
          </w:p>
        </w:tc>
      </w:tr>
      <w:tr w:rsidR="00424718" w:rsidRPr="00E16FF2" w:rsidTr="00E16FF2">
        <w:trPr>
          <w:trHeight w:val="300"/>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4C518F">
            <w:pPr>
              <w:kinsoku/>
              <w:overflowPunct/>
              <w:autoSpaceDE/>
              <w:autoSpaceDN/>
              <w:adjustRightInd/>
              <w:snapToGrid/>
              <w:rPr>
                <w:rFonts w:asciiTheme="majorHAnsi" w:hAnsiTheme="majorHAnsi" w:cstheme="minorHAnsi"/>
                <w:snapToGrid/>
                <w:sz w:val="18"/>
                <w:szCs w:val="18"/>
                <w:lang w:eastAsia="en-AU"/>
              </w:rPr>
            </w:pPr>
            <w:r w:rsidRPr="00E16FF2">
              <w:rPr>
                <w:rFonts w:asciiTheme="majorHAnsi" w:hAnsiTheme="majorHAnsi" w:cstheme="minorHAnsi"/>
                <w:snapToGrid/>
                <w:sz w:val="18"/>
                <w:szCs w:val="18"/>
                <w:lang w:eastAsia="en-AU"/>
              </w:rPr>
              <w:t>ACT</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6,605,601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2.2</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2.1</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0.2</w:t>
            </w:r>
          </w:p>
        </w:tc>
      </w:tr>
      <w:tr w:rsidR="00424718" w:rsidRPr="00E16FF2" w:rsidTr="00E16FF2">
        <w:trPr>
          <w:trHeight w:val="300"/>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4C518F">
            <w:pPr>
              <w:kinsoku/>
              <w:overflowPunct/>
              <w:autoSpaceDE/>
              <w:autoSpaceDN/>
              <w:adjustRightInd/>
              <w:snapToGrid/>
              <w:rPr>
                <w:rFonts w:asciiTheme="majorHAnsi" w:hAnsiTheme="majorHAnsi" w:cstheme="minorHAnsi"/>
                <w:b/>
                <w:bCs/>
                <w:snapToGrid/>
                <w:sz w:val="18"/>
                <w:szCs w:val="18"/>
                <w:lang w:eastAsia="en-AU"/>
              </w:rPr>
            </w:pPr>
            <w:r w:rsidRPr="00E16FF2">
              <w:rPr>
                <w:rFonts w:asciiTheme="majorHAnsi" w:hAnsiTheme="majorHAnsi" w:cstheme="minorHAnsi"/>
                <w:b/>
                <w:bCs/>
                <w:snapToGrid/>
                <w:sz w:val="18"/>
                <w:szCs w:val="18"/>
                <w:lang w:eastAsia="en-AU"/>
              </w:rPr>
              <w:t>Total</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b/>
                <w:bCs/>
                <w:snapToGrid/>
                <w:color w:val="000000"/>
                <w:sz w:val="18"/>
                <w:szCs w:val="18"/>
                <w:lang w:eastAsia="en-AU"/>
              </w:rPr>
            </w:pPr>
            <w:r w:rsidRPr="00E16FF2">
              <w:rPr>
                <w:rFonts w:asciiTheme="majorHAnsi" w:hAnsiTheme="majorHAnsi" w:cstheme="minorHAnsi"/>
                <w:b/>
                <w:bCs/>
                <w:snapToGrid/>
                <w:color w:val="000000"/>
                <w:sz w:val="18"/>
                <w:szCs w:val="18"/>
                <w:lang w:eastAsia="en-AU"/>
              </w:rPr>
              <w:t>297,380,499</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b/>
                <w:bCs/>
                <w:snapToGrid/>
                <w:color w:val="000000"/>
                <w:sz w:val="18"/>
                <w:szCs w:val="18"/>
                <w:lang w:eastAsia="en-AU"/>
              </w:rPr>
            </w:pPr>
            <w:r w:rsidRPr="00E16FF2">
              <w:rPr>
                <w:rFonts w:asciiTheme="majorHAnsi" w:hAnsiTheme="majorHAnsi" w:cstheme="minorHAnsi"/>
                <w:b/>
                <w:bCs/>
                <w:snapToGrid/>
                <w:color w:val="000000"/>
                <w:sz w:val="18"/>
                <w:szCs w:val="18"/>
                <w:lang w:eastAsia="en-AU"/>
              </w:rPr>
              <w:t>100</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b/>
                <w:bCs/>
                <w:snapToGrid/>
                <w:color w:val="000000"/>
                <w:sz w:val="18"/>
                <w:szCs w:val="18"/>
                <w:lang w:eastAsia="en-AU"/>
              </w:rPr>
            </w:pPr>
            <w:r w:rsidRPr="00E16FF2">
              <w:rPr>
                <w:rFonts w:asciiTheme="majorHAnsi" w:hAnsiTheme="majorHAnsi" w:cstheme="minorHAnsi"/>
                <w:b/>
                <w:bCs/>
                <w:snapToGrid/>
                <w:color w:val="000000"/>
                <w:sz w:val="18"/>
                <w:szCs w:val="18"/>
                <w:lang w:eastAsia="en-AU"/>
              </w:rPr>
              <w:t>100</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424718" w:rsidRPr="00E16FF2" w:rsidRDefault="00424718"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 </w:t>
            </w:r>
          </w:p>
        </w:tc>
      </w:tr>
    </w:tbl>
    <w:p w:rsidR="00424718" w:rsidRDefault="00424718" w:rsidP="00424718">
      <w:pPr>
        <w:pStyle w:val="PwCNormal"/>
        <w:numPr>
          <w:ilvl w:val="0"/>
          <w:numId w:val="0"/>
        </w:numPr>
        <w:rPr>
          <w:sz w:val="16"/>
        </w:rPr>
      </w:pPr>
      <w:r w:rsidRPr="00B90E9A">
        <w:rPr>
          <w:sz w:val="16"/>
        </w:rPr>
        <w:t>Source: EYQF application data provided by the Department</w:t>
      </w:r>
      <w:r>
        <w:rPr>
          <w:sz w:val="16"/>
        </w:rPr>
        <w:t>, 2010 ECEC Workforce Census</w:t>
      </w:r>
    </w:p>
    <w:p w:rsidR="00424718" w:rsidRDefault="00424718" w:rsidP="00424718">
      <w:pPr>
        <w:pStyle w:val="PwCNormal"/>
        <w:numPr>
          <w:ilvl w:val="0"/>
          <w:numId w:val="0"/>
        </w:numPr>
        <w:spacing w:after="0"/>
        <w:rPr>
          <w:rFonts w:asciiTheme="majorHAnsi" w:hAnsiTheme="majorHAnsi"/>
          <w:color w:val="A32020" w:themeColor="text2"/>
          <w:szCs w:val="21"/>
        </w:rPr>
      </w:pPr>
      <w:r w:rsidRPr="00020496">
        <w:rPr>
          <w:rFonts w:asciiTheme="majorHAnsi" w:hAnsiTheme="majorHAnsi"/>
          <w:color w:val="A32020" w:themeColor="text2"/>
          <w:szCs w:val="21"/>
        </w:rPr>
        <w:t>Funding distribution conclusion</w:t>
      </w:r>
    </w:p>
    <w:p w:rsidR="00424718" w:rsidRPr="008B1BF1" w:rsidRDefault="00424718" w:rsidP="00424718">
      <w:pPr>
        <w:pStyle w:val="BodyText"/>
        <w:rPr>
          <w:rFonts w:asciiTheme="majorHAnsi" w:hAnsiTheme="majorHAnsi"/>
          <w:color w:val="A32020" w:themeColor="text2"/>
          <w:szCs w:val="21"/>
        </w:rPr>
      </w:pPr>
      <w:r>
        <w:t xml:space="preserve">The results from the data analysis provide initial evidence to suggest the implementation process may not have been successful in achieving the stated policy outcomes. More specifically, the data shows that EYQF funding may not have been distributed to where it is most needed. </w:t>
      </w:r>
    </w:p>
    <w:p w:rsidR="00424718" w:rsidRDefault="00424718" w:rsidP="00424718">
      <w:pPr>
        <w:pStyle w:val="PwCNormal"/>
        <w:numPr>
          <w:ilvl w:val="0"/>
          <w:numId w:val="0"/>
        </w:numPr>
      </w:pPr>
      <w:r>
        <w:t>PwC has not conducted a full analysis of funding outcomes due to data constraints. However, it is recommended that further analysis be conducted to develop a more conclusive representation of the outcomes of the EYQF implementation including:</w:t>
      </w:r>
    </w:p>
    <w:p w:rsidR="00424718" w:rsidRDefault="00424718" w:rsidP="00424718">
      <w:pPr>
        <w:pStyle w:val="PwCNormal"/>
        <w:numPr>
          <w:ilvl w:val="0"/>
          <w:numId w:val="29"/>
        </w:numPr>
      </w:pPr>
      <w:r>
        <w:t>whether applications</w:t>
      </w:r>
      <w:r w:rsidR="00091A7C">
        <w:t xml:space="preserve"> that met the assessment criteria requested funding for </w:t>
      </w:r>
      <w:r>
        <w:t>staff with Certificate III qualifications or above as required under the NQF qualification requirements</w:t>
      </w:r>
    </w:p>
    <w:p w:rsidR="00424718" w:rsidRDefault="00424718" w:rsidP="00424718">
      <w:pPr>
        <w:pStyle w:val="PwCNormal"/>
        <w:numPr>
          <w:ilvl w:val="0"/>
          <w:numId w:val="29"/>
        </w:numPr>
      </w:pPr>
      <w:proofErr w:type="gramStart"/>
      <w:r>
        <w:t>whether</w:t>
      </w:r>
      <w:proofErr w:type="gramEnd"/>
      <w:r>
        <w:t xml:space="preserve"> </w:t>
      </w:r>
      <w:r w:rsidR="00091A7C">
        <w:t>applications that met the assessment criteria requested funding for staff that</w:t>
      </w:r>
      <w:r>
        <w:t xml:space="preserve"> </w:t>
      </w:r>
      <w:r w:rsidR="00091A7C">
        <w:t>a</w:t>
      </w:r>
      <w:r>
        <w:t xml:space="preserve">re already </w:t>
      </w:r>
      <w:r w:rsidR="00091A7C">
        <w:t>being paid</w:t>
      </w:r>
      <w:r>
        <w:t xml:space="preserve"> wages above the award, as </w:t>
      </w:r>
      <w:r w:rsidR="00091A7C">
        <w:t xml:space="preserve">this </w:t>
      </w:r>
      <w:r>
        <w:t>could be used as an indication of level of need.</w:t>
      </w:r>
    </w:p>
    <w:p w:rsidR="00EC6C74" w:rsidRPr="00F26CEB" w:rsidRDefault="009D0F9F" w:rsidP="00F26CEB">
      <w:pPr>
        <w:pStyle w:val="Heading7"/>
      </w:pPr>
      <w:r>
        <w:t xml:space="preserve">A </w:t>
      </w:r>
      <w:r w:rsidR="00EC6C74" w:rsidRPr="00F26CEB">
        <w:t>case study</w:t>
      </w:r>
      <w:r>
        <w:t xml:space="preserve"> of potential for market distortion</w:t>
      </w:r>
    </w:p>
    <w:p w:rsidR="00EC6C74" w:rsidRDefault="00EC6C74" w:rsidP="00EC6C74">
      <w:pPr>
        <w:pStyle w:val="PwCNormal"/>
        <w:numPr>
          <w:ilvl w:val="0"/>
          <w:numId w:val="0"/>
        </w:numPr>
      </w:pPr>
      <w:r>
        <w:t xml:space="preserve">PwC recognises the potential market distortions which could be created by the implementation of the policy. This has become apparent from reviewing the implementation of the EYQF and through discussions with a range of stakeholders. The following case study has been developed to </w:t>
      </w:r>
      <w:r w:rsidR="003A30C5">
        <w:t xml:space="preserve">examine </w:t>
      </w:r>
      <w:r>
        <w:t xml:space="preserve">the potential distortionary effects of the EYQF implementation.  </w:t>
      </w:r>
    </w:p>
    <w:p w:rsidR="00F26CEB" w:rsidRDefault="00F26CEB" w:rsidP="00F26CEB">
      <w:pPr>
        <w:pStyle w:val="Caption"/>
      </w:pPr>
      <w:r>
        <w:lastRenderedPageBreak/>
        <w:t xml:space="preserve">Figure </w:t>
      </w:r>
      <w:r w:rsidR="002554AA">
        <w:fldChar w:fldCharType="begin"/>
      </w:r>
      <w:r w:rsidR="00D76309">
        <w:instrText xml:space="preserve"> SEQ Figure \* ARABIC </w:instrText>
      </w:r>
      <w:r w:rsidR="002554AA">
        <w:fldChar w:fldCharType="separate"/>
      </w:r>
      <w:r w:rsidR="000B2006">
        <w:rPr>
          <w:noProof/>
        </w:rPr>
        <w:t>2</w:t>
      </w:r>
      <w:r w:rsidR="002554AA">
        <w:rPr>
          <w:noProof/>
        </w:rPr>
        <w:fldChar w:fldCharType="end"/>
      </w:r>
      <w:r>
        <w:t>: Market distortion case study</w:t>
      </w:r>
    </w:p>
    <w:tbl>
      <w:tblPr>
        <w:tblStyle w:val="Tables-APBase"/>
        <w:tblW w:w="9039" w:type="dxa"/>
        <w:tblBorders>
          <w:top w:val="single" w:sz="4" w:space="0" w:color="A32020" w:themeColor="accent1"/>
          <w:left w:val="single" w:sz="4" w:space="0" w:color="A32020" w:themeColor="accent1"/>
          <w:bottom w:val="single" w:sz="4" w:space="0" w:color="A32020" w:themeColor="accent1"/>
          <w:right w:val="single" w:sz="4" w:space="0" w:color="A32020" w:themeColor="accent1"/>
          <w:insideH w:val="single" w:sz="4" w:space="0" w:color="A32020" w:themeColor="accent1"/>
          <w:insideV w:val="single" w:sz="4" w:space="0" w:color="A32020" w:themeColor="accent1"/>
        </w:tblBorders>
        <w:shd w:val="clear" w:color="auto" w:fill="F4CACA" w:themeFill="accent1" w:themeFillTint="33"/>
        <w:tblLook w:val="04A0" w:firstRow="1" w:lastRow="0" w:firstColumn="1" w:lastColumn="0" w:noHBand="0" w:noVBand="1"/>
      </w:tblPr>
      <w:tblGrid>
        <w:gridCol w:w="9039"/>
      </w:tblGrid>
      <w:tr w:rsidR="00F26CEB" w:rsidTr="00F26CE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039" w:type="dxa"/>
            <w:tcBorders>
              <w:top w:val="none" w:sz="0" w:space="0" w:color="auto"/>
              <w:bottom w:val="none" w:sz="0" w:space="0" w:color="auto"/>
            </w:tcBorders>
            <w:shd w:val="clear" w:color="auto" w:fill="F4CACA" w:themeFill="accent1" w:themeFillTint="33"/>
          </w:tcPr>
          <w:p w:rsidR="00F26CEB" w:rsidRDefault="003A30C5" w:rsidP="00263E9B">
            <w:pPr>
              <w:pStyle w:val="PwCNormal"/>
              <w:spacing w:before="120"/>
            </w:pPr>
            <w:r>
              <w:t xml:space="preserve">Assume </w:t>
            </w:r>
            <w:r w:rsidR="00F26CEB">
              <w:t xml:space="preserve">there </w:t>
            </w:r>
            <w:r>
              <w:t xml:space="preserve">are </w:t>
            </w:r>
            <w:r w:rsidR="00F26CEB">
              <w:t xml:space="preserve">five LDC services in an area where only one service receives EYQF funding.  </w:t>
            </w:r>
          </w:p>
          <w:p w:rsidR="00F26CEB" w:rsidRPr="00AA6213" w:rsidRDefault="00F26CEB" w:rsidP="00F26CEB">
            <w:pPr>
              <w:pStyle w:val="Heading9"/>
              <w:outlineLvl w:val="8"/>
            </w:pPr>
            <w:r w:rsidRPr="00AA6213">
              <w:t>Scenario one – services who do not receive funding cannot lift wages</w:t>
            </w:r>
          </w:p>
          <w:p w:rsidR="00F26CEB" w:rsidRDefault="00F26CEB" w:rsidP="007F33DC">
            <w:pPr>
              <w:pStyle w:val="PwCNormal"/>
              <w:spacing w:after="120"/>
            </w:pPr>
            <w:r>
              <w:t>When Service A obtains additional funding for wages:</w:t>
            </w:r>
          </w:p>
          <w:p w:rsidR="00F26CEB" w:rsidRDefault="007F33DC" w:rsidP="00263E9B">
            <w:pPr>
              <w:pStyle w:val="PwCNormal"/>
              <w:numPr>
                <w:ilvl w:val="0"/>
                <w:numId w:val="29"/>
              </w:numPr>
              <w:spacing w:after="120"/>
              <w:ind w:left="357" w:hanging="357"/>
            </w:pPr>
            <w:r>
              <w:t>Staff in</w:t>
            </w:r>
            <w:r w:rsidR="00F26CEB">
              <w:t xml:space="preserve"> the other four services will be enticed by the hig</w:t>
            </w:r>
            <w:r>
              <w:t>her wages offered by Service A</w:t>
            </w:r>
          </w:p>
          <w:p w:rsidR="00F26CEB" w:rsidRDefault="00F26CEB" w:rsidP="00263E9B">
            <w:pPr>
              <w:pStyle w:val="PwCNormal"/>
              <w:numPr>
                <w:ilvl w:val="0"/>
                <w:numId w:val="29"/>
              </w:numPr>
              <w:spacing w:after="120"/>
              <w:ind w:left="357" w:hanging="357"/>
            </w:pPr>
            <w:r>
              <w:t>Service A attracts more experienced and qualified staff for each position</w:t>
            </w:r>
          </w:p>
          <w:p w:rsidR="00F26CEB" w:rsidRDefault="007F33DC" w:rsidP="00263E9B">
            <w:pPr>
              <w:pStyle w:val="PwCNormal"/>
              <w:numPr>
                <w:ilvl w:val="0"/>
                <w:numId w:val="29"/>
              </w:numPr>
              <w:spacing w:after="120"/>
              <w:ind w:left="357" w:hanging="357"/>
            </w:pPr>
            <w:r>
              <w:t>Staff</w:t>
            </w:r>
            <w:r w:rsidR="00F26CEB">
              <w:t xml:space="preserve"> that miss out on these positions will find jobs at the other service  - or they </w:t>
            </w:r>
            <w:r>
              <w:t>could</w:t>
            </w:r>
            <w:r w:rsidR="00F26CEB">
              <w:t xml:space="preserve"> leave sector entirely</w:t>
            </w:r>
          </w:p>
          <w:p w:rsidR="00F26CEB" w:rsidRDefault="007F33DC" w:rsidP="00263E9B">
            <w:pPr>
              <w:pStyle w:val="PwCNormal"/>
              <w:numPr>
                <w:ilvl w:val="0"/>
                <w:numId w:val="29"/>
              </w:numPr>
              <w:spacing w:after="120"/>
              <w:ind w:left="357" w:hanging="357"/>
            </w:pPr>
            <w:r>
              <w:t>T</w:t>
            </w:r>
            <w:r w:rsidR="00F26CEB">
              <w:t xml:space="preserve">here may be increased demand </w:t>
            </w:r>
            <w:r>
              <w:t xml:space="preserve">at </w:t>
            </w:r>
            <w:r w:rsidR="00F26CEB">
              <w:t xml:space="preserve">Service A as families prefer the service with higher quality staff </w:t>
            </w:r>
          </w:p>
          <w:p w:rsidR="00F26CEB" w:rsidRDefault="007F33DC" w:rsidP="00263E9B">
            <w:pPr>
              <w:pStyle w:val="PwCNormal"/>
              <w:numPr>
                <w:ilvl w:val="0"/>
                <w:numId w:val="29"/>
              </w:numPr>
              <w:spacing w:after="120"/>
              <w:ind w:left="357" w:hanging="357"/>
            </w:pPr>
            <w:r>
              <w:t>I</w:t>
            </w:r>
            <w:r w:rsidR="00F26CEB">
              <w:t xml:space="preserve">ncreased demand for Service A </w:t>
            </w:r>
            <w:r>
              <w:t>could then lead to</w:t>
            </w:r>
            <w:r w:rsidR="00F26CEB">
              <w:t xml:space="preserve"> </w:t>
            </w:r>
            <w:r>
              <w:t>fee increases at Service A</w:t>
            </w:r>
          </w:p>
          <w:p w:rsidR="00F26CEB" w:rsidRDefault="007F33DC" w:rsidP="00263E9B">
            <w:pPr>
              <w:pStyle w:val="PwCNormal"/>
              <w:numPr>
                <w:ilvl w:val="0"/>
                <w:numId w:val="29"/>
              </w:numPr>
              <w:spacing w:after="120"/>
              <w:ind w:left="357" w:hanging="357"/>
            </w:pPr>
            <w:r>
              <w:t>F</w:t>
            </w:r>
            <w:r w:rsidR="00F26CEB">
              <w:t>amilies</w:t>
            </w:r>
            <w:r>
              <w:t xml:space="preserve"> that struggle to afford</w:t>
            </w:r>
            <w:r w:rsidR="00CA5B4C">
              <w:t xml:space="preserve"> the increased</w:t>
            </w:r>
            <w:r>
              <w:t xml:space="preserve"> fees</w:t>
            </w:r>
            <w:r w:rsidR="00F26CEB">
              <w:t xml:space="preserve"> send children to centre with less experienced and qualified</w:t>
            </w:r>
            <w:r>
              <w:t xml:space="preserve"> staff</w:t>
            </w:r>
          </w:p>
          <w:p w:rsidR="00F26CEB" w:rsidRDefault="00F26CEB" w:rsidP="00263E9B">
            <w:pPr>
              <w:pStyle w:val="PwCNormal"/>
              <w:spacing w:after="120"/>
            </w:pPr>
            <w:r>
              <w:t>Result: a two tier system where more qualified staff are concentrated in services with EYQF funding</w:t>
            </w:r>
          </w:p>
          <w:p w:rsidR="00F26CEB" w:rsidRPr="00AA6213" w:rsidRDefault="00F26CEB" w:rsidP="00F26CEB">
            <w:pPr>
              <w:pStyle w:val="Heading9"/>
              <w:outlineLvl w:val="8"/>
            </w:pPr>
            <w:r w:rsidRPr="00AA6213">
              <w:t>Scenario two – services who do not receive funding can lift wages</w:t>
            </w:r>
          </w:p>
          <w:p w:rsidR="00F26CEB" w:rsidRDefault="00F26CEB" w:rsidP="007F33DC">
            <w:pPr>
              <w:pStyle w:val="PwCNormal"/>
              <w:spacing w:after="120"/>
            </w:pPr>
            <w:r>
              <w:t>When one service obtains additional funding for wages:</w:t>
            </w:r>
          </w:p>
          <w:p w:rsidR="00F26CEB" w:rsidRDefault="00F26CEB" w:rsidP="00263E9B">
            <w:pPr>
              <w:pStyle w:val="PwCNormal"/>
              <w:numPr>
                <w:ilvl w:val="0"/>
                <w:numId w:val="29"/>
              </w:numPr>
              <w:spacing w:after="120"/>
              <w:ind w:left="357" w:hanging="357"/>
            </w:pPr>
            <w:r>
              <w:t xml:space="preserve">educators at the other four services may be enticed by the higher wages offered by Service A  </w:t>
            </w:r>
          </w:p>
          <w:p w:rsidR="00F26CEB" w:rsidRDefault="00F26CEB" w:rsidP="00263E9B">
            <w:pPr>
              <w:pStyle w:val="PwCNormal"/>
              <w:numPr>
                <w:ilvl w:val="0"/>
                <w:numId w:val="29"/>
              </w:numPr>
              <w:spacing w:after="120"/>
              <w:ind w:left="357" w:hanging="357"/>
            </w:pPr>
            <w:r>
              <w:t>Service A attracts more experienced and qualified staff for each position</w:t>
            </w:r>
          </w:p>
          <w:p w:rsidR="00F26CEB" w:rsidRPr="00AD51E5" w:rsidRDefault="00F26CEB" w:rsidP="00263E9B">
            <w:pPr>
              <w:pStyle w:val="PwCNormal"/>
              <w:numPr>
                <w:ilvl w:val="0"/>
                <w:numId w:val="29"/>
              </w:numPr>
              <w:spacing w:after="120"/>
              <w:ind w:left="357" w:hanging="357"/>
            </w:pPr>
            <w:r w:rsidRPr="00934DED">
              <w:t>other services react by raising their wage levels to retain staff</w:t>
            </w:r>
            <w:r w:rsidRPr="00AD51E5">
              <w:t xml:space="preserve"> </w:t>
            </w:r>
          </w:p>
          <w:p w:rsidR="00F26CEB" w:rsidRDefault="00F26CEB" w:rsidP="00263E9B">
            <w:pPr>
              <w:pStyle w:val="PwCNormal"/>
              <w:numPr>
                <w:ilvl w:val="0"/>
                <w:numId w:val="29"/>
              </w:numPr>
              <w:spacing w:after="120"/>
              <w:ind w:left="357" w:hanging="357"/>
            </w:pPr>
            <w:r>
              <w:t xml:space="preserve">these services may need to raise fees to pay for higher wages </w:t>
            </w:r>
          </w:p>
          <w:p w:rsidR="00F26CEB" w:rsidRDefault="00F26CEB" w:rsidP="00263E9B">
            <w:pPr>
              <w:pStyle w:val="PwCNormal"/>
              <w:numPr>
                <w:ilvl w:val="0"/>
                <w:numId w:val="29"/>
              </w:numPr>
              <w:spacing w:after="120"/>
              <w:ind w:left="357" w:hanging="357"/>
            </w:pPr>
            <w:r>
              <w:t>demand for these services who have raised fees declines</w:t>
            </w:r>
          </w:p>
          <w:p w:rsidR="00F26CEB" w:rsidRDefault="00F26CEB" w:rsidP="00263E9B">
            <w:pPr>
              <w:pStyle w:val="PwCNormal"/>
              <w:numPr>
                <w:ilvl w:val="0"/>
                <w:numId w:val="29"/>
              </w:numPr>
              <w:spacing w:after="120"/>
              <w:ind w:left="357" w:hanging="357"/>
            </w:pPr>
            <w:r>
              <w:t xml:space="preserve">service utilisation for these services declines </w:t>
            </w:r>
          </w:p>
          <w:p w:rsidR="00F26CEB" w:rsidRDefault="00F26CEB" w:rsidP="00263E9B">
            <w:pPr>
              <w:pStyle w:val="ListBullet"/>
              <w:numPr>
                <w:ilvl w:val="0"/>
                <w:numId w:val="0"/>
              </w:numPr>
              <w:spacing w:after="120"/>
            </w:pPr>
            <w:r>
              <w:t>Result: higher parental fees and lower utilisation of ECEC services</w:t>
            </w:r>
          </w:p>
        </w:tc>
      </w:tr>
    </w:tbl>
    <w:p w:rsidR="00F26CEB" w:rsidRPr="00F26CEB" w:rsidRDefault="00F26CEB" w:rsidP="00F26CEB">
      <w:pPr>
        <w:pStyle w:val="Heading9"/>
      </w:pPr>
      <w:r>
        <w:t>Potential outcomes of scenarios</w:t>
      </w:r>
    </w:p>
    <w:p w:rsidR="00F26CEB" w:rsidRDefault="00F26CEB" w:rsidP="00F26CEB">
      <w:pPr>
        <w:pStyle w:val="ListBullet"/>
        <w:numPr>
          <w:ilvl w:val="0"/>
          <w:numId w:val="0"/>
        </w:numPr>
      </w:pPr>
      <w:r>
        <w:t xml:space="preserve">In both scenarios, a temporary distortion is created in the labour market before the effects of the policy flow through to the market for ECEC services. The outcome will depend on whether the other four services have the ability to increase the wages of their staff. </w:t>
      </w:r>
    </w:p>
    <w:p w:rsidR="00F26CEB" w:rsidRDefault="00F26CEB" w:rsidP="00F26CEB">
      <w:pPr>
        <w:pStyle w:val="ListBullet"/>
        <w:numPr>
          <w:ilvl w:val="0"/>
          <w:numId w:val="0"/>
        </w:numPr>
      </w:pPr>
      <w:r>
        <w:t xml:space="preserve">Where services who do not receive EYQF assistance cannot raise wages, a two tier system where more qualified staff </w:t>
      </w:r>
      <w:proofErr w:type="gramStart"/>
      <w:r>
        <w:t>are</w:t>
      </w:r>
      <w:proofErr w:type="gramEnd"/>
      <w:r>
        <w:t xml:space="preserve"> concentrated in services with EYQF funding may arise. Where services who do not receive EYQF assistance can raise wages, higher parental fees and lower utilisation of ECEC services may arise. </w:t>
      </w:r>
      <w:r w:rsidRPr="00655C01">
        <w:t xml:space="preserve">Any distortions that do arise would be amplified in areas with fewer services. </w:t>
      </w:r>
    </w:p>
    <w:p w:rsidR="00B125B7" w:rsidRDefault="00F26CEB" w:rsidP="00014A0F">
      <w:pPr>
        <w:pStyle w:val="PwCNormal"/>
        <w:numPr>
          <w:ilvl w:val="0"/>
          <w:numId w:val="0"/>
        </w:numPr>
      </w:pPr>
      <w:r>
        <w:t>Indeed there are a number of assumptions which underpin the outcome for each scenario such as the elasticity of demand for ECEC services (which determines whether increasing fees will result in lower utilisation) and also the costs associated with moving services as an educator. Nevertheless, the market distortion analysis highlights the potential implications of the implementation of the EYQF policy on the ECEC sector</w:t>
      </w:r>
      <w:r w:rsidR="003A30C5">
        <w:t>.</w:t>
      </w:r>
    </w:p>
    <w:p w:rsidR="00C06E3D" w:rsidRDefault="00C06E3D" w:rsidP="00C06E3D">
      <w:pPr>
        <w:pStyle w:val="PwCNormal"/>
        <w:numPr>
          <w:ilvl w:val="0"/>
          <w:numId w:val="0"/>
        </w:numPr>
      </w:pPr>
      <w:r>
        <w:t>This issue of market distortion was discussed at the Senate Inquiry for the EYQF Special Account Bill. The representative for United Voice stated:</w:t>
      </w:r>
    </w:p>
    <w:p w:rsidR="00C06E3D" w:rsidRPr="002E55A6" w:rsidRDefault="00C06E3D" w:rsidP="00C06E3D">
      <w:pPr>
        <w:pStyle w:val="ListBullet"/>
        <w:numPr>
          <w:ilvl w:val="0"/>
          <w:numId w:val="0"/>
        </w:numPr>
        <w:ind w:left="567"/>
      </w:pPr>
      <w:r w:rsidRPr="002E55A6">
        <w:t xml:space="preserve">‘The reason we were keen on the government’s proposal to say that it goes to a segment of the sector, is that it provides a shock to the sector. Between $3 and $5, depending on classification, is a big increase all at one time. It means that for 40 per </w:t>
      </w:r>
      <w:r w:rsidRPr="002E55A6">
        <w:lastRenderedPageBreak/>
        <w:t xml:space="preserve">cent of the sector suddenly sit up and take notice and say, 'Maybe we could stay in this sector and earn a decent living. Maybe, to get a mortgage, I do not have to go and do a different job.' So we at least get part of the sector coming to the idea that it is possible to make a career out of this occupation of educator. </w:t>
      </w:r>
    </w:p>
    <w:p w:rsidR="00C06E3D" w:rsidRPr="002E55A6" w:rsidRDefault="00C06E3D" w:rsidP="00C06E3D">
      <w:pPr>
        <w:pStyle w:val="ListBullet"/>
        <w:numPr>
          <w:ilvl w:val="0"/>
          <w:numId w:val="0"/>
        </w:numPr>
        <w:ind w:left="567"/>
      </w:pPr>
      <w:r w:rsidRPr="002E55A6">
        <w:t>The other thing, of course, that is important for us as a union is that we are going to lodge an equal-pay application with the Fair Work Tribunal. Work is in train on that at the moment. It means that we go to the tribunal with part of the sector already being paid some part of professional wages. It helps our case to be able to say that the tribunal at the very least ought to make an order that extends that to the whole sector.’</w:t>
      </w:r>
      <w:r w:rsidRPr="002E55A6">
        <w:rPr>
          <w:rStyle w:val="FootnoteReference"/>
          <w:sz w:val="20"/>
        </w:rPr>
        <w:footnoteReference w:id="25"/>
      </w:r>
    </w:p>
    <w:p w:rsidR="00263E9B" w:rsidRDefault="00263E9B" w:rsidP="00263E9B">
      <w:pPr>
        <w:pStyle w:val="PwCNormal"/>
        <w:numPr>
          <w:ilvl w:val="0"/>
          <w:numId w:val="0"/>
        </w:numPr>
      </w:pPr>
    </w:p>
    <w:p w:rsidR="00263E9B" w:rsidRDefault="00263E9B" w:rsidP="00263E9B">
      <w:pPr>
        <w:pStyle w:val="PwCNormal"/>
        <w:numPr>
          <w:ilvl w:val="0"/>
          <w:numId w:val="0"/>
        </w:numPr>
        <w:sectPr w:rsidR="00263E9B" w:rsidSect="0085497F">
          <w:headerReference w:type="even" r:id="rId25"/>
          <w:headerReference w:type="default" r:id="rId26"/>
          <w:footerReference w:type="even" r:id="rId27"/>
          <w:footerReference w:type="default" r:id="rId28"/>
          <w:headerReference w:type="first" r:id="rId29"/>
          <w:footerReference w:type="first" r:id="rId30"/>
          <w:type w:val="oddPage"/>
          <w:pgSz w:w="11907" w:h="16840" w:code="9"/>
          <w:pgMar w:top="1588" w:right="1843" w:bottom="1418" w:left="1843" w:header="567" w:footer="567" w:gutter="0"/>
          <w:cols w:space="227"/>
          <w:titlePg/>
          <w:docGrid w:linePitch="360"/>
        </w:sectPr>
      </w:pPr>
    </w:p>
    <w:p w:rsidR="00B125B7" w:rsidRDefault="00B125B7" w:rsidP="00AD51E5">
      <w:pPr>
        <w:pStyle w:val="Heading4"/>
        <w:numPr>
          <w:ilvl w:val="4"/>
          <w:numId w:val="30"/>
        </w:numPr>
      </w:pPr>
      <w:bookmarkStart w:id="58" w:name="_Toc369880281"/>
      <w:bookmarkStart w:id="59" w:name="_Ref369880381"/>
      <w:bookmarkStart w:id="60" w:name="_Toc372100979"/>
      <w:r>
        <w:lastRenderedPageBreak/>
        <w:t>List of stakeholder consultations</w:t>
      </w:r>
      <w:bookmarkEnd w:id="58"/>
      <w:bookmarkEnd w:id="59"/>
      <w:bookmarkEnd w:id="60"/>
    </w:p>
    <w:p w:rsidR="00B90C95" w:rsidRDefault="00574C96" w:rsidP="00B125B7">
      <w:pPr>
        <w:pStyle w:val="PwCNormal"/>
      </w:pPr>
      <w:r>
        <w:t>PwC consulted with a range of st</w:t>
      </w:r>
      <w:r w:rsidR="00B90C95">
        <w:t xml:space="preserve">akeholders for this Review including: </w:t>
      </w:r>
    </w:p>
    <w:p w:rsidR="00B90C95" w:rsidRDefault="00CC0AA9" w:rsidP="00AD51E5">
      <w:pPr>
        <w:pStyle w:val="PwCNormal"/>
        <w:numPr>
          <w:ilvl w:val="0"/>
          <w:numId w:val="29"/>
        </w:numPr>
      </w:pPr>
      <w:r>
        <w:t>r</w:t>
      </w:r>
      <w:r w:rsidR="003A30C5">
        <w:t xml:space="preserve">epresentatives from </w:t>
      </w:r>
      <w:r w:rsidR="00723964">
        <w:t>1</w:t>
      </w:r>
      <w:r w:rsidR="00731D42">
        <w:t>4</w:t>
      </w:r>
      <w:r w:rsidR="00192D6A">
        <w:t xml:space="preserve"> </w:t>
      </w:r>
      <w:r w:rsidR="00620960">
        <w:t>service providers</w:t>
      </w:r>
    </w:p>
    <w:p w:rsidR="00AD51E5" w:rsidRDefault="00AD51E5" w:rsidP="00AD51E5">
      <w:pPr>
        <w:pStyle w:val="PwCNormal"/>
        <w:numPr>
          <w:ilvl w:val="0"/>
          <w:numId w:val="29"/>
        </w:numPr>
      </w:pPr>
      <w:r>
        <w:t>all members of the EYQF Advisory Board</w:t>
      </w:r>
    </w:p>
    <w:p w:rsidR="00B90C95" w:rsidRDefault="00723964" w:rsidP="00AD51E5">
      <w:pPr>
        <w:pStyle w:val="PwCNormal"/>
        <w:numPr>
          <w:ilvl w:val="0"/>
          <w:numId w:val="29"/>
        </w:numPr>
      </w:pPr>
      <w:r>
        <w:t xml:space="preserve">14 </w:t>
      </w:r>
      <w:r w:rsidR="00AD51E5">
        <w:t xml:space="preserve">peak body representatives (see </w:t>
      </w:r>
      <w:r w:rsidR="002554AA">
        <w:fldChar w:fldCharType="begin"/>
      </w:r>
      <w:r w:rsidR="00AD51E5">
        <w:instrText xml:space="preserve"> REF _Ref370496932 \h </w:instrText>
      </w:r>
      <w:r w:rsidR="002554AA">
        <w:fldChar w:fldCharType="separate"/>
      </w:r>
      <w:r w:rsidR="000B2006">
        <w:t xml:space="preserve">Table </w:t>
      </w:r>
      <w:r w:rsidR="000B2006">
        <w:rPr>
          <w:noProof/>
        </w:rPr>
        <w:t>8</w:t>
      </w:r>
      <w:r w:rsidR="002554AA">
        <w:fldChar w:fldCharType="end"/>
      </w:r>
      <w:r w:rsidR="00AD51E5">
        <w:t>)</w:t>
      </w:r>
      <w:r w:rsidR="00B90C95">
        <w:t xml:space="preserve"> </w:t>
      </w:r>
    </w:p>
    <w:p w:rsidR="00B90C95" w:rsidRDefault="00B90C95" w:rsidP="00AD51E5">
      <w:pPr>
        <w:pStyle w:val="PwCNormal"/>
        <w:numPr>
          <w:ilvl w:val="0"/>
          <w:numId w:val="29"/>
        </w:numPr>
      </w:pPr>
      <w:r>
        <w:t>Departmental staff who administered the EYQF</w:t>
      </w:r>
      <w:r w:rsidR="00723964">
        <w:t xml:space="preserve"> including the application assessors.</w:t>
      </w:r>
    </w:p>
    <w:p w:rsidR="00723964" w:rsidRDefault="00723964" w:rsidP="00723964">
      <w:pPr>
        <w:pStyle w:val="Caption"/>
      </w:pPr>
      <w:bookmarkStart w:id="61" w:name="_Ref370496932"/>
      <w:r>
        <w:t xml:space="preserve">Table </w:t>
      </w:r>
      <w:r w:rsidR="002554AA">
        <w:fldChar w:fldCharType="begin"/>
      </w:r>
      <w:r w:rsidR="00D76309">
        <w:instrText xml:space="preserve"> SEQ Table \* ARABIC </w:instrText>
      </w:r>
      <w:r w:rsidR="002554AA">
        <w:fldChar w:fldCharType="separate"/>
      </w:r>
      <w:r w:rsidR="000B2006">
        <w:rPr>
          <w:noProof/>
        </w:rPr>
        <w:t>8</w:t>
      </w:r>
      <w:r w:rsidR="002554AA">
        <w:rPr>
          <w:noProof/>
        </w:rPr>
        <w:fldChar w:fldCharType="end"/>
      </w:r>
      <w:bookmarkEnd w:id="61"/>
      <w:r>
        <w:t>: Peak body organisations</w:t>
      </w:r>
    </w:p>
    <w:tbl>
      <w:tblPr>
        <w:tblW w:w="8662" w:type="dxa"/>
        <w:tblInd w:w="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961"/>
        <w:gridCol w:w="1701"/>
      </w:tblGrid>
      <w:tr w:rsidR="00723964" w:rsidRPr="00E16FF2" w:rsidTr="00723964">
        <w:trPr>
          <w:trHeight w:val="283"/>
        </w:trPr>
        <w:tc>
          <w:tcPr>
            <w:tcW w:w="6961" w:type="dxa"/>
            <w:shd w:val="clear" w:color="000000" w:fill="A32020"/>
            <w:noWrap/>
            <w:vAlign w:val="center"/>
            <w:hideMark/>
          </w:tcPr>
          <w:p w:rsidR="00723964" w:rsidRPr="00E16FF2" w:rsidRDefault="00723964" w:rsidP="001357DC">
            <w:pPr>
              <w:kinsoku/>
              <w:overflowPunct/>
              <w:autoSpaceDE/>
              <w:autoSpaceDN/>
              <w:adjustRightInd/>
              <w:snapToGrid/>
              <w:rPr>
                <w:rFonts w:asciiTheme="majorHAnsi" w:hAnsiTheme="majorHAnsi" w:cstheme="minorHAnsi"/>
                <w:b/>
                <w:bCs/>
                <w:snapToGrid/>
                <w:color w:val="FFFFFF"/>
                <w:sz w:val="18"/>
                <w:szCs w:val="18"/>
                <w:lang w:eastAsia="en-AU"/>
              </w:rPr>
            </w:pPr>
            <w:r w:rsidRPr="00E16FF2">
              <w:rPr>
                <w:rFonts w:asciiTheme="majorHAnsi" w:hAnsiTheme="majorHAnsi" w:cstheme="minorHAnsi"/>
                <w:b/>
                <w:bCs/>
                <w:snapToGrid/>
                <w:color w:val="FFFFFF"/>
                <w:sz w:val="18"/>
                <w:szCs w:val="18"/>
                <w:lang w:eastAsia="en-AU"/>
              </w:rPr>
              <w:t>Organisation</w:t>
            </w:r>
          </w:p>
        </w:tc>
        <w:tc>
          <w:tcPr>
            <w:tcW w:w="1701" w:type="dxa"/>
            <w:shd w:val="clear" w:color="000000" w:fill="A32020"/>
            <w:noWrap/>
            <w:vAlign w:val="center"/>
            <w:hideMark/>
          </w:tcPr>
          <w:p w:rsidR="00723964" w:rsidRPr="00E16FF2" w:rsidRDefault="00723964" w:rsidP="00E16FF2">
            <w:pPr>
              <w:kinsoku/>
              <w:overflowPunct/>
              <w:autoSpaceDE/>
              <w:autoSpaceDN/>
              <w:adjustRightInd/>
              <w:snapToGrid/>
              <w:jc w:val="right"/>
              <w:rPr>
                <w:rFonts w:asciiTheme="majorHAnsi" w:hAnsiTheme="majorHAnsi" w:cstheme="minorHAnsi"/>
                <w:b/>
                <w:bCs/>
                <w:snapToGrid/>
                <w:color w:val="FFFFFF"/>
                <w:sz w:val="18"/>
                <w:szCs w:val="18"/>
                <w:lang w:eastAsia="en-AU"/>
              </w:rPr>
            </w:pPr>
            <w:r w:rsidRPr="00E16FF2">
              <w:rPr>
                <w:rFonts w:asciiTheme="majorHAnsi" w:hAnsiTheme="majorHAnsi" w:cstheme="minorHAnsi"/>
                <w:b/>
                <w:bCs/>
                <w:snapToGrid/>
                <w:color w:val="FFFFFF"/>
                <w:sz w:val="18"/>
                <w:szCs w:val="18"/>
                <w:lang w:eastAsia="en-AU"/>
              </w:rPr>
              <w:t>Date</w:t>
            </w:r>
          </w:p>
        </w:tc>
      </w:tr>
      <w:tr w:rsidR="00723964" w:rsidRPr="00E16FF2" w:rsidTr="00723964">
        <w:trPr>
          <w:trHeight w:val="283"/>
        </w:trPr>
        <w:tc>
          <w:tcPr>
            <w:tcW w:w="6961" w:type="dxa"/>
            <w:shd w:val="clear" w:color="auto" w:fill="auto"/>
            <w:noWrap/>
            <w:vAlign w:val="center"/>
            <w:hideMark/>
          </w:tcPr>
          <w:p w:rsidR="00723964" w:rsidRPr="00E16FF2" w:rsidRDefault="00723964" w:rsidP="001357DC">
            <w:pPr>
              <w:kinsoku/>
              <w:overflowPunct/>
              <w:autoSpaceDE/>
              <w:autoSpaceDN/>
              <w:adjustRightInd/>
              <w:snapToGrid/>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Australian Childcare Alliance</w:t>
            </w:r>
          </w:p>
        </w:tc>
        <w:tc>
          <w:tcPr>
            <w:tcW w:w="1701" w:type="dxa"/>
            <w:shd w:val="clear" w:color="auto" w:fill="auto"/>
            <w:noWrap/>
            <w:vAlign w:val="center"/>
            <w:hideMark/>
          </w:tcPr>
          <w:p w:rsidR="00723964" w:rsidRPr="00E16FF2" w:rsidRDefault="00723964"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21-Oct</w:t>
            </w:r>
          </w:p>
        </w:tc>
      </w:tr>
      <w:tr w:rsidR="00723964" w:rsidRPr="00E16FF2" w:rsidTr="00723964">
        <w:trPr>
          <w:trHeight w:val="283"/>
        </w:trPr>
        <w:tc>
          <w:tcPr>
            <w:tcW w:w="6961" w:type="dxa"/>
            <w:shd w:val="clear" w:color="auto" w:fill="auto"/>
            <w:noWrap/>
            <w:vAlign w:val="center"/>
            <w:hideMark/>
          </w:tcPr>
          <w:p w:rsidR="00723964" w:rsidRPr="00E16FF2" w:rsidRDefault="000B5367" w:rsidP="001357DC">
            <w:pPr>
              <w:kinsoku/>
              <w:overflowPunct/>
              <w:autoSpaceDE/>
              <w:autoSpaceDN/>
              <w:adjustRightInd/>
              <w:snapToGrid/>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Early Childhood Australia</w:t>
            </w:r>
            <w:r w:rsidR="00723964" w:rsidRPr="00E16FF2">
              <w:rPr>
                <w:rFonts w:asciiTheme="majorHAnsi" w:hAnsiTheme="majorHAnsi" w:cstheme="minorHAnsi"/>
                <w:snapToGrid/>
                <w:color w:val="000000"/>
                <w:sz w:val="18"/>
                <w:szCs w:val="18"/>
                <w:lang w:eastAsia="en-AU"/>
              </w:rPr>
              <w:t>, Lady Gowrie</w:t>
            </w:r>
          </w:p>
        </w:tc>
        <w:tc>
          <w:tcPr>
            <w:tcW w:w="1701" w:type="dxa"/>
            <w:shd w:val="clear" w:color="auto" w:fill="auto"/>
            <w:noWrap/>
            <w:vAlign w:val="center"/>
            <w:hideMark/>
          </w:tcPr>
          <w:p w:rsidR="00723964" w:rsidRPr="00E16FF2" w:rsidRDefault="00723964"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21-Oct</w:t>
            </w:r>
          </w:p>
        </w:tc>
      </w:tr>
      <w:tr w:rsidR="00723964" w:rsidRPr="00E16FF2" w:rsidTr="00723964">
        <w:trPr>
          <w:trHeight w:val="283"/>
        </w:trPr>
        <w:tc>
          <w:tcPr>
            <w:tcW w:w="6961" w:type="dxa"/>
            <w:shd w:val="clear" w:color="auto" w:fill="auto"/>
            <w:noWrap/>
            <w:vAlign w:val="center"/>
            <w:hideMark/>
          </w:tcPr>
          <w:p w:rsidR="00723964" w:rsidRPr="00E16FF2" w:rsidRDefault="00723964" w:rsidP="001357DC">
            <w:pPr>
              <w:kinsoku/>
              <w:overflowPunct/>
              <w:autoSpaceDE/>
              <w:autoSpaceDN/>
              <w:adjustRightInd/>
              <w:snapToGrid/>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Australian Community Children's Services</w:t>
            </w:r>
          </w:p>
        </w:tc>
        <w:tc>
          <w:tcPr>
            <w:tcW w:w="1701" w:type="dxa"/>
            <w:shd w:val="clear" w:color="auto" w:fill="auto"/>
            <w:noWrap/>
            <w:vAlign w:val="center"/>
            <w:hideMark/>
          </w:tcPr>
          <w:p w:rsidR="00723964" w:rsidRPr="00E16FF2" w:rsidRDefault="00723964"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21-Oct</w:t>
            </w:r>
          </w:p>
        </w:tc>
      </w:tr>
      <w:tr w:rsidR="00723964" w:rsidRPr="00E16FF2" w:rsidTr="00723964">
        <w:trPr>
          <w:trHeight w:val="283"/>
        </w:trPr>
        <w:tc>
          <w:tcPr>
            <w:tcW w:w="6961" w:type="dxa"/>
            <w:shd w:val="clear" w:color="auto" w:fill="auto"/>
            <w:noWrap/>
            <w:vAlign w:val="center"/>
            <w:hideMark/>
          </w:tcPr>
          <w:p w:rsidR="00723964" w:rsidRPr="00E16FF2" w:rsidRDefault="00723964" w:rsidP="001357DC">
            <w:pPr>
              <w:kinsoku/>
              <w:overflowPunct/>
              <w:autoSpaceDE/>
              <w:autoSpaceDN/>
              <w:adjustRightInd/>
              <w:snapToGrid/>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Family Day Care Australia </w:t>
            </w:r>
          </w:p>
        </w:tc>
        <w:tc>
          <w:tcPr>
            <w:tcW w:w="1701" w:type="dxa"/>
            <w:shd w:val="clear" w:color="auto" w:fill="auto"/>
            <w:noWrap/>
            <w:vAlign w:val="center"/>
            <w:hideMark/>
          </w:tcPr>
          <w:p w:rsidR="00723964" w:rsidRPr="00E16FF2" w:rsidRDefault="00723964"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21-Oct</w:t>
            </w:r>
          </w:p>
        </w:tc>
      </w:tr>
      <w:tr w:rsidR="00723964" w:rsidRPr="00E16FF2" w:rsidTr="00723964">
        <w:trPr>
          <w:trHeight w:val="283"/>
        </w:trPr>
        <w:tc>
          <w:tcPr>
            <w:tcW w:w="6961" w:type="dxa"/>
            <w:shd w:val="clear" w:color="auto" w:fill="auto"/>
            <w:noWrap/>
            <w:vAlign w:val="center"/>
            <w:hideMark/>
          </w:tcPr>
          <w:p w:rsidR="00723964" w:rsidRPr="00E16FF2" w:rsidRDefault="00723964" w:rsidP="001357DC">
            <w:pPr>
              <w:kinsoku/>
              <w:overflowPunct/>
              <w:autoSpaceDE/>
              <w:autoSpaceDN/>
              <w:adjustRightInd/>
              <w:snapToGrid/>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National Association of Mobile Services for Rural and Remote Families and Children</w:t>
            </w:r>
          </w:p>
        </w:tc>
        <w:tc>
          <w:tcPr>
            <w:tcW w:w="1701" w:type="dxa"/>
            <w:shd w:val="clear" w:color="auto" w:fill="auto"/>
            <w:noWrap/>
            <w:vAlign w:val="center"/>
            <w:hideMark/>
          </w:tcPr>
          <w:p w:rsidR="00723964" w:rsidRPr="00E16FF2" w:rsidRDefault="00723964"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21-Oct</w:t>
            </w:r>
          </w:p>
        </w:tc>
      </w:tr>
      <w:tr w:rsidR="00723964" w:rsidRPr="00E16FF2" w:rsidTr="00723964">
        <w:trPr>
          <w:trHeight w:val="283"/>
        </w:trPr>
        <w:tc>
          <w:tcPr>
            <w:tcW w:w="6961" w:type="dxa"/>
            <w:shd w:val="clear" w:color="auto" w:fill="auto"/>
            <w:noWrap/>
            <w:vAlign w:val="center"/>
            <w:hideMark/>
          </w:tcPr>
          <w:p w:rsidR="00723964" w:rsidRPr="00E16FF2" w:rsidRDefault="00723964" w:rsidP="001357DC">
            <w:pPr>
              <w:kinsoku/>
              <w:overflowPunct/>
              <w:autoSpaceDE/>
              <w:autoSpaceDN/>
              <w:adjustRightInd/>
              <w:snapToGrid/>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National Disability Alliance in Children's Services</w:t>
            </w:r>
          </w:p>
        </w:tc>
        <w:tc>
          <w:tcPr>
            <w:tcW w:w="1701" w:type="dxa"/>
            <w:shd w:val="clear" w:color="auto" w:fill="auto"/>
            <w:noWrap/>
            <w:vAlign w:val="center"/>
            <w:hideMark/>
          </w:tcPr>
          <w:p w:rsidR="00723964" w:rsidRPr="00E16FF2" w:rsidRDefault="00723964"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21-Oct</w:t>
            </w:r>
          </w:p>
        </w:tc>
      </w:tr>
      <w:tr w:rsidR="00723964" w:rsidRPr="00E16FF2" w:rsidTr="00723964">
        <w:trPr>
          <w:trHeight w:val="283"/>
        </w:trPr>
        <w:tc>
          <w:tcPr>
            <w:tcW w:w="6961" w:type="dxa"/>
            <w:shd w:val="clear" w:color="auto" w:fill="auto"/>
            <w:noWrap/>
            <w:vAlign w:val="center"/>
            <w:hideMark/>
          </w:tcPr>
          <w:p w:rsidR="00723964" w:rsidRPr="00E16FF2" w:rsidRDefault="00723964" w:rsidP="001357DC">
            <w:pPr>
              <w:kinsoku/>
              <w:overflowPunct/>
              <w:autoSpaceDE/>
              <w:autoSpaceDN/>
              <w:adjustRightInd/>
              <w:snapToGrid/>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SDN Children's Services</w:t>
            </w:r>
          </w:p>
        </w:tc>
        <w:tc>
          <w:tcPr>
            <w:tcW w:w="1701" w:type="dxa"/>
            <w:shd w:val="clear" w:color="auto" w:fill="auto"/>
            <w:noWrap/>
            <w:vAlign w:val="center"/>
            <w:hideMark/>
          </w:tcPr>
          <w:p w:rsidR="00723964" w:rsidRPr="00E16FF2" w:rsidRDefault="00723964"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21-Oct</w:t>
            </w:r>
          </w:p>
        </w:tc>
      </w:tr>
      <w:tr w:rsidR="00723964" w:rsidRPr="00E16FF2" w:rsidTr="00723964">
        <w:trPr>
          <w:trHeight w:val="283"/>
        </w:trPr>
        <w:tc>
          <w:tcPr>
            <w:tcW w:w="6961" w:type="dxa"/>
            <w:shd w:val="clear" w:color="auto" w:fill="auto"/>
            <w:noWrap/>
            <w:vAlign w:val="center"/>
            <w:hideMark/>
          </w:tcPr>
          <w:p w:rsidR="00723964" w:rsidRPr="00E16FF2" w:rsidRDefault="00723964" w:rsidP="001357DC">
            <w:pPr>
              <w:kinsoku/>
              <w:overflowPunct/>
              <w:autoSpaceDE/>
              <w:autoSpaceDN/>
              <w:adjustRightInd/>
              <w:snapToGrid/>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National In-Home Childcare Association</w:t>
            </w:r>
          </w:p>
        </w:tc>
        <w:tc>
          <w:tcPr>
            <w:tcW w:w="1701" w:type="dxa"/>
            <w:shd w:val="clear" w:color="auto" w:fill="auto"/>
            <w:noWrap/>
            <w:vAlign w:val="center"/>
            <w:hideMark/>
          </w:tcPr>
          <w:p w:rsidR="00723964" w:rsidRPr="00E16FF2" w:rsidRDefault="00723964"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21-Oct</w:t>
            </w:r>
          </w:p>
        </w:tc>
      </w:tr>
      <w:tr w:rsidR="00723964" w:rsidRPr="00E16FF2" w:rsidTr="00723964">
        <w:trPr>
          <w:trHeight w:val="283"/>
        </w:trPr>
        <w:tc>
          <w:tcPr>
            <w:tcW w:w="6961" w:type="dxa"/>
            <w:shd w:val="clear" w:color="auto" w:fill="auto"/>
            <w:noWrap/>
            <w:vAlign w:val="center"/>
            <w:hideMark/>
          </w:tcPr>
          <w:p w:rsidR="00723964" w:rsidRPr="00E16FF2" w:rsidRDefault="00723964" w:rsidP="001357DC">
            <w:pPr>
              <w:kinsoku/>
              <w:overflowPunct/>
              <w:autoSpaceDE/>
              <w:autoSpaceDN/>
              <w:adjustRightInd/>
              <w:snapToGrid/>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National Out of School Hours Services Association</w:t>
            </w:r>
          </w:p>
        </w:tc>
        <w:tc>
          <w:tcPr>
            <w:tcW w:w="1701" w:type="dxa"/>
            <w:shd w:val="clear" w:color="auto" w:fill="auto"/>
            <w:noWrap/>
            <w:vAlign w:val="center"/>
            <w:hideMark/>
          </w:tcPr>
          <w:p w:rsidR="00723964" w:rsidRPr="00E16FF2" w:rsidRDefault="00723964"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21-Oct</w:t>
            </w:r>
          </w:p>
        </w:tc>
      </w:tr>
      <w:tr w:rsidR="00723964" w:rsidRPr="00E16FF2" w:rsidTr="00723964">
        <w:trPr>
          <w:trHeight w:val="283"/>
        </w:trPr>
        <w:tc>
          <w:tcPr>
            <w:tcW w:w="6961" w:type="dxa"/>
            <w:shd w:val="clear" w:color="auto" w:fill="auto"/>
            <w:noWrap/>
            <w:vAlign w:val="center"/>
            <w:hideMark/>
          </w:tcPr>
          <w:p w:rsidR="00723964" w:rsidRPr="00E16FF2" w:rsidRDefault="00723964" w:rsidP="001357DC">
            <w:pPr>
              <w:kinsoku/>
              <w:overflowPunct/>
              <w:autoSpaceDE/>
              <w:autoSpaceDN/>
              <w:adjustRightInd/>
              <w:snapToGrid/>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Playgroup Australia</w:t>
            </w:r>
          </w:p>
        </w:tc>
        <w:tc>
          <w:tcPr>
            <w:tcW w:w="1701" w:type="dxa"/>
            <w:shd w:val="clear" w:color="auto" w:fill="auto"/>
            <w:noWrap/>
            <w:vAlign w:val="center"/>
            <w:hideMark/>
          </w:tcPr>
          <w:p w:rsidR="00723964" w:rsidRPr="00E16FF2" w:rsidRDefault="00723964"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21-Oct</w:t>
            </w:r>
          </w:p>
        </w:tc>
      </w:tr>
      <w:tr w:rsidR="00723964" w:rsidRPr="00E16FF2" w:rsidTr="00723964">
        <w:trPr>
          <w:trHeight w:val="283"/>
        </w:trPr>
        <w:tc>
          <w:tcPr>
            <w:tcW w:w="6961" w:type="dxa"/>
            <w:shd w:val="clear" w:color="auto" w:fill="auto"/>
            <w:noWrap/>
            <w:vAlign w:val="center"/>
            <w:hideMark/>
          </w:tcPr>
          <w:p w:rsidR="00723964" w:rsidRPr="00E16FF2" w:rsidRDefault="00723964" w:rsidP="001357DC">
            <w:pPr>
              <w:kinsoku/>
              <w:overflowPunct/>
              <w:autoSpaceDE/>
              <w:autoSpaceDN/>
              <w:adjustRightInd/>
              <w:snapToGrid/>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Secretariat of National Aboriginal and Islander Child Care</w:t>
            </w:r>
          </w:p>
        </w:tc>
        <w:tc>
          <w:tcPr>
            <w:tcW w:w="1701" w:type="dxa"/>
            <w:shd w:val="clear" w:color="auto" w:fill="auto"/>
            <w:noWrap/>
            <w:vAlign w:val="center"/>
            <w:hideMark/>
          </w:tcPr>
          <w:p w:rsidR="00723964" w:rsidRPr="00E16FF2" w:rsidRDefault="00723964" w:rsidP="00E16FF2">
            <w:pPr>
              <w:kinsoku/>
              <w:overflowPunct/>
              <w:autoSpaceDE/>
              <w:autoSpaceDN/>
              <w:adjustRightInd/>
              <w:snapToGrid/>
              <w:jc w:val="right"/>
              <w:rPr>
                <w:rFonts w:asciiTheme="majorHAnsi" w:hAnsiTheme="majorHAnsi" w:cstheme="minorHAnsi"/>
                <w:snapToGrid/>
                <w:color w:val="000000"/>
                <w:sz w:val="18"/>
                <w:szCs w:val="18"/>
                <w:lang w:eastAsia="en-AU"/>
              </w:rPr>
            </w:pPr>
            <w:r w:rsidRPr="00E16FF2">
              <w:rPr>
                <w:rFonts w:asciiTheme="majorHAnsi" w:hAnsiTheme="majorHAnsi" w:cstheme="minorHAnsi"/>
                <w:snapToGrid/>
                <w:color w:val="000000"/>
                <w:sz w:val="18"/>
                <w:szCs w:val="18"/>
                <w:lang w:eastAsia="en-AU"/>
              </w:rPr>
              <w:t>21-Oct</w:t>
            </w:r>
          </w:p>
        </w:tc>
      </w:tr>
    </w:tbl>
    <w:p w:rsidR="00B125B7" w:rsidRPr="00B125B7" w:rsidRDefault="00B125B7" w:rsidP="00B125B7">
      <w:pPr>
        <w:pStyle w:val="PwCNormal"/>
        <w:numPr>
          <w:ilvl w:val="0"/>
          <w:numId w:val="0"/>
        </w:numPr>
        <w:sectPr w:rsidR="00B125B7" w:rsidRPr="00B125B7" w:rsidSect="0085497F">
          <w:headerReference w:type="even" r:id="rId31"/>
          <w:headerReference w:type="default" r:id="rId32"/>
          <w:pgSz w:w="11907" w:h="16840" w:code="9"/>
          <w:pgMar w:top="1588" w:right="1843" w:bottom="1418" w:left="1843" w:header="567" w:footer="567" w:gutter="0"/>
          <w:cols w:space="227"/>
          <w:titlePg/>
          <w:docGrid w:linePitch="360"/>
        </w:sectPr>
      </w:pPr>
    </w:p>
    <w:p w:rsidR="005236F7" w:rsidRDefault="005236F7">
      <w:pPr>
        <w:kinsoku/>
        <w:overflowPunct/>
        <w:autoSpaceDE/>
        <w:autoSpaceDN/>
        <w:adjustRightInd/>
        <w:snapToGrid/>
      </w:pPr>
    </w:p>
    <w:sectPr w:rsidR="005236F7" w:rsidSect="008A3C08">
      <w:headerReference w:type="even" r:id="rId33"/>
      <w:headerReference w:type="default" r:id="rId34"/>
      <w:footerReference w:type="even" r:id="rId35"/>
      <w:footerReference w:type="default" r:id="rId36"/>
      <w:headerReference w:type="first" r:id="rId37"/>
      <w:type w:val="evenPage"/>
      <w:pgSz w:w="11907" w:h="16840" w:code="9"/>
      <w:pgMar w:top="1701" w:right="1021" w:bottom="1418"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006" w:rsidRDefault="000B2006" w:rsidP="004343B3">
      <w:pPr>
        <w:pStyle w:val="Separator"/>
      </w:pPr>
      <w:r>
        <w:separator/>
      </w:r>
    </w:p>
    <w:p w:rsidR="000B2006" w:rsidRDefault="000B2006"/>
  </w:endnote>
  <w:endnote w:type="continuationSeparator" w:id="0">
    <w:p w:rsidR="000B2006" w:rsidRDefault="000B2006" w:rsidP="004343B3">
      <w:pPr>
        <w:pStyle w:val="Separator"/>
      </w:pPr>
      <w:r>
        <w:continuationSeparator/>
      </w:r>
    </w:p>
    <w:p w:rsidR="000B2006" w:rsidRDefault="000B2006"/>
  </w:endnote>
  <w:endnote w:type="continuationNotice" w:id="1">
    <w:p w:rsidR="000B2006" w:rsidRDefault="000B2006" w:rsidP="004343B3">
      <w:pPr>
        <w:pStyle w:val="Separator"/>
      </w:pPr>
    </w:p>
    <w:p w:rsidR="000B2006" w:rsidRDefault="000B2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heSansLight-Plain">
    <w:altName w:val="Courier New"/>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Default="005B3056" w:rsidP="0085497F">
    <w:pPr>
      <w:pStyle w:val="Footer-Even"/>
    </w:pPr>
    <w:r>
      <w:fldChar w:fldCharType="begin"/>
    </w:r>
    <w:r>
      <w:instrText xml:space="preserve"> STYLEREF "Cover Title" </w:instrText>
    </w:r>
    <w:r>
      <w:fldChar w:fldCharType="separate"/>
    </w:r>
    <w:r>
      <w:rPr>
        <w:noProof/>
      </w:rPr>
      <w:t>Department of Education</w:t>
    </w:r>
    <w:r>
      <w:rPr>
        <w:noProof/>
      </w:rPr>
      <w:fldChar w:fldCharType="end"/>
    </w:r>
  </w:p>
  <w:p w:rsidR="000B2006" w:rsidRPr="006650EF" w:rsidRDefault="000B2006" w:rsidP="0085497F">
    <w:pPr>
      <w:pStyle w:val="Footer-Even"/>
    </w:pPr>
    <w:r>
      <w:t>PwC</w:t>
    </w:r>
    <w:r>
      <w:tab/>
    </w:r>
    <w:r w:rsidR="005B3056">
      <w:fldChar w:fldCharType="begin"/>
    </w:r>
    <w:r w:rsidR="005B3056">
      <w:instrText xml:space="preserve"> PAGE  \* MERGEFORMAT </w:instrText>
    </w:r>
    <w:r w:rsidR="005B3056">
      <w:fldChar w:fldCharType="separate"/>
    </w:r>
    <w:r w:rsidR="005B3056">
      <w:rPr>
        <w:noProof/>
      </w:rPr>
      <w:t>x</w:t>
    </w:r>
    <w:r w:rsidR="005B3056">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Default="000B2006" w:rsidP="005B4BF3">
    <w:pPr>
      <w:pStyle w:val="URL"/>
      <w:framePr w:wrap="around"/>
    </w:pPr>
    <w:r>
      <w:t>www.pwc.com.au</w:t>
    </w:r>
  </w:p>
  <w:p w:rsidR="000B2006" w:rsidRPr="00A84ADF" w:rsidRDefault="000B2006" w:rsidP="00483E95">
    <w:pPr>
      <w:pStyle w:val="Copyright"/>
      <w:framePr w:wrap="around"/>
    </w:pPr>
    <w:r>
      <w:t>© 2013 PricewaterhouseCoopers. All rights reserved.</w:t>
    </w:r>
    <w:r>
      <w:br/>
      <w:t>PwC refers to the Australian member firm, and may sometimes refer to the PwC network.</w:t>
    </w:r>
    <w:r>
      <w:br/>
      <w:t xml:space="preserve">Each member firm is a separate legal entity. Please see </w:t>
    </w:r>
    <w:r w:rsidRPr="00B95011">
      <w:t>www.pwc.com/structure</w:t>
    </w:r>
    <w:r>
      <w:t xml:space="preserve"> for further details.</w:t>
    </w:r>
    <w:r>
      <w:br/>
    </w:r>
    <w:r>
      <w:br/>
    </w:r>
    <w:r w:rsidRPr="00A75868">
      <w:t>Liability limited by a scheme approved under Professional Standards Legislation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Default="000B2006" w:rsidP="005B4BF3">
    <w:pPr>
      <w:pStyle w:val="URL"/>
      <w:framePr w:wrap="around"/>
    </w:pPr>
    <w:r>
      <w:t>www.pwc.com.au</w:t>
    </w:r>
  </w:p>
  <w:p w:rsidR="000B2006" w:rsidRPr="00A84ADF" w:rsidRDefault="000B2006" w:rsidP="003333C5">
    <w:pPr>
      <w:pStyle w:val="Copyright"/>
      <w:framePr w:w="0" w:wrap="auto" w:vAnchor="margin" w:hAnchor="text" w:xAlign="left" w:yAlign="inline"/>
    </w:pPr>
    <w:r>
      <w:t>© 2013 PricewaterhouseCoopers. All rights reserved.</w:t>
    </w:r>
    <w:r>
      <w:br/>
      <w:t>PwC refers to the Australian member firm, and may sometimes refer to the PwC network.</w:t>
    </w:r>
    <w:r>
      <w:br/>
      <w:t xml:space="preserve">Each member firm is a separate legal entity. Please see </w:t>
    </w:r>
    <w:r w:rsidRPr="00B95011">
      <w:t>www.pwc.com/structure</w:t>
    </w:r>
    <w:r>
      <w:t xml:space="preserve"> for further details.</w:t>
    </w:r>
    <w:r>
      <w:br/>
    </w:r>
    <w:r>
      <w:br/>
    </w:r>
    <w:r w:rsidRPr="00A75868">
      <w:t>Liability limited by a scheme approved under Professional Standards Legislation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Default="005B3056" w:rsidP="0085497F">
    <w:pPr>
      <w:pStyle w:val="Footer"/>
    </w:pPr>
    <w:r>
      <w:fldChar w:fldCharType="begin"/>
    </w:r>
    <w:r>
      <w:instrText xml:space="preserve"> STYLEREF "Cover Title" </w:instrText>
    </w:r>
    <w:r>
      <w:fldChar w:fldCharType="separate"/>
    </w:r>
    <w:r>
      <w:rPr>
        <w:noProof/>
      </w:rPr>
      <w:t>Department of Education</w:t>
    </w:r>
    <w:r>
      <w:rPr>
        <w:noProof/>
      </w:rPr>
      <w:fldChar w:fldCharType="end"/>
    </w:r>
  </w:p>
  <w:p w:rsidR="000B2006" w:rsidRPr="00A84ADF" w:rsidRDefault="000B2006" w:rsidP="0085497F">
    <w:pPr>
      <w:pStyle w:val="Footer"/>
    </w:pPr>
    <w:r>
      <w:t>PwC</w:t>
    </w:r>
    <w:r>
      <w:tab/>
    </w:r>
    <w:r w:rsidR="005B3056">
      <w:fldChar w:fldCharType="begin"/>
    </w:r>
    <w:r w:rsidR="005B3056">
      <w:instrText xml:space="preserve"> PAGE  \* MERGEFORMAT </w:instrText>
    </w:r>
    <w:r w:rsidR="005B3056">
      <w:fldChar w:fldCharType="separate"/>
    </w:r>
    <w:r w:rsidR="005B3056">
      <w:rPr>
        <w:noProof/>
      </w:rPr>
      <w:t>xi</w:t>
    </w:r>
    <w:r w:rsidR="005B305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Default="002554AA" w:rsidP="006650EF">
    <w:pPr>
      <w:pStyle w:val="Footer"/>
    </w:pPr>
    <w:r w:rsidRPr="006650EF">
      <w:rPr>
        <w:sz w:val="18"/>
      </w:rPr>
      <w:fldChar w:fldCharType="begin"/>
    </w:r>
    <w:r w:rsidR="000B2006">
      <w:instrText xml:space="preserve"> IF </w:instrText>
    </w:r>
    <w:r w:rsidR="005B3056">
      <w:fldChar w:fldCharType="begin"/>
    </w:r>
    <w:r w:rsidR="005B3056">
      <w:instrText xml:space="preserve"> DOCPROPERTY "Mirror Margins" </w:instrText>
    </w:r>
    <w:r w:rsidR="005B3056">
      <w:fldChar w:fldCharType="separate"/>
    </w:r>
    <w:r w:rsidR="000B2006">
      <w:instrText>N</w:instrText>
    </w:r>
    <w:r w:rsidR="005B3056">
      <w:fldChar w:fldCharType="end"/>
    </w:r>
    <w:r w:rsidR="000B2006">
      <w:instrText xml:space="preserve"> = "N" "</w:instrText>
    </w:r>
    <w:r w:rsidR="005B3056">
      <w:fldChar w:fldCharType="begin"/>
    </w:r>
    <w:r w:rsidR="005B3056">
      <w:instrText xml:space="preserve"> STYLEREF "Cover title" </w:instrText>
    </w:r>
    <w:r w:rsidR="005B3056">
      <w:fldChar w:fldCharType="separate"/>
    </w:r>
    <w:r w:rsidR="005B3056">
      <w:rPr>
        <w:noProof/>
      </w:rPr>
      <w:instrText>Department of Education</w:instrText>
    </w:r>
    <w:r w:rsidR="005B3056">
      <w:rPr>
        <w:noProof/>
      </w:rPr>
      <w:fldChar w:fldCharType="end"/>
    </w:r>
  </w:p>
  <w:p w:rsidR="000B2006" w:rsidRDefault="000B2006" w:rsidP="006650EF">
    <w:pPr>
      <w:pStyle w:val="Footer"/>
    </w:pPr>
    <w:r>
      <w:instrText>PwC</w:instrText>
    </w:r>
    <w:r>
      <w:ptab w:relativeTo="margin" w:alignment="right" w:leader="none"/>
    </w:r>
    <w:r w:rsidR="005B3056">
      <w:fldChar w:fldCharType="begin"/>
    </w:r>
    <w:r w:rsidR="005B3056">
      <w:instrText xml:space="preserve"> PAGE </w:instrText>
    </w:r>
    <w:r w:rsidR="005B3056">
      <w:fldChar w:fldCharType="separate"/>
    </w:r>
    <w:r w:rsidR="005B3056">
      <w:rPr>
        <w:noProof/>
      </w:rPr>
      <w:instrText>i</w:instrText>
    </w:r>
    <w:r w:rsidR="005B3056">
      <w:rPr>
        <w:noProof/>
      </w:rPr>
      <w:fldChar w:fldCharType="end"/>
    </w:r>
    <w:r>
      <w:instrText xml:space="preserve">" </w:instrText>
    </w:r>
    <w:r w:rsidR="002554AA" w:rsidRPr="006650EF">
      <w:rPr>
        <w:sz w:val="18"/>
      </w:rPr>
      <w:fldChar w:fldCharType="begin"/>
    </w:r>
    <w:r>
      <w:instrText xml:space="preserve"> IF </w:instrText>
    </w:r>
    <w:r w:rsidR="002554AA">
      <w:fldChar w:fldCharType="begin"/>
    </w:r>
    <w:r>
      <w:instrText xml:space="preserve"> =mod( </w:instrText>
    </w:r>
    <w:r w:rsidR="005B3056">
      <w:fldChar w:fldCharType="begin"/>
    </w:r>
    <w:r w:rsidR="005B3056">
      <w:instrText xml:space="preserve"> PAGE \* Arabic </w:instrText>
    </w:r>
    <w:r w:rsidR="005B3056">
      <w:fldChar w:fldCharType="separate"/>
    </w:r>
    <w:r>
      <w:rPr>
        <w:noProof/>
      </w:rPr>
      <w:instrText>5</w:instrText>
    </w:r>
    <w:r w:rsidR="005B3056">
      <w:rPr>
        <w:noProof/>
      </w:rPr>
      <w:fldChar w:fldCharType="end"/>
    </w:r>
    <w:r>
      <w:instrText xml:space="preserve"> ,2) </w:instrText>
    </w:r>
    <w:r w:rsidR="002554AA">
      <w:fldChar w:fldCharType="separate"/>
    </w:r>
    <w:r>
      <w:rPr>
        <w:noProof/>
      </w:rPr>
      <w:instrText>1</w:instrText>
    </w:r>
    <w:r w:rsidR="002554AA">
      <w:fldChar w:fldCharType="end"/>
    </w:r>
    <w:r>
      <w:instrText xml:space="preserve"> = "1" "</w:instrText>
    </w:r>
    <w:r w:rsidR="005B3056">
      <w:fldChar w:fldCharType="begin"/>
    </w:r>
    <w:r w:rsidR="005B3056">
      <w:instrText xml:space="preserve"> STYLEREF "Cover title" </w:instrText>
    </w:r>
    <w:r w:rsidR="005B3056">
      <w:fldChar w:fldCharType="separate"/>
    </w:r>
    <w:r>
      <w:rPr>
        <w:noProof/>
      </w:rPr>
      <w:instrText>Prospect name</w:instrText>
    </w:r>
    <w:r w:rsidR="005B3056">
      <w:rPr>
        <w:noProof/>
      </w:rPr>
      <w:fldChar w:fldCharType="end"/>
    </w:r>
  </w:p>
  <w:p w:rsidR="000B2006" w:rsidRDefault="000B2006" w:rsidP="006650EF">
    <w:pPr>
      <w:pStyle w:val="Footer"/>
    </w:pPr>
    <w:r>
      <w:instrText>PwC</w:instrText>
    </w:r>
    <w:r>
      <w:ptab w:relativeTo="margin" w:alignment="right" w:leader="none"/>
    </w:r>
    <w:r w:rsidR="005B3056">
      <w:fldChar w:fldCharType="begin"/>
    </w:r>
    <w:r w:rsidR="005B3056">
      <w:instrText xml:space="preserve"> PAGE </w:instrText>
    </w:r>
    <w:r w:rsidR="005B3056">
      <w:fldChar w:fldCharType="separate"/>
    </w:r>
    <w:r>
      <w:rPr>
        <w:noProof/>
      </w:rPr>
      <w:instrText>5</w:instrText>
    </w:r>
    <w:r w:rsidR="005B3056">
      <w:rPr>
        <w:noProof/>
      </w:rPr>
      <w:fldChar w:fldCharType="end"/>
    </w:r>
  </w:p>
  <w:p w:rsidR="000B2006" w:rsidRDefault="000B2006" w:rsidP="006650EF">
    <w:pPr>
      <w:pStyle w:val="Footer-Even"/>
    </w:pPr>
    <w:r>
      <w:instrText>" "</w:instrText>
    </w:r>
    <w:r>
      <w:ptab w:relativeTo="margin" w:alignment="right" w:leader="none"/>
    </w:r>
    <w:r w:rsidR="005B3056">
      <w:fldChar w:fldCharType="begin"/>
    </w:r>
    <w:r w:rsidR="005B3056">
      <w:instrText xml:space="preserve"> STYLEREF "Cover title" </w:instrText>
    </w:r>
    <w:r w:rsidR="005B3056">
      <w:fldChar w:fldCharType="separate"/>
    </w:r>
    <w:r>
      <w:rPr>
        <w:noProof/>
      </w:rPr>
      <w:instrText>Prospect name</w:instrText>
    </w:r>
    <w:r w:rsidR="005B3056">
      <w:rPr>
        <w:noProof/>
      </w:rPr>
      <w:fldChar w:fldCharType="end"/>
    </w:r>
  </w:p>
  <w:p w:rsidR="000B2006" w:rsidRDefault="005B3056" w:rsidP="006650EF">
    <w:pPr>
      <w:pStyle w:val="Footer-Even"/>
    </w:pPr>
    <w:r>
      <w:fldChar w:fldCharType="begin"/>
    </w:r>
    <w:r>
      <w:instrText xml:space="preserve"> PAGE </w:instrText>
    </w:r>
    <w:r>
      <w:fldChar w:fldCharType="separate"/>
    </w:r>
    <w:r w:rsidR="000B2006">
      <w:rPr>
        <w:noProof/>
      </w:rPr>
      <w:instrText>4</w:instrText>
    </w:r>
    <w:r>
      <w:rPr>
        <w:noProof/>
      </w:rPr>
      <w:fldChar w:fldCharType="end"/>
    </w:r>
    <w:r w:rsidR="000B2006">
      <w:ptab w:relativeTo="margin" w:alignment="right" w:leader="none"/>
    </w:r>
    <w:r w:rsidR="000B2006">
      <w:instrText>PwC</w:instrText>
    </w:r>
  </w:p>
  <w:p w:rsidR="000B2006" w:rsidRPr="006650EF" w:rsidRDefault="000B2006" w:rsidP="006650EF">
    <w:pPr>
      <w:pStyle w:val="Footer"/>
      <w:rPr>
        <w:noProof/>
        <w:sz w:val="2"/>
      </w:rPr>
    </w:pPr>
    <w:r w:rsidRPr="006650EF">
      <w:rPr>
        <w:sz w:val="2"/>
      </w:rPr>
      <w:instrText xml:space="preserve">" </w:instrText>
    </w:r>
    <w:r w:rsidR="002554AA" w:rsidRPr="006650EF">
      <w:rPr>
        <w:sz w:val="2"/>
      </w:rPr>
      <w:fldChar w:fldCharType="separate"/>
    </w:r>
    <w:r w:rsidRPr="006650EF">
      <w:rPr>
        <w:noProof/>
        <w:sz w:val="2"/>
      </w:rPr>
      <w:instrText>Prospect name</w:instrText>
    </w:r>
  </w:p>
  <w:p w:rsidR="000B2006" w:rsidRPr="006650EF" w:rsidRDefault="000B2006" w:rsidP="006650EF">
    <w:pPr>
      <w:pStyle w:val="Footer"/>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rsidR="005B3056" w:rsidRDefault="002554AA" w:rsidP="006650EF">
    <w:pPr>
      <w:pStyle w:val="Footer"/>
      <w:rPr>
        <w:noProof/>
      </w:rPr>
    </w:pPr>
    <w:r w:rsidRPr="006650EF">
      <w:rPr>
        <w:sz w:val="2"/>
      </w:rPr>
      <w:fldChar w:fldCharType="end"/>
    </w:r>
    <w:r w:rsidR="000B2006" w:rsidRPr="006650EF">
      <w:rPr>
        <w:sz w:val="2"/>
      </w:rPr>
      <w:instrText xml:space="preserve"> </w:instrText>
    </w:r>
    <w:r w:rsidRPr="006650EF">
      <w:rPr>
        <w:sz w:val="2"/>
      </w:rPr>
      <w:fldChar w:fldCharType="separate"/>
    </w:r>
    <w:r w:rsidR="005B3056">
      <w:rPr>
        <w:noProof/>
      </w:rPr>
      <w:t>Department of Education</w:t>
    </w:r>
  </w:p>
  <w:p w:rsidR="000B2006" w:rsidRPr="006650EF" w:rsidRDefault="005B3056" w:rsidP="006650EF">
    <w:pPr>
      <w:pStyle w:val="Footer"/>
      <w:rPr>
        <w:sz w:val="2"/>
      </w:rPr>
    </w:pPr>
    <w:r>
      <w:rPr>
        <w:noProof/>
      </w:rPr>
      <w:t>PwC</w:t>
    </w:r>
    <w:r>
      <w:rPr>
        <w:noProof/>
      </w:rPr>
      <w:ptab w:relativeTo="margin" w:alignment="right" w:leader="none"/>
    </w:r>
    <w:r>
      <w:rPr>
        <w:noProof/>
      </w:rPr>
      <w:t>i</w:t>
    </w:r>
    <w:r w:rsidR="002554AA" w:rsidRPr="006650EF">
      <w:rPr>
        <w:sz w:val="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Default="005B3056" w:rsidP="0085497F">
    <w:pPr>
      <w:pStyle w:val="Footer-ToCEven"/>
    </w:pPr>
    <w:r>
      <w:fldChar w:fldCharType="begin"/>
    </w:r>
    <w:r>
      <w:instrText xml:space="preserve"> STYLEREF "Cover Title" </w:instrText>
    </w:r>
    <w:r>
      <w:fldChar w:fldCharType="separate"/>
    </w:r>
    <w:r w:rsidR="000B2006">
      <w:rPr>
        <w:noProof/>
      </w:rPr>
      <w:t>Department of Education</w:t>
    </w:r>
    <w:r>
      <w:rPr>
        <w:noProof/>
      </w:rPr>
      <w:fldChar w:fldCharType="end"/>
    </w:r>
  </w:p>
  <w:p w:rsidR="000B2006" w:rsidRPr="006650EF" w:rsidRDefault="000B2006" w:rsidP="0085497F">
    <w:pPr>
      <w:pStyle w:val="Footer-ToCEven"/>
    </w:pPr>
    <w:r>
      <w:t>PwC</w:t>
    </w:r>
    <w:r>
      <w:tab/>
    </w:r>
    <w:r w:rsidR="005B3056">
      <w:fldChar w:fldCharType="begin"/>
    </w:r>
    <w:r w:rsidR="005B3056">
      <w:instrText xml:space="preserve"> PAGE  \* MERGEFORMAT </w:instrText>
    </w:r>
    <w:r w:rsidR="005B3056">
      <w:fldChar w:fldCharType="separate"/>
    </w:r>
    <w:r>
      <w:rPr>
        <w:noProof/>
      </w:rPr>
      <w:t>viii</w:t>
    </w:r>
    <w:r w:rsidR="005B3056">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Default="005B3056" w:rsidP="0085497F">
    <w:pPr>
      <w:pStyle w:val="Footer-ToC"/>
    </w:pPr>
    <w:r>
      <w:fldChar w:fldCharType="begin"/>
    </w:r>
    <w:r>
      <w:instrText xml:space="preserve"> STYLEREF "Cover Title" </w:instrText>
    </w:r>
    <w:r>
      <w:fldChar w:fldCharType="separate"/>
    </w:r>
    <w:r w:rsidR="000B2006">
      <w:rPr>
        <w:noProof/>
      </w:rPr>
      <w:t>Department of Education</w:t>
    </w:r>
    <w:r>
      <w:rPr>
        <w:noProof/>
      </w:rPr>
      <w:fldChar w:fldCharType="end"/>
    </w:r>
  </w:p>
  <w:p w:rsidR="000B2006" w:rsidRPr="00A84ADF" w:rsidRDefault="000B2006" w:rsidP="0085497F">
    <w:pPr>
      <w:pStyle w:val="Footer-ToC"/>
    </w:pPr>
    <w:r>
      <w:t>PwC</w:t>
    </w:r>
    <w:r>
      <w:tab/>
    </w:r>
    <w:r w:rsidR="005B3056">
      <w:fldChar w:fldCharType="begin"/>
    </w:r>
    <w:r w:rsidR="005B3056">
      <w:instrText xml:space="preserve"> PAGE  \* MERGEFORMAT </w:instrText>
    </w:r>
    <w:r w:rsidR="005B3056">
      <w:fldChar w:fldCharType="separate"/>
    </w:r>
    <w:r>
      <w:rPr>
        <w:noProof/>
      </w:rPr>
      <w:t>ii</w:t>
    </w:r>
    <w:r w:rsidR="005B3056">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Default="002554AA" w:rsidP="0085497F">
    <w:pPr>
      <w:pStyle w:val="Footer-ToC"/>
    </w:pPr>
    <w:r w:rsidRPr="006650EF">
      <w:rPr>
        <w:sz w:val="18"/>
      </w:rPr>
      <w:fldChar w:fldCharType="begin"/>
    </w:r>
    <w:r w:rsidR="000B2006">
      <w:instrText xml:space="preserve"> IF </w:instrText>
    </w:r>
    <w:r w:rsidR="005B3056">
      <w:fldChar w:fldCharType="begin"/>
    </w:r>
    <w:r w:rsidR="005B3056">
      <w:instrText xml:space="preserve"> DOCPROPERTY "Mirror Margins" </w:instrText>
    </w:r>
    <w:r w:rsidR="005B3056">
      <w:fldChar w:fldCharType="separate"/>
    </w:r>
    <w:r w:rsidR="000B2006">
      <w:instrText>N</w:instrText>
    </w:r>
    <w:r w:rsidR="005B3056">
      <w:fldChar w:fldCharType="end"/>
    </w:r>
    <w:r w:rsidR="000B2006">
      <w:instrText xml:space="preserve"> = "N" "</w:instrText>
    </w:r>
    <w:r w:rsidR="005B3056">
      <w:fldChar w:fldCharType="begin"/>
    </w:r>
    <w:r w:rsidR="005B3056">
      <w:instrText xml:space="preserve"> STYLEREF "Cover title" </w:instrText>
    </w:r>
    <w:r w:rsidR="005B3056">
      <w:fldChar w:fldCharType="separate"/>
    </w:r>
    <w:r w:rsidR="005B3056">
      <w:rPr>
        <w:noProof/>
      </w:rPr>
      <w:instrText>Department of Education</w:instrText>
    </w:r>
    <w:r w:rsidR="005B3056">
      <w:rPr>
        <w:noProof/>
      </w:rPr>
      <w:fldChar w:fldCharType="end"/>
    </w:r>
  </w:p>
  <w:p w:rsidR="000B2006" w:rsidRDefault="000B2006" w:rsidP="0085497F">
    <w:pPr>
      <w:pStyle w:val="Footer-ToC"/>
    </w:pPr>
    <w:r>
      <w:instrText>PwC</w:instrText>
    </w:r>
    <w:r>
      <w:ptab w:relativeTo="margin" w:alignment="right" w:leader="none"/>
    </w:r>
    <w:r w:rsidR="005B3056">
      <w:fldChar w:fldCharType="begin"/>
    </w:r>
    <w:r w:rsidR="005B3056">
      <w:instrText xml:space="preserve"> PAGE </w:instrText>
    </w:r>
    <w:r w:rsidR="005B3056">
      <w:fldChar w:fldCharType="separate"/>
    </w:r>
    <w:r w:rsidR="005B3056">
      <w:rPr>
        <w:noProof/>
      </w:rPr>
      <w:instrText>i</w:instrText>
    </w:r>
    <w:r w:rsidR="005B3056">
      <w:rPr>
        <w:noProof/>
      </w:rPr>
      <w:fldChar w:fldCharType="end"/>
    </w:r>
    <w:r>
      <w:instrText xml:space="preserve">" </w:instrText>
    </w:r>
    <w:r w:rsidR="002554AA" w:rsidRPr="006650EF">
      <w:rPr>
        <w:sz w:val="18"/>
      </w:rPr>
      <w:fldChar w:fldCharType="begin"/>
    </w:r>
    <w:r>
      <w:instrText xml:space="preserve"> IF </w:instrText>
    </w:r>
    <w:r w:rsidR="002554AA">
      <w:fldChar w:fldCharType="begin"/>
    </w:r>
    <w:r>
      <w:instrText xml:space="preserve"> =mod( </w:instrText>
    </w:r>
    <w:r w:rsidR="005B3056">
      <w:fldChar w:fldCharType="begin"/>
    </w:r>
    <w:r w:rsidR="005B3056">
      <w:instrText xml:space="preserve"> PAGE \* Arabic </w:instrText>
    </w:r>
    <w:r w:rsidR="005B3056">
      <w:fldChar w:fldCharType="separate"/>
    </w:r>
    <w:r>
      <w:rPr>
        <w:noProof/>
      </w:rPr>
      <w:instrText>5</w:instrText>
    </w:r>
    <w:r w:rsidR="005B3056">
      <w:rPr>
        <w:noProof/>
      </w:rPr>
      <w:fldChar w:fldCharType="end"/>
    </w:r>
    <w:r>
      <w:instrText xml:space="preserve"> ,2) </w:instrText>
    </w:r>
    <w:r w:rsidR="002554AA">
      <w:fldChar w:fldCharType="separate"/>
    </w:r>
    <w:r>
      <w:rPr>
        <w:noProof/>
      </w:rPr>
      <w:instrText>1</w:instrText>
    </w:r>
    <w:r w:rsidR="002554AA">
      <w:fldChar w:fldCharType="end"/>
    </w:r>
    <w:r>
      <w:instrText xml:space="preserve"> = "1" "</w:instrText>
    </w:r>
    <w:r w:rsidR="005B3056">
      <w:fldChar w:fldCharType="begin"/>
    </w:r>
    <w:r w:rsidR="005B3056">
      <w:instrText xml:space="preserve"> STYLEREF "Cover title" </w:instrText>
    </w:r>
    <w:r w:rsidR="005B3056">
      <w:fldChar w:fldCharType="separate"/>
    </w:r>
    <w:r>
      <w:rPr>
        <w:noProof/>
      </w:rPr>
      <w:instrText>Prospect name</w:instrText>
    </w:r>
    <w:r w:rsidR="005B3056">
      <w:rPr>
        <w:noProof/>
      </w:rPr>
      <w:fldChar w:fldCharType="end"/>
    </w:r>
  </w:p>
  <w:p w:rsidR="000B2006" w:rsidRDefault="000B2006" w:rsidP="0085497F">
    <w:pPr>
      <w:pStyle w:val="Footer-ToC"/>
    </w:pPr>
    <w:r>
      <w:instrText>PwC</w:instrText>
    </w:r>
    <w:r>
      <w:ptab w:relativeTo="margin" w:alignment="right" w:leader="none"/>
    </w:r>
    <w:r w:rsidR="005B3056">
      <w:fldChar w:fldCharType="begin"/>
    </w:r>
    <w:r w:rsidR="005B3056">
      <w:instrText xml:space="preserve"> PAGE </w:instrText>
    </w:r>
    <w:r w:rsidR="005B3056">
      <w:fldChar w:fldCharType="separate"/>
    </w:r>
    <w:r>
      <w:rPr>
        <w:noProof/>
      </w:rPr>
      <w:instrText>5</w:instrText>
    </w:r>
    <w:r w:rsidR="005B3056">
      <w:rPr>
        <w:noProof/>
      </w:rPr>
      <w:fldChar w:fldCharType="end"/>
    </w:r>
  </w:p>
  <w:p w:rsidR="000B2006" w:rsidRDefault="000B2006" w:rsidP="0085497F">
    <w:pPr>
      <w:pStyle w:val="Footer-ToC"/>
    </w:pPr>
    <w:r>
      <w:instrText>" "</w:instrText>
    </w:r>
    <w:r>
      <w:ptab w:relativeTo="margin" w:alignment="right" w:leader="none"/>
    </w:r>
    <w:r w:rsidR="005B3056">
      <w:fldChar w:fldCharType="begin"/>
    </w:r>
    <w:r w:rsidR="005B3056">
      <w:instrText xml:space="preserve"> STYLEREF "Cover title" </w:instrText>
    </w:r>
    <w:r w:rsidR="005B3056">
      <w:fldChar w:fldCharType="separate"/>
    </w:r>
    <w:r>
      <w:rPr>
        <w:noProof/>
      </w:rPr>
      <w:instrText>Prospect name</w:instrText>
    </w:r>
    <w:r w:rsidR="005B3056">
      <w:rPr>
        <w:noProof/>
      </w:rPr>
      <w:fldChar w:fldCharType="end"/>
    </w:r>
  </w:p>
  <w:p w:rsidR="000B2006" w:rsidRDefault="005B3056" w:rsidP="0085497F">
    <w:pPr>
      <w:pStyle w:val="Footer-ToC"/>
    </w:pPr>
    <w:r>
      <w:fldChar w:fldCharType="begin"/>
    </w:r>
    <w:r>
      <w:instrText xml:space="preserve"> PAGE </w:instrText>
    </w:r>
    <w:r>
      <w:fldChar w:fldCharType="separate"/>
    </w:r>
    <w:r w:rsidR="000B2006">
      <w:rPr>
        <w:noProof/>
      </w:rPr>
      <w:instrText>4</w:instrText>
    </w:r>
    <w:r>
      <w:rPr>
        <w:noProof/>
      </w:rPr>
      <w:fldChar w:fldCharType="end"/>
    </w:r>
    <w:r w:rsidR="000B2006">
      <w:ptab w:relativeTo="margin" w:alignment="right" w:leader="none"/>
    </w:r>
    <w:r w:rsidR="000B2006">
      <w:instrText>PwC</w:instrText>
    </w:r>
  </w:p>
  <w:p w:rsidR="000B2006" w:rsidRPr="006650EF" w:rsidRDefault="000B2006" w:rsidP="0085497F">
    <w:pPr>
      <w:pStyle w:val="Footer-ToC"/>
      <w:rPr>
        <w:noProof/>
        <w:sz w:val="2"/>
      </w:rPr>
    </w:pPr>
    <w:r w:rsidRPr="006650EF">
      <w:rPr>
        <w:sz w:val="2"/>
      </w:rPr>
      <w:instrText xml:space="preserve">" </w:instrText>
    </w:r>
    <w:r w:rsidR="002554AA" w:rsidRPr="006650EF">
      <w:rPr>
        <w:sz w:val="2"/>
      </w:rPr>
      <w:fldChar w:fldCharType="separate"/>
    </w:r>
    <w:r w:rsidRPr="006650EF">
      <w:rPr>
        <w:noProof/>
        <w:sz w:val="2"/>
      </w:rPr>
      <w:instrText>Prospect name</w:instrText>
    </w:r>
  </w:p>
  <w:p w:rsidR="000B2006" w:rsidRPr="006650EF" w:rsidRDefault="000B2006" w:rsidP="0085497F">
    <w:pPr>
      <w:pStyle w:val="Footer-ToC"/>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rsidR="005B3056" w:rsidRDefault="002554AA" w:rsidP="0085497F">
    <w:pPr>
      <w:pStyle w:val="Footer-ToC"/>
      <w:rPr>
        <w:noProof/>
      </w:rPr>
    </w:pPr>
    <w:r w:rsidRPr="006650EF">
      <w:rPr>
        <w:sz w:val="2"/>
      </w:rPr>
      <w:fldChar w:fldCharType="end"/>
    </w:r>
    <w:r w:rsidR="000B2006" w:rsidRPr="006650EF">
      <w:rPr>
        <w:sz w:val="2"/>
      </w:rPr>
      <w:instrText xml:space="preserve"> </w:instrText>
    </w:r>
    <w:r w:rsidRPr="006650EF">
      <w:rPr>
        <w:sz w:val="2"/>
      </w:rPr>
      <w:fldChar w:fldCharType="separate"/>
    </w:r>
    <w:r w:rsidR="005B3056">
      <w:rPr>
        <w:noProof/>
      </w:rPr>
      <w:t>Department of Education</w:t>
    </w:r>
  </w:p>
  <w:p w:rsidR="000B2006" w:rsidRPr="006650EF" w:rsidRDefault="005B3056" w:rsidP="0085497F">
    <w:pPr>
      <w:pStyle w:val="Footer-ToC"/>
      <w:rPr>
        <w:sz w:val="2"/>
      </w:rPr>
    </w:pPr>
    <w:r>
      <w:rPr>
        <w:noProof/>
      </w:rPr>
      <w:t>PwC</w:t>
    </w:r>
    <w:r>
      <w:rPr>
        <w:noProof/>
      </w:rPr>
      <w:ptab w:relativeTo="margin" w:alignment="right" w:leader="none"/>
    </w:r>
    <w:r>
      <w:rPr>
        <w:noProof/>
      </w:rPr>
      <w:t>i</w:t>
    </w:r>
    <w:r w:rsidR="002554AA" w:rsidRPr="006650EF">
      <w:rPr>
        <w:sz w:val="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Default="005B3056" w:rsidP="0085497F">
    <w:pPr>
      <w:pStyle w:val="Footer-Even"/>
    </w:pPr>
    <w:r>
      <w:fldChar w:fldCharType="begin"/>
    </w:r>
    <w:r>
      <w:instrText xml:space="preserve"> STYLEREF "Cover Title" </w:instrText>
    </w:r>
    <w:r>
      <w:fldChar w:fldCharType="separate"/>
    </w:r>
    <w:r>
      <w:rPr>
        <w:noProof/>
      </w:rPr>
      <w:t>Department of Education</w:t>
    </w:r>
    <w:r>
      <w:rPr>
        <w:noProof/>
      </w:rPr>
      <w:fldChar w:fldCharType="end"/>
    </w:r>
  </w:p>
  <w:p w:rsidR="000B2006" w:rsidRPr="006650EF" w:rsidRDefault="000B2006" w:rsidP="0085497F">
    <w:pPr>
      <w:pStyle w:val="Footer-Even"/>
    </w:pPr>
    <w:r>
      <w:t>PwC</w:t>
    </w:r>
    <w:r>
      <w:tab/>
    </w:r>
    <w:r w:rsidR="005B3056">
      <w:fldChar w:fldCharType="begin"/>
    </w:r>
    <w:r w:rsidR="005B3056">
      <w:instrText xml:space="preserve"> PAGE  \* MERGEFORMAT </w:instrText>
    </w:r>
    <w:r w:rsidR="005B3056">
      <w:fldChar w:fldCharType="separate"/>
    </w:r>
    <w:r w:rsidR="005B3056">
      <w:rPr>
        <w:noProof/>
      </w:rPr>
      <w:t>32</w:t>
    </w:r>
    <w:r w:rsidR="005B3056">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Default="005B3056" w:rsidP="0085497F">
    <w:pPr>
      <w:pStyle w:val="Footer"/>
    </w:pPr>
    <w:r>
      <w:fldChar w:fldCharType="begin"/>
    </w:r>
    <w:r>
      <w:instrText xml:space="preserve"> STYLEREF "Cover Title" </w:instrText>
    </w:r>
    <w:r>
      <w:fldChar w:fldCharType="separate"/>
    </w:r>
    <w:r>
      <w:rPr>
        <w:noProof/>
      </w:rPr>
      <w:t>Department of Education</w:t>
    </w:r>
    <w:r>
      <w:rPr>
        <w:noProof/>
      </w:rPr>
      <w:fldChar w:fldCharType="end"/>
    </w:r>
  </w:p>
  <w:p w:rsidR="000B2006" w:rsidRPr="00A84ADF" w:rsidRDefault="000B2006" w:rsidP="0085497F">
    <w:pPr>
      <w:pStyle w:val="Footer"/>
    </w:pPr>
    <w:r>
      <w:t>PwC</w:t>
    </w:r>
    <w:r>
      <w:tab/>
    </w:r>
    <w:r w:rsidR="005B3056">
      <w:fldChar w:fldCharType="begin"/>
    </w:r>
    <w:r w:rsidR="005B3056">
      <w:instrText xml:space="preserve"> PAGE  \* MERGEFORMAT </w:instrText>
    </w:r>
    <w:r w:rsidR="005B3056">
      <w:fldChar w:fldCharType="separate"/>
    </w:r>
    <w:r w:rsidR="005B3056">
      <w:rPr>
        <w:noProof/>
      </w:rPr>
      <w:t>33</w:t>
    </w:r>
    <w:r w:rsidR="005B3056">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Default="002554AA" w:rsidP="00731B5D">
    <w:pPr>
      <w:pStyle w:val="Footer-ToC"/>
    </w:pPr>
    <w:r w:rsidRPr="006650EF">
      <w:rPr>
        <w:sz w:val="18"/>
      </w:rPr>
      <w:fldChar w:fldCharType="begin"/>
    </w:r>
    <w:r w:rsidR="000B2006">
      <w:instrText xml:space="preserve"> IF </w:instrText>
    </w:r>
    <w:r w:rsidR="005B3056">
      <w:fldChar w:fldCharType="begin"/>
    </w:r>
    <w:r w:rsidR="005B3056">
      <w:instrText xml:space="preserve"> DOCPROPERTY "Mirror Margins" </w:instrText>
    </w:r>
    <w:r w:rsidR="005B3056">
      <w:fldChar w:fldCharType="separate"/>
    </w:r>
    <w:r w:rsidR="000B2006">
      <w:instrText>N</w:instrText>
    </w:r>
    <w:r w:rsidR="005B3056">
      <w:fldChar w:fldCharType="end"/>
    </w:r>
    <w:r w:rsidR="000B2006">
      <w:instrText xml:space="preserve"> = "N" "</w:instrText>
    </w:r>
    <w:r w:rsidR="005B3056">
      <w:fldChar w:fldCharType="begin"/>
    </w:r>
    <w:r w:rsidR="005B3056">
      <w:instrText xml:space="preserve"> STYLEREF "Cover title" </w:instrText>
    </w:r>
    <w:r w:rsidR="005B3056">
      <w:fldChar w:fldCharType="separate"/>
    </w:r>
    <w:r w:rsidR="005B3056">
      <w:rPr>
        <w:noProof/>
      </w:rPr>
      <w:instrText>Department of Education</w:instrText>
    </w:r>
    <w:r w:rsidR="005B3056">
      <w:rPr>
        <w:noProof/>
      </w:rPr>
      <w:fldChar w:fldCharType="end"/>
    </w:r>
  </w:p>
  <w:p w:rsidR="000B2006" w:rsidRDefault="000B2006" w:rsidP="00731B5D">
    <w:pPr>
      <w:pStyle w:val="Footer-ToC"/>
    </w:pPr>
    <w:r>
      <w:instrText>PwC</w:instrText>
    </w:r>
    <w:r>
      <w:ptab w:relativeTo="margin" w:alignment="right" w:leader="none"/>
    </w:r>
    <w:r w:rsidR="005B3056">
      <w:fldChar w:fldCharType="begin"/>
    </w:r>
    <w:r w:rsidR="005B3056">
      <w:instrText xml:space="preserve"> PAGE </w:instrText>
    </w:r>
    <w:r w:rsidR="005B3056">
      <w:fldChar w:fldCharType="separate"/>
    </w:r>
    <w:r w:rsidR="005B3056">
      <w:rPr>
        <w:noProof/>
      </w:rPr>
      <w:instrText>34</w:instrText>
    </w:r>
    <w:r w:rsidR="005B3056">
      <w:rPr>
        <w:noProof/>
      </w:rPr>
      <w:fldChar w:fldCharType="end"/>
    </w:r>
    <w:r>
      <w:instrText xml:space="preserve">" </w:instrText>
    </w:r>
    <w:r w:rsidR="002554AA" w:rsidRPr="006650EF">
      <w:rPr>
        <w:sz w:val="18"/>
      </w:rPr>
      <w:fldChar w:fldCharType="begin"/>
    </w:r>
    <w:r>
      <w:instrText xml:space="preserve"> IF </w:instrText>
    </w:r>
    <w:r w:rsidR="002554AA">
      <w:fldChar w:fldCharType="begin"/>
    </w:r>
    <w:r>
      <w:instrText xml:space="preserve"> =mod( </w:instrText>
    </w:r>
    <w:r w:rsidR="005B3056">
      <w:fldChar w:fldCharType="begin"/>
    </w:r>
    <w:r w:rsidR="005B3056">
      <w:instrText xml:space="preserve"> PAGE \* Arabic </w:instrText>
    </w:r>
    <w:r w:rsidR="005B3056">
      <w:fldChar w:fldCharType="separate"/>
    </w:r>
    <w:r>
      <w:rPr>
        <w:noProof/>
      </w:rPr>
      <w:instrText>5</w:instrText>
    </w:r>
    <w:r w:rsidR="005B3056">
      <w:rPr>
        <w:noProof/>
      </w:rPr>
      <w:fldChar w:fldCharType="end"/>
    </w:r>
    <w:r>
      <w:instrText xml:space="preserve"> ,2) </w:instrText>
    </w:r>
    <w:r w:rsidR="002554AA">
      <w:fldChar w:fldCharType="separate"/>
    </w:r>
    <w:r>
      <w:rPr>
        <w:noProof/>
      </w:rPr>
      <w:instrText>1</w:instrText>
    </w:r>
    <w:r w:rsidR="002554AA">
      <w:fldChar w:fldCharType="end"/>
    </w:r>
    <w:r>
      <w:instrText xml:space="preserve"> = "1" "</w:instrText>
    </w:r>
    <w:r w:rsidR="005B3056">
      <w:fldChar w:fldCharType="begin"/>
    </w:r>
    <w:r w:rsidR="005B3056">
      <w:instrText xml:space="preserve"> STYLEREF "Cover title" </w:instrText>
    </w:r>
    <w:r w:rsidR="005B3056">
      <w:fldChar w:fldCharType="separate"/>
    </w:r>
    <w:r>
      <w:rPr>
        <w:noProof/>
      </w:rPr>
      <w:instrText>Prospect name</w:instrText>
    </w:r>
    <w:r w:rsidR="005B3056">
      <w:rPr>
        <w:noProof/>
      </w:rPr>
      <w:fldChar w:fldCharType="end"/>
    </w:r>
  </w:p>
  <w:p w:rsidR="000B2006" w:rsidRDefault="000B2006" w:rsidP="00731B5D">
    <w:pPr>
      <w:pStyle w:val="Footer-ToC"/>
    </w:pPr>
    <w:r>
      <w:instrText>PwC</w:instrText>
    </w:r>
    <w:r>
      <w:ptab w:relativeTo="margin" w:alignment="right" w:leader="none"/>
    </w:r>
    <w:r w:rsidR="005B3056">
      <w:fldChar w:fldCharType="begin"/>
    </w:r>
    <w:r w:rsidR="005B3056">
      <w:instrText xml:space="preserve"> PAGE </w:instrText>
    </w:r>
    <w:r w:rsidR="005B3056">
      <w:fldChar w:fldCharType="separate"/>
    </w:r>
    <w:r>
      <w:rPr>
        <w:noProof/>
      </w:rPr>
      <w:instrText>5</w:instrText>
    </w:r>
    <w:r w:rsidR="005B3056">
      <w:rPr>
        <w:noProof/>
      </w:rPr>
      <w:fldChar w:fldCharType="end"/>
    </w:r>
  </w:p>
  <w:p w:rsidR="000B2006" w:rsidRDefault="000B2006" w:rsidP="00731B5D">
    <w:pPr>
      <w:pStyle w:val="Footer-ToC"/>
    </w:pPr>
    <w:r>
      <w:instrText>" "</w:instrText>
    </w:r>
    <w:r>
      <w:ptab w:relativeTo="margin" w:alignment="right" w:leader="none"/>
    </w:r>
    <w:r w:rsidR="005B3056">
      <w:fldChar w:fldCharType="begin"/>
    </w:r>
    <w:r w:rsidR="005B3056">
      <w:instrText xml:space="preserve"> STYLEREF "Cover title" </w:instrText>
    </w:r>
    <w:r w:rsidR="005B3056">
      <w:fldChar w:fldCharType="separate"/>
    </w:r>
    <w:r>
      <w:rPr>
        <w:noProof/>
      </w:rPr>
      <w:instrText>Prospect name</w:instrText>
    </w:r>
    <w:r w:rsidR="005B3056">
      <w:rPr>
        <w:noProof/>
      </w:rPr>
      <w:fldChar w:fldCharType="end"/>
    </w:r>
  </w:p>
  <w:p w:rsidR="000B2006" w:rsidRDefault="005B3056" w:rsidP="00731B5D">
    <w:pPr>
      <w:pStyle w:val="Footer-ToC"/>
    </w:pPr>
    <w:r>
      <w:fldChar w:fldCharType="begin"/>
    </w:r>
    <w:r>
      <w:instrText xml:space="preserve"> PAGE </w:instrText>
    </w:r>
    <w:r>
      <w:fldChar w:fldCharType="separate"/>
    </w:r>
    <w:r w:rsidR="000B2006">
      <w:rPr>
        <w:noProof/>
      </w:rPr>
      <w:instrText>4</w:instrText>
    </w:r>
    <w:r>
      <w:rPr>
        <w:noProof/>
      </w:rPr>
      <w:fldChar w:fldCharType="end"/>
    </w:r>
    <w:r w:rsidR="000B2006">
      <w:ptab w:relativeTo="margin" w:alignment="right" w:leader="none"/>
    </w:r>
    <w:r w:rsidR="000B2006">
      <w:instrText>PwC</w:instrText>
    </w:r>
  </w:p>
  <w:p w:rsidR="000B2006" w:rsidRPr="006650EF" w:rsidRDefault="000B2006" w:rsidP="00731B5D">
    <w:pPr>
      <w:pStyle w:val="Footer-ToC"/>
      <w:rPr>
        <w:noProof/>
        <w:sz w:val="2"/>
      </w:rPr>
    </w:pPr>
    <w:r w:rsidRPr="006650EF">
      <w:rPr>
        <w:sz w:val="2"/>
      </w:rPr>
      <w:instrText xml:space="preserve">" </w:instrText>
    </w:r>
    <w:r w:rsidR="002554AA" w:rsidRPr="006650EF">
      <w:rPr>
        <w:sz w:val="2"/>
      </w:rPr>
      <w:fldChar w:fldCharType="separate"/>
    </w:r>
    <w:r w:rsidRPr="006650EF">
      <w:rPr>
        <w:noProof/>
        <w:sz w:val="2"/>
      </w:rPr>
      <w:instrText>Prospect name</w:instrText>
    </w:r>
  </w:p>
  <w:p w:rsidR="000B2006" w:rsidRPr="006650EF" w:rsidRDefault="000B2006" w:rsidP="00731B5D">
    <w:pPr>
      <w:pStyle w:val="Footer-ToC"/>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rsidR="005B3056" w:rsidRDefault="002554AA" w:rsidP="00731B5D">
    <w:pPr>
      <w:pStyle w:val="Footer-ToC"/>
      <w:rPr>
        <w:noProof/>
      </w:rPr>
    </w:pPr>
    <w:r w:rsidRPr="006650EF">
      <w:rPr>
        <w:sz w:val="2"/>
      </w:rPr>
      <w:fldChar w:fldCharType="end"/>
    </w:r>
    <w:r w:rsidR="000B2006" w:rsidRPr="006650EF">
      <w:rPr>
        <w:sz w:val="2"/>
      </w:rPr>
      <w:instrText xml:space="preserve"> </w:instrText>
    </w:r>
    <w:r w:rsidRPr="006650EF">
      <w:rPr>
        <w:sz w:val="2"/>
      </w:rPr>
      <w:fldChar w:fldCharType="separate"/>
    </w:r>
    <w:r w:rsidR="005B3056">
      <w:rPr>
        <w:noProof/>
      </w:rPr>
      <w:t>Department of Education</w:t>
    </w:r>
  </w:p>
  <w:p w:rsidR="000B2006" w:rsidRPr="006650EF" w:rsidRDefault="005B3056" w:rsidP="00731B5D">
    <w:pPr>
      <w:pStyle w:val="Footer-ToC"/>
      <w:rPr>
        <w:sz w:val="2"/>
      </w:rPr>
    </w:pPr>
    <w:r>
      <w:rPr>
        <w:noProof/>
      </w:rPr>
      <w:t>PwC</w:t>
    </w:r>
    <w:r>
      <w:rPr>
        <w:noProof/>
      </w:rPr>
      <w:ptab w:relativeTo="margin" w:alignment="right" w:leader="none"/>
    </w:r>
    <w:r>
      <w:rPr>
        <w:noProof/>
      </w:rPr>
      <w:t>34</w:t>
    </w:r>
    <w:r w:rsidR="002554AA" w:rsidRPr="006650EF">
      <w:rPr>
        <w:sz w:val="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006" w:rsidRDefault="000B2006" w:rsidP="004343B3">
      <w:pPr>
        <w:pStyle w:val="Separator"/>
      </w:pPr>
      <w:r>
        <w:separator/>
      </w:r>
    </w:p>
    <w:p w:rsidR="000B2006" w:rsidRDefault="000B2006"/>
  </w:footnote>
  <w:footnote w:type="continuationSeparator" w:id="0">
    <w:p w:rsidR="000B2006" w:rsidRDefault="000B2006" w:rsidP="004343B3">
      <w:pPr>
        <w:pStyle w:val="Separator"/>
      </w:pPr>
      <w:r>
        <w:continuationSeparator/>
      </w:r>
    </w:p>
    <w:p w:rsidR="000B2006" w:rsidRDefault="000B2006"/>
  </w:footnote>
  <w:footnote w:type="continuationNotice" w:id="1">
    <w:p w:rsidR="000B2006" w:rsidRPr="00F20B7D" w:rsidRDefault="000B2006" w:rsidP="00F20B7D">
      <w:pPr>
        <w:pStyle w:val="Footer"/>
        <w:rPr>
          <w:sz w:val="2"/>
          <w:szCs w:val="2"/>
        </w:rPr>
      </w:pPr>
    </w:p>
    <w:p w:rsidR="000B2006" w:rsidRDefault="000B2006"/>
  </w:footnote>
  <w:footnote w:id="2">
    <w:p w:rsidR="000B2006" w:rsidRDefault="000B2006" w:rsidP="00FE54C8">
      <w:pPr>
        <w:pStyle w:val="FootnoteText"/>
      </w:pPr>
      <w:r>
        <w:rPr>
          <w:rStyle w:val="FootnoteReference"/>
        </w:rPr>
        <w:footnoteRef/>
      </w:r>
      <w:r>
        <w:t xml:space="preserve"> </w:t>
      </w:r>
      <w:r w:rsidRPr="006673F6">
        <w:rPr>
          <w:i/>
        </w:rPr>
        <w:t>Liability is limited by a scheme approved under Professional Standards Legislation</w:t>
      </w:r>
    </w:p>
  </w:footnote>
  <w:footnote w:id="3">
    <w:p w:rsidR="000B2006" w:rsidRDefault="000B2006">
      <w:pPr>
        <w:pStyle w:val="FootnoteText"/>
      </w:pPr>
      <w:r>
        <w:rPr>
          <w:rStyle w:val="FootnoteReference"/>
        </w:rPr>
        <w:footnoteRef/>
      </w:r>
      <w:r>
        <w:t xml:space="preserve"> Source: Joint Media Release by Minister Garrett and Minister Ellis ‘$300 million boost to support quality early childhood education’, 19 March 2013</w:t>
      </w:r>
    </w:p>
  </w:footnote>
  <w:footnote w:id="4">
    <w:p w:rsidR="000B2006" w:rsidRDefault="000B2006">
      <w:pPr>
        <w:pStyle w:val="FootnoteText"/>
      </w:pPr>
      <w:r w:rsidRPr="00BD5855">
        <w:rPr>
          <w:rStyle w:val="FootnoteReference"/>
        </w:rPr>
        <w:footnoteRef/>
      </w:r>
      <w:r w:rsidRPr="00BD5855">
        <w:t xml:space="preserve"> Source: EYQF Program Guidelines</w:t>
      </w:r>
      <w:r>
        <w:t>, Minister Garrett’s Second Reading Speech 30 May 2013 &amp; Joint Media Release 19 March</w:t>
      </w:r>
    </w:p>
  </w:footnote>
  <w:footnote w:id="5">
    <w:p w:rsidR="000B2006" w:rsidRDefault="000B2006">
      <w:pPr>
        <w:pStyle w:val="FootnoteText"/>
      </w:pPr>
      <w:r w:rsidRPr="00FB7A45">
        <w:rPr>
          <w:rStyle w:val="FootnoteReference"/>
        </w:rPr>
        <w:footnoteRef/>
      </w:r>
      <w:r w:rsidRPr="00FB7A45">
        <w:t xml:space="preserve"> Further, documentation of the advice from the Department to the Government on these matters was not made available to the review team, </w:t>
      </w:r>
      <w:r>
        <w:t xml:space="preserve">as it is </w:t>
      </w:r>
      <w:r w:rsidRPr="00CD4BE9">
        <w:t>contrary to convention to release documents recording the deliberations of a former Minister to a new Minister where there has been a change of government.</w:t>
      </w:r>
      <w:r w:rsidRPr="00FB7A45" w:rsidDel="00776764">
        <w:t xml:space="preserve"> </w:t>
      </w:r>
    </w:p>
  </w:footnote>
  <w:footnote w:id="6">
    <w:p w:rsidR="000B2006" w:rsidRDefault="000B2006">
      <w:pPr>
        <w:pStyle w:val="FootnoteText"/>
      </w:pPr>
      <w:r>
        <w:rPr>
          <w:rStyle w:val="FootnoteReference"/>
        </w:rPr>
        <w:footnoteRef/>
      </w:r>
      <w:r>
        <w:t xml:space="preserve"> As at September 2012 there were 615,630 children attending LDC in Australia and over a million attending across all forms of education and care. </w:t>
      </w:r>
      <w:proofErr w:type="gramStart"/>
      <w:r>
        <w:t>(p. 4, DEEWR submission to the House of Representatives Standing Committee on Education and Employment Inquiry into the EYQF Special Account Bill 2013).</w:t>
      </w:r>
      <w:proofErr w:type="gramEnd"/>
    </w:p>
  </w:footnote>
  <w:footnote w:id="7">
    <w:p w:rsidR="000B2006" w:rsidRDefault="000B2006" w:rsidP="00EA62FD">
      <w:pPr>
        <w:pStyle w:val="FootnoteText"/>
      </w:pPr>
      <w:r>
        <w:rPr>
          <w:rStyle w:val="FootnoteReference"/>
        </w:rPr>
        <w:footnoteRef/>
      </w:r>
      <w:r>
        <w:t xml:space="preserve"> This was in addition to Australian Government grant acquittal processes</w:t>
      </w:r>
    </w:p>
  </w:footnote>
  <w:footnote w:id="8">
    <w:p w:rsidR="000B2006" w:rsidRDefault="000B2006">
      <w:pPr>
        <w:pStyle w:val="FootnoteText"/>
      </w:pPr>
      <w:r>
        <w:rPr>
          <w:rStyle w:val="FootnoteReference"/>
        </w:rPr>
        <w:footnoteRef/>
      </w:r>
      <w:r>
        <w:t xml:space="preserve"> This excluded advice provided by the Department directly to the Government as it is </w:t>
      </w:r>
      <w:r w:rsidRPr="00CD4BE9">
        <w:t>contrary to convention to release documents recording the deliberations of a former Minister to a new Minister where there has been a change of government</w:t>
      </w:r>
    </w:p>
  </w:footnote>
  <w:footnote w:id="9">
    <w:p w:rsidR="000B2006" w:rsidRDefault="000B2006">
      <w:pPr>
        <w:pStyle w:val="FootnoteText"/>
      </w:pPr>
      <w:r>
        <w:rPr>
          <w:rStyle w:val="FootnoteReference"/>
        </w:rPr>
        <w:footnoteRef/>
      </w:r>
      <w:r>
        <w:t xml:space="preserve"> </w:t>
      </w:r>
      <w:proofErr w:type="gramStart"/>
      <w:r>
        <w:t>As reported by the Department, based on number of services.</w:t>
      </w:r>
      <w:proofErr w:type="gramEnd"/>
    </w:p>
  </w:footnote>
  <w:footnote w:id="10">
    <w:p w:rsidR="000B2006" w:rsidRDefault="000B2006">
      <w:pPr>
        <w:pStyle w:val="FootnoteText"/>
      </w:pPr>
      <w:r>
        <w:rPr>
          <w:rStyle w:val="FootnoteReference"/>
        </w:rPr>
        <w:footnoteRef/>
      </w:r>
      <w:r>
        <w:t xml:space="preserve"> ibid</w:t>
      </w:r>
    </w:p>
  </w:footnote>
  <w:footnote w:id="11">
    <w:p w:rsidR="000B2006" w:rsidRDefault="000B2006" w:rsidP="004D0222">
      <w:pPr>
        <w:pStyle w:val="FootnoteText"/>
      </w:pPr>
      <w:r w:rsidRPr="00996929">
        <w:rPr>
          <w:rStyle w:val="FootnoteReference"/>
        </w:rPr>
        <w:footnoteRef/>
      </w:r>
      <w:r w:rsidRPr="00996929">
        <w:t xml:space="preserve"> Productivity Commission, </w:t>
      </w:r>
      <w:r w:rsidRPr="00996929">
        <w:rPr>
          <w:i/>
        </w:rPr>
        <w:t>Early Childhood Development Workforce</w:t>
      </w:r>
      <w:r w:rsidRPr="00996929">
        <w:t>, November 2011</w:t>
      </w:r>
    </w:p>
  </w:footnote>
  <w:footnote w:id="12">
    <w:p w:rsidR="000B2006" w:rsidRDefault="000B2006" w:rsidP="00993BA6">
      <w:pPr>
        <w:pStyle w:val="FootnoteText"/>
      </w:pPr>
      <w:r>
        <w:rPr>
          <w:rStyle w:val="FootnoteReference"/>
        </w:rPr>
        <w:footnoteRef/>
      </w:r>
      <w:r>
        <w:t xml:space="preserve"> As at September 2012 there were 615,630 children attending LDC in Australia and over a million attending across all forms of education and care. </w:t>
      </w:r>
      <w:proofErr w:type="gramStart"/>
      <w:r>
        <w:t>(p. 4, DEEWR submission to the House of Representatives Standing Committee on Education and Employment Inquiry into the EYQF Special Account Bill 2013).</w:t>
      </w:r>
      <w:proofErr w:type="gramEnd"/>
    </w:p>
  </w:footnote>
  <w:footnote w:id="13">
    <w:p w:rsidR="000B2006" w:rsidRDefault="000B2006">
      <w:pPr>
        <w:pStyle w:val="FootnoteText"/>
      </w:pPr>
      <w:r>
        <w:rPr>
          <w:rStyle w:val="FootnoteReference"/>
        </w:rPr>
        <w:footnoteRef/>
      </w:r>
      <w:r>
        <w:t xml:space="preserve"> Proof Committee Hansard, Senate Education, Employment and Workplace Relations Legislation Committee, Early Years Quality Fund Special Account Bill 2013, Friday 14 June 2013, Page 2</w:t>
      </w:r>
    </w:p>
  </w:footnote>
  <w:footnote w:id="14">
    <w:p w:rsidR="000B2006" w:rsidRDefault="000B2006">
      <w:pPr>
        <w:pStyle w:val="FootnoteText"/>
      </w:pPr>
      <w:r>
        <w:rPr>
          <w:rStyle w:val="FootnoteReference"/>
        </w:rPr>
        <w:footnoteRef/>
      </w:r>
      <w:r>
        <w:t xml:space="preserve"> Section 7 shows that the outcome of the EYQF application process would benefit only 30 per cent of all LDC staff (qualified and unqualified).</w:t>
      </w:r>
    </w:p>
  </w:footnote>
  <w:footnote w:id="15">
    <w:p w:rsidR="000B2006" w:rsidRPr="005A2749" w:rsidRDefault="000B2006">
      <w:pPr>
        <w:pStyle w:val="FootnoteText"/>
      </w:pPr>
      <w:r>
        <w:rPr>
          <w:rStyle w:val="FootnoteReference"/>
        </w:rPr>
        <w:footnoteRef/>
      </w:r>
      <w:r>
        <w:t xml:space="preserve"> Minister Garrett media release ‘</w:t>
      </w:r>
      <w:r>
        <w:rPr>
          <w:i/>
        </w:rPr>
        <w:t>Early years quality fund advisory board appointed’</w:t>
      </w:r>
      <w:r>
        <w:t xml:space="preserve"> 24 May 2013</w:t>
      </w:r>
    </w:p>
  </w:footnote>
  <w:footnote w:id="16">
    <w:p w:rsidR="000B2006" w:rsidRDefault="000B2006" w:rsidP="00513D6C">
      <w:pPr>
        <w:pStyle w:val="FootnoteText"/>
      </w:pPr>
      <w:r>
        <w:rPr>
          <w:rStyle w:val="FootnoteReference"/>
        </w:rPr>
        <w:footnoteRef/>
      </w:r>
      <w:r>
        <w:t xml:space="preserve"> </w:t>
      </w:r>
      <w:proofErr w:type="gramStart"/>
      <w:r>
        <w:t>As reported by the Department, based on number of services.</w:t>
      </w:r>
      <w:proofErr w:type="gramEnd"/>
    </w:p>
  </w:footnote>
  <w:footnote w:id="17">
    <w:p w:rsidR="000B2006" w:rsidRDefault="000B2006" w:rsidP="00513D6C">
      <w:pPr>
        <w:pStyle w:val="FootnoteText"/>
      </w:pPr>
      <w:r>
        <w:rPr>
          <w:rStyle w:val="FootnoteReference"/>
        </w:rPr>
        <w:footnoteRef/>
      </w:r>
      <w:r>
        <w:t xml:space="preserve"> ibid</w:t>
      </w:r>
    </w:p>
  </w:footnote>
  <w:footnote w:id="18">
    <w:p w:rsidR="000B2006" w:rsidRDefault="000B2006">
      <w:pPr>
        <w:pStyle w:val="FootnoteText"/>
      </w:pPr>
      <w:r>
        <w:rPr>
          <w:rStyle w:val="FootnoteReference"/>
        </w:rPr>
        <w:footnoteRef/>
      </w:r>
      <w:r>
        <w:t xml:space="preserve"> United Voice, Union News, The state magazine for United Voice Queensland members (20 March 2013)</w:t>
      </w:r>
    </w:p>
  </w:footnote>
  <w:footnote w:id="19">
    <w:p w:rsidR="000B2006" w:rsidRDefault="000B2006">
      <w:pPr>
        <w:pStyle w:val="FootnoteText"/>
      </w:pPr>
      <w:r>
        <w:rPr>
          <w:rStyle w:val="FootnoteReference"/>
        </w:rPr>
        <w:footnoteRef/>
      </w:r>
      <w:r>
        <w:t xml:space="preserve"> Proof Committee Hansard, Senate Education, Employment and Workplace Relations Legislation Committee, Early Years Quality Fund Special Account Bill 2013, Friday 14 June 2013, Page 2</w:t>
      </w:r>
    </w:p>
  </w:footnote>
  <w:footnote w:id="20">
    <w:p w:rsidR="000B2006" w:rsidRPr="002B6B83" w:rsidRDefault="000B2006" w:rsidP="00EC6C74">
      <w:pPr>
        <w:pStyle w:val="FootnoteText"/>
      </w:pPr>
      <w:r w:rsidRPr="002B6B83">
        <w:rPr>
          <w:rStyle w:val="FootnoteReference"/>
        </w:rPr>
        <w:footnoteRef/>
      </w:r>
      <w:r w:rsidRPr="002B6B83">
        <w:t xml:space="preserve"> Source: EYQF program guidelines</w:t>
      </w:r>
    </w:p>
  </w:footnote>
  <w:footnote w:id="21">
    <w:p w:rsidR="000B2006" w:rsidRDefault="000B2006" w:rsidP="00A3748E">
      <w:pPr>
        <w:pStyle w:val="FootnoteText"/>
      </w:pPr>
      <w:r w:rsidRPr="002B6B83">
        <w:rPr>
          <w:rStyle w:val="FootnoteReference"/>
        </w:rPr>
        <w:footnoteRef/>
      </w:r>
      <w:r w:rsidRPr="002B6B83">
        <w:t xml:space="preserve"> Source</w:t>
      </w:r>
      <w:r>
        <w:t>: Commonwealth Grant Guidelines, Second Edition, June 2013</w:t>
      </w:r>
    </w:p>
  </w:footnote>
  <w:footnote w:id="22">
    <w:p w:rsidR="000B2006" w:rsidRDefault="000B2006" w:rsidP="00EC6C74">
      <w:pPr>
        <w:pStyle w:val="FootnoteText"/>
      </w:pPr>
      <w:r>
        <w:rPr>
          <w:rStyle w:val="FootnoteReference"/>
        </w:rPr>
        <w:footnoteRef/>
      </w:r>
      <w:r>
        <w:t xml:space="preserve"> </w:t>
      </w:r>
      <w:r>
        <w:tab/>
        <w:t>Consultation with assessors from the Department</w:t>
      </w:r>
    </w:p>
  </w:footnote>
  <w:footnote w:id="23">
    <w:p w:rsidR="000B2006" w:rsidRDefault="000B2006" w:rsidP="00EC6C74">
      <w:pPr>
        <w:pStyle w:val="FootnoteText"/>
      </w:pPr>
      <w:r>
        <w:rPr>
          <w:rStyle w:val="FootnoteReference"/>
        </w:rPr>
        <w:footnoteRef/>
      </w:r>
      <w:r>
        <w:t xml:space="preserve"> </w:t>
      </w:r>
      <w:r>
        <w:tab/>
        <w:t>ibid</w:t>
      </w:r>
    </w:p>
  </w:footnote>
  <w:footnote w:id="24">
    <w:p w:rsidR="000B2006" w:rsidRDefault="000B2006" w:rsidP="00B27D75">
      <w:pPr>
        <w:pStyle w:val="FootnoteText"/>
      </w:pPr>
      <w:r>
        <w:rPr>
          <w:rStyle w:val="FootnoteReference"/>
        </w:rPr>
        <w:footnoteRef/>
      </w:r>
      <w:r>
        <w:t xml:space="preserve"> </w:t>
      </w:r>
      <w:r>
        <w:tab/>
        <w:t xml:space="preserve">Funding for each Goodstart service </w:t>
      </w:r>
      <w:r w:rsidRPr="00D379DF">
        <w:t xml:space="preserve">was not available at the time of this Review and was estimated based on the information provided in </w:t>
      </w:r>
      <w:proofErr w:type="spellStart"/>
      <w:r w:rsidRPr="00D379DF">
        <w:t>Goodstart’s</w:t>
      </w:r>
      <w:proofErr w:type="spellEnd"/>
      <w:r w:rsidRPr="00D379DF">
        <w:t xml:space="preserve"> application.</w:t>
      </w:r>
    </w:p>
  </w:footnote>
  <w:footnote w:id="25">
    <w:p w:rsidR="000B2006" w:rsidRDefault="000B2006" w:rsidP="00C06E3D">
      <w:pPr>
        <w:pStyle w:val="FootnoteText"/>
      </w:pPr>
      <w:r>
        <w:rPr>
          <w:rStyle w:val="FootnoteReference"/>
        </w:rPr>
        <w:footnoteRef/>
      </w:r>
      <w:r>
        <w:t xml:space="preserve"> Proof Committee Hansard, Senate Education, Employment and Workplace Relations Legislation Committee, Early Years Quality Fund Special Account Bill 2013, Friday 14 June 2013, Page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Pr="008F0566" w:rsidRDefault="005B3056" w:rsidP="008F0566">
    <w:pPr>
      <w:pStyle w:val="Header"/>
    </w:pPr>
    <w:r>
      <w:rPr>
        <w:noProof/>
        <w:snapToGrid/>
        <w:lang w:eastAsia="en-AU"/>
      </w:rPr>
      <w:pict>
        <v:group id="EvenGrid" o:spid="_x0000_s2238" alt="Grid" style="position:absolute;margin-left:0;margin-top:0;width:544.3pt;height:841.9pt;z-index:252109824;mso-position-horizontal-relative:page;mso-position-vertical-relative:page" coordsize="108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">
          <v:group id="Group 2851" o:spid="_x0000_s2274" style="position:absolute;left:1021;top:567;width:9251;height:15704" coordorigin="1021,567" coordsize="925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type id="_x0000_t32" coordsize="21600,21600" o:spt="32" o:oned="t" path="m,l21600,21600e" filled="f">
              <v:path arrowok="t" fillok="f" o:connecttype="none"/>
              <o:lock v:ext="edit" shapetype="t"/>
            </v:shapetype>
            <v:shape id="AutoShape 2852" o:spid="_x0000_s2286" type="#_x0000_t32" style="position:absolute;left:102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CW8MAAADbAAAADwAAAGRycy9kb3ducmV2LnhtbESPT2vCQBTE74LfYXkFL1I3KmhJXcW/&#10;4Klq2t4f2Wc2NPs2ZNeYfvtuQfA4zMxvmMWqs5VoqfGlYwXjUQKCOHe65ELB1+fh9Q2ED8gaK8ek&#10;4Jc8rJb93gJT7e58oTYLhYgQ9ikqMCHUqZQ+N2TRj1xNHL2rayyGKJtC6gbvEW4rOUmSmbRYclww&#10;WNPWUP6T3ayCc2vNOXzvb5OP42aY0O40y66tUoOXbv0OIlAXnuFH+6gVzKfw/yX+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wlvDAAAA2wAAAA8AAAAAAAAAAAAA&#10;AAAAoQIAAGRycy9kb3ducmV2LnhtbFBLBQYAAAAABAAEAPkAAACRAwAAAAA=&#10;" strokecolor="#002060"/>
            <v:shape id="AutoShape 2853" o:spid="_x0000_s2285" type="#_x0000_t32" style="position:absolute;left:186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9T98UAAADbAAAADwAAAGRycy9kb3ducmV2LnhtbESPQWvCQBSE74L/YXlCb3UTKa2kriKi&#10;UNpLjZG2t0f2mQSzb8PuVmN/fVcQPA4z8w0zW/SmFSdyvrGsIB0nIIhLqxuuFBS7zeMUhA/IGlvL&#10;pOBCHhbz4WCGmbZn3tIpD5WIEPYZKqhD6DIpfVmTQT+2HXH0DtYZDFG6SmqH5wg3rZwkybM02HBc&#10;qLGjVU3lMf81Cj7ovUgvX3b9893+5Z+H1Qb3LlXqYdQvX0EE6sM9fGu/aQUv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49T98UAAADbAAAADwAAAAAAAAAA&#10;AAAAAAChAgAAZHJzL2Rvd25yZXYueG1sUEsFBgAAAAAEAAQA+QAAAJMDAAAAAA==&#10;" strokecolor="#00b0f0"/>
            <v:shape id="AutoShape 2854" o:spid="_x0000_s2284" type="#_x0000_t32" style="position:absolute;left:2703;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P2bMUAAADbAAAADwAAAGRycy9kb3ducmV2LnhtbESPQWvCQBSE74L/YXlCb3UToa2kriKi&#10;UNpLjZG2t0f2mQSzb8PuVmN/fVcQPA4z8w0zW/SmFSdyvrGsIB0nIIhLqxuuFBS7zeMUhA/IGlvL&#10;pOBCHhbz4WCGmbZn3tIpD5WIEPYZKqhD6DIpfVmTQT+2HXH0DtYZDFG6SmqH5wg3rZwkybM02HBc&#10;qLGjVU3lMf81Cj7ovUgvX3b9893+5Z+H1Qb3LlXqYdQvX0EE6sM9fGu/aQUv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P2bMUAAADbAAAADwAAAAAAAAAA&#10;AAAAAAChAgAAZHJzL2Rvd25yZXYueG1sUEsFBgAAAAAEAAQA+QAAAJMDAAAAAA==&#10;" strokecolor="#00b0f0"/>
            <v:shape id="AutoShape 2855" o:spid="_x0000_s2283" type="#_x0000_t32" style="position:absolute;left:3544;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hhw8MAAADbAAAADwAAAGRycy9kb3ducmV2LnhtbESPQWvCQBSE70L/w/IKvYhu6iGV6Cpq&#10;K3iyNur9kX1mg9m3IbvG+O/dQqHHYWa+YebL3taio9ZXjhW8jxMQxIXTFZcKTsftaArCB2SNtWNS&#10;8CAPy8XLYI6Zdnf+oS4PpYgQ9hkqMCE0mZS+MGTRj11DHL2Lay2GKNtS6hbvEW5rOUmSVFqsOC4Y&#10;bGhjqLjmN6vg0FlzCOev22S/Ww8T+vxO80un1Ntrv5qBCNSH//Bfe6cVfKTw+yX+A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YcPDAAAA2wAAAA8AAAAAAAAAAAAA&#10;AAAAoQIAAGRycy9kb3ducmV2LnhtbFBLBQYAAAAABAAEAPkAAACRAwAAAAA=&#10;" strokecolor="#002060"/>
            <v:shape id="AutoShape 2856" o:spid="_x0000_s2282" type="#_x0000_t32" style="position:absolute;left:438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3NgMUAAADbAAAADwAAAGRycy9kb3ducmV2LnhtbESPT2sCMRTE70K/Q3iF3jS7HqpsjUuR&#10;CmIv7Wppe3ts3v6hm5clibr66U1B8DjMzG+YRT6YThzJ+daygnSSgCAurW65VrDfrcdzED4ga+ws&#10;k4IzeciXD6MFZtqe+JOORahFhLDPUEETQp9J6cuGDPqJ7YmjV1lnMETpaqkdniLcdHKaJM/SYMtx&#10;ocGeVg2Vf8XBKHin7T49f9u335/uUnxUqzV+uVSpp8fh9QVEoCHcw7f2RiuYzeD/S/wB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13NgMUAAADbAAAADwAAAAAAAAAA&#10;AAAAAAChAgAAZHJzL2Rvd25yZXYueG1sUEsFBgAAAAAEAAQA+QAAAJMDAAAAAA==&#10;" strokecolor="#00b0f0"/>
            <v:shape id="AutoShape 2857" o:spid="_x0000_s2281" type="#_x0000_t32" style="position:absolute;left:522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JZ8sEAAADbAAAADwAAAGRycy9kb3ducmV2LnhtbERPz2vCMBS+D/wfwhO8zbQedFSjiCiI&#10;u2ydot4ezbMtNi8liVr965fDYMeP7/ds0ZlG3Mn52rKCdJiAIC6srrlUsP/ZvH+A8AFZY2OZFDzJ&#10;w2Lee5thpu2Dv+meh1LEEPYZKqhCaDMpfVGRQT+0LXHkLtYZDBG6UmqHjxhuGjlKkrE0WHNsqLCl&#10;VUXFNb8ZBZ+026fPo12fT80r/7qsNnhwqVKDfrecggjUhX/xn3urFUzi2Pgl/gA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wlnywQAAANsAAAAPAAAAAAAAAAAAAAAA&#10;AKECAABkcnMvZG93bnJldi54bWxQSwUGAAAAAAQABAD5AAAAjwMAAAAA&#10;" strokecolor="#00b0f0"/>
            <v:shape id="AutoShape 2858" o:spid="_x0000_s2280" type="#_x0000_t32" style="position:absolute;left:6067;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f1scQAAADbAAAADwAAAGRycy9kb3ducmV2LnhtbESPS2/CMBCE70j8B2srcUHFKQegKQZR&#10;HhInHml7X8VLHDVeR7EJ4d/XlZA4jmbmG8182dlKtNT40rGCt1ECgjh3uuRCwffX7nUGwgdkjZVj&#10;UnAnD8tFvzfHVLsbn6nNQiEihH2KCkwIdSqlzw1Z9CNXE0fv4hqLIcqmkLrBW4TbSo6TZCItlhwX&#10;DNa0NpT/Zler4NRacwo/2+v4sP8cJrQ5TrJLq9TgpVt9gAjUhWf40d5rBdN3+P8Sf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J/WxxAAAANsAAAAPAAAAAAAAAAAA&#10;AAAAAKECAABkcnMvZG93bnJldi54bWxQSwUGAAAAAAQABAD5AAAAkgMAAAAA&#10;" strokecolor="#002060"/>
            <v:shape id="AutoShape 2859" o:spid="_x0000_s2279" type="#_x0000_t32" style="position:absolute;left:6908;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El08EAAADbAAAADwAAAGRycy9kb3ducmV2LnhtbERPTYvCMBC9C/sfwix407R7WKQaRURh&#10;cS9uVdTb0IxtsZmUJGrdX28OgsfH+57MOtOIGzlfW1aQDhMQxIXVNZcKdtvVYATCB2SNjWVS8CAP&#10;s+lHb4KZtnf+o1seShFD2GeooAqhzaT0RUUG/dC2xJE7W2cwROhKqR3eY7hp5FeSfEuDNceGClta&#10;VFRc8qtR8EvrXfo42OXp2Pznm/NihXuXKtX/7OZjEIG68Ba/3D9awSiuj1/iD5D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YSXTwQAAANsAAAAPAAAAAAAAAAAAAAAA&#10;AKECAABkcnMvZG93bnJldi54bWxQSwUGAAAAAAQABAD5AAAAjwMAAAAA&#10;" strokecolor="#00b0f0"/>
            <v:shape id="AutoShape 2860" o:spid="_x0000_s2278" type="#_x0000_t32" style="position:absolute;left:7749;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2ASMQAAADbAAAADwAAAGRycy9kb3ducmV2LnhtbESPQWvCQBSE74L/YXmCN7NJDyLRVYoo&#10;lHqxqaK9PbLPJJh9G3a3Gvvru4WCx2FmvmEWq9604kbON5YVZEkKgri0uuFKweFzO5mB8AFZY2uZ&#10;FDzIw2o5HCww1/bOH3QrQiUihH2OCuoQulxKX9Zk0Ce2I47exTqDIUpXSe3wHuGmlS9pOpUGG44L&#10;NXa0rqm8Ft9GwY7eD9njZDdf5/an2F/WWzy6TKnxqH+dgwjUh2f4v/2mFcwy+PsSf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LYBIxAAAANsAAAAPAAAAAAAAAAAA&#10;AAAAAKECAABkcnMvZG93bnJldi54bWxQSwUGAAAAAAQABAD5AAAAkgMAAAAA&#10;" strokecolor="#00b0f0"/>
            <v:shape id="AutoShape 2861" o:spid="_x0000_s2277" type="#_x0000_t32" style="position:absolute;left:8590;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YX58MAAADbAAAADwAAAGRycy9kb3ducmV2LnhtbESPQWvCQBSE7wX/w/IEL6VumoNIdBOq&#10;VfDU2tTeH9lnNjT7NmTXGP99tyB4HGbmG2ZdjLYVA/W+cazgdZ6AIK6cbrhWcPrevyxB+ICssXVM&#10;Cm7kocgnT2vMtLvyFw1lqEWEsM9QgQmhy6T0lSGLfu464uidXW8xRNnXUvd4jXDbyjRJFtJiw3HB&#10;YEdbQ9VvebEKjoM1x/Czu6Qfh81zQu+fi/I8KDWbjm8rEIHG8Ajf2wetYJnC/5f4A2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WF+fDAAAA2wAAAA8AAAAAAAAAAAAA&#10;AAAAoQIAAGRycy9kb3ducmV2LnhtbFBLBQYAAAAABAAEAPkAAACRAwAAAAA=&#10;" strokecolor="#002060"/>
            <v:shape id="AutoShape 2862" o:spid="_x0000_s2276" type="#_x0000_t32" style="position:absolute;left:943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O7pMQAAADbAAAADwAAAGRycy9kb3ducmV2LnhtbESPQWvCQBSE70L/w/IK3nQTBZHUVYpU&#10;EL3YaGl7e2SfSWj2bdhdNfrru4LgcZiZb5jZojONOJPztWUF6TABQVxYXXOp4LBfDaYgfEDW2Fgm&#10;BVfysJi/9GaYaXvhTzrnoRQRwj5DBVUIbSalLyoy6Ie2JY7e0TqDIUpXSu3wEuGmkaMkmUiDNceF&#10;CltaVlT85SejYEubQ3r9th+/P80t3x2XK/xyqVL91+79DUSgLjzDj/ZaK5iO4f4l/gA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s7ukxAAAANsAAAAPAAAAAAAAAAAA&#10;AAAAAKECAABkcnMvZG93bnJldi54bWxQSwUGAAAAAAQABAD5AAAAkgMAAAAA&#10;" strokecolor="#00b0f0"/>
            <v:shape id="AutoShape 2863" o:spid="_x0000_s2275" type="#_x0000_t32" style="position:absolute;left:1027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oj0MQAAADbAAAADwAAAGRycy9kb3ducmV2LnhtbESPQWvCQBSE70L/w/IK3nQTEZHUVYpU&#10;EL3YaGl7e2SfSWj2bdhdNfrru4LgcZiZb5jZojONOJPztWUF6TABQVxYXXOp4LBfDaYgfEDW2Fgm&#10;BVfysJi/9GaYaXvhTzrnoRQRwj5DBVUIbSalLyoy6Ie2JY7e0TqDIUpXSu3wEuGmkaMkmUiDNceF&#10;CltaVlT85SejYEubQ3r9th+/P80t3x2XK/xyqVL91+79DUSgLjzDj/ZaK5iO4f4l/gA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WiPQxAAAANsAAAAPAAAAAAAAAAAA&#10;AAAAAKECAABkcnMvZG93bnJldi54bWxQSwUGAAAAAAQABAD5AAAAkgMAAAAA&#10;" strokecolor="#00b0f0"/>
          </v:group>
          <v:shape id="AutoShape 2864" o:spid="_x0000_s2273" type="#_x0000_t32" style="position:absolute;width:0;height:16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i1SsUAAADbAAAADwAAAGRycy9kb3ducmV2LnhtbESPQWvCQBSE70L/w/IK3nRTQYkxG2kr&#10;RS8VqoJ4e2SfSTD7NmS3Seyv7xaEHoeZ+YZJ14OpRUetqywreJlGIIhzqysuFJyOH5MYhPPIGmvL&#10;pOBODtbZ0yjFRNuev6g7+EIECLsEFZTeN4mULi/JoJvahjh4V9sa9EG2hdQt9gFuajmLooU0WHFY&#10;KLGh95Ly2+HbKJjHn0N//Nks6/Nbt9z7ZqsvW1Zq/Dy8rkB4Gvx/+NHeaQXxHP6+hB8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i1SsUAAADbAAAADwAAAAAAAAAA&#10;AAAAAAChAgAAZHJzL2Rvd25yZXYueG1sUEsFBgAAAAAEAAQA+QAAAJMDAAAAAA==&#10;" strokecolor="#f6f"/>
          <v:shape id="AutoShape 2865" o:spid="_x0000_s2272" type="#_x0000_t32" style="position:absolute;left:794;width:0;height:16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orPcUAAADbAAAADwAAAGRycy9kb3ducmV2LnhtbESPT2vCQBTE7wW/w/IEb3XTghJjNtI/&#10;FL200CiIt0f2mQSzb0N2m0Q/vVso9DjMzG+YdDOaRvTUudqygqd5BIK4sLrmUsFh//EYg3AeWWNj&#10;mRRcycEmmzykmGg78Df1uS9FgLBLUEHlfZtI6YqKDLq5bYmDd7adQR9kV0rd4RDgppHPUbSUBmsO&#10;CxW29FZRccl/jIJF/DkO+9v7qjm+9qsv3271actKzabjyxqEp9H/h//aO60gXsLvl/ADZH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orPcUAAADbAAAADwAAAAAAAAAA&#10;AAAAAAChAgAAZHJzL2Rvd25yZXYueG1sUEsFBgAAAAAEAAQA+QAAAJMDAAAAAA==&#10;" strokecolor="#f6f"/>
          <v:group id="Group 2866" o:spid="_x0000_s2252" style="position:absolute;left:1021;top:567;width:9865;height:15706" coordorigin="907,567" coordsize="9865,1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AutoShape 2867" o:spid="_x0000_s2271" type="#_x0000_t32" style="position:absolute;left:907;top:16273;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4gDcEAAADbAAAADwAAAGRycy9kb3ducmV2LnhtbERPz2vCMBS+D/Y/hDfwMtZUD0U6o+im&#10;0NOm1d0fzWtT1ryUJtb635vDYMeP7/dqM9lOjDT41rGCeZKCIK6cbrlRcDkf3pYgfEDW2DkmBXfy&#10;sFk/P60w1+7GJxrL0IgYwj5HBSaEPpfSV4Ys+sT1xJGr3WAxRDg0Ug94i+G2k4s0zaTFlmODwZ4+&#10;DFW/5dUqOI7WHMPP/rr4KnavKX1+Z2U9KjV7mbbvIAJN4V/85y60gmUcG7/EHy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viANwQAAANsAAAAPAAAAAAAAAAAAAAAA&#10;AKECAABkcnMvZG93bnJldi54bWxQSwUGAAAAAAQABAD5AAAAjwMAAAAA&#10;" strokecolor="#002060"/>
            <v:shape id="AutoShape 2868" o:spid="_x0000_s2270" type="#_x0000_t32" style="position:absolute;left:907;top:1452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uMTsUAAADbAAAADwAAAGRycy9kb3ducmV2LnhtbESPT2sCMRTE70K/Q3iF3jS7HopujUuR&#10;CmIv7Wppe3ts3v6hm5clibr66U1B8DjMzG+YRT6YThzJ+daygnSSgCAurW65VrDfrcczED4ga+ws&#10;k4IzeciXD6MFZtqe+JOORahFhLDPUEETQp9J6cuGDPqJ7YmjV1lnMETpaqkdniLcdHKaJM/SYMtx&#10;ocGeVg2Vf8XBKHin7T49f9u335/uUnxUqzV+uVSpp8fh9QVEoCHcw7f2RiuYzeH/S/wB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uMTsUAAADbAAAADwAAAAAAAAAA&#10;AAAAAAChAgAAZHJzL2Rvd25yZXYueG1sUEsFBgAAAAAEAAQA+QAAAJMDAAAAAA==&#10;" strokecolor="#00b0f0"/>
            <v:shape id="AutoShape 2869" o:spid="_x0000_s2269" type="#_x0000_t32" style="position:absolute;left:907;top:56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G61sEAAADbAAAADwAAAGRycy9kb3ducmV2LnhtbERPu27CMBTdK/EP1kXqUhWnGVAJGFRo&#10;kTK1EMp+FV/iqPF1FDsP/r4eKnU8Ou/NbrKNGKjztWMFL4sEBHHpdM2Vgu/L8fkVhA/IGhvHpOBO&#10;Hnbb2cMGM+1GPtNQhErEEPYZKjAhtJmUvjRk0S9cSxy5m+sshgi7SuoOxxhuG5kmyVJarDk2GGzp&#10;YKj8KXqr4DRYcwrXjz79zPdPCb1/LYvboNTjfHpbgwg0hX/xnzvXClZxffwSf4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EbrWwQAAANsAAAAPAAAAAAAAAAAAAAAA&#10;AKECAABkcnMvZG93bnJldi54bWxQSwUGAAAAAAQABAD5AAAAjwMAAAAA&#10;" strokecolor="#002060"/>
            <v:shape id="AutoShape 2870" o:spid="_x0000_s2268" type="#_x0000_t32" style="position:absolute;left:907;top:1439;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WlcUAAADbAAAADwAAAGRycy9kb3ducmV2LnhtbESPT2sCMRTE70K/Q3gFb5rdHopujYtI&#10;hVIvdmup3h6bt39w87Ikqa799E1B8DjMzG+YRT6YTpzJ+daygnSagCAurW65VrD/3ExmIHxA1thZ&#10;JgVX8pAvH0YLzLS98Aedi1CLCGGfoYImhD6T0pcNGfRT2xNHr7LOYIjS1VI7vES46eRTkjxLgy3H&#10;hQZ7WjdUnoofo2BL7/v0+m1fj4fut9hV6w1+uVSp8eOwegERaAj38K39phXMU/j/En+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WlcUAAADbAAAADwAAAAAAAAAA&#10;AAAAAAChAgAAZHJzL2Rvd25yZXYueG1sUEsFBgAAAAAEAAQA+QAAAJMDAAAAAA==&#10;" strokecolor="#00b0f0"/>
            <v:shape id="AutoShape 2871" o:spid="_x0000_s2267" type="#_x0000_t32" style="position:absolute;left:907;top:231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I4sQAAADbAAAADwAAAGRycy9kb3ducmV2LnhtbESPQWvCQBSE74L/YXmCN93Eg2jqKkUU&#10;il5sqtjeHtlnEsy+Dbtbjf313YLQ4zAz3zCLVWcacSPna8sK0nECgriwuuZSwfFjO5qB8AFZY2OZ&#10;FDzIw2rZ7y0w0/bO73TLQykihH2GCqoQ2kxKX1Rk0I9tSxy9i3UGQ5SulNrhPcJNIydJMpUGa44L&#10;Fba0rqi45t9GwZ52x/Rxtpuvz+YnP1zWWzy5VKnhoHt9ARGoC//hZ/tNK5hP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JojixAAAANsAAAAPAAAAAAAAAAAA&#10;AAAAAKECAABkcnMvZG93bnJldi54bWxQSwUGAAAAAAQABAD5AAAAkgMAAAAA&#10;" strokecolor="#00b0f0"/>
            <v:shape id="AutoShape 2872" o:spid="_x0000_s2266" type="#_x0000_t32" style="position:absolute;left:907;top:3184;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otecUAAADbAAAADwAAAGRycy9kb3ducmV2LnhtbESPQWvCQBSE74L/YXlCb3UTC6WmriKi&#10;UNpLjZG2t0f2mQSzb8PuVmN/fVcQPA4z8w0zW/SmFSdyvrGsIB0nIIhLqxuuFBS7zeMLCB+QNbaW&#10;ScGFPCzmw8EMM23PvKVTHioRIewzVFCH0GVS+rImg35sO+LoHawzGKJ0ldQOzxFuWjlJkmdpsOG4&#10;UGNHq5rKY/5rFHzQe5Fevuz657v9yz8Pqw3uXarUw6hfvoII1Id7+NZ+0wqm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otecUAAADbAAAADwAAAAAAAAAA&#10;AAAAAAChAgAAZHJzL2Rvd25yZXYueG1sUEsFBgAAAAAEAAQA+QAAAJMDAAAAAA==&#10;" strokecolor="#00b0f0"/>
            <v:shape id="AutoShape 2873" o:spid="_x0000_s2265" type="#_x0000_t32" style="position:absolute;left:907;top:405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O1DcUAAADbAAAADwAAAGRycy9kb3ducmV2LnhtbESPQWvCQBSE74L/YXlCb3UTKaWmriKi&#10;UNpLjZG2t0f2mQSzb8PuVmN/fVcQPA4z8w0zW/SmFSdyvrGsIB0nIIhLqxuuFBS7zeMLCB+QNbaW&#10;ScGFPCzmw8EMM23PvKVTHioRIewzVFCH0GVS+rImg35sO+LoHawzGKJ0ldQOzxFuWjlJkmdpsOG4&#10;UGNHq5rKY/5rFHzQe5Fevuz657v9yz8Pqw3uXarUw6hfvoII1Id7+NZ+0wqm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O1DcUAAADbAAAADwAAAAAAAAAA&#10;AAAAAAChAgAAZHJzL2Rvd25yZXYueG1sUEsFBgAAAAAEAAQA+QAAAJMDAAAAAA==&#10;" strokecolor="#00b0f0"/>
            <v:shape id="AutoShape 2874" o:spid="_x0000_s2264" type="#_x0000_t32" style="position:absolute;left:907;top:4929;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8QlsUAAADbAAAADwAAAGRycy9kb3ducmV2LnhtbESPQWvCQBSE74L/YXlCb3UToaWmriKi&#10;UNpLjZG2t0f2mQSzb8PuVmN/fVcQPA4z8w0zW/SmFSdyvrGsIB0nIIhLqxuuFBS7zeMLCB+QNbaW&#10;ScGFPCzmw8EMM23PvKVTHioRIewzVFCH0GVS+rImg35sO+LoHawzGKJ0ldQOzxFuWjlJkmdpsOG4&#10;UGNHq5rKY/5rFHzQe5Fevuz657v9yz8Pqw3uXarUw6hfvoII1Id7+NZ+0wqm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8QlsUAAADbAAAADwAAAAAAAAAA&#10;AAAAAAChAgAAZHJzL2Rvd25yZXYueG1sUEsFBgAAAAAEAAQA+QAAAJMDAAAAAA==&#10;" strokecolor="#00b0f0"/>
            <v:shape id="AutoShape 2875" o:spid="_x0000_s2263" type="#_x0000_t32" style="position:absolute;left:907;top:580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2O4cUAAADbAAAADwAAAGRycy9kb3ducmV2LnhtbESPT2sCMRTE7wW/Q3hCbzW7PUi7GhcR&#10;hdJe6lZRb4/N2z+4eVmSVNd++kYo9DjMzG+YeT6YTlzI+daygnSSgCAurW65VrD72jy9gPABWWNn&#10;mRTcyEO+GD3MMdP2ylu6FKEWEcI+QwVNCH0mpS8bMugntieOXmWdwRClq6V2eI1w08nnJJlKgy3H&#10;hQZ7WjVUnotvo+CD3nfp7WDXp2P3U3xWqw3uXarU43hYzkAEGsJ/+K/9phW8TuH+Jf4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2O4cUAAADbAAAADwAAAAAAAAAA&#10;AAAAAAChAgAAZHJzL2Rvd25yZXYueG1sUEsFBgAAAAAEAAQA+QAAAJMDAAAAAA==&#10;" strokecolor="#00b0f0"/>
            <v:shape id="AutoShape 2876" o:spid="_x0000_s2262" type="#_x0000_t32" style="position:absolute;left:907;top:6674;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EresUAAADbAAAADwAAAGRycy9kb3ducmV2LnhtbESPQWvCQBSE74L/YXlCb3UTD21NXUVE&#10;obSXGiNtb4/sMwlm34bdrcb++q4geBxm5htmtuhNK07kfGNZQTpOQBCXVjdcKSh2m8cXED4ga2wt&#10;k4ILeVjMh4MZZtqeeUunPFQiQthnqKAOocuk9GVNBv3YdsTRO1hnMETpKqkdniPctHKSJE/SYMNx&#10;ocaOVjWVx/zXKPig9yK9fNn1z3f7l38eVhvcu1Sph1G/fAURqA/38K39phVMn+H6Jf4A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EresUAAADbAAAADwAAAAAAAAAA&#10;AAAAAAChAgAAZHJzL2Rvd25yZXYueG1sUEsFBgAAAAAEAAQA+QAAAJMDAAAAAA==&#10;" strokecolor="#00b0f0"/>
            <v:shape id="AutoShape 2877" o:spid="_x0000_s2261" type="#_x0000_t32" style="position:absolute;left:907;top:754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6/CMEAAADbAAAADwAAAGRycy9kb3ducmV2LnhtbERPz2vCMBS+D/wfwhO8zbQexFWjiCiI&#10;u2ydot4ezbMtNi8liVr965fDYMeP7/ds0ZlG3Mn52rKCdJiAIC6srrlUsP/ZvE9A+ICssbFMCp7k&#10;YTHvvc0w0/bB33TPQyliCPsMFVQhtJmUvqjIoB/aljhyF+sMhghdKbXDRww3jRwlyVgarDk2VNjS&#10;qqLimt+Mgk/a7dPn0a7Pp+aVf11WGzy4VKlBv1tOQQTqwr/4z73VCj7i2Pgl/gA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zr8IwQAAANsAAAAPAAAAAAAAAAAAAAAA&#10;AKECAABkcnMvZG93bnJldi54bWxQSwUGAAAAAAQABAD5AAAAjwMAAAAA&#10;" strokecolor="#00b0f0"/>
            <v:shape id="AutoShape 2878" o:spid="_x0000_s2260" type="#_x0000_t32" style="position:absolute;left:907;top:842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Iak8QAAADbAAAADwAAAGRycy9kb3ducmV2LnhtbESPQWvCQBSE70L/w/IK3nQTD6KpqxSp&#10;IHqx0dL29sg+k9Ds27C7avTXdwXB4zAz3zCzRWcacSbna8sK0mECgriwuuZSwWG/GkxA+ICssbFM&#10;Cq7kYTF/6c0w0/bCn3TOQykihH2GCqoQ2kxKX1Rk0A9tSxy9o3UGQ5SulNrhJcJNI0dJMpYGa44L&#10;Fba0rKj4y09GwZY2h/T6bT9+f5pbvjsuV/jlUqX6r937G4hAXXiGH+21VjCd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ghqTxAAAANsAAAAPAAAAAAAAAAAA&#10;AAAAAKECAABkcnMvZG93bnJldi54bWxQSwUGAAAAAAQABAD5AAAAkgMAAAAA&#10;" strokecolor="#00b0f0"/>
            <v:shape id="AutoShape 2879" o:spid="_x0000_s2259" type="#_x0000_t32" style="position:absolute;left:907;top:929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rycYAAADcAAAADwAAAGRycy9kb3ducmV2LnhtbESPQWvCQBCF7wX/wzJCb3WTHkpJXUVE&#10;QerFpkrb25Adk2B2NuyuGv31nUOhtxnem/e+mc4H16kLhdh6NpBPMlDElbct1wb2n+unV1AxIVvs&#10;PJOBG0WYz0YPUyysv/IHXcpUKwnhWKCBJqW+0DpWDTmME98Ti3b0wWGSNdTaBrxKuOv0c5a9aIct&#10;S0ODPS0bqk7l2RnY0vs+v3351c93dy93x+UaDyE35nE8LN5AJRrSv/nvemMFPxN8eUYm0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a8nGAAAA3AAAAA8AAAAAAAAA&#10;AAAAAAAAoQIAAGRycy9kb3ducmV2LnhtbFBLBQYAAAAABAAEAPkAAACUAwAAAAA=&#10;" strokecolor="#00b0f0"/>
            <v:shape id="AutoShape 2880" o:spid="_x0000_s2258" type="#_x0000_t32" style="position:absolute;left:907;top:10165;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DOUsMAAADcAAAADwAAAGRycy9kb3ducmV2LnhtbERPS2sCMRC+F/wPYQreanZ7kLIaF5EK&#10;0l7s1qLehs3sAzeTJUl19dcbodDbfHzPmeeD6cSZnG8tK0gnCQji0uqWawW77/XLGwgfkDV2lknB&#10;lTzki9HTHDNtL/xF5yLUIoawz1BBE0KfSenLhgz6ie2JI1dZZzBE6GqpHV5iuOnka5JMpcGWY0OD&#10;Pa0aKk/Fr1HwSR+79Lq378dDdyu21WqNPy5Vavw8LGcgAg3hX/zn3ug4P0nh8Uy8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wzlLDAAAA3AAAAA8AAAAAAAAAAAAA&#10;AAAAoQIAAGRycy9kb3ducmV2LnhtbFBLBQYAAAAABAAEAPkAAACRAwAAAAA=&#10;" strokecolor="#00b0f0"/>
            <v:shape id="AutoShape 2881" o:spid="_x0000_s2257" type="#_x0000_t32" style="position:absolute;left:907;top:1103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JQJcMAAADcAAAADwAAAGRycy9kb3ducmV2LnhtbERPS2sCMRC+C/0PYQreNLsepGyNi0iF&#10;0l7salFvw2b2QTeTJUl19dc3BcHbfHzPWeSD6cSZnG8tK0inCQji0uqWawX73WbyAsIHZI2dZVJw&#10;JQ/58mm0wEzbC3/RuQi1iCHsM1TQhNBnUvqyIYN+anviyFXWGQwRulpqh5cYbjo5S5K5NNhybGiw&#10;p3VD5U/xaxR80sc+vR7s2+nY3Ypttd7gt0uVGj8Pq1cQgYbwEN/d7zrOT2bw/0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iUCXDAAAA3AAAAA8AAAAAAAAAAAAA&#10;AAAAoQIAAGRycy9kb3ducmV2LnhtbFBLBQYAAAAABAAEAPkAAACRAwAAAAA=&#10;" strokecolor="#00b0f0"/>
            <v:shape id="AutoShape 2882" o:spid="_x0000_s2256" type="#_x0000_t32" style="position:absolute;left:907;top:1191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71vsMAAADcAAAADwAAAGRycy9kb3ducmV2LnhtbERPS2sCMRC+C/0PYQreNLstiGyNi0iF&#10;Ui92a6nehs3sAzeTJUl17a9vCoK3+fies8gH04kzOd9aVpBOExDEpdUt1wr2n5vJHIQPyBo7y6Tg&#10;Sh7y5cNogZm2F/6gcxFqEUPYZ6igCaHPpPRlQwb91PbEkausMxgidLXUDi8x3HTyKUlm0mDLsaHB&#10;ntYNlafixyjY0vs+vX7b1+Oh+y121XqDXy5Vavw4rF5ABBrCXXxzv+k4P3mG/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u9b7DAAAA3AAAAA8AAAAAAAAAAAAA&#10;AAAAoQIAAGRycy9kb3ducmV2LnhtbFBLBQYAAAAABAAEAPkAAACRAwAAAAA=&#10;" strokecolor="#00b0f0"/>
            <v:shape id="AutoShape 2883" o:spid="_x0000_s2255" type="#_x0000_t32" style="position:absolute;left:907;top:1278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dtysMAAADcAAAADwAAAGRycy9kb3ducmV2LnhtbERPS2sCMRC+C/0PYQreNLuliGyNi0iF&#10;Ui92a6nehs3sAzeTJUl17a9vCoK3+fies8gH04kzOd9aVpBOExDEpdUt1wr2n5vJHIQPyBo7y6Tg&#10;Sh7y5cNogZm2F/6gcxFqEUPYZ6igCaHPpPRlQwb91PbEkausMxgidLXUDi8x3HTyKUlm0mDLsaHB&#10;ntYNlafixyjY0vs+vX7b1+Oh+y121XqDXy5Vavw4rF5ABBrCXXxzv+k4P3mG/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HbcrDAAAA3AAAAA8AAAAAAAAAAAAA&#10;AAAAoQIAAGRycy9kb3ducmV2LnhtbFBLBQYAAAAABAAEAPkAAACRAwAAAAA=&#10;" strokecolor="#00b0f0"/>
            <v:shape id="AutoShape 2884" o:spid="_x0000_s2254" type="#_x0000_t32" style="position:absolute;left:907;top:13655;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vIUcMAAADcAAAADwAAAGRycy9kb3ducmV2LnhtbERPS2sCMRC+C/0PYQreNLuFimyNi0iF&#10;Ui92a6nehs3sAzeTJUl17a9vCoK3+fies8gH04kzOd9aVpBOExDEpdUt1wr2n5vJHIQPyBo7y6Tg&#10;Sh7y5cNogZm2F/6gcxFqEUPYZ6igCaHPpPRlQwb91PbEkausMxgidLXUDi8x3HTyKUlm0mDLsaHB&#10;ntYNlafixyjY0vs+vX7b1+Oh+y121XqDXy5Vavw4rF5ABBrCXXxzv+k4P3mG/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yFHDAAAA3AAAAA8AAAAAAAAAAAAA&#10;AAAAoQIAAGRycy9kb3ducmV2LnhtbFBLBQYAAAAABAAEAPkAAACRAwAAAAA=&#10;" strokecolor="#00b0f0"/>
            <v:shape id="AutoShape 2885" o:spid="_x0000_s2253" type="#_x0000_t32" style="position:absolute;left:907;top:1540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lWJsIAAADcAAAADwAAAGRycy9kb3ducmV2LnhtbERPTYvCMBC9C/6HMII3TetBlmqURRRk&#10;vbhV2d3b0IxtsZmUJKvVX79ZELzN433OfNmZRlzJ+dqygnScgCAurK65VHA8bEZvIHxA1thYJgV3&#10;8rBc9HtzzLS98Sdd81CKGMI+QwVVCG0mpS8qMujHtiWO3Nk6gyFCV0rt8BbDTSMnSTKVBmuODRW2&#10;tKqouOS/RsGOPo7p/cuuf76bR74/rzZ4cqlSw0H3PgMRqAsv8dO91XF+MoX/Z+IF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1lWJsIAAADcAAAADwAAAAAAAAAAAAAA&#10;AAChAgAAZHJzL2Rvd25yZXYueG1sUEsFBgAAAAAEAAQA+QAAAJADAAAAAA==&#10;" strokecolor="#00b0f0"/>
          </v:group>
          <v:group id="Group 2886" o:spid="_x0000_s2239" style="position:absolute;left:1633;top:567;width:9251;height:15704" coordorigin="1635,567" coordsize="925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AutoShape 2887" o:spid="_x0000_s2251" type="#_x0000_t32" style="position:absolute;left:163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pnz8YAAADcAAAADwAAAGRycy9kb3ducmV2LnhtbESPQWvCQBCF7wX/wzJCb3WTHkpJXUVE&#10;QerFpkrb25Adk2B2NuyuGv31nUOhtxnem/e+mc4H16kLhdh6NpBPMlDElbct1wb2n+unV1AxIVvs&#10;PJOBG0WYz0YPUyysv/IHXcpUKwnhWKCBJqW+0DpWDTmME98Ti3b0wWGSNdTaBrxKuOv0c5a9aIct&#10;S0ODPS0bqk7l2RnY0vs+v3351c93dy93x+UaDyE35nE8LN5AJRrSv/nvemMFPxNaeUYm0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KZ8/GAAAA3AAAAA8AAAAAAAAA&#10;AAAAAAAAoQIAAGRycy9kb3ducmV2LnhtbFBLBQYAAAAABAAEAPkAAACUAwAAAAA=&#10;" strokecolor="#00b0f0"/>
            <v:shape id="AutoShape 2888" o:spid="_x0000_s2250" type="#_x0000_t32" style="position:absolute;left:247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bCVMMAAADcAAAADwAAAGRycy9kb3ducmV2LnhtbERPS2sCMRC+C/0PYQreNLs9FN0aF5EK&#10;pV7s1lK9DZvZB24mS5Lq2l/fFARv8/E9Z5EPphNncr61rCCdJiCIS6tbrhXsPzeTGQgfkDV2lknB&#10;lTzky4fRAjNtL/xB5yLUIoawz1BBE0KfSenLhgz6qe2JI1dZZzBE6GqpHV5iuOnkU5I8S4Mtx4YG&#10;e1o3VJ6KH6NgS+/79PptX4+H7rfYVesNfrlUqfHjsHoBEWgId/HN/abj/GQO/8/E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GwlTDAAAA3AAAAA8AAAAAAAAAAAAA&#10;AAAAoQIAAGRycy9kb3ducmV2LnhtbFBLBQYAAAAABAAEAPkAAACRAwAAAAA=&#10;" strokecolor="#00b0f0"/>
            <v:shape id="AutoShape 2889" o:spid="_x0000_s2249" type="#_x0000_t32" style="position:absolute;left:3317;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slEcUAAADcAAAADwAAAGRycy9kb3ducmV2LnhtbESPT2/CMAzF75P4DpGRdpkghQOaCgHx&#10;Z5M4bdCNu9WYpqJxqiaU7tvPh0m72XrP7/282gy+UT11sQ5sYDbNQBGXwdZcGfj+ep+8gooJ2WIT&#10;mAz8UITNevS0wtyGB5+pL1KlJIRjjgZcSm2udSwdeYzT0BKLdg2dxyRrV2nb4UPCfaPnWbbQHmuW&#10;Boct7R2Vt+LuDZx6707p8naffxx3LxkdPhfFtTfmeTxsl6ASDenf/Hd9tII/E3x5Rib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slEcUAAADcAAAADwAAAAAAAAAA&#10;AAAAAAChAgAAZHJzL2Rvd25yZXYueG1sUEsFBgAAAAAEAAQA+QAAAJMDAAAAAA==&#10;" strokecolor="#002060"/>
            <v:shape id="AutoShape 2890" o:spid="_x0000_s2248" type="#_x0000_t32" style="position:absolute;left:4158;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lYj8MAAADcAAAADwAAAGRycy9kb3ducmV2LnhtbERPTWsCMRC9F/wPYQq9dbPxUGRrFJEK&#10;Yi91tbS9DZtxd3EzWZJU1/56Iwi9zeN9znQ+2E6cyIfWsQaV5SCIK2darjXsd6vnCYgQkQ12jknD&#10;hQLMZ6OHKRbGnXlLpzLWIoVwKFBDE2NfSBmqhiyGzPXEiTs4bzEm6GtpPJ5TuO3kOM9fpMWWU0OD&#10;PS0bqo7lr9XwTpu9uny5t5/v7q/8OCxX+OmV1k+Pw+IVRKQh/ovv7rVJ85WC2zPpAjm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pWI/DAAAA3AAAAA8AAAAAAAAAAAAA&#10;AAAAoQIAAGRycy9kb3ducmV2LnhtbFBLBQYAAAAABAAEAPkAAACRAwAAAAA=&#10;" strokecolor="#00b0f0"/>
            <v:shape id="AutoShape 2891" o:spid="_x0000_s2247" type="#_x0000_t32" style="position:absolute;left:4999;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vG+MMAAADcAAAADwAAAGRycy9kb3ducmV2LnhtbERPS2sCMRC+F/ofwhS81ex6kLI1LiIV&#10;Sr3YrUW9DZvZB91MliTq6q83QsHbfHzPmeWD6cSJnG8tK0jHCQji0uqWawXbn9XrGwgfkDV2lknB&#10;hTzk8+enGWbanvmbTkWoRQxhn6GCJoQ+k9KXDRn0Y9sTR66yzmCI0NVSOzzHcNPJSZJMpcGWY0OD&#10;PS0bKv+Ko1Gwpq9tetnZj8O+uxabarnCX5cqNXoZFu8gAg3hIf53f+o4P53A/Z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7xvjDAAAA3AAAAA8AAAAAAAAAAAAA&#10;AAAAoQIAAGRycy9kb3ducmV2LnhtbFBLBQYAAAAABAAEAPkAAACRAwAAAAA=&#10;" strokecolor="#00b0f0"/>
            <v:shape id="AutoShape 2892" o:spid="_x0000_s2246" type="#_x0000_t32" style="position:absolute;left:5840;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m7ZsIAAADcAAAADwAAAGRycy9kb3ducmV2LnhtbERPS2vCQBC+F/wPywi9FN1oQSRmFe0D&#10;PLUa9T5kJ9lgdjZk15j++26h4G0+vudkm8E2oqfO144VzKYJCOLC6ZorBefT52QJwgdkjY1jUvBD&#10;Hjbr0VOGqXZ3PlKfh0rEEPYpKjAhtKmUvjBk0U9dSxy50nUWQ4RdJXWH9xhuGzlPkoW0WHNsMNjS&#10;m6Himt+sgkNvzSFcPm7zr/3uJaH370Ve9ko9j4ftCkSgITzE/+69jvNnr/D3TLx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m7ZsIAAADcAAAADwAAAAAAAAAAAAAA&#10;AAChAgAAZHJzL2Rvd25yZXYueG1sUEsFBgAAAAAEAAQA+QAAAJADAAAAAA==&#10;" strokecolor="#002060"/>
            <v:shape id="AutoShape 2893" o:spid="_x0000_s2245" type="#_x0000_t32" style="position:absolute;left:668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77F8MAAADcAAAADwAAAGRycy9kb3ducmV2LnhtbERPS2sCMRC+C/0PYQreNLuliGyNi0iF&#10;Ui92a6nehs3sAzeTJUl17a9vCoK3+fies8gH04kzOd9aVpBOExDEpdUt1wr2n5vJHIQPyBo7y6Tg&#10;Sh7y5cNogZm2F/6gcxFqEUPYZ6igCaHPpPRlQwb91PbEkausMxgidLXUDi8x3HTyKUlm0mDLsaHB&#10;ntYNlafixyjY0vs+vX7b1+Oh+y121XqDXy5Vavw4rF5ABBrCXXxzv+k4P32G/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e+xfDAAAA3AAAAA8AAAAAAAAAAAAA&#10;AAAAoQIAAGRycy9kb3ducmV2LnhtbFBLBQYAAAAABAAEAPkAAACRAwAAAAA=&#10;" strokecolor="#00b0f0"/>
            <v:shape id="AutoShape 2894" o:spid="_x0000_s2244" type="#_x0000_t32" style="position:absolute;left:752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JejMMAAADcAAAADwAAAGRycy9kb3ducmV2LnhtbERPS2sCMRC+C/0PYQreNLuFimyNi0iF&#10;Ui92a6nehs3sAzeTJUl17a9vCoK3+fies8gH04kzOd9aVpBOExDEpdUt1wr2n5vJHIQPyBo7y6Tg&#10;Sh7y5cNogZm2F/6gcxFqEUPYZ6igCaHPpPRlQwb91PbEkausMxgidLXUDi8x3HTyKUlm0mDLsaHB&#10;ntYNlafixyjY0vs+vX7b1+Oh+y121XqDXy5Vavw4rF5ABBrCXXxzv+k4P32G/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SXozDAAAA3AAAAA8AAAAAAAAAAAAA&#10;AAAAoQIAAGRycy9kb3ducmV2LnhtbFBLBQYAAAAABAAEAPkAAACRAwAAAAA=&#10;" strokecolor="#00b0f0"/>
            <v:shape id="AutoShape 2895" o:spid="_x0000_s2243" type="#_x0000_t32" style="position:absolute;left:8363;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4Y/sEAAADcAAAADwAAAGRycy9kb3ducmV2LnhtbERPTYvCMBC9L/gfwgheFk31UJZqFHVX&#10;8LRq1fvQjE2xmZQm1u6/3ywIe5vH+5zFqre16Kj1lWMF00kCgrhwuuJSweW8G3+A8AFZY+2YFPyQ&#10;h9Vy8LbATLsnn6jLQyliCPsMFZgQmkxKXxiy6CeuIY7czbUWQ4RtKXWLzxhuazlLklRarDg2GGxo&#10;a6i45w+r4NhZcwzXr8fse795T+jzkOa3TqnRsF/PQQTqw7/45d7rOH+awt8z8QK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3hj+wQAAANwAAAAPAAAAAAAAAAAAAAAA&#10;AKECAABkcnMvZG93bnJldi54bWxQSwUGAAAAAAQABAD5AAAAjwMAAAAA&#10;" strokecolor="#002060"/>
            <v:shape id="AutoShape 2896" o:spid="_x0000_s2242" type="#_x0000_t32" style="position:absolute;left:9204;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xlYMMAAADcAAAADwAAAGRycy9kb3ducmV2LnhtbERPS2sCMRC+C/0PYQreNLs9VNkaF5EK&#10;pV7s1lK9DZvZB24mS5Lq2l/fFARv8/E9Z5EPphNncr61rCCdJiCIS6tbrhXsPzeTOQgfkDV2lknB&#10;lTzky4fRAjNtL/xB5yLUIoawz1BBE0KfSenLhgz6qe2JI1dZZzBE6GqpHV5iuOnkU5I8S4Mtx4YG&#10;e1o3VJ6KH6NgS+/79PptX4+H7rfYVesNfrlUqfHjsHoBEWgId/HN/abj/HQG/8/E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MZWDDAAAA3AAAAA8AAAAAAAAAAAAA&#10;AAAAoQIAAGRycy9kb3ducmV2LnhtbFBLBQYAAAAABAAEAPkAAACRAwAAAAA=&#10;" strokecolor="#00b0f0"/>
            <v:shape id="AutoShape 2897" o:spid="_x0000_s2241" type="#_x0000_t32" style="position:absolute;left:1004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PxEsYAAADcAAAADwAAAGRycy9kb3ducmV2LnhtbESPQWvCQBCF7wX/wzJCb3WTHkpJXUVE&#10;QerFpkrb25Adk2B2NuyuGv31nUOhtxnem/e+mc4H16kLhdh6NpBPMlDElbct1wb2n+unV1AxIVvs&#10;PJOBG0WYz0YPUyysv/IHXcpUKwnhWKCBJqW+0DpWDTmME98Ti3b0wWGSNdTaBrxKuOv0c5a9aIct&#10;S0ODPS0bqk7l2RnY0vs+v3351c93dy93x+UaDyE35nE8LN5AJRrSv/nvemMFPxdaeUYm0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T8RLGAAAA3AAAAA8AAAAAAAAA&#10;AAAAAAAAoQIAAGRycy9kb3ducmV2LnhtbFBLBQYAAAAABAAEAPkAAACUAwAAAAA=&#10;" strokecolor="#00b0f0"/>
            <v:shape id="AutoShape 2898" o:spid="_x0000_s2240" type="#_x0000_t32" style="position:absolute;left:1088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GMjMIAAADcAAAADwAAAGRycy9kb3ducmV2LnhtbERPS2vCQBC+F/wPyxS8lGajB6mpq9QX&#10;eLKatvchO2ZDs7Mhu8b4711B8DYf33Nmi97WoqPWV44VjJIUBHHhdMWlgt+f7fsHCB+QNdaOScGV&#10;PCzmg5cZZtpd+EhdHkoRQ9hnqMCE0GRS+sKQRZ+4hjhyJ9daDBG2pdQtXmK4reU4TSfSYsWxwWBD&#10;K0PFf362Cg6dNYfwtzmP97vlW0rr70l+6pQavvZfnyAC9eEpfrh3Os4fTeH+TL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GMjMIAAADcAAAADwAAAAAAAAAAAAAA&#10;AAChAgAAZHJzL2Rvd25yZXYueG1sUEsFBgAAAAAEAAQA+QAAAJADAAAAAA==&#10;" strokecolor="#002060"/>
          </v:group>
          <w10:wrap anchorx="page" anchory="pag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Pr="0085497F" w:rsidRDefault="005B3056" w:rsidP="0085497F">
    <w:pPr>
      <w:pStyle w:val="Header-Even"/>
    </w:pPr>
    <w:r>
      <w:fldChar w:fldCharType="begin"/>
    </w:r>
    <w:r>
      <w:instrText xml:space="preserve"> STYLEREF "Heading 2" </w:instrText>
    </w:r>
    <w:r>
      <w:fldChar w:fldCharType="separate"/>
    </w:r>
    <w:r>
      <w:rPr>
        <w:noProof/>
      </w:rPr>
      <w:t>Outcomes of EYQF grants process</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Pr="0085497F" w:rsidRDefault="005B3056" w:rsidP="0085497F">
    <w:pPr>
      <w:pStyle w:val="Header"/>
    </w:pPr>
    <w:r>
      <w:fldChar w:fldCharType="begin"/>
    </w:r>
    <w:r>
      <w:instrText xml:space="preserve"> STYLEREF "Heading 2" </w:instrText>
    </w:r>
    <w:r>
      <w:fldChar w:fldCharType="separate"/>
    </w:r>
    <w:r>
      <w:rPr>
        <w:noProof/>
      </w:rPr>
      <w:t>Outcomes of EYQF grants process</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Pr="0097760A" w:rsidRDefault="000B2006" w:rsidP="0059630D">
    <w:pPr>
      <w:pStyle w:val="FirstPagePanelFrame"/>
      <w:framePr w:wrap="notBesid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Pr="0085497F" w:rsidRDefault="005B3056" w:rsidP="0085497F">
    <w:pPr>
      <w:pStyle w:val="Header-Even"/>
    </w:pPr>
    <w:r>
      <w:fldChar w:fldCharType="begin"/>
    </w:r>
    <w:r>
      <w:instrText xml:space="preserve"> STYLEREF "Heading 4" </w:instrText>
    </w:r>
    <w:r>
      <w:fldChar w:fldCharType="separate"/>
    </w:r>
    <w:r w:rsidR="000B2006">
      <w:rPr>
        <w:noProof/>
      </w:rPr>
      <w:t>List of stakeholder consultations</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Pr="0085497F" w:rsidRDefault="005B3056" w:rsidP="0085497F">
    <w:pPr>
      <w:pStyle w:val="Header"/>
    </w:pPr>
    <w:r>
      <w:fldChar w:fldCharType="begin"/>
    </w:r>
    <w:r>
      <w:instrText xml:space="preserve"> STYLEREF "Heading 4" </w:instrText>
    </w:r>
    <w:r>
      <w:fldChar w:fldCharType="separate"/>
    </w:r>
    <w:r w:rsidR="000B2006">
      <w:rPr>
        <w:noProof/>
      </w:rPr>
      <w:t>List of stakeholder consultations</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Pr="005B4BF3" w:rsidRDefault="000B2006" w:rsidP="005B4BF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Pr="00A84ADF" w:rsidRDefault="000B2006" w:rsidP="003333C5">
    <w:pPr>
      <w:pStyle w:val="Header-Even"/>
    </w:pPr>
  </w:p>
  <w:p w:rsidR="000B2006" w:rsidRPr="003333C5" w:rsidRDefault="000B2006" w:rsidP="003333C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Default="000B2006" w:rsidP="005236F7">
    <w:pPr>
      <w:pStyle w:val="Header"/>
    </w:pPr>
  </w:p>
  <w:p w:rsidR="000B2006" w:rsidRDefault="000B2006" w:rsidP="005236F7">
    <w:pPr>
      <w:pStyle w:val="Header"/>
    </w:pPr>
  </w:p>
  <w:p w:rsidR="000B2006" w:rsidRDefault="000B2006" w:rsidP="005236F7">
    <w:pPr>
      <w:pStyle w:val="Header"/>
    </w:pPr>
  </w:p>
  <w:p w:rsidR="000B2006" w:rsidRPr="005236F7" w:rsidRDefault="000B2006" w:rsidP="005236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Pr="008F0566" w:rsidRDefault="005B3056" w:rsidP="008F0566">
    <w:pPr>
      <w:pStyle w:val="Header"/>
    </w:pPr>
    <w:r>
      <w:rPr>
        <w:noProof/>
        <w:snapToGrid/>
        <w:lang w:eastAsia="en-AU"/>
      </w:rPr>
      <w:pict>
        <v:group id="OddGrid" o:spid="_x0000_s2189" alt="Grid" style="position:absolute;margin-left:0;margin-top:0;width:544.3pt;height:841.9pt;z-index:252093440;mso-position-horizontal-relative:page;mso-position-vertical-relative:page" coordsize="108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">
          <v:group id="Group 2018" o:spid="_x0000_s2225" style="position:absolute;left:1021;top:567;width:9251;height:15704" coordorigin="1021,567" coordsize="925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32" coordsize="21600,21600" o:spt="32" o:oned="t" path="m,l21600,21600e" filled="f">
              <v:path arrowok="t" fillok="f" o:connecttype="none"/>
              <o:lock v:ext="edit" shapetype="t"/>
            </v:shapetype>
            <v:shape id="AutoShape 2019" o:spid="_x0000_s2237" type="#_x0000_t32" style="position:absolute;left:102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WqsMAAADbAAAADwAAAGRycy9kb3ducmV2LnhtbESPzYvCMBTE7wv7P4S34GXR1B5k6TaK&#10;+yF48qOu90fzbIrNS2lirf+9EYQ9DjPzGyZfDLYRPXW+dqxgOklAEJdO11wp+Dusxh8gfEDW2Dgm&#10;BTfysJi/vuSYaXflPfVFqESEsM9QgQmhzaT0pSGLfuJa4uidXGcxRNlVUnd4jXDbyDRJZtJizXHB&#10;YEvfhspzcbEKdr01u3D8vaSb9dd7Qj/bWXHqlRq9DctPEIGG8B9+ttdaQTqFx5f4A+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i1qrDAAAA2wAAAA8AAAAAAAAAAAAA&#10;AAAAoQIAAGRycy9kb3ducmV2LnhtbFBLBQYAAAAABAAEAPkAAACRAwAAAAA=&#10;" strokecolor="#002060"/>
            <v:shape id="AutoShape 2020" o:spid="_x0000_s2236" type="#_x0000_t32" style="position:absolute;left:186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lBBcQAAADbAAAADwAAAGRycy9kb3ducmV2LnhtbESPQWvCQBSE7wX/w/KE3uomOZQSXUVE&#10;QezFpop6e2SfSTD7NuxuNfrru4WCx2FmvmEms9604krON5YVpKMEBHFpdcOVgt336u0DhA/IGlvL&#10;pOBOHmbTwcsEc21v/EXXIlQiQtjnqKAOocul9GVNBv3IdsTRO1tnMETpKqkd3iLctDJLkndpsOG4&#10;UGNHi5rKS/FjFHzSZpfeD3Z5OraPYnterHDvUqVeh/18DCJQH57h//ZaK8gy+PsSf4C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mUEFxAAAANsAAAAPAAAAAAAAAAAA&#10;AAAAAKECAABkcnMvZG93bnJldi54bWxQSwUGAAAAAAQABAD5AAAAkgMAAAAA&#10;" strokecolor="#00b0f0"/>
            <v:shape id="AutoShape 2021" o:spid="_x0000_s2235" type="#_x0000_t32" style="position:absolute;left:2703;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XknsQAAADbAAAADwAAAGRycy9kb3ducmV2LnhtbESPQWvCQBSE74L/YXmCN91EQSR1lSIK&#10;RS82VWxvj+wzCWbfht2txv76bkHocZiZb5jFqjONuJHztWUF6TgBQVxYXXOp4PixHc1B+ICssbFM&#10;Ch7kYbXs9xaYaXvnd7rloRQRwj5DBVUIbSalLyoy6Me2JY7exTqDIUpXSu3wHuGmkZMkmUmDNceF&#10;CltaV1Rc82+jYE+7Y/o4283XZ/OTHy7rLZ5cqtRw0L2+gAjUhf/ws/2mFUym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1eSexAAAANsAAAAPAAAAAAAAAAAA&#10;AAAAAKECAABkcnMvZG93bnJldi54bWxQSwUGAAAAAAQABAD5AAAAkgMAAAAA&#10;" strokecolor="#00b0f0"/>
            <v:shape id="AutoShape 2022" o:spid="_x0000_s2234" type="#_x0000_t32" style="position:absolute;left:3544;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V1MsMAAADbAAAADwAAAGRycy9kb3ducmV2LnhtbESPQWvCQBSE74L/YXmCF9FNg0iJrlKt&#10;BU+tpnp/ZJ/Z0OzbkF1j+u/dQsHjMDPfMKtNb2vRUesrxwpeZgkI4sLpiksF5++P6SsIH5A11o5J&#10;wS952KyHgxVm2t35RF0eShEh7DNUYEJoMil9Yciin7mGOHpX11oMUbal1C3eI9zWMk2ShbRYcVww&#10;2NDOUPGT36yCY2fNMVz2t/TzsJ0k9P61yK+dUuNR/7YEEagPz/B/+6AVpHP4+x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VdTLDAAAA2wAAAA8AAAAAAAAAAAAA&#10;AAAAoQIAAGRycy9kb3ducmV2LnhtbFBLBQYAAAAABAAEAPkAAACRAwAAAAA=&#10;" strokecolor="#002060"/>
            <v:shape id="AutoShape 2023" o:spid="_x0000_s2233" type="#_x0000_t32" style="position:absolute;left:438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ZccQAAADbAAAADwAAAGRycy9kb3ducmV2LnhtbESPQWvCQBSE74L/YXmCN91EUCR1lSIK&#10;RS82VWxvj+wzCWbfht2txv76bkHocZiZb5jFqjONuJHztWUF6TgBQVxYXXOp4PixHc1B+ICssbFM&#10;Ch7kYbXs9xaYaXvnd7rloRQRwj5DBVUIbSalLyoy6Me2JY7exTqDIUpXSu3wHuGmkZMkmUmDNceF&#10;CltaV1Rc82+jYE+7Y/o4283XZ/OTHy7rLZ5cqtRw0L2+gAjUhf/ws/2mFUym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cNlxxAAAANsAAAAPAAAAAAAAAAAA&#10;AAAAAKECAABkcnMvZG93bnJldi54bWxQSwUGAAAAAAQABAD5AAAAkgMAAAAA&#10;" strokecolor="#00b0f0"/>
            <v:shape id="AutoShape 2024" o:spid="_x0000_s2232" type="#_x0000_t32" style="position:absolute;left:522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JHBsUAAADbAAAADwAAAGRycy9kb3ducmV2LnhtbESPT2sCMRTE74LfITyhN82uBymrcSmi&#10;IO2l3Sq2t8fm7R+6eVmSVNd+eiMUPA4z8xtmlQ+mE2dyvrWsIJ0lIIhLq1uuFRw+d9NnED4ga+ws&#10;k4IrecjX49EKM20v/EHnItQiQthnqKAJoc+k9GVDBv3M9sTRq6wzGKJ0tdQOLxFuOjlPkoU02HJc&#10;aLCnTUPlT/FrFLzR6yG9nuz2+6v7K96rzQ6PLlXqaTK8LEEEGsIj/N/eawXzBdy/x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JHBsUAAADbAAAADwAAAAAAAAAA&#10;AAAAAAChAgAAZHJzL2Rvd25yZXYueG1sUEsFBgAAAAAEAAQA+QAAAJMDAAAAAA==&#10;" strokecolor="#00b0f0"/>
            <v:shape id="AutoShape 2025" o:spid="_x0000_s2231" type="#_x0000_t32" style="position:absolute;left:6067;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frRcQAAADbAAAADwAAAGRycy9kb3ducmV2LnhtbESPQWvCQBSE74L/YXmCF6mb5mBL6kaq&#10;VfBkbdreH9mXbGj2bciuMf57t1DocZiZb5j1ZrStGKj3jWMFj8sEBHHpdMO1gq/Pw8MzCB+QNbaO&#10;ScGNPGzy6WSNmXZX/qChCLWIEPYZKjAhdJmUvjRk0S9dRxy9yvUWQ5R9LXWP1wi3rUyTZCUtNhwX&#10;DHa0M1T+FBer4DxYcw7f+0t6Om4XCb29r4pqUGo+G19fQAQaw3/4r33UCtIn+P0Sf4DM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R+tFxAAAANsAAAAPAAAAAAAAAAAA&#10;AAAAAKECAABkcnMvZG93bnJldi54bWxQSwUGAAAAAAQABAD5AAAAkgMAAAAA&#10;" strokecolor="#002060"/>
            <v:shape id="AutoShape 2026" o:spid="_x0000_s2230" type="#_x0000_t32" style="position:absolute;left:6908;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F278IAAADbAAAADwAAAGRycy9kb3ducmV2LnhtbERPz2vCMBS+D/wfwhO8zbQeZHRGkbKC&#10;uIvrHJu3R/Nsy5qXkmS29a9fDoMdP77fm91oOnEj51vLCtJlAoK4srrlWsH5vXh8AuEDssbOMimY&#10;yMNuO3vYYKbtwG90K0MtYgj7DBU0IfSZlL5qyKBf2p44clfrDIYIXS21wyGGm06ukmQtDbYcGxrs&#10;KW+o+i5/jIJXOp7T6dO+XL66e3m65gV+uFSpxXzcP4MINIZ/8Z/7oBWs4tj4Jf4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F278IAAADbAAAADwAAAAAAAAAAAAAA&#10;AAChAgAAZHJzL2Rvd25yZXYueG1sUEsFBgAAAAAEAAQA+QAAAJADAAAAAA==&#10;" strokecolor="#00b0f0"/>
            <v:shape id="AutoShape 2027" o:spid="_x0000_s2229" type="#_x0000_t32" style="position:absolute;left:7749;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3TdMQAAADbAAAADwAAAGRycy9kb3ducmV2LnhtbESPQWvCQBSE74L/YXmCN93Eg2jqKkUU&#10;il5sqtjeHtlnEsy+Dbtbjf313YLQ4zAz3zCLVWcacSPna8sK0nECgriwuuZSwfFjO5qB8AFZY2OZ&#10;FDzIw2rZ7y0w0/bO73TLQykihH2GCqoQ2kxKX1Rk0I9tSxy9i3UGQ5SulNrhPcJNIydJMpUGa44L&#10;Fba0rqi45t9GwZ52x/Rxtpuvz+YnP1zWWzy5VKnhoHt9ARGoC//hZ/tNK5jM4e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PdN0xAAAANsAAAAPAAAAAAAAAAAA&#10;AAAAAKECAABkcnMvZG93bnJldi54bWxQSwUGAAAAAAQABAD5AAAAkgMAAAAA&#10;" strokecolor="#00b0f0"/>
            <v:shape id="AutoShape 2028" o:spid="_x0000_s2228" type="#_x0000_t32" style="position:absolute;left:8590;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fl7MAAAADbAAAADwAAAGRycy9kb3ducmV2LnhtbERPy4rCMBTdC/MP4Q64EU1VkKEaxRkd&#10;cOWjo/tLc22KzU1pYu38vVkILg/nvVh1thItNb50rGA8SkAQ506XXCg4//0Ov0D4gKyxckwK/snD&#10;avnRW2Cq3YNP1GahEDGEfYoKTAh1KqXPDVn0I1cTR+7qGoshwqaQusFHDLeVnCTJTFosOTYYrOnH&#10;UH7L7lbBsbXmGC7b+2S/+x4ktDnMsmurVP+zW89BBOrCW/xy77SCaVwfv8Qf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l35ezAAAAA2wAAAA8AAAAAAAAAAAAAAAAA&#10;oQIAAGRycy9kb3ducmV2LnhtbFBLBQYAAAAABAAEAPkAAACOAwAAAAA=&#10;" strokecolor="#002060"/>
            <v:shape id="AutoShape 2029" o:spid="_x0000_s2227" type="#_x0000_t32" style="position:absolute;left:943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Jr8UAAADbAAAADwAAAGRycy9kb3ducmV2LnhtbESPT2sCMRTE70K/Q3gFb5rdFkS2xkWk&#10;QqkXu7VUb4/N2z+4eVmSVNd++qYgeBxm5jfMIh9MJ87kfGtZQTpNQBCXVrdcK9h/biZzED4ga+ws&#10;k4IreciXD6MFZtpe+IPORahFhLDPUEETQp9J6cuGDPqp7YmjV1lnMETpaqkdXiLcdPIpSWbSYMtx&#10;ocGe1g2Vp+LHKNjS+z69ftvX46H7LXbVeoNfLlVq/DisXkAEGsI9fGu/aQXP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JJr8UAAADbAAAADwAAAAAAAAAA&#10;AAAAAAChAgAAZHJzL2Rvd25yZXYueG1sUEsFBgAAAAAEAAQA+QAAAJMDAAAAAA==&#10;" strokecolor="#00b0f0"/>
            <v:shape id="AutoShape 2030" o:spid="_x0000_s2226" type="#_x0000_t32" style="position:absolute;left:1027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DX2MQAAADbAAAADwAAAGRycy9kb3ducmV2LnhtbESPQWvCQBSE74L/YXmCN91EQSR1lSIK&#10;RS82VWxvj+wzCWbfht2txv76bkHocZiZb5jFqjONuJHztWUF6TgBQVxYXXOp4PixHc1B+ICssbFM&#10;Ch7kYbXs9xaYaXvnd7rloRQRwj5DBVUIbSalLyoy6Me2JY7exTqDIUpXSu3wHuGmkZMkmUmDNceF&#10;CltaV1Rc82+jYE+7Y/o4283XZ/OTHy7rLZ5cqtRw0L2+gAjUhf/ws/2mFUwn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NfYxAAAANsAAAAPAAAAAAAAAAAA&#10;AAAAAKECAABkcnMvZG93bnJldi54bWxQSwUGAAAAAAQABAD5AAAAkgMAAAAA&#10;" strokecolor="#00b0f0"/>
          </v:group>
          <v:shape id="AutoShape 2031" o:spid="_x0000_s2224" type="#_x0000_t32" style="position:absolute;width:0;height:16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JBQsUAAADbAAAADwAAAGRycy9kb3ducmV2LnhtbESPT2vCQBTE74LfYXmCN7Ox0qLRVaxS&#10;7KWCf0C8PbLPJJh9G7JrkvbTdwsFj8PM/IZZrDpTioZqV1hWMI5iEMSp1QVnCs6nj9EUhPPIGkvL&#10;pOCbHKyW/d4CE21bPlBz9JkIEHYJKsi9rxIpXZqTQRfZijh4N1sb9EHWmdQ1tgFuSvkSx2/SYMFh&#10;IceKNjml9+PDKHidfnXt6Wc7Ky/vzWzvq52+7lip4aBbz0F46vwz/N/+1AomE/j7E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JBQsUAAADbAAAADwAAAAAAAAAA&#10;AAAAAAChAgAAZHJzL2Rvd25yZXYueG1sUEsFBgAAAAAEAAQA+QAAAJMDAAAAAA==&#10;" strokecolor="#f6f"/>
          <v:shape id="AutoShape 2032" o:spid="_x0000_s2223" type="#_x0000_t32" style="position:absolute;left:794;width:0;height:16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vZNsYAAADbAAAADwAAAGRycy9kb3ducmV2LnhtbESPT2vCQBTE7wW/w/KE3nSj1WLSrGJb&#10;xF4s+AfE2yP7mgSzb0N2m6T99F1B6HGYmd8w6ao3lWipcaVlBZNxBII4s7rkXMHpuBktQDiPrLGy&#10;TAp+yMFqOXhIMdG24z21B5+LAGGXoILC+zqR0mUFGXRjWxMH78s2Bn2QTS51g12Am0pOo+hZGiw5&#10;LBRY01tB2fXwbRTMF7u+O/6+x9X5tY0/fb3Vly0r9Tjs1y8gPPX+P3xvf2gFTzO4fQk/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L2TbGAAAA2wAAAA8AAAAAAAAA&#10;AAAAAAAAoQIAAGRycy9kb3ducmV2LnhtbFBLBQYAAAAABAAEAPkAAACUAwAAAAA=&#10;" strokecolor="#f6f"/>
          <v:group id="Group 2033" o:spid="_x0000_s2203" style="position:absolute;left:1021;top:567;width:9865;height:15706" coordorigin="907,567" coordsize="9865,1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AutoShape 2034" o:spid="_x0000_s2222" type="#_x0000_t32" style="position:absolute;left:907;top:16273;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LYA8QAAADbAAAADwAAAGRycy9kb3ducmV2LnhtbESPQWvCQBSE74L/YXmCF6kbLYSSupG2&#10;WvBkNW3vj+xLNjT7NmTXmP77rlDwOMzMN8xmO9pWDNT7xrGC1TIBQVw63XCt4Ovz/eEJhA/IGlvH&#10;pOCXPGzz6WSDmXZXPtNQhFpECPsMFZgQukxKXxqy6JeuI45e5XqLIcq+lrrHa4TbVq6TJJUWG44L&#10;Bjt6M1T+FBer4DRYcwrf+8v6eHhdJLT7SItqUGo+G1+eQQQawz383z5oBY8p3L7EHy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0tgDxAAAANsAAAAPAAAAAAAAAAAA&#10;AAAAAKECAABkcnMvZG93bnJldi54bWxQSwUGAAAAAAQABAD5AAAAkgMAAAAA&#10;" strokecolor="#002060"/>
            <v:shape id="AutoShape 2035" o:spid="_x0000_s2221" type="#_x0000_t32" style="position:absolute;left:907;top:1452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d0QMUAAADbAAAADwAAAGRycy9kb3ducmV2LnhtbESPQWvCQBSE74L/YXlCb3UTC62kriKi&#10;UNpLjZG2t0f2mQSzb8PuVmN/fVcQPA4z8w0zW/SmFSdyvrGsIB0nIIhLqxuuFBS7zeMUhA/IGlvL&#10;pOBCHhbz4WCGmbZn3tIpD5WIEPYZKqhD6DIpfVmTQT+2HXH0DtYZDFG6SmqH5wg3rZwkybM02HBc&#10;qLGjVU3lMf81Cj7ovUgvX3b9893+5Z+H1Qb3LlXqYdQvX0EE6sM9fGu/aQVPL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d0QMUAAADbAAAADwAAAAAAAAAA&#10;AAAAAAChAgAAZHJzL2Rvd25yZXYueG1sUEsFBgAAAAAEAAQA+QAAAJMDAAAAAA==&#10;" strokecolor="#00b0f0"/>
            <v:shape id="AutoShape 2036" o:spid="_x0000_s2220" type="#_x0000_t32" style="position:absolute;left:907;top:56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Hp6sAAAADbAAAADwAAAGRycy9kb3ducmV2LnhtbERPy4rCMBTdC/MP4Q64EU1VkKEaxRkd&#10;cOWjo/tLc22KzU1pYu38vVkILg/nvVh1thItNb50rGA8SkAQ506XXCg4//0Ov0D4gKyxckwK/snD&#10;avnRW2Cq3YNP1GahEDGEfYoKTAh1KqXPDVn0I1cTR+7qGoshwqaQusFHDLeVnCTJTFosOTYYrOnH&#10;UH7L7lbBsbXmGC7b+2S/+x4ktDnMsmurVP+zW89BBOrCW/xy77SCaRwbv8Qf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cB6erAAAAA2wAAAA8AAAAAAAAAAAAAAAAA&#10;oQIAAGRycy9kb3ducmV2LnhtbFBLBQYAAAAABAAEAPkAAACOAwAAAAA=&#10;" strokecolor="#002060"/>
            <v:shape id="AutoShape 2037" o:spid="_x0000_s2219" type="#_x0000_t32" style="position:absolute;left:907;top:1439;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qcUAAADbAAAADwAAAGRycy9kb3ducmV2LnhtbESPQWvCQBSE74L/YXlCb3UTC6WmriKi&#10;UNpLjZG2t0f2mQSzb8PuVmN/fVcQPA4z8w0zW/SmFSdyvrGsIB0nIIhLqxuuFBS7zeMLCB+QNbaW&#10;ScGFPCzmw8EMM23PvKVTHioRIewzVFCH0GVS+rImg35sO+LoHawzGKJ0ldQOzxFuWjlJkmdpsOG4&#10;UGNHq5rKY/5rFHzQe5Fevuz657v9yz8Pqw3uXarUw6hfvoII1Id7+NZ+0wqepn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qcUAAADbAAAADwAAAAAAAAAA&#10;AAAAAAChAgAAZHJzL2Rvd25yZXYueG1sUEsFBgAAAAAEAAQA+QAAAJMDAAAAAA==&#10;" strokecolor="#00b0f0"/>
            <v:shape id="AutoShape 2038" o:spid="_x0000_s2218" type="#_x0000_t32" style="position:absolute;left:907;top:231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ifScEAAADbAAAADwAAAGRycy9kb3ducmV2LnhtbERPz2vCMBS+D/wfwhO8zbQiMqpRRBTE&#10;XbZOUW+P5tkWm5eSRK3+9cthsOPH93u26Ewj7uR8bVlBOkxAEBdW11wq2P9s3j9A+ICssbFMCp7k&#10;YTHvvc0w0/bB33TPQyliCPsMFVQhtJmUvqjIoB/aljhyF+sMhghdKbXDRww3jRwlyUQarDk2VNjS&#10;qqLimt+Mgk/a7dPn0a7Pp+aVf11WGzy4VKlBv1tOQQTqwr/4z73VCsZxffwSf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2J9JwQAAANsAAAAPAAAAAAAAAAAAAAAA&#10;AKECAABkcnMvZG93bnJldi54bWxQSwUGAAAAAAQABAD5AAAAjwMAAAAA&#10;" strokecolor="#00b0f0"/>
            <v:shape id="AutoShape 2039" o:spid="_x0000_s2217" type="#_x0000_t32" style="position:absolute;left:907;top:3184;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Q60sUAAADbAAAADwAAAGRycy9kb3ducmV2LnhtbESPT2sCMRTE70K/Q3gFb5rdUkS2xkWk&#10;QqkXu7VUb4/N2z+4eVmSVNd++qYgeBxm5jfMIh9MJ87kfGtZQTpNQBCXVrdcK9h/biZzED4ga+ws&#10;k4IreciXD6MFZtpe+IPORahFhLDPUEETQp9J6cuGDPqp7YmjV1lnMETpaqkdXiLcdPIpSWbSYMtx&#10;ocGe1g2Vp+LHKNjS+z69ftvX46H7LXbVeoNfLlVq/DisXkAEGsI9fGu/aQXP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Q60sUAAADbAAAADwAAAAAAAAAA&#10;AAAAAAChAgAAZHJzL2Rvd25yZXYueG1sUEsFBgAAAAAEAAQA+QAAAJMDAAAAAA==&#10;" strokecolor="#00b0f0"/>
            <v:shape id="AutoShape 2040" o:spid="_x0000_s2216" type="#_x0000_t32" style="position:absolute;left:907;top:405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akpcQAAADbAAAADwAAAGRycy9kb3ducmV2LnhtbESPQWvCQBSE74L/YXmCN91ERCR1lSIK&#10;RS82VWxvj+wzCWbfht2txv76bkHocZiZb5jFqjONuJHztWUF6TgBQVxYXXOp4PixHc1B+ICssbFM&#10;Ch7kYbXs9xaYaXvnd7rloRQRwj5DBVUIbSalLyoy6Me2JY7exTqDIUpXSu3wHuGmkZMkmUmDNceF&#10;CltaV1Rc82+jYE+7Y/o4283XZ/OTHy7rLZ5cqtRw0L2+gAjUhf/ws/2mFUwn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qSlxAAAANsAAAAPAAAAAAAAAAAA&#10;AAAAAKECAABkcnMvZG93bnJldi54bWxQSwUGAAAAAAQABAD5AAAAkgMAAAAA&#10;" strokecolor="#00b0f0"/>
            <v:shape id="AutoShape 2041" o:spid="_x0000_s2215" type="#_x0000_t32" style="position:absolute;left:907;top:4929;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oBPsUAAADbAAAADwAAAGRycy9kb3ducmV2LnhtbESPQWvCQBSE74L/YXlCb3UTW4qkriKi&#10;UNpLjZG2t0f2mQSzb8PuVmN/fVcQPA4z8w0zW/SmFSdyvrGsIB0nIIhLqxuuFBS7zeMUhA/IGlvL&#10;pOBCHhbz4WCGmbZn3tIpD5WIEPYZKqhD6DIpfVmTQT+2HXH0DtYZDFG6SmqH5wg3rZwkyYs02HBc&#10;qLGjVU3lMf81Cj7ovUgvX3b9893+5Z+H1Qb3LlXqYdQvX0EE6sM9fGu/aQXP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oBPsUAAADbAAAADwAAAAAAAAAA&#10;AAAAAAChAgAAZHJzL2Rvd25yZXYueG1sUEsFBgAAAAAEAAQA+QAAAJMDAAAAAA==&#10;" strokecolor="#00b0f0"/>
            <v:shape id="AutoShape 2042" o:spid="_x0000_s2214" type="#_x0000_t32" style="position:absolute;left:907;top:580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OZSsUAAADbAAAADwAAAGRycy9kb3ducmV2LnhtbESPT2sCMRTE7wW/Q3hCbzW7RUpZjYuI&#10;Qmkvdauot8fm7R/cvCxJqms/fSMUehxm5jfMPB9MJy7kfGtZQTpJQBCXVrdcK9h9bZ5eQfiArLGz&#10;TApu5CFfjB7mmGl75S1dilCLCGGfoYImhD6T0pcNGfQT2xNHr7LOYIjS1VI7vEa46eRzkrxIgy3H&#10;hQZ7WjVUnotvo+CD3nfp7WDXp2P3U3xWqw3uXarU43hYzkAEGsJ/+K/9phVMp3D/En+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OZSsUAAADbAAAADwAAAAAAAAAA&#10;AAAAAAChAgAAZHJzL2Rvd25yZXYueG1sUEsFBgAAAAAEAAQA+QAAAJMDAAAAAA==&#10;" strokecolor="#00b0f0"/>
            <v:shape id="AutoShape 2043" o:spid="_x0000_s2213" type="#_x0000_t32" style="position:absolute;left:907;top:6674;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880cUAAADbAAAADwAAAGRycy9kb3ducmV2LnhtbESPQWvCQBSE74L/YXlCb3UTaYukriKi&#10;UNpLjZG2t0f2mQSzb8PuVmN/fVcQPA4z8w0zW/SmFSdyvrGsIB0nIIhLqxuuFBS7zeMUhA/IGlvL&#10;pOBCHhbz4WCGmbZn3tIpD5WIEPYZKqhD6DIpfVmTQT+2HXH0DtYZDFG6SmqH5wg3rZwkyYs02HBc&#10;qLGjVU3lMf81Cj7ovUgvX3b9893+5Z+H1Qb3LlXqYdQvX0EE6sM9fGu/aQVPz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880cUAAADbAAAADwAAAAAAAAAA&#10;AAAAAAChAgAAZHJzL2Rvd25yZXYueG1sUEsFBgAAAAAEAAQA+QAAAJMDAAAAAA==&#10;" strokecolor="#00b0f0"/>
            <v:shape id="AutoShape 2044" o:spid="_x0000_s2212" type="#_x0000_t32" style="position:absolute;left:907;top:754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2ipsUAAADbAAAADwAAAGRycy9kb3ducmV2LnhtbESPT2sCMRTE70K/Q3iF3jS7UkS2xqVI&#10;BbGXdrW0vT02b//QzcuSRF399KYgeBxm5jfMIh9MJ47kfGtZQTpJQBCXVrdcK9jv1uM5CB+QNXaW&#10;ScGZPOTLh9ECM21P/EnHItQiQthnqKAJoc+k9GVDBv3E9sTRq6wzGKJ0tdQOTxFuOjlNkpk02HJc&#10;aLCnVUPlX3EwCt5pu0/P3/bt96e7FB/Vao1fLlXq6XF4fQERaAj38K290QqeZ/D/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2ipsUAAADbAAAADwAAAAAAAAAA&#10;AAAAAAChAgAAZHJzL2Rvd25yZXYueG1sUEsFBgAAAAAEAAQA+QAAAJMDAAAAAA==&#10;" strokecolor="#00b0f0"/>
            <v:shape id="AutoShape 2045" o:spid="_x0000_s2211" type="#_x0000_t32" style="position:absolute;left:907;top:842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EHPcUAAADbAAAADwAAAGRycy9kb3ducmV2LnhtbESPQWvCQBSE74L/YXlCb3UTKa2kriKi&#10;UNpLjZG2t0f2mQSzb8PuVmN/fVcQPA4z8w0zW/SmFSdyvrGsIB0nIIhLqxuuFBS7zeMUhA/IGlvL&#10;pOBCHhbz4WCGmbZn3tIpD5WIEPYZKqhD6DIpfVmTQT+2HXH0DtYZDFG6SmqH5wg3rZwkybM02HBc&#10;qLGjVU3lMf81Cj7ovUgvX3b9893+5Z+H1Qb3LlXqYdQvX0EE6sM9fGu/aQVPL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EHPcUAAADbAAAADwAAAAAAAAAA&#10;AAAAAAChAgAAZHJzL2Rvd25yZXYueG1sUEsFBgAAAAAEAAQA+QAAAJMDAAAAAA==&#10;" strokecolor="#00b0f0"/>
            <v:shape id="AutoShape 2046" o:spid="_x0000_s2210" type="#_x0000_t32" style="position:absolute;left:907;top:929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6TT8EAAADbAAAADwAAAGRycy9kb3ducmV2LnhtbERPz2vCMBS+D/wfwhO8zbQiMqpRRBTE&#10;XbZOUW+P5tkWm5eSRK3+9cthsOPH93u26Ewj7uR8bVlBOkxAEBdW11wq2P9s3j9A+ICssbFMCp7k&#10;YTHvvc0w0/bB33TPQyliCPsMFVQhtJmUvqjIoB/aljhyF+sMhghdKbXDRww3jRwlyUQarDk2VNjS&#10;qqLimt+Mgk/a7dPn0a7Pp+aVf11WGzy4VKlBv1tOQQTqwr/4z73VCsZxbPwSf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rpNPwQAAANsAAAAPAAAAAAAAAAAAAAAA&#10;AKECAABkcnMvZG93bnJldi54bWxQSwUGAAAAAAQABAD5AAAAjwMAAAAA&#10;" strokecolor="#00b0f0"/>
            <v:shape id="AutoShape 2047" o:spid="_x0000_s2209" type="#_x0000_t32" style="position:absolute;left:907;top:10165;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21MUAAADbAAAADwAAAGRycy9kb3ducmV2LnhtbESPQWvCQBSE74L/YXlCb3UTKaWmriKi&#10;UNpLjZG2t0f2mQSzb8PuVmN/fVcQPA4z8w0zW/SmFSdyvrGsIB0nIIhLqxuuFBS7zeMLCB+QNbaW&#10;ScGFPCzmw8EMM23PvKVTHioRIewzVFCH0GVS+rImg35sO+LoHawzGKJ0ldQOzxFuWjlJkmdpsOG4&#10;UGNHq5rKY/5rFHzQe5Fevuz657v9yz8Pqw3uXarUw6hfvoII1Id7+NZ+0wqepn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21MUAAADbAAAADwAAAAAAAAAA&#10;AAAAAAChAgAAZHJzL2Rvd25yZXYueG1sUEsFBgAAAAAEAAQA+QAAAJMDAAAAAA==&#10;" strokecolor="#00b0f0"/>
            <v:shape id="AutoShape 2048" o:spid="_x0000_s2208" type="#_x0000_t32" style="position:absolute;left:907;top:1103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EJlMEAAADbAAAADwAAAGRycy9kb3ducmV2LnhtbERPz2vCMBS+D/wfwhO8zbSCMqpRRBTE&#10;XbZOUW+P5tkWm5eSRK3+9cthsOPH93u26Ewj7uR8bVlBOkxAEBdW11wq2P9s3j9A+ICssbFMCp7k&#10;YTHvvc0w0/bB33TPQyliCPsMFVQhtJmUvqjIoB/aljhyF+sMhghdKbXDRww3jRwlyUQarDk2VNjS&#10;qqLimt+Mgk/a7dPn0a7Pp+aVf11WGzy4VKlBv1tOQQTqwr/4z73VCsZxffwSf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AQmUwQAAANsAAAAPAAAAAAAAAAAAAAAA&#10;AKECAABkcnMvZG93bnJldi54bWxQSwUGAAAAAAQABAD5AAAAjwMAAAAA&#10;" strokecolor="#00b0f0"/>
            <v:shape id="AutoShape 2049" o:spid="_x0000_s2207" type="#_x0000_t32" style="position:absolute;left:907;top:1191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2sD8UAAADbAAAADwAAAGRycy9kb3ducmV2LnhtbESPT2sCMRTE70K/Q3gFb5rdQkW2xkWk&#10;QqkXu7VUb4/N2z+4eVmSVNd++qYgeBxm5jfMIh9MJ87kfGtZQTpNQBCXVrdcK9h/biZzED4ga+ws&#10;k4IreciXD6MFZtpe+IPORahFhLDPUEETQp9J6cuGDPqp7YmjV1lnMETpaqkdXiLcdPIpSWbSYMtx&#10;ocGe1g2Vp+LHKNjS+z69ftvX46H7LXbVeoNfLlVq/DisXkAEGsI9fGu/aQXP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2sD8UAAADbAAAADwAAAAAAAAAA&#10;AAAAAAChAgAAZHJzL2Rvd25yZXYueG1sUEsFBgAAAAAEAAQA+QAAAJMDAAAAAA==&#10;" strokecolor="#00b0f0"/>
            <v:shape id="AutoShape 2050" o:spid="_x0000_s2206" type="#_x0000_t32" style="position:absolute;left:907;top:1278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8yeMQAAADbAAAADwAAAGRycy9kb3ducmV2LnhtbESPQWvCQBSE74L/YXmCN91EUCR1lSIK&#10;RS82VWxvj+wzCWbfht2txv76bkHocZiZb5jFqjONuJHztWUF6TgBQVxYXXOp4PixHc1B+ICssbFM&#10;Ch7kYbXs9xaYaXvnd7rloRQRwj5DBVUIbSalLyoy6Me2JY7exTqDIUpXSu3wHuGmkZMkmUmDNceF&#10;CltaV1Rc82+jYE+7Y/o4283XZ/OTHy7rLZ5cqtRw0L2+gAjUhf/ws/2mFUwn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zJ4xAAAANsAAAAPAAAAAAAAAAAA&#10;AAAAAKECAABkcnMvZG93bnJldi54bWxQSwUGAAAAAAQABAD5AAAAkgMAAAAA&#10;" strokecolor="#00b0f0"/>
            <v:shape id="AutoShape 2051" o:spid="_x0000_s2205" type="#_x0000_t32" style="position:absolute;left:907;top:13655;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OX48UAAADbAAAADwAAAGRycy9kb3ducmV2LnhtbESPQWvCQBSE74L/YXlCb3UTS4ukriKi&#10;UNpLjZG2t0f2mQSzb8PuVmN/fVcQPA4z8w0zW/SmFSdyvrGsIB0nIIhLqxuuFBS7zeMUhA/IGlvL&#10;pOBCHhbz4WCGmbZn3tIpD5WIEPYZKqhD6DIpfVmTQT+2HXH0DtYZDFG6SmqH5wg3rZwkyYs02HBc&#10;qLGjVU3lMf81Cj7ovUgvX3b9893+5Z+H1Qb3LlXqYdQvX0EE6sM9fGu/aQXP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OX48UAAADbAAAADwAAAAAAAAAA&#10;AAAAAAChAgAAZHJzL2Rvd25yZXYueG1sUEsFBgAAAAAEAAQA+QAAAJMDAAAAAA==&#10;" strokecolor="#00b0f0"/>
            <v:shape id="AutoShape 2052" o:spid="_x0000_s2204" type="#_x0000_t32" style="position:absolute;left:907;top:1540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oPl8UAAADbAAAADwAAAGRycy9kb3ducmV2LnhtbESPQWvCQBSE74L/YXlCb3UTaYukriKi&#10;UNpLjZG2t0f2mQSzb8PuVmN/fVcQPA4z8w0zW/SmFSdyvrGsIB0nIIhLqxuuFBS7zeMUhA/IGlvL&#10;pOBCHhbz4WCGmbZn3tIpD5WIEPYZKqhD6DIpfVmTQT+2HXH0DtYZDFG6SmqH5wg3rZwkyYs02HBc&#10;qLGjVU3lMf81Cj7ovUgvX3b9893+5Z+H1Qb3LlXqYdQvX0EE6sM9fGu/aQXP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oPl8UAAADbAAAADwAAAAAAAAAA&#10;AAAAAAChAgAAZHJzL2Rvd25yZXYueG1sUEsFBgAAAAAEAAQA+QAAAJMDAAAAAA==&#10;" strokecolor="#00b0f0"/>
          </v:group>
          <v:group id="Group 2053" o:spid="_x0000_s2190" style="position:absolute;left:1633;top:567;width:9251;height:15704" coordorigin="1635,567" coordsize="925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AutoShape 2054" o:spid="_x0000_s2202" type="#_x0000_t32" style="position:absolute;left:163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ugCcUAAADbAAAADwAAAGRycy9kb3ducmV2LnhtbESPQWvCQBSE74L/YXlCb3UToaWmriKi&#10;UNpLjZG2t0f2mQSzb8PuVmN/fVcQPA4z8w0zW/SmFSdyvrGsIB0nIIhLqxuuFBS7zeMLCB+QNbaW&#10;ScGFPCzmw8EMM23PvKVTHioRIewzVFCH0GVS+rImg35sO+LoHawzGKJ0ldQOzxFuWjlJkmdpsOG4&#10;UGNHq5rKY/5rFHzQe5Fevuz657v9yz8Pqw3uXarUw6hfvoII1Id7+NZ+0wqepn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ugCcUAAADbAAAADwAAAAAAAAAA&#10;AAAAAAChAgAAZHJzL2Rvd25yZXYueG1sUEsFBgAAAAAEAAQA+QAAAJMDAAAAAA==&#10;" strokecolor="#00b0f0"/>
            <v:shape id="AutoShape 2055" o:spid="_x0000_s2201" type="#_x0000_t32" style="position:absolute;left:247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3DKcEAAADbAAAADwAAAGRycy9kb3ducmV2LnhtbERPTYvCMBC9L/gfwgje1rQeZOkaRURB&#10;1otbXdTb0IxtsZmUJKvVX28OgsfH+57MOtOIKzlfW1aQDhMQxIXVNZcK9rvV5xcIH5A1NpZJwZ08&#10;zKa9jwlm2t74l655KEUMYZ+hgiqENpPSFxUZ9EPbEkfubJ3BEKErpXZ4i+GmkaMkGUuDNceGClta&#10;VFRc8n+jYEM/+/R+sMvTsXnk2/NihX8uVWrQ7+bfIAJ14S1+uddawTiuj1/iD5D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bcMpwQAAANsAAAAPAAAAAAAAAAAAAAAA&#10;AKECAABkcnMvZG93bnJldi54bWxQSwUGAAAAAAQABAD5AAAAjwMAAAAA&#10;" strokecolor="#00b0f0"/>
            <v:shape id="AutoShape 2056" o:spid="_x0000_s2200" type="#_x0000_t32" style="position:absolute;left:3317;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hvasMAAADbAAAADwAAAGRycy9kb3ducmV2LnhtbESPQWvCQBSE7wX/w/IEL0U3eggluora&#10;Cp6qRr0/ss9sMPs2ZNeY/vtuQehxmJlvmMWqt7XoqPWVYwXTSQKCuHC64lLB5bwbf4DwAVlj7ZgU&#10;/JCH1XLwtsBMuyefqMtDKSKEfYYKTAhNJqUvDFn0E9cQR+/mWoshyraUusVnhNtazpIklRYrjgsG&#10;G9oaKu75wyo4dtYcw/XrMfveb94T+jyk+a1TajTs13MQgfrwH36191pBOoW/L/E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Ib2rDAAAA2wAAAA8AAAAAAAAAAAAA&#10;AAAAoQIAAGRycy9kb3ducmV2LnhtbFBLBQYAAAAABAAEAPkAAACRAwAAAAA=&#10;" strokecolor="#002060"/>
            <v:shape id="AutoShape 2057" o:spid="_x0000_s2199" type="#_x0000_t32" style="position:absolute;left:4158;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P4xcUAAADbAAAADwAAAGRycy9kb3ducmV2LnhtbESPT2sCMRTE74LfITyhN82uBymrcSmi&#10;IO2l3Sq2t8fm7R+6eVmSVNd+eiMUPA4z8xtmlQ+mE2dyvrWsIJ0lIIhLq1uuFRw+d9NnED4ga+ws&#10;k4IrecjX49EKM20v/EHnItQiQthnqKAJoc+k9GVDBv3M9sTRq6wzGKJ0tdQOLxFuOjlPkoU02HJc&#10;aLCnTUPlT/FrFLzR6yG9nuz2+6v7K96rzQ6PLlXqaTK8LEEEGsIj/N/eawWLOdy/x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vP4xcUAAADbAAAADwAAAAAAAAAA&#10;AAAAAAChAgAAZHJzL2Rvd25yZXYueG1sUEsFBgAAAAAEAAQA+QAAAJMDAAAAAA==&#10;" strokecolor="#00b0f0"/>
            <v:shape id="AutoShape 2058" o:spid="_x0000_s2198" type="#_x0000_t32" style="position:absolute;left:4999;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9dXsUAAADbAAAADwAAAGRycy9kb3ducmV2LnhtbESPT2sCMRTE70K/Q3iF3jS7FkS2xqVI&#10;BbGXdrW0vT02b//QzcuSRF399KYgeBxm5jfMIh9MJ47kfGtZQTpJQBCXVrdcK9jv1uM5CB+QNXaW&#10;ScGZPOTLh9ECM21P/EnHItQiQthnqKAJoc+k9GVDBv3E9sTRq6wzGKJ0tdQOTxFuOjlNkpk02HJc&#10;aLCnVUPlX3EwCt5pu0/P3/bt96e7FB/Vao1fLlXq6XF4fQERaAj38K290Qpmz/D/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9dXsUAAADbAAAADwAAAAAAAAAA&#10;AAAAAAChAgAAZHJzL2Rvd25yZXYueG1sUEsFBgAAAAAEAAQA+QAAAJMDAAAAAA==&#10;" strokecolor="#00b0f0"/>
            <v:shape id="AutoShape 2059" o:spid="_x0000_s2197" type="#_x0000_t32" style="position:absolute;left:5840;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M8sQAAADbAAAADwAAAGRycy9kb3ducmV2LnhtbESPQWvCQBSE74L/YXmCF6kbpYSSupG2&#10;WvBkNW3vj+xLNjT7NmTXmP77rlDwOMzMN8xmO9pWDNT7xrGC1TIBQVw63XCt4Ovz/eEJhA/IGlvH&#10;pOCXPGzz6WSDmXZXPtNQhFpECPsMFZgQukxKXxqy6JeuI45e5XqLIcq+lrrHa4TbVq6TJJUWG44L&#10;Bjt6M1T+FBer4DRYcwrf+8v6eHhdJLT7SItqUGo+G1+eQQQawz383z5oBekj3L7EHy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8zyxAAAANsAAAAPAAAAAAAAAAAA&#10;AAAAAKECAABkcnMvZG93bnJldi54bWxQSwUGAAAAAAQABAD5AAAAkgMAAAAA&#10;" strokecolor="#002060"/>
            <v:shape id="AutoShape 2060" o:spid="_x0000_s2196" type="#_x0000_t32" style="position:absolute;left:668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pgscUAAADbAAAADwAAAGRycy9kb3ducmV2LnhtbESPT2sCMRTE70K/Q3iF3jS7QkW2xqVI&#10;BbGXdrW0vT02b//QzcuSRF399KYgeBxm5jfMIh9MJ47kfGtZQTpJQBCXVrdcK9jv1uM5CB+QNXaW&#10;ScGZPOTLh9ECM21P/EnHItQiQthnqKAJoc+k9GVDBv3E9sTRq6wzGKJ0tdQOTxFuOjlNkpk02HJc&#10;aLCnVUPlX3EwCt5pu0/P3/bt96e7FB/Vao1fLlXq6XF4fQERaAj38K290Qpmz/D/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pgscUAAADbAAAADwAAAAAAAAAA&#10;AAAAAAChAgAAZHJzL2Rvd25yZXYueG1sUEsFBgAAAAAEAAQA+QAAAJMDAAAAAA==&#10;" strokecolor="#00b0f0"/>
            <v:shape id="AutoShape 2061" o:spid="_x0000_s2195" type="#_x0000_t32" style="position:absolute;left:752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j+xsQAAADbAAAADwAAAGRycy9kb3ducmV2LnhtbESPQWvCQBSE7wX/w/IEb3UTD6FEVxFR&#10;kHppU0W9PbLPJJh9G3a3Gvvru4WCx2FmvmFmi9604kbON5YVpOMEBHFpdcOVgv3X5vUNhA/IGlvL&#10;pOBBHhbzwcsMc23v/Em3IlQiQtjnqKAOocul9GVNBv3YdsTRu1hnMETpKqkd3iPctHKSJJk02HBc&#10;qLGjVU3ltfg2Cnb0vk8fR7s+n9qf4uOy2uDBpUqNhv1yCiJQH57h//ZWK8gy+PsSf4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yP7GxAAAANsAAAAPAAAAAAAAAAAA&#10;AAAAAKECAABkcnMvZG93bnJldi54bWxQSwUGAAAAAAQABAD5AAAAkgMAAAAA&#10;" strokecolor="#00b0f0"/>
            <v:shape id="AutoShape 2062" o:spid="_x0000_s2194" type="#_x0000_t32" style="position:absolute;left:8363;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1ShcMAAADbAAAADwAAAGRycy9kb3ducmV2LnhtbESPQWvCQBSE70L/w/IKvYhu6iGV6Cpq&#10;K3iyNur9kX1mg9m3IbvG+O/dQqHHYWa+YebL3taio9ZXjhW8jxMQxIXTFZcKTsftaArCB2SNtWNS&#10;8CAPy8XLYI6Zdnf+oS4PpYgQ9hkqMCE0mZS+MGTRj11DHL2Lay2GKNtS6hbvEW5rOUmSVFqsOC4Y&#10;bGhjqLjmN6vg0FlzCOev22S/Ww8T+vxO80un1Ntrv5qBCNSH//Bfe6cVpB/w+yX+A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tUoXDAAAA2wAAAA8AAAAAAAAAAAAA&#10;AAAAoQIAAGRycy9kb3ducmV2LnhtbFBLBQYAAAAABAAEAPkAAACRAwAAAAA=&#10;" strokecolor="#002060"/>
            <v:shape id="AutoShape 2063" o:spid="_x0000_s2193" type="#_x0000_t32" style="position:absolute;left:9204;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vPL8EAAADbAAAADwAAAGRycy9kb3ducmV2LnhtbERPTYvCMBC9L/gfwgje1rQeZOkaRURB&#10;1otbXdTb0IxtsZmUJKvVX28OgsfH+57MOtOIKzlfW1aQDhMQxIXVNZcK9rvV5xcIH5A1NpZJwZ08&#10;zKa9jwlm2t74l655KEUMYZ+hgiqENpPSFxUZ9EPbEkfubJ3BEKErpXZ4i+GmkaMkGUuDNceGClta&#10;VFRc8n+jYEM/+/R+sMvTsXnk2/NihX8uVWrQ7+bfIAJ14S1+uddawTiOjV/iD5D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G88vwQAAANsAAAAPAAAAAAAAAAAAAAAA&#10;AKECAABkcnMvZG93bnJldi54bWxQSwUGAAAAAAQABAD5AAAAjwMAAAAA&#10;" strokecolor="#00b0f0"/>
            <v:shape id="AutoShape 2064" o:spid="_x0000_s2192" type="#_x0000_t32" style="position:absolute;left:1004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dqtMUAAADbAAAADwAAAGRycy9kb3ducmV2LnhtbESPT2sCMRTE7wW/Q3hCbzW7PUi7GhcR&#10;hdJe6lZRb4/N2z+4eVmSVNd++kYo9DjMzG+YeT6YTlzI+daygnSSgCAurW65VrD72jy9gPABWWNn&#10;mRTcyEO+GD3MMdP2ylu6FKEWEcI+QwVNCH0mpS8bMugntieOXmWdwRClq6V2eI1w08nnJJlKgy3H&#10;hQZ7WjVUnotvo+CD3nfp7WDXp2P3U3xWqw3uXarU43hYzkAEGsJ/+K/9phVMX+H+Jf4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FdqtMUAAADbAAAADwAAAAAAAAAA&#10;AAAAAAChAgAAZHJzL2Rvd25yZXYueG1sUEsFBgAAAAAEAAQA+QAAAJMDAAAAAA==&#10;" strokecolor="#00b0f0"/>
            <v:shape id="AutoShape 2065" o:spid="_x0000_s2191" type="#_x0000_t32" style="position:absolute;left:1088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1cLMEAAADbAAAADwAAAGRycy9kb3ducmV2LnhtbERPu27CMBTdK/EP1kXqUhWnGSgKGFRo&#10;kTK1EMp+FV/iqPF1FDsP/r4eKnU8Ou/NbrKNGKjztWMFL4sEBHHpdM2Vgu/L8XkFwgdkjY1jUnAn&#10;D7vt7GGDmXYjn2koQiViCPsMFZgQ2kxKXxqy6BeuJY7czXUWQ4RdJXWHYwy3jUyTZCkt1hwbDLZ0&#10;MFT+FL1VcBqsOYXrR59+5vunhN6/lsVtUOpxPr2tQQSawr/4z51rBa9xffwSf4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VwswQAAANsAAAAPAAAAAAAAAAAAAAAA&#10;AKECAABkcnMvZG93bnJldi54bWxQSwUGAAAAAAQABAD5AAAAjwMAAAAA&#10;" strokecolor="#002060"/>
          </v:group>
          <w10:wrap anchorx="page" anchory="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Pr="000F4EB8" w:rsidRDefault="005B3056" w:rsidP="000F4EB8">
    <w:pPr>
      <w:pStyle w:val="URLCover"/>
      <w:rPr>
        <w:rFonts w:eastAsia="+mn-ea"/>
      </w:rPr>
    </w:pPr>
    <w:r>
      <w:rPr>
        <w:noProof/>
        <w:snapToGrid/>
        <w:lang w:eastAsia="en-AU"/>
      </w:rPr>
      <w:pict>
        <v:group id="Group 5448" o:spid="_x0000_s2177" style="position:absolute;margin-left:165.55pt;margin-top:71.75pt;width:421.35pt;height:698.15pt;z-index:252179456;mso-position-horizontal-relative:page;mso-position-vertical-relative:page" coordorigin="3311,1531" coordsize="8202,1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">
          <v:rect id="Rectangle 5449" o:spid="_x0000_s2188" style="position:absolute;left:3311;top:8418;width:7460;height:6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3B/sAA&#10;AADaAAAADwAAAGRycy9kb3ducmV2LnhtbESPQYvCMBSE7wv+h/AEL4umCopbjSKKIOzJrnh+NM+m&#10;2ryUJtb67zeC4HGYmW+Y5bqzlWip8aVjBeNRAoI4d7rkQsHpbz+cg/ABWWPlmBQ8ycN61ftaYqrd&#10;g4/UZqEQEcI+RQUmhDqV0ueGLPqRq4mjd3GNxRBlU0jd4CPCbSUnSTKTFkuOCwZr2hrKb9ndKsjI&#10;2OnP/nr+3Z7a79luY+etPCs16HebBYhAXfiE3+2DVjCF15V4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3B/sAAAADaAAAADwAAAAAAAAAAAAAAAACYAgAAZHJzL2Rvd25y&#10;ZXYueG1sUEsFBgAAAAAEAAQA9QAAAIUDAAAAAA==&#10;" fillcolor="#f3bc87" stroked="f"/>
          <v:rect id="Rectangle 5450" o:spid="_x0000_s2187" style="position:absolute;left:3311;top:1531;width:6314;height:1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L6KMEA&#10;AADaAAAADwAAAGRycy9kb3ducmV2LnhtbESPQWsCMRSE74L/ITyhN83WFpGtURap4K3sKnp9bF43&#10;SzcvcZPq9t83guBxmJlvmNVmsJ24Uh9axwpeZxkI4trplhsFx8NuugQRIrLGzjEp+KMAm/V4tMJc&#10;uxuXdK1iIxKEQ44KTIw+lzLUhiyGmfPEyft2vcWYZN9I3eMtwW0n51m2kBZbTgsGPW0N1T/Vr1Xw&#10;Vpz59D7Hr7KoPn0sfdleOqPUy2QoPkBEGuIz/GjvtYIF3K+kG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i+ijBAAAA2gAAAA8AAAAAAAAAAAAAAAAAmAIAAGRycy9kb3du&#10;cmV2LnhtbFBLBQYAAAAABAAEAPUAAACGAwAAAAA=&#10;" fillcolor="#ee9c34" stroked="f"/>
          <v:rect id="Rectangle 5451" o:spid="_x0000_s2186" style="position:absolute;left:3311;top:10138;width:8202;height:5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R7xsQA&#10;AADaAAAADwAAAGRycy9kb3ducmV2LnhtbESPQWsCMRSE70L/Q3iF3jRbD11ZjSIWsaBQu+3F22Pz&#10;3CxuXpYkdVd/fVMo9DjMzDfMYjXYVlzJh8axgudJBoK4crrhWsHX53Y8AxEissbWMSm4UYDV8mG0&#10;wEK7nj/oWsZaJAiHAhWYGLtCylAZshgmriNO3tl5izFJX0vtsU9w28pplr1Iiw2nBYMdbQxVl/Lb&#10;Ktjl/pj1r/fTae9Nvg3vh3Xrg1JPj8N6DiLSEP/Df+03rSCH3yvpBs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Ee8bEAAAA2gAAAA8AAAAAAAAAAAAAAAAAmAIAAGRycy9k&#10;b3ducmV2LnhtbFBLBQYAAAAABAAEAPUAAACJAwAAAAA=&#10;" fillcolor="#f3be26" stroked="f"/>
          <v:rect id="Rectangle 5452" o:spid="_x0000_s2185" style="position:absolute;left:3311;top:2399;width:6929;height:12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DtsIA&#10;AADaAAAADwAAAGRycy9kb3ducmV2LnhtbERPu07DMBTdkfgH6yJ1o047RCitE1UpfUiIgZaB8Ta+&#10;eUB8HWKnTf4eD0gdj857nY2mFVfqXWNZwWIegSAurG64UvB53j2/gHAeWWNrmRRM5CBLHx/WmGh7&#10;4w+6nnwlQgi7BBXU3neJlK6oyaCb2444cKXtDfoA+0rqHm8h3LRyGUWxNNhwaKixo7ym4uc0GAVf&#10;y4bL99/4e18ddsX0dpmG7Wuu1Oxp3KxAeBr9XfzvPmoFYWu4Em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wO2wgAAANoAAAAPAAAAAAAAAAAAAAAAAJgCAABkcnMvZG93&#10;bnJldi54bWxQSwUGAAAAAAQABAD1AAAAhwMAAAAA&#10;" fillcolor="#e669a2" stroked="f"/>
          <v:rect id="Rectangle 5453" o:spid="_x0000_s2184" style="position:absolute;left:3311;top:10138;width:7460;height:5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sucQA&#10;AADaAAAADwAAAGRycy9kb3ducmV2LnhtbESP3WrCQBSE7wu+w3IEb4puIlg0ukoQWlqUFn8e4Jg9&#10;JtHs2ZBdY3x7t1Do5TAz3zCLVWcq0VLjSssK4lEEgjizuuRcwfHwPpyCcB5ZY2WZFDzIwWrZe1lg&#10;ou2dd9TufS4ChF2CCgrv60RKlxVk0I1sTRy8s20M+iCbXOoG7wFuKjmOojdpsOSwUGBN64Ky6/5m&#10;FFy2X7V99V08+T79lHG7GaeP9EOpQb9L5yA8df4//Nf+1Apm8Hsl3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rLnEAAAA2gAAAA8AAAAAAAAAAAAAAAAAmAIAAGRycy9k&#10;b3ducmV2LnhtbFBLBQYAAAAABAAEAPUAAACJAwAAAAA=&#10;" fillcolor="#e88c14" stroked="f"/>
          <v:rect id="Rectangle 5454" o:spid="_x0000_s2183" style="position:absolute;left:3311;top:2399;width:6314;height:12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0+MAA&#10;AADbAAAADwAAAGRycy9kb3ducmV2LnhtbERPTYvCMBC9L/gfwgjetqmKItUoIioeBNkqgrehGdti&#10;MylN1PrvjSDsbR7vc2aL1lTiQY0rLSvoRzEI4szqknMFp+PmdwLCeWSNlWVS8CIHi3nnZ4aJtk/+&#10;o0fqcxFC2CWooPC+TqR0WUEGXWRr4sBdbWPQB9jkUjf4DOGmkoM4HkuDJYeGAmtaFZTd0rtRcDiv&#10;lqOLvY6H27jdc1auU72/KdXrtsspCE+t/xd/3Tsd5vfh80s4QM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u0+MAAAADbAAAADwAAAAAAAAAAAAAAAACYAgAAZHJzL2Rvd25y&#10;ZXYueG1sUEsFBgAAAAAEAAQA9QAAAIUDAAAAAA==&#10;" fillcolor="#d74021" stroked="f"/>
          <v:rect id="Rectangle 5455" o:spid="_x0000_s2182" style="position:absolute;left:3311;top:8418;width:6929;height:6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q+8MA&#10;AADbAAAADwAAAGRycy9kb3ducmV2LnhtbERPTWvCQBC9C/6HZYTedKNQDamrVEHpQdDEHuxtyI5J&#10;bHY2Zrca/323IPQ2j/c582VnanGj1lWWFYxHEQji3OqKCwWfx80wBuE8ssbaMil4kIPlot+bY6Lt&#10;nVO6Zb4QIYRdggpK75tESpeXZNCNbEMcuLNtDfoA20LqFu8h3NRyEkVTabDi0FBiQ+uS8u/sxyi4&#10;bF/TdH/8Wh22WXw9jWc7nZ+cUi+D7v0NhKfO/4uf7g8d5k/g75dw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q+8MAAADbAAAADwAAAAAAAAAAAAAAAACYAgAAZHJzL2Rv&#10;d25yZXYueG1sUEsFBgAAAAAEAAQA9QAAAIgDAAAAAA==&#10;" fillcolor="#db4d56" stroked="f"/>
          <v:rect id="Rectangle 5456" o:spid="_x0000_s2181" style="position:absolute;left:3311;top:10138;width:6929;height:5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DMIA&#10;AADbAAAADwAAAGRycy9kb3ducmV2LnhtbERPTWuDQBC9F/Iflgn01qy1WILJRkqgpCchthRyG9yp&#10;St1Z467R+OuzgUJv83ifs80m04oL9a6xrOB5FYEgLq1uuFLw9fn+tAbhPLLG1jIpuJKDbLd42GKq&#10;7chHuhS+EiGEXYoKau+7VEpX1mTQrWxHHLgf2xv0AfaV1D2OIdy0Mo6iV2mw4dBQY0f7msrfYjAK&#10;Ej3zEK/ZJPnBHtrv0zzl51mpx+X0tgHhafL/4j/3hw7zX+D+Szh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4QMwgAAANsAAAAPAAAAAAAAAAAAAAAAAJgCAABkcnMvZG93&#10;bnJldi54bWxQSwUGAAAAAAQABAD1AAAAhwMAAAAA&#10;" fillcolor="#d13a0d" stroked="f"/>
          <v:rect id="Rectangle 5457" o:spid="_x0000_s2180" style="position:absolute;left:3311;top:8418;width:6314;height:6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PUrcMA&#10;AADbAAAADwAAAGRycy9kb3ducmV2LnhtbERP32vCMBB+H/g/hBN8m6kiMqtRRCcKImw69PVobk1Z&#10;c+ma2Hb//SIM9nYf389brDpbioZqXzhWMBomIIgzpwvOFXxcds8vIHxA1lg6JgU/5GG17D0tMNWu&#10;5XdqziEXMYR9igpMCFUqpc8MWfRDVxFH7tPVFkOEdS51jW0Mt6UcJ8lUWiw4NhisaGMo+zrfrYK3&#10;7bUxs2J32l/a6+F4237PXo9TpQb9bj0HEagL/+I/90HH+RN4/B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PUrcMAAADbAAAADwAAAAAAAAAAAAAAAACYAgAAZHJzL2Rv&#10;d25yZXYueG1sUEsFBgAAAAAEAAQA9QAAAIgDAAAAAA==&#10;" fillcolor="#cd2f12" stroked="f"/>
          <v:rect id="Rectangle 5458" o:spid="_x0000_s2179" style="position:absolute;left:3311;top:10138;width:6314;height:5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XYsAA&#10;AADbAAAADwAAAGRycy9kb3ducmV2LnhtbERPS4vCMBC+C/6HMII3TS34oGsUEYWCe1gfex+a2TZs&#10;MylNrPXfbwRhb/PxPWe97W0tOmq9caxgNk1AEBdOGy4V3K7HyQqED8gaa8ek4EketpvhYI2Zdg8+&#10;U3cJpYgh7DNUUIXQZFL6oiKLfuoa4sj9uNZiiLAtpW7xEcNtLdMkWUiLhmNDhQ3tKyp+L3erID+4&#10;/DtddgezOOHnV3pfHs35pNR41O8+QATqw7/47c51nD+H1y/x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hXYsAAAADbAAAADwAAAAAAAAAAAAAAAACYAgAAZHJzL2Rvd25y&#10;ZXYueG1sUEsFBgAAAAAEAAQA9QAAAIUDAAAAAA==&#10;" fillcolor="#c42303" stroked="f"/>
          <v:rect id="Rectangle 5459" o:spid="_x0000_s2178" style="position:absolute;left:3311;top:11857;width:3486;height:3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77WsMA&#10;AADbAAAADwAAAGRycy9kb3ducmV2LnhtbERPS2vCQBC+C/6HZQremk17sDa6EVuwFCwVU0G8jdnJ&#10;A7OzIbvG9N93hYK3+fies1gOphE9da62rOApikEQ51bXXCrY/6wfZyCcR9bYWCYFv+RgmY5HC0y0&#10;vfKO+syXIoSwS1BB5X2bSOnyigy6yLbEgStsZ9AH2JVSd3gN4aaRz3E8lQZrDg0VtvReUX7OLkbB&#10;oTyuNq/9Bk/Zy8fa92/F4ftrq9TkYVjNQXga/F387/7UYf4Ubr+EA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77WsMAAADbAAAADwAAAAAAAAAAAAAAAACYAgAAZHJzL2Rv&#10;d25yZXYueG1sUEsFBgAAAAAEAAQA9QAAAIgDAAAAAA==&#10;" fillcolor="#9a1702" stroked="f"/>
          <w10:wrap anchorx="page" anchory="page"/>
        </v:group>
      </w:pict>
    </w:r>
    <w:r w:rsidR="000B2006">
      <w:rPr>
        <w:noProof/>
        <w:snapToGrid/>
        <w:lang w:eastAsia="en-AU"/>
      </w:rPr>
      <w:drawing>
        <wp:anchor distT="0" distB="0" distL="114300" distR="114300" simplePos="0" relativeHeight="252091392" behindDoc="1" locked="0" layoutInCell="1" allowOverlap="1">
          <wp:simplePos x="0" y="0"/>
          <wp:positionH relativeFrom="page">
            <wp:posOffset>1315587</wp:posOffset>
          </wp:positionH>
          <wp:positionV relativeFrom="page">
            <wp:posOffset>9771797</wp:posOffset>
          </wp:positionV>
          <wp:extent cx="936294" cy="545910"/>
          <wp:effectExtent l="19050" t="0" r="0" b="0"/>
          <wp:wrapNone/>
          <wp:docPr id="3" name="PwCLogoP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6294" cy="545910"/>
                  </a:xfrm>
                  <a:prstGeom prst="rect">
                    <a:avLst/>
                  </a:prstGeom>
                  <a:noFill/>
                  <a:ln w="9525">
                    <a:noFill/>
                    <a:miter lim="800000"/>
                    <a:headEnd/>
                    <a:tailEnd/>
                  </a:ln>
                </pic:spPr>
              </pic:pic>
            </a:graphicData>
          </a:graphic>
        </wp:anchor>
      </w:drawing>
    </w:r>
    <w:r w:rsidR="000B2006">
      <w:rPr>
        <w:rFonts w:eastAsia="+mn-ea"/>
      </w:rPr>
      <w:t>www.pwc.com.au</w:t>
    </w:r>
    <w:r w:rsidR="000B2006">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Pr="005D1FC6" w:rsidRDefault="005B3056" w:rsidP="005D1FC6">
    <w:pPr>
      <w:pStyle w:val="Header"/>
    </w:pPr>
    <w:r>
      <w:fldChar w:fldCharType="begin"/>
    </w:r>
    <w:r>
      <w:instrText xml:space="preserve"> STYLE</w:instrText>
    </w:r>
    <w:r>
      <w:instrText xml:space="preserve">REF "Preface Title" </w:instrText>
    </w:r>
    <w:r>
      <w:fldChar w:fldCharType="separate"/>
    </w:r>
    <w:r>
      <w:rPr>
        <w:noProof/>
      </w:rPr>
      <w:t>Overview of findings</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Pr="005D1FC6" w:rsidRDefault="005B3056" w:rsidP="005D1FC6">
    <w:pPr>
      <w:pStyle w:val="Header"/>
    </w:pPr>
    <w:r>
      <w:fldChar w:fldCharType="begin"/>
    </w:r>
    <w:r>
      <w:instrText xml:space="preserve"> STYLEREF "Preface Title" </w:instrText>
    </w:r>
    <w:r>
      <w:fldChar w:fldCharType="separate"/>
    </w:r>
    <w:r>
      <w:rPr>
        <w:noProof/>
      </w:rPr>
      <w:t>Overview of findings</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Pr="00460052" w:rsidRDefault="000B2006" w:rsidP="00460052">
    <w:pPr>
      <w:pStyle w:val="FirstPagePanelFrame"/>
      <w:framePr w:wrap="notBesid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Pr="0085497F" w:rsidRDefault="005B3056" w:rsidP="0085497F">
    <w:pPr>
      <w:pStyle w:val="Header-Even"/>
    </w:pPr>
    <w:r>
      <w:fldChar w:fldCharType="begin"/>
    </w:r>
    <w:r>
      <w:instrText xml:space="preserve"> STYLEREF "Heading 2" </w:instrText>
    </w:r>
    <w:r>
      <w:fldChar w:fldCharType="separate"/>
    </w:r>
    <w:r w:rsidR="000B2006">
      <w:rPr>
        <w:noProof/>
      </w:rPr>
      <w:t>Purpose and method of the review</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Pr="0085497F" w:rsidRDefault="005B3056" w:rsidP="0085497F">
    <w:pPr>
      <w:pStyle w:val="Header"/>
    </w:pPr>
    <w:r>
      <w:fldChar w:fldCharType="begin"/>
    </w:r>
    <w:r>
      <w:instrText xml:space="preserve"> STYLEREF "H</w:instrText>
    </w:r>
    <w:r>
      <w:instrText xml:space="preserve">eading 2" </w:instrText>
    </w:r>
    <w:r>
      <w:fldChar w:fldCharType="separate"/>
    </w:r>
    <w:r w:rsidR="000B2006">
      <w:rPr>
        <w:noProof/>
      </w:rPr>
      <w:t>Purpose and method of the review</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06" w:rsidRDefault="000B2006" w:rsidP="004521EC">
    <w:pPr>
      <w:pStyle w:val="Header"/>
    </w:pPr>
  </w:p>
  <w:p w:rsidR="000B2006" w:rsidRPr="00460052" w:rsidRDefault="000B2006" w:rsidP="00460052">
    <w:pPr>
      <w:pStyle w:val="FirstPagePanelFrame-Contents"/>
      <w:framePr w:wrap="notBesid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EC6406"/>
    <w:lvl w:ilvl="0">
      <w:start w:val="1"/>
      <w:numFmt w:val="bullet"/>
      <w:lvlText w:val=""/>
      <w:lvlJc w:val="left"/>
      <w:pPr>
        <w:tabs>
          <w:tab w:val="num" w:pos="360"/>
        </w:tabs>
        <w:ind w:left="360" w:hanging="360"/>
      </w:pPr>
      <w:rPr>
        <w:rFonts w:ascii="Symbol" w:hAnsi="Symbol" w:hint="default"/>
      </w:rPr>
    </w:lvl>
  </w:abstractNum>
  <w:abstractNum w:abstractNumId="1">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F63688"/>
    <w:multiLevelType w:val="hybridMultilevel"/>
    <w:tmpl w:val="89423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
    <w:nsid w:val="08112352"/>
    <w:multiLevelType w:val="multilevel"/>
    <w:tmpl w:val="F1841220"/>
    <w:name w:val="Bullets"/>
    <w:styleLink w:val="Bullets"/>
    <w:lvl w:ilvl="0">
      <w:start w:val="1"/>
      <w:numFmt w:val="bullet"/>
      <w:pStyle w:val="Bullet1"/>
      <w:lvlText w:val=""/>
      <w:lvlJc w:val="left"/>
      <w:pPr>
        <w:tabs>
          <w:tab w:val="num" w:pos="567"/>
        </w:tabs>
        <w:ind w:left="567" w:hanging="567"/>
      </w:pPr>
      <w:rPr>
        <w:rFonts w:ascii="Symbol" w:hAnsi="Symbol" w:hint="default"/>
        <w:color w:val="auto"/>
      </w:rPr>
    </w:lvl>
    <w:lvl w:ilvl="1">
      <w:start w:val="1"/>
      <w:numFmt w:val="bullet"/>
      <w:pStyle w:val="Bullet2"/>
      <w:lvlText w:val="–"/>
      <w:lvlJc w:val="left"/>
      <w:pPr>
        <w:tabs>
          <w:tab w:val="num" w:pos="1134"/>
        </w:tabs>
        <w:ind w:left="1134" w:hanging="567"/>
      </w:pPr>
      <w:rPr>
        <w:rFonts w:ascii="Arial" w:hAnsi="Arial" w:hint="default"/>
        <w:color w:val="auto"/>
      </w:rPr>
    </w:lvl>
    <w:lvl w:ilvl="2">
      <w:start w:val="1"/>
      <w:numFmt w:val="bullet"/>
      <w:pStyle w:val="Bullet3"/>
      <w:lvlText w:val="◦"/>
      <w:lvlJc w:val="left"/>
      <w:pPr>
        <w:tabs>
          <w:tab w:val="num" w:pos="1701"/>
        </w:tabs>
        <w:ind w:left="1701" w:hanging="567"/>
      </w:pPr>
      <w:rPr>
        <w:rFonts w:ascii="Georgia" w:hAnsi="Georgia" w:hint="default"/>
        <w:color w:val="auto"/>
      </w:rPr>
    </w:lvl>
    <w:lvl w:ilvl="3">
      <w:start w:val="1"/>
      <w:numFmt w:val="bullet"/>
      <w:pStyle w:val="Bullet4"/>
      <w:lvlText w:val=""/>
      <w:lvlJc w:val="left"/>
      <w:pPr>
        <w:tabs>
          <w:tab w:val="num" w:pos="2268"/>
        </w:tabs>
        <w:ind w:left="2268"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7">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BB41FF6"/>
    <w:multiLevelType w:val="hybridMultilevel"/>
    <w:tmpl w:val="37287532"/>
    <w:lvl w:ilvl="0" w:tplc="46B27666">
      <w:start w:val="1"/>
      <w:numFmt w:val="bullet"/>
      <w:pStyle w:val="Bulletletter"/>
      <w:lvlText w:val=""/>
      <w:lvlJc w:val="left"/>
      <w:pPr>
        <w:ind w:left="720" w:hanging="360"/>
      </w:pPr>
      <w:rPr>
        <w:rFonts w:ascii="Symbol" w:hAnsi="Symbol" w:hint="default"/>
      </w:rPr>
    </w:lvl>
    <w:lvl w:ilvl="1" w:tplc="A61AE478">
      <w:start w:val="1"/>
      <w:numFmt w:val="bullet"/>
      <w:lvlText w:val="o"/>
      <w:lvlJc w:val="left"/>
      <w:pPr>
        <w:ind w:left="1440" w:hanging="360"/>
      </w:pPr>
      <w:rPr>
        <w:rFonts w:ascii="Courier New" w:hAnsi="Courier New" w:cs="Courier New" w:hint="default"/>
      </w:rPr>
    </w:lvl>
    <w:lvl w:ilvl="2" w:tplc="82C8C740">
      <w:start w:val="4"/>
      <w:numFmt w:val="bullet"/>
      <w:lvlText w:val="·"/>
      <w:lvlJc w:val="left"/>
      <w:pPr>
        <w:ind w:left="2160" w:hanging="360"/>
      </w:pPr>
      <w:rPr>
        <w:rFonts w:ascii="Georgia" w:eastAsiaTheme="minorHAnsi" w:hAnsi="Georgia" w:cstheme="minorBidi" w:hint="default"/>
      </w:rPr>
    </w:lvl>
    <w:lvl w:ilvl="3" w:tplc="410027E2" w:tentative="1">
      <w:start w:val="1"/>
      <w:numFmt w:val="bullet"/>
      <w:lvlText w:val=""/>
      <w:lvlJc w:val="left"/>
      <w:pPr>
        <w:ind w:left="2880" w:hanging="360"/>
      </w:pPr>
      <w:rPr>
        <w:rFonts w:ascii="Symbol" w:hAnsi="Symbol" w:hint="default"/>
      </w:rPr>
    </w:lvl>
    <w:lvl w:ilvl="4" w:tplc="59D26444" w:tentative="1">
      <w:start w:val="1"/>
      <w:numFmt w:val="bullet"/>
      <w:lvlText w:val="o"/>
      <w:lvlJc w:val="left"/>
      <w:pPr>
        <w:ind w:left="3600" w:hanging="360"/>
      </w:pPr>
      <w:rPr>
        <w:rFonts w:ascii="Courier New" w:hAnsi="Courier New" w:cs="Courier New" w:hint="default"/>
      </w:rPr>
    </w:lvl>
    <w:lvl w:ilvl="5" w:tplc="21CCE80A" w:tentative="1">
      <w:start w:val="1"/>
      <w:numFmt w:val="bullet"/>
      <w:lvlText w:val=""/>
      <w:lvlJc w:val="left"/>
      <w:pPr>
        <w:ind w:left="4320" w:hanging="360"/>
      </w:pPr>
      <w:rPr>
        <w:rFonts w:ascii="Wingdings" w:hAnsi="Wingdings" w:hint="default"/>
      </w:rPr>
    </w:lvl>
    <w:lvl w:ilvl="6" w:tplc="5694BECC" w:tentative="1">
      <w:start w:val="1"/>
      <w:numFmt w:val="bullet"/>
      <w:lvlText w:val=""/>
      <w:lvlJc w:val="left"/>
      <w:pPr>
        <w:ind w:left="5040" w:hanging="360"/>
      </w:pPr>
      <w:rPr>
        <w:rFonts w:ascii="Symbol" w:hAnsi="Symbol" w:hint="default"/>
      </w:rPr>
    </w:lvl>
    <w:lvl w:ilvl="7" w:tplc="0CFC9616" w:tentative="1">
      <w:start w:val="1"/>
      <w:numFmt w:val="bullet"/>
      <w:lvlText w:val="o"/>
      <w:lvlJc w:val="left"/>
      <w:pPr>
        <w:ind w:left="5760" w:hanging="360"/>
      </w:pPr>
      <w:rPr>
        <w:rFonts w:ascii="Courier New" w:hAnsi="Courier New" w:cs="Courier New" w:hint="default"/>
      </w:rPr>
    </w:lvl>
    <w:lvl w:ilvl="8" w:tplc="6CB6FE06" w:tentative="1">
      <w:start w:val="1"/>
      <w:numFmt w:val="bullet"/>
      <w:lvlText w:val=""/>
      <w:lvlJc w:val="left"/>
      <w:pPr>
        <w:ind w:left="6480" w:hanging="360"/>
      </w:pPr>
      <w:rPr>
        <w:rFonts w:ascii="Wingdings" w:hAnsi="Wingdings" w:hint="default"/>
      </w:rPr>
    </w:lvl>
  </w:abstractNum>
  <w:abstractNum w:abstractNumId="9">
    <w:nsid w:val="10A955BB"/>
    <w:multiLevelType w:val="multilevel"/>
    <w:tmpl w:val="75584936"/>
    <w:lvl w:ilvl="0">
      <w:start w:val="1"/>
      <w:numFmt w:val="bullet"/>
      <w:lvlText w:val=""/>
      <w:lvlJc w:val="left"/>
      <w:pPr>
        <w:ind w:left="0" w:firstLine="0"/>
      </w:pPr>
      <w:rPr>
        <w:rFonts w:ascii="Symbol" w:hAnsi="Symbol"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1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11">
    <w:nsid w:val="12B309A7"/>
    <w:multiLevelType w:val="hybridMultilevel"/>
    <w:tmpl w:val="389E8FEA"/>
    <w:lvl w:ilvl="0" w:tplc="27509BD2">
      <w:start w:val="7"/>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6">
    <w:nsid w:val="283947C2"/>
    <w:multiLevelType w:val="multilevel"/>
    <w:tmpl w:val="50B20D3A"/>
    <w:numStyleLink w:val="TableNumberedListSmall"/>
  </w:abstractNum>
  <w:abstractNum w:abstractNumId="17">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8">
    <w:nsid w:val="2B0223A8"/>
    <w:multiLevelType w:val="multilevel"/>
    <w:tmpl w:val="2F4E0AA0"/>
    <w:lvl w:ilvl="0">
      <w:start w:val="1"/>
      <w:numFmt w:val="bullet"/>
      <w:lvlText w:val=""/>
      <w:lvlJc w:val="left"/>
      <w:pPr>
        <w:ind w:left="0" w:firstLine="0"/>
      </w:pPr>
      <w:rPr>
        <w:rFonts w:ascii="Symbol" w:hAnsi="Symbol"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19">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3615E1B"/>
    <w:multiLevelType w:val="hybridMultilevel"/>
    <w:tmpl w:val="0E88CEA4"/>
    <w:lvl w:ilvl="0" w:tplc="0C090003">
      <w:start w:val="1"/>
      <w:numFmt w:val="bullet"/>
      <w:lvlText w:val="o"/>
      <w:lvlJc w:val="left"/>
      <w:pPr>
        <w:ind w:left="720" w:hanging="360"/>
      </w:pPr>
      <w:rPr>
        <w:rFonts w:ascii="Courier New" w:hAnsi="Courier New" w:cs="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78D5E27"/>
    <w:multiLevelType w:val="hybridMultilevel"/>
    <w:tmpl w:val="6C1609A0"/>
    <w:name w:val="NumberedLists"/>
    <w:lvl w:ilvl="0" w:tplc="978EC44E">
      <w:start w:val="1"/>
      <w:numFmt w:val="bullet"/>
      <w:lvlText w:val="-"/>
      <w:lvlJc w:val="left"/>
      <w:pPr>
        <w:tabs>
          <w:tab w:val="num" w:pos="720"/>
        </w:tabs>
        <w:ind w:left="720" w:hanging="360"/>
      </w:pPr>
      <w:rPr>
        <w:rFonts w:ascii="Times New Roman" w:hAnsi="Times New Roman" w:hint="default"/>
      </w:rPr>
    </w:lvl>
    <w:lvl w:ilvl="1" w:tplc="642E94AA" w:tentative="1">
      <w:start w:val="1"/>
      <w:numFmt w:val="bullet"/>
      <w:lvlText w:val="-"/>
      <w:lvlJc w:val="left"/>
      <w:pPr>
        <w:tabs>
          <w:tab w:val="num" w:pos="1440"/>
        </w:tabs>
        <w:ind w:left="1440" w:hanging="360"/>
      </w:pPr>
      <w:rPr>
        <w:rFonts w:ascii="Times New Roman" w:hAnsi="Times New Roman" w:hint="default"/>
      </w:rPr>
    </w:lvl>
    <w:lvl w:ilvl="2" w:tplc="DAC44BAE" w:tentative="1">
      <w:start w:val="1"/>
      <w:numFmt w:val="bullet"/>
      <w:lvlText w:val="-"/>
      <w:lvlJc w:val="left"/>
      <w:pPr>
        <w:tabs>
          <w:tab w:val="num" w:pos="2160"/>
        </w:tabs>
        <w:ind w:left="2160" w:hanging="360"/>
      </w:pPr>
      <w:rPr>
        <w:rFonts w:ascii="Times New Roman" w:hAnsi="Times New Roman" w:hint="default"/>
      </w:rPr>
    </w:lvl>
    <w:lvl w:ilvl="3" w:tplc="C792D91A" w:tentative="1">
      <w:start w:val="1"/>
      <w:numFmt w:val="bullet"/>
      <w:lvlText w:val="-"/>
      <w:lvlJc w:val="left"/>
      <w:pPr>
        <w:tabs>
          <w:tab w:val="num" w:pos="2880"/>
        </w:tabs>
        <w:ind w:left="2880" w:hanging="360"/>
      </w:pPr>
      <w:rPr>
        <w:rFonts w:ascii="Times New Roman" w:hAnsi="Times New Roman" w:hint="default"/>
      </w:rPr>
    </w:lvl>
    <w:lvl w:ilvl="4" w:tplc="414C920C" w:tentative="1">
      <w:start w:val="1"/>
      <w:numFmt w:val="bullet"/>
      <w:lvlText w:val="-"/>
      <w:lvlJc w:val="left"/>
      <w:pPr>
        <w:tabs>
          <w:tab w:val="num" w:pos="3600"/>
        </w:tabs>
        <w:ind w:left="3600" w:hanging="360"/>
      </w:pPr>
      <w:rPr>
        <w:rFonts w:ascii="Times New Roman" w:hAnsi="Times New Roman" w:hint="default"/>
      </w:rPr>
    </w:lvl>
    <w:lvl w:ilvl="5" w:tplc="531A9BB8" w:tentative="1">
      <w:start w:val="1"/>
      <w:numFmt w:val="bullet"/>
      <w:lvlText w:val="-"/>
      <w:lvlJc w:val="left"/>
      <w:pPr>
        <w:tabs>
          <w:tab w:val="num" w:pos="4320"/>
        </w:tabs>
        <w:ind w:left="4320" w:hanging="360"/>
      </w:pPr>
      <w:rPr>
        <w:rFonts w:ascii="Times New Roman" w:hAnsi="Times New Roman" w:hint="default"/>
      </w:rPr>
    </w:lvl>
    <w:lvl w:ilvl="6" w:tplc="8D7C4DA8" w:tentative="1">
      <w:start w:val="1"/>
      <w:numFmt w:val="bullet"/>
      <w:lvlText w:val="-"/>
      <w:lvlJc w:val="left"/>
      <w:pPr>
        <w:tabs>
          <w:tab w:val="num" w:pos="5040"/>
        </w:tabs>
        <w:ind w:left="5040" w:hanging="360"/>
      </w:pPr>
      <w:rPr>
        <w:rFonts w:ascii="Times New Roman" w:hAnsi="Times New Roman" w:hint="default"/>
      </w:rPr>
    </w:lvl>
    <w:lvl w:ilvl="7" w:tplc="8150675A" w:tentative="1">
      <w:start w:val="1"/>
      <w:numFmt w:val="bullet"/>
      <w:lvlText w:val="-"/>
      <w:lvlJc w:val="left"/>
      <w:pPr>
        <w:tabs>
          <w:tab w:val="num" w:pos="5760"/>
        </w:tabs>
        <w:ind w:left="5760" w:hanging="360"/>
      </w:pPr>
      <w:rPr>
        <w:rFonts w:ascii="Times New Roman" w:hAnsi="Times New Roman" w:hint="default"/>
      </w:rPr>
    </w:lvl>
    <w:lvl w:ilvl="8" w:tplc="454A8D4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C5E3170"/>
    <w:multiLevelType w:val="hybridMultilevel"/>
    <w:tmpl w:val="91889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E4F29E4"/>
    <w:multiLevelType w:val="multilevel"/>
    <w:tmpl w:val="931056EA"/>
    <w:styleLink w:val="ChapterNumberingList"/>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567"/>
        </w:tabs>
        <w:ind w:left="567" w:hanging="567"/>
      </w:pPr>
      <w:rPr>
        <w:rFonts w:hint="default"/>
        <w:b w:val="0"/>
        <w:i w:val="0"/>
        <w:color w:val="auto"/>
      </w:rPr>
    </w:lvl>
    <w:lvl w:ilvl="8">
      <w:start w:val="1"/>
      <w:numFmt w:val="lowerLetter"/>
      <w:lvlText w:val="%9"/>
      <w:lvlJc w:val="left"/>
      <w:pPr>
        <w:tabs>
          <w:tab w:val="num" w:pos="1134"/>
        </w:tabs>
        <w:ind w:left="1134" w:hanging="567"/>
      </w:pPr>
      <w:rPr>
        <w:rFonts w:hint="default"/>
        <w:b w:val="0"/>
        <w:i w:val="0"/>
        <w:color w:val="auto"/>
      </w:rPr>
    </w:lvl>
  </w:abstractNum>
  <w:abstractNum w:abstractNumId="26">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8">
    <w:nsid w:val="4801018E"/>
    <w:multiLevelType w:val="hybridMultilevel"/>
    <w:tmpl w:val="B4CA4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AAB5470"/>
    <w:multiLevelType w:val="multilevel"/>
    <w:tmpl w:val="94DC5112"/>
    <w:lvl w:ilvl="0">
      <w:start w:val="1"/>
      <w:numFmt w:val="bullet"/>
      <w:lvlRestart w:val="0"/>
      <w:pStyle w:val="ListBullet"/>
      <w:lvlText w:val=""/>
      <w:lvlJc w:val="left"/>
      <w:pPr>
        <w:tabs>
          <w:tab w:val="num" w:pos="2836"/>
        </w:tabs>
        <w:ind w:left="2836" w:hanging="567"/>
      </w:pPr>
      <w:rPr>
        <w:rFonts w:ascii="Symbol" w:hAnsi="Symbol" w:hint="default"/>
        <w:b w:val="0"/>
        <w:i w:val="0"/>
        <w:color w:val="auto"/>
      </w:rPr>
    </w:lvl>
    <w:lvl w:ilvl="1">
      <w:start w:val="1"/>
      <w:numFmt w:val="bullet"/>
      <w:pStyle w:val="ListBullet2"/>
      <w:lvlText w:val="–"/>
      <w:lvlJc w:val="left"/>
      <w:pPr>
        <w:tabs>
          <w:tab w:val="num" w:pos="1134"/>
        </w:tabs>
        <w:ind w:left="1134" w:hanging="567"/>
      </w:pPr>
      <w:rPr>
        <w:rFonts w:ascii="Arial" w:hAnsi="Arial" w:hint="default"/>
        <w:b w:val="0"/>
        <w:i w:val="0"/>
        <w:color w:val="auto"/>
      </w:rPr>
    </w:lvl>
    <w:lvl w:ilvl="2">
      <w:start w:val="1"/>
      <w:numFmt w:val="bullet"/>
      <w:pStyle w:val="ListBullet3"/>
      <w:lvlText w:val="◦"/>
      <w:lvlJc w:val="left"/>
      <w:pPr>
        <w:tabs>
          <w:tab w:val="num" w:pos="1701"/>
        </w:tabs>
        <w:ind w:left="1701" w:hanging="567"/>
      </w:pPr>
      <w:rPr>
        <w:rFonts w:ascii="Georgia" w:hAnsi="Georgia" w:hint="default"/>
        <w:b w:val="0"/>
        <w:i w:val="0"/>
        <w:color w:val="auto"/>
        <w:sz w:val="18"/>
        <w:szCs w:val="10"/>
      </w:rPr>
    </w:lvl>
    <w:lvl w:ilvl="3">
      <w:start w:val="1"/>
      <w:numFmt w:val="bullet"/>
      <w:pStyle w:val="ListBullet4"/>
      <w:lvlText w:val=""/>
      <w:lvlJc w:val="left"/>
      <w:pPr>
        <w:tabs>
          <w:tab w:val="num" w:pos="2268"/>
        </w:tabs>
        <w:ind w:left="2268" w:hanging="567"/>
      </w:pPr>
      <w:rPr>
        <w:rFonts w:ascii="Symbol" w:hAnsi="Symbol" w:hint="default"/>
        <w:b w:val="0"/>
        <w:i w:val="0"/>
        <w:color w:val="auto"/>
        <w:sz w:val="20"/>
        <w:szCs w:val="10"/>
      </w:rPr>
    </w:lvl>
    <w:lvl w:ilvl="4">
      <w:start w:val="1"/>
      <w:numFmt w:val="bullet"/>
      <w:pStyle w:val="ListBullet5"/>
      <w:lvlText w:val="~"/>
      <w:lvlJc w:val="left"/>
      <w:pPr>
        <w:tabs>
          <w:tab w:val="num" w:pos="2835"/>
        </w:tabs>
        <w:ind w:left="2835" w:hanging="567"/>
      </w:pPr>
      <w:rPr>
        <w:rFonts w:ascii="Georgia" w:hAnsi="Georgia" w:hint="default"/>
        <w:color w:val="auto"/>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1">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BA5005B"/>
    <w:multiLevelType w:val="hybridMultilevel"/>
    <w:tmpl w:val="C130D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DC76B7F"/>
    <w:multiLevelType w:val="multilevel"/>
    <w:tmpl w:val="E2A2F0AC"/>
    <w:name w:val="Chapter numbering 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567"/>
        </w:tabs>
        <w:ind w:left="567" w:hanging="567"/>
      </w:pPr>
      <w:rPr>
        <w:rFonts w:hint="default"/>
        <w:b w:val="0"/>
        <w:i w:val="0"/>
        <w:color w:val="auto"/>
      </w:rPr>
    </w:lvl>
    <w:lvl w:ilvl="8">
      <w:start w:val="1"/>
      <w:numFmt w:val="lowerLetter"/>
      <w:pStyle w:val="ChapterNumberedList2"/>
      <w:lvlText w:val="%9"/>
      <w:lvlJc w:val="left"/>
      <w:pPr>
        <w:tabs>
          <w:tab w:val="num" w:pos="1134"/>
        </w:tabs>
        <w:ind w:left="1134" w:hanging="567"/>
      </w:pPr>
      <w:rPr>
        <w:rFonts w:hint="default"/>
        <w:b w:val="0"/>
        <w:i w:val="0"/>
        <w:color w:val="auto"/>
      </w:rPr>
    </w:lvl>
  </w:abstractNum>
  <w:abstractNum w:abstractNumId="34">
    <w:nsid w:val="5E401664"/>
    <w:multiLevelType w:val="multilevel"/>
    <w:tmpl w:val="EE12AE72"/>
    <w:name w:val="LongTOC"/>
    <w:numStyleLink w:val="PwCAppendixList1"/>
  </w:abstractNum>
  <w:abstractNum w:abstractNumId="35">
    <w:nsid w:val="63917BB9"/>
    <w:multiLevelType w:val="multilevel"/>
    <w:tmpl w:val="4E5C847A"/>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567" w:firstLine="0"/>
      </w:pPr>
      <w:rPr>
        <w:rFonts w:hint="default"/>
      </w:rPr>
    </w:lvl>
    <w:lvl w:ilvl="2">
      <w:start w:val="1"/>
      <w:numFmt w:val="none"/>
      <w:pStyle w:val="Indent2"/>
      <w:suff w:val="nothing"/>
      <w:lvlText w:val=""/>
      <w:lvlJc w:val="left"/>
      <w:pPr>
        <w:ind w:left="1134" w:firstLine="0"/>
      </w:pPr>
      <w:rPr>
        <w:rFonts w:hint="default"/>
      </w:rPr>
    </w:lvl>
    <w:lvl w:ilvl="3">
      <w:start w:val="1"/>
      <w:numFmt w:val="none"/>
      <w:pStyle w:val="Indent3"/>
      <w:suff w:val="nothing"/>
      <w:lvlText w:val=""/>
      <w:lvlJc w:val="left"/>
      <w:pPr>
        <w:ind w:left="1701" w:firstLine="0"/>
      </w:pPr>
      <w:rPr>
        <w:rFonts w:hint="default"/>
      </w:rPr>
    </w:lvl>
    <w:lvl w:ilvl="4">
      <w:start w:val="1"/>
      <w:numFmt w:val="none"/>
      <w:pStyle w:val="Indent4"/>
      <w:suff w:val="nothing"/>
      <w:lvlText w:val=""/>
      <w:lvlJc w:val="left"/>
      <w:pPr>
        <w:ind w:left="2268" w:firstLine="0"/>
      </w:pPr>
      <w:rPr>
        <w:rFonts w:hint="default"/>
      </w:rPr>
    </w:lvl>
    <w:lvl w:ilvl="5">
      <w:start w:val="1"/>
      <w:numFmt w:val="none"/>
      <w:pStyle w:val="Indent5"/>
      <w:suff w:val="nothing"/>
      <w:lvlText w:val=""/>
      <w:lvlJc w:val="left"/>
      <w:pPr>
        <w:ind w:left="2835" w:firstLine="0"/>
      </w:pPr>
      <w:rPr>
        <w:rFonts w:hint="default"/>
      </w:rPr>
    </w:lvl>
    <w:lvl w:ilvl="6">
      <w:start w:val="1"/>
      <w:numFmt w:val="none"/>
      <w:pStyle w:val="Indent6"/>
      <w:suff w:val="nothing"/>
      <w:lvlText w:val=""/>
      <w:lvlJc w:val="left"/>
      <w:pPr>
        <w:ind w:left="3402" w:firstLine="0"/>
      </w:pPr>
      <w:rPr>
        <w:rFonts w:hint="default"/>
      </w:rPr>
    </w:lvl>
    <w:lvl w:ilvl="7">
      <w:start w:val="1"/>
      <w:numFmt w:val="none"/>
      <w:pStyle w:val="Indent7"/>
      <w:suff w:val="nothing"/>
      <w:lvlText w:val=""/>
      <w:lvlJc w:val="left"/>
      <w:pPr>
        <w:ind w:left="3969" w:firstLine="0"/>
      </w:pPr>
      <w:rPr>
        <w:rFonts w:hint="default"/>
      </w:rPr>
    </w:lvl>
    <w:lvl w:ilvl="8">
      <w:start w:val="1"/>
      <w:numFmt w:val="none"/>
      <w:pStyle w:val="Indent8"/>
      <w:suff w:val="nothing"/>
      <w:lvlText w:val=""/>
      <w:lvlJc w:val="left"/>
      <w:pPr>
        <w:ind w:left="4536" w:firstLine="0"/>
      </w:pPr>
      <w:rPr>
        <w:rFonts w:hint="default"/>
      </w:rPr>
    </w:lvl>
  </w:abstractNum>
  <w:abstractNum w:abstractNumId="36">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7">
    <w:nsid w:val="7E8F10E2"/>
    <w:multiLevelType w:val="hybridMultilevel"/>
    <w:tmpl w:val="D458D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27"/>
  </w:num>
  <w:num w:numId="4">
    <w:abstractNumId w:val="36"/>
  </w:num>
  <w:num w:numId="5">
    <w:abstractNumId w:val="29"/>
  </w:num>
  <w:num w:numId="6">
    <w:abstractNumId w:val="30"/>
  </w:num>
  <w:num w:numId="7">
    <w:abstractNumId w:val="19"/>
  </w:num>
  <w:num w:numId="8">
    <w:abstractNumId w:val="21"/>
  </w:num>
  <w:num w:numId="9">
    <w:abstractNumId w:val="35"/>
  </w:num>
  <w:num w:numId="10">
    <w:abstractNumId w:val="5"/>
  </w:num>
  <w:num w:numId="11">
    <w:abstractNumId w:val="26"/>
  </w:num>
  <w:num w:numId="12">
    <w:abstractNumId w:val="34"/>
  </w:num>
  <w:num w:numId="13">
    <w:abstractNumId w:val="6"/>
  </w:num>
  <w:num w:numId="14">
    <w:abstractNumId w:val="15"/>
  </w:num>
  <w:num w:numId="15">
    <w:abstractNumId w:val="17"/>
  </w:num>
  <w:num w:numId="16">
    <w:abstractNumId w:val="12"/>
  </w:num>
  <w:num w:numId="17">
    <w:abstractNumId w:val="16"/>
  </w:num>
  <w:num w:numId="18">
    <w:abstractNumId w:val="13"/>
  </w:num>
  <w:num w:numId="19">
    <w:abstractNumId w:val="7"/>
  </w:num>
  <w:num w:numId="20">
    <w:abstractNumId w:val="14"/>
  </w:num>
  <w:num w:numId="21">
    <w:abstractNumId w:val="1"/>
  </w:num>
  <w:num w:numId="22">
    <w:abstractNumId w:val="20"/>
  </w:num>
  <w:num w:numId="23">
    <w:abstractNumId w:val="4"/>
  </w:num>
  <w:num w:numId="24">
    <w:abstractNumId w:val="31"/>
  </w:num>
  <w:num w:numId="25">
    <w:abstractNumId w:val="25"/>
  </w:num>
  <w:num w:numId="26">
    <w:abstractNumId w:val="33"/>
  </w:num>
  <w:num w:numId="27">
    <w:abstractNumId w:val="8"/>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5"/>
  </w:num>
  <w:num w:numId="33">
    <w:abstractNumId w:val="29"/>
  </w:num>
  <w:num w:numId="34">
    <w:abstractNumId w:val="29"/>
  </w:num>
  <w:num w:numId="35">
    <w:abstractNumId w:val="29"/>
  </w:num>
  <w:num w:numId="36">
    <w:abstractNumId w:val="2"/>
  </w:num>
  <w:num w:numId="37">
    <w:abstractNumId w:val="24"/>
  </w:num>
  <w:num w:numId="38">
    <w:abstractNumId w:val="29"/>
  </w:num>
  <w:num w:numId="39">
    <w:abstractNumId w:val="32"/>
  </w:num>
  <w:num w:numId="40">
    <w:abstractNumId w:val="29"/>
  </w:num>
  <w:num w:numId="41">
    <w:abstractNumId w:val="9"/>
  </w:num>
  <w:num w:numId="42">
    <w:abstractNumId w:val="29"/>
  </w:num>
  <w:num w:numId="43">
    <w:abstractNumId w:val="29"/>
  </w:num>
  <w:num w:numId="44">
    <w:abstractNumId w:val="29"/>
  </w:num>
  <w:num w:numId="45">
    <w:abstractNumId w:val="18"/>
  </w:num>
  <w:num w:numId="46">
    <w:abstractNumId w:val="0"/>
  </w:num>
  <w:num w:numId="47">
    <w:abstractNumId w:val="28"/>
  </w:num>
  <w:num w:numId="48">
    <w:abstractNumId w:val="22"/>
  </w:num>
  <w:num w:numId="49">
    <w:abstractNumId w:val="11"/>
  </w:num>
  <w:num w:numId="50">
    <w:abstractNumId w:val="35"/>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35"/>
  </w:num>
  <w:num w:numId="54">
    <w:abstractNumId w:val="35"/>
  </w:num>
  <w:num w:numId="55">
    <w:abstractNumId w:val="29"/>
  </w:num>
  <w:num w:numId="56">
    <w:abstractNumId w:val="29"/>
  </w:num>
  <w:num w:numId="57">
    <w:abstractNumId w:val="29"/>
  </w:num>
  <w:num w:numId="58">
    <w:abstractNumId w:val="29"/>
  </w:num>
  <w:num w:numId="59">
    <w:abstractNumId w:val="29"/>
  </w:num>
  <w:num w:numId="60">
    <w:abstractNumId w:val="35"/>
  </w:num>
  <w:num w:numId="61">
    <w:abstractNumId w:val="29"/>
  </w:num>
  <w:num w:numId="62">
    <w:abstractNumId w:val="35"/>
  </w:num>
  <w:num w:numId="63">
    <w:abstractNumId w:val="35"/>
  </w:num>
  <w:num w:numId="64">
    <w:abstractNumId w:val="35"/>
  </w:num>
  <w:num w:numId="65">
    <w:abstractNumId w:val="35"/>
  </w:num>
  <w:num w:numId="66">
    <w:abstractNumId w:val="29"/>
  </w:num>
  <w:num w:numId="67">
    <w:abstractNumId w:val="35"/>
  </w:num>
  <w:num w:numId="68">
    <w:abstractNumId w:val="29"/>
  </w:num>
  <w:num w:numId="69">
    <w:abstractNumId w:val="35"/>
  </w:num>
  <w:num w:numId="70">
    <w:abstractNumId w:val="35"/>
  </w:num>
  <w:num w:numId="71">
    <w:abstractNumId w:val="29"/>
  </w:num>
  <w:num w:numId="72">
    <w:abstractNumId w:val="35"/>
  </w:num>
  <w:num w:numId="73">
    <w:abstractNumId w:val="35"/>
  </w:num>
  <w:num w:numId="74">
    <w:abstractNumId w:val="35"/>
  </w:num>
  <w:num w:numId="75">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Full" w:cryptAlgorithmClass="hash" w:cryptAlgorithmType="typeAny" w:cryptAlgorithmSid="4" w:cryptSpinCount="100000" w:hash="TgXX1uwRVq4mbKR5g1QGHalqiVI=" w:salt="9Y2+sEx6Dtw6oUAhl7GOBA=="/>
  <w:defaultTabStop w:val="720"/>
  <w:evenAndOddHeaders/>
  <w:drawingGridHorizontalSpacing w:val="100"/>
  <w:displayHorizontalDrawingGridEvery w:val="2"/>
  <w:characterSpacingControl w:val="doNotCompress"/>
  <w:hdrShapeDefaults>
    <o:shapedefaults v:ext="edit" spidmax="2287" fillcolor="none [3215]" stroke="f">
      <v:fill color="none [3215]"/>
      <v:stroke on="f"/>
    </o:shapedefaults>
    <o:shapelayout v:ext="edit">
      <o:idmap v:ext="edit" data="2"/>
      <o:rules v:ext="edit">
        <o:r id="V:Rule91" type="connector" idref="#AutoShape 2869"/>
        <o:r id="V:Rule92" type="connector" idref="#AutoShape 2891"/>
        <o:r id="V:Rule93" type="connector" idref="#AutoShape 2873"/>
        <o:r id="V:Rule94" type="connector" idref="#AutoShape 2865"/>
        <o:r id="V:Rule95" type="connector" idref="#AutoShape 2887"/>
        <o:r id="V:Rule96" type="connector" idref="#AutoShape 2883"/>
        <o:r id="V:Rule97" type="connector" idref="#AutoShape 2052"/>
        <o:r id="V:Rule98" type="connector" idref="#AutoShape 2857"/>
        <o:r id="V:Rule99" type="connector" idref="#AutoShape 2064"/>
        <o:r id="V:Rule100" type="connector" idref="#AutoShape 2860"/>
        <o:r id="V:Rule101" type="connector" idref="#AutoShape 2885"/>
        <o:r id="V:Rule102" type="connector" idref="#AutoShape 2056"/>
        <o:r id="V:Rule103" type="connector" idref="#AutoShape 2045"/>
        <o:r id="V:Rule104" type="connector" idref="#AutoShape 2038"/>
        <o:r id="V:Rule105" type="connector" idref="#AutoShape 2882"/>
        <o:r id="V:Rule106" type="connector" idref="#AutoShape 2889"/>
        <o:r id="V:Rule107" type="connector" idref="#AutoShape 2042"/>
        <o:r id="V:Rule108" type="connector" idref="#AutoShape 2046"/>
        <o:r id="V:Rule109" type="connector" idref="#AutoShape 2044"/>
        <o:r id="V:Rule110" type="connector" idref="#AutoShape 2050"/>
        <o:r id="V:Rule111" type="connector" idref="#AutoShape 2024"/>
        <o:r id="V:Rule112" type="connector" idref="#AutoShape 2041"/>
        <o:r id="V:Rule113" type="connector" idref="#AutoShape 2861"/>
        <o:r id="V:Rule114" type="connector" idref="#AutoShape 2858"/>
        <o:r id="V:Rule115" type="connector" idref="#AutoShape 2048"/>
        <o:r id="V:Rule116" type="connector" idref="#AutoShape 2063"/>
        <o:r id="V:Rule117" type="connector" idref="#AutoShape 2897"/>
        <o:r id="V:Rule118" type="connector" idref="#AutoShape 2884"/>
        <o:r id="V:Rule119" type="connector" idref="#AutoShape 2852"/>
        <o:r id="V:Rule120" type="connector" idref="#AutoShape 2026"/>
        <o:r id="V:Rule121" type="connector" idref="#AutoShape 2870"/>
        <o:r id="V:Rule122" type="connector" idref="#AutoShape 2029"/>
        <o:r id="V:Rule123" type="connector" idref="#AutoShape 2023"/>
        <o:r id="V:Rule124" type="connector" idref="#AutoShape 2058"/>
        <o:r id="V:Rule125" type="connector" idref="#AutoShape 2061"/>
        <o:r id="V:Rule126" type="connector" idref="#AutoShape 2065"/>
        <o:r id="V:Rule127" type="connector" idref="#AutoShape 2856"/>
        <o:r id="V:Rule128" type="connector" idref="#AutoShape 2859"/>
        <o:r id="V:Rule129" type="connector" idref="#AutoShape 2896"/>
        <o:r id="V:Rule130" type="connector" idref="#AutoShape 2062"/>
        <o:r id="V:Rule131" type="connector" idref="#AutoShape 2022"/>
        <o:r id="V:Rule132" type="connector" idref="#AutoShape 2031"/>
        <o:r id="V:Rule133" type="connector" idref="#AutoShape 2025"/>
        <o:r id="V:Rule134" type="connector" idref="#AutoShape 2893"/>
        <o:r id="V:Rule135" type="connector" idref="#AutoShape 2895"/>
        <o:r id="V:Rule136" type="connector" idref="#AutoShape 2875"/>
        <o:r id="V:Rule137" type="connector" idref="#AutoShape 2030"/>
        <o:r id="V:Rule138" type="connector" idref="#AutoShape 2877"/>
        <o:r id="V:Rule139" type="connector" idref="#AutoShape 2039"/>
        <o:r id="V:Rule140" type="connector" idref="#AutoShape 2892"/>
        <o:r id="V:Rule141" type="connector" idref="#AutoShape 2879"/>
        <o:r id="V:Rule142" type="connector" idref="#AutoShape 2059"/>
        <o:r id="V:Rule143" type="connector" idref="#AutoShape 2037"/>
        <o:r id="V:Rule144" type="connector" idref="#AutoShape 2853"/>
        <o:r id="V:Rule145" type="connector" idref="#AutoShape 2036"/>
        <o:r id="V:Rule146" type="connector" idref="#AutoShape 2862"/>
        <o:r id="V:Rule147" type="connector" idref="#AutoShape 2876"/>
        <o:r id="V:Rule148" type="connector" idref="#AutoShape 2040"/>
        <o:r id="V:Rule149" type="connector" idref="#AutoShape 2855"/>
        <o:r id="V:Rule150" type="connector" idref="#AutoShape 2864"/>
        <o:r id="V:Rule151" type="connector" idref="#AutoShape 2898"/>
        <o:r id="V:Rule152" type="connector" idref="#AutoShape 2054"/>
        <o:r id="V:Rule153" type="connector" idref="#AutoShape 2021"/>
        <o:r id="V:Rule154" type="connector" idref="#AutoShape 2043"/>
        <o:r id="V:Rule155" type="connector" idref="#AutoShape 2047"/>
        <o:r id="V:Rule156" type="connector" idref="#AutoShape 2874"/>
        <o:r id="V:Rule157" type="connector" idref="#AutoShape 2032"/>
        <o:r id="V:Rule158" type="connector" idref="#AutoShape 2028"/>
        <o:r id="V:Rule159" type="connector" idref="#AutoShape 2854"/>
        <o:r id="V:Rule160" type="connector" idref="#AutoShape 2867"/>
        <o:r id="V:Rule161" type="connector" idref="#AutoShape 2871"/>
        <o:r id="V:Rule162" type="connector" idref="#AutoShape 2055"/>
        <o:r id="V:Rule163" type="connector" idref="#AutoShape 2888"/>
        <o:r id="V:Rule164" type="connector" idref="#AutoShape 2035"/>
        <o:r id="V:Rule165" type="connector" idref="#AutoShape 2027"/>
        <o:r id="V:Rule166" type="connector" idref="#AutoShape 2057"/>
        <o:r id="V:Rule167" type="connector" idref="#AutoShape 2880"/>
        <o:r id="V:Rule168" type="connector" idref="#AutoShape 2894"/>
        <o:r id="V:Rule169" type="connector" idref="#AutoShape 2049"/>
        <o:r id="V:Rule170" type="connector" idref="#AutoShape 2051"/>
        <o:r id="V:Rule171" type="connector" idref="#AutoShape 2863"/>
        <o:r id="V:Rule172" type="connector" idref="#AutoShape 2872"/>
        <o:r id="V:Rule173" type="connector" idref="#AutoShape 2878"/>
        <o:r id="V:Rule174" type="connector" idref="#AutoShape 2868"/>
        <o:r id="V:Rule175" type="connector" idref="#AutoShape 2020"/>
        <o:r id="V:Rule176" type="connector" idref="#AutoShape 2060"/>
        <o:r id="V:Rule177" type="connector" idref="#AutoShape 2881"/>
        <o:r id="V:Rule178" type="connector" idref="#AutoShape 2019"/>
        <o:r id="V:Rule179" type="connector" idref="#AutoShape 2890"/>
        <o:r id="V:Rule180" type="connector" idref="#AutoShape 2034"/>
      </o:rules>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731B5D"/>
    <w:rsid w:val="00000267"/>
    <w:rsid w:val="00000E07"/>
    <w:rsid w:val="000010DC"/>
    <w:rsid w:val="00001404"/>
    <w:rsid w:val="00002F7F"/>
    <w:rsid w:val="00002F85"/>
    <w:rsid w:val="00004178"/>
    <w:rsid w:val="000046CA"/>
    <w:rsid w:val="00005CEB"/>
    <w:rsid w:val="00006B9F"/>
    <w:rsid w:val="00006DC6"/>
    <w:rsid w:val="00007406"/>
    <w:rsid w:val="00007EFD"/>
    <w:rsid w:val="00011B56"/>
    <w:rsid w:val="000148A7"/>
    <w:rsid w:val="00014A0F"/>
    <w:rsid w:val="00015271"/>
    <w:rsid w:val="00015598"/>
    <w:rsid w:val="00015F3F"/>
    <w:rsid w:val="000165FF"/>
    <w:rsid w:val="000203C2"/>
    <w:rsid w:val="00020F7F"/>
    <w:rsid w:val="00020F8D"/>
    <w:rsid w:val="000219D0"/>
    <w:rsid w:val="0002269F"/>
    <w:rsid w:val="00023712"/>
    <w:rsid w:val="0002400B"/>
    <w:rsid w:val="00025387"/>
    <w:rsid w:val="00027B5F"/>
    <w:rsid w:val="0003004A"/>
    <w:rsid w:val="000308DC"/>
    <w:rsid w:val="00031309"/>
    <w:rsid w:val="000317A6"/>
    <w:rsid w:val="000324F8"/>
    <w:rsid w:val="00033E5E"/>
    <w:rsid w:val="00035159"/>
    <w:rsid w:val="00035288"/>
    <w:rsid w:val="0003687B"/>
    <w:rsid w:val="00037787"/>
    <w:rsid w:val="00040036"/>
    <w:rsid w:val="00040BC7"/>
    <w:rsid w:val="00041787"/>
    <w:rsid w:val="00041E14"/>
    <w:rsid w:val="0004205C"/>
    <w:rsid w:val="00042109"/>
    <w:rsid w:val="00043046"/>
    <w:rsid w:val="00043650"/>
    <w:rsid w:val="00044237"/>
    <w:rsid w:val="000444FF"/>
    <w:rsid w:val="00045B20"/>
    <w:rsid w:val="000473AE"/>
    <w:rsid w:val="00047714"/>
    <w:rsid w:val="000506A5"/>
    <w:rsid w:val="00050ACB"/>
    <w:rsid w:val="00051862"/>
    <w:rsid w:val="0005222A"/>
    <w:rsid w:val="00053B82"/>
    <w:rsid w:val="00054C40"/>
    <w:rsid w:val="00055A6A"/>
    <w:rsid w:val="00055BAE"/>
    <w:rsid w:val="0005674C"/>
    <w:rsid w:val="000606D1"/>
    <w:rsid w:val="00061068"/>
    <w:rsid w:val="000619A2"/>
    <w:rsid w:val="00061DA1"/>
    <w:rsid w:val="00063503"/>
    <w:rsid w:val="00063BE4"/>
    <w:rsid w:val="00064A4C"/>
    <w:rsid w:val="00064B40"/>
    <w:rsid w:val="00064EB8"/>
    <w:rsid w:val="0006530A"/>
    <w:rsid w:val="00067146"/>
    <w:rsid w:val="000679F1"/>
    <w:rsid w:val="00067EC5"/>
    <w:rsid w:val="00070164"/>
    <w:rsid w:val="00070486"/>
    <w:rsid w:val="00070875"/>
    <w:rsid w:val="000713BA"/>
    <w:rsid w:val="00076C97"/>
    <w:rsid w:val="000778D4"/>
    <w:rsid w:val="00077EBF"/>
    <w:rsid w:val="00080AF8"/>
    <w:rsid w:val="0008139D"/>
    <w:rsid w:val="00081A58"/>
    <w:rsid w:val="00081F68"/>
    <w:rsid w:val="00082CD9"/>
    <w:rsid w:val="00083051"/>
    <w:rsid w:val="000838D6"/>
    <w:rsid w:val="0008445E"/>
    <w:rsid w:val="000847B3"/>
    <w:rsid w:val="000873FF"/>
    <w:rsid w:val="00087C5B"/>
    <w:rsid w:val="000905BA"/>
    <w:rsid w:val="00090AAB"/>
    <w:rsid w:val="00091458"/>
    <w:rsid w:val="00091A7C"/>
    <w:rsid w:val="0009340E"/>
    <w:rsid w:val="00094408"/>
    <w:rsid w:val="00094C88"/>
    <w:rsid w:val="00096CE6"/>
    <w:rsid w:val="00096F31"/>
    <w:rsid w:val="000A0570"/>
    <w:rsid w:val="000A0836"/>
    <w:rsid w:val="000A1F3F"/>
    <w:rsid w:val="000A38AA"/>
    <w:rsid w:val="000A4154"/>
    <w:rsid w:val="000A4352"/>
    <w:rsid w:val="000A4AAC"/>
    <w:rsid w:val="000A51EE"/>
    <w:rsid w:val="000A6014"/>
    <w:rsid w:val="000A6F12"/>
    <w:rsid w:val="000A744F"/>
    <w:rsid w:val="000A790D"/>
    <w:rsid w:val="000B0862"/>
    <w:rsid w:val="000B1068"/>
    <w:rsid w:val="000B2006"/>
    <w:rsid w:val="000B319E"/>
    <w:rsid w:val="000B510F"/>
    <w:rsid w:val="000B5367"/>
    <w:rsid w:val="000B5AFD"/>
    <w:rsid w:val="000B61EE"/>
    <w:rsid w:val="000B62A0"/>
    <w:rsid w:val="000B65CE"/>
    <w:rsid w:val="000B741C"/>
    <w:rsid w:val="000B7515"/>
    <w:rsid w:val="000B7AC9"/>
    <w:rsid w:val="000B7E22"/>
    <w:rsid w:val="000C009C"/>
    <w:rsid w:val="000C0403"/>
    <w:rsid w:val="000C0DC8"/>
    <w:rsid w:val="000C10E3"/>
    <w:rsid w:val="000C312A"/>
    <w:rsid w:val="000C3423"/>
    <w:rsid w:val="000C4821"/>
    <w:rsid w:val="000C56BD"/>
    <w:rsid w:val="000C5D73"/>
    <w:rsid w:val="000C5EEC"/>
    <w:rsid w:val="000C6F10"/>
    <w:rsid w:val="000D21C3"/>
    <w:rsid w:val="000D3B7B"/>
    <w:rsid w:val="000D3C42"/>
    <w:rsid w:val="000D3C62"/>
    <w:rsid w:val="000D4527"/>
    <w:rsid w:val="000D63A2"/>
    <w:rsid w:val="000E0E16"/>
    <w:rsid w:val="000E126D"/>
    <w:rsid w:val="000E14AD"/>
    <w:rsid w:val="000E19AA"/>
    <w:rsid w:val="000E2F96"/>
    <w:rsid w:val="000E3802"/>
    <w:rsid w:val="000E5D59"/>
    <w:rsid w:val="000E6525"/>
    <w:rsid w:val="000E65B2"/>
    <w:rsid w:val="000E751E"/>
    <w:rsid w:val="000E7917"/>
    <w:rsid w:val="000E7BB5"/>
    <w:rsid w:val="000F118B"/>
    <w:rsid w:val="000F191E"/>
    <w:rsid w:val="000F3408"/>
    <w:rsid w:val="000F484E"/>
    <w:rsid w:val="000F4EB8"/>
    <w:rsid w:val="000F5BBE"/>
    <w:rsid w:val="000F76FF"/>
    <w:rsid w:val="000F77C6"/>
    <w:rsid w:val="001002E4"/>
    <w:rsid w:val="00100753"/>
    <w:rsid w:val="001013F4"/>
    <w:rsid w:val="001015D1"/>
    <w:rsid w:val="00101E7E"/>
    <w:rsid w:val="001026F1"/>
    <w:rsid w:val="00103591"/>
    <w:rsid w:val="00105518"/>
    <w:rsid w:val="00105AA9"/>
    <w:rsid w:val="00106911"/>
    <w:rsid w:val="00111324"/>
    <w:rsid w:val="00111544"/>
    <w:rsid w:val="00112A1C"/>
    <w:rsid w:val="00113D7F"/>
    <w:rsid w:val="0011421B"/>
    <w:rsid w:val="00116C85"/>
    <w:rsid w:val="001179B7"/>
    <w:rsid w:val="00117C77"/>
    <w:rsid w:val="00117D9C"/>
    <w:rsid w:val="00122407"/>
    <w:rsid w:val="001226BE"/>
    <w:rsid w:val="00123EF1"/>
    <w:rsid w:val="00124E9B"/>
    <w:rsid w:val="00125AFC"/>
    <w:rsid w:val="00126AFF"/>
    <w:rsid w:val="00126DC3"/>
    <w:rsid w:val="00127187"/>
    <w:rsid w:val="00127745"/>
    <w:rsid w:val="00127829"/>
    <w:rsid w:val="00130007"/>
    <w:rsid w:val="00130727"/>
    <w:rsid w:val="00130745"/>
    <w:rsid w:val="00131269"/>
    <w:rsid w:val="001314D7"/>
    <w:rsid w:val="00132EED"/>
    <w:rsid w:val="00134BC1"/>
    <w:rsid w:val="001357DC"/>
    <w:rsid w:val="00135AE9"/>
    <w:rsid w:val="00137A96"/>
    <w:rsid w:val="00137B03"/>
    <w:rsid w:val="0014062F"/>
    <w:rsid w:val="00141457"/>
    <w:rsid w:val="001415DD"/>
    <w:rsid w:val="00141E97"/>
    <w:rsid w:val="001420B0"/>
    <w:rsid w:val="00142B80"/>
    <w:rsid w:val="00142F9D"/>
    <w:rsid w:val="001436B6"/>
    <w:rsid w:val="001469D4"/>
    <w:rsid w:val="00146E85"/>
    <w:rsid w:val="0014703A"/>
    <w:rsid w:val="001476BD"/>
    <w:rsid w:val="001476BE"/>
    <w:rsid w:val="0015001A"/>
    <w:rsid w:val="0015303F"/>
    <w:rsid w:val="00155FE3"/>
    <w:rsid w:val="00157444"/>
    <w:rsid w:val="001604B6"/>
    <w:rsid w:val="00160DDB"/>
    <w:rsid w:val="0016454D"/>
    <w:rsid w:val="00164A8D"/>
    <w:rsid w:val="00165AC0"/>
    <w:rsid w:val="00166437"/>
    <w:rsid w:val="00166AE4"/>
    <w:rsid w:val="00166F4F"/>
    <w:rsid w:val="00167EE0"/>
    <w:rsid w:val="00167F7E"/>
    <w:rsid w:val="00170238"/>
    <w:rsid w:val="001708CB"/>
    <w:rsid w:val="00170DF6"/>
    <w:rsid w:val="001726CD"/>
    <w:rsid w:val="00174043"/>
    <w:rsid w:val="0017626C"/>
    <w:rsid w:val="00176D38"/>
    <w:rsid w:val="0018026E"/>
    <w:rsid w:val="00180895"/>
    <w:rsid w:val="00181EAE"/>
    <w:rsid w:val="001824CB"/>
    <w:rsid w:val="001824CE"/>
    <w:rsid w:val="00182598"/>
    <w:rsid w:val="001827F1"/>
    <w:rsid w:val="00184855"/>
    <w:rsid w:val="00185379"/>
    <w:rsid w:val="001856FB"/>
    <w:rsid w:val="00185720"/>
    <w:rsid w:val="00185E01"/>
    <w:rsid w:val="00185F6F"/>
    <w:rsid w:val="001861C1"/>
    <w:rsid w:val="00187218"/>
    <w:rsid w:val="00190483"/>
    <w:rsid w:val="00192241"/>
    <w:rsid w:val="00192A42"/>
    <w:rsid w:val="00192D6A"/>
    <w:rsid w:val="00192F51"/>
    <w:rsid w:val="00193397"/>
    <w:rsid w:val="00197937"/>
    <w:rsid w:val="00197C7A"/>
    <w:rsid w:val="001A01CF"/>
    <w:rsid w:val="001A129B"/>
    <w:rsid w:val="001A1C17"/>
    <w:rsid w:val="001A24EE"/>
    <w:rsid w:val="001A2696"/>
    <w:rsid w:val="001A529E"/>
    <w:rsid w:val="001A5854"/>
    <w:rsid w:val="001A6214"/>
    <w:rsid w:val="001A6378"/>
    <w:rsid w:val="001A6873"/>
    <w:rsid w:val="001B154C"/>
    <w:rsid w:val="001B1E72"/>
    <w:rsid w:val="001B2382"/>
    <w:rsid w:val="001B3327"/>
    <w:rsid w:val="001B34FF"/>
    <w:rsid w:val="001B3C7F"/>
    <w:rsid w:val="001B58F2"/>
    <w:rsid w:val="001B678D"/>
    <w:rsid w:val="001C140A"/>
    <w:rsid w:val="001C2061"/>
    <w:rsid w:val="001C28BE"/>
    <w:rsid w:val="001C32F9"/>
    <w:rsid w:val="001C447B"/>
    <w:rsid w:val="001C47A5"/>
    <w:rsid w:val="001C4FE3"/>
    <w:rsid w:val="001C5F00"/>
    <w:rsid w:val="001C6506"/>
    <w:rsid w:val="001C6D16"/>
    <w:rsid w:val="001D11DC"/>
    <w:rsid w:val="001D1AF5"/>
    <w:rsid w:val="001D2237"/>
    <w:rsid w:val="001D29AE"/>
    <w:rsid w:val="001D391F"/>
    <w:rsid w:val="001D3DD1"/>
    <w:rsid w:val="001D4D60"/>
    <w:rsid w:val="001D65CA"/>
    <w:rsid w:val="001D69C4"/>
    <w:rsid w:val="001E06FE"/>
    <w:rsid w:val="001E2F91"/>
    <w:rsid w:val="001E31A4"/>
    <w:rsid w:val="001E3EA7"/>
    <w:rsid w:val="001E41D9"/>
    <w:rsid w:val="001E4D17"/>
    <w:rsid w:val="001E5304"/>
    <w:rsid w:val="001E620F"/>
    <w:rsid w:val="001E62C4"/>
    <w:rsid w:val="001E6A5E"/>
    <w:rsid w:val="001E6CE0"/>
    <w:rsid w:val="001E725C"/>
    <w:rsid w:val="001F0210"/>
    <w:rsid w:val="001F0793"/>
    <w:rsid w:val="001F0DAD"/>
    <w:rsid w:val="001F1D7F"/>
    <w:rsid w:val="001F2BB2"/>
    <w:rsid w:val="001F2C4E"/>
    <w:rsid w:val="001F3220"/>
    <w:rsid w:val="001F55EB"/>
    <w:rsid w:val="001F735A"/>
    <w:rsid w:val="001F765D"/>
    <w:rsid w:val="001F798F"/>
    <w:rsid w:val="001F7E72"/>
    <w:rsid w:val="002014CF"/>
    <w:rsid w:val="00202810"/>
    <w:rsid w:val="00202C76"/>
    <w:rsid w:val="002030A3"/>
    <w:rsid w:val="00203710"/>
    <w:rsid w:val="00204F10"/>
    <w:rsid w:val="00205D40"/>
    <w:rsid w:val="00207123"/>
    <w:rsid w:val="00207E36"/>
    <w:rsid w:val="00210620"/>
    <w:rsid w:val="002108D1"/>
    <w:rsid w:val="0021094E"/>
    <w:rsid w:val="00211991"/>
    <w:rsid w:val="00213C42"/>
    <w:rsid w:val="0021543C"/>
    <w:rsid w:val="0021565D"/>
    <w:rsid w:val="00215D7C"/>
    <w:rsid w:val="00215E7D"/>
    <w:rsid w:val="00217154"/>
    <w:rsid w:val="002219F5"/>
    <w:rsid w:val="00221B74"/>
    <w:rsid w:val="002228B6"/>
    <w:rsid w:val="00222EC0"/>
    <w:rsid w:val="00224BA5"/>
    <w:rsid w:val="00225A77"/>
    <w:rsid w:val="00230266"/>
    <w:rsid w:val="00231135"/>
    <w:rsid w:val="00232558"/>
    <w:rsid w:val="002330A0"/>
    <w:rsid w:val="00233D03"/>
    <w:rsid w:val="00234835"/>
    <w:rsid w:val="00234F3A"/>
    <w:rsid w:val="002353A9"/>
    <w:rsid w:val="00235653"/>
    <w:rsid w:val="0023597B"/>
    <w:rsid w:val="00235E6E"/>
    <w:rsid w:val="00236445"/>
    <w:rsid w:val="00237BCC"/>
    <w:rsid w:val="00240683"/>
    <w:rsid w:val="002407B2"/>
    <w:rsid w:val="00240FCD"/>
    <w:rsid w:val="00241695"/>
    <w:rsid w:val="00241CA5"/>
    <w:rsid w:val="00243644"/>
    <w:rsid w:val="002445FF"/>
    <w:rsid w:val="0024482C"/>
    <w:rsid w:val="00245400"/>
    <w:rsid w:val="00245433"/>
    <w:rsid w:val="00245C02"/>
    <w:rsid w:val="00247067"/>
    <w:rsid w:val="00247954"/>
    <w:rsid w:val="002504DF"/>
    <w:rsid w:val="00251324"/>
    <w:rsid w:val="002515E6"/>
    <w:rsid w:val="0025296C"/>
    <w:rsid w:val="002534B3"/>
    <w:rsid w:val="002542AB"/>
    <w:rsid w:val="0025481F"/>
    <w:rsid w:val="002554AA"/>
    <w:rsid w:val="00255ECC"/>
    <w:rsid w:val="00256B17"/>
    <w:rsid w:val="00256EE8"/>
    <w:rsid w:val="00257062"/>
    <w:rsid w:val="002570A9"/>
    <w:rsid w:val="00257526"/>
    <w:rsid w:val="00257794"/>
    <w:rsid w:val="00260B1B"/>
    <w:rsid w:val="002627A5"/>
    <w:rsid w:val="002628D1"/>
    <w:rsid w:val="002639CC"/>
    <w:rsid w:val="00263AE9"/>
    <w:rsid w:val="00263E9B"/>
    <w:rsid w:val="0026608B"/>
    <w:rsid w:val="00266A04"/>
    <w:rsid w:val="00270109"/>
    <w:rsid w:val="00270144"/>
    <w:rsid w:val="002709D2"/>
    <w:rsid w:val="00273234"/>
    <w:rsid w:val="002736C6"/>
    <w:rsid w:val="00273D52"/>
    <w:rsid w:val="002745E9"/>
    <w:rsid w:val="0027472A"/>
    <w:rsid w:val="00275248"/>
    <w:rsid w:val="00275813"/>
    <w:rsid w:val="00276748"/>
    <w:rsid w:val="00276DF5"/>
    <w:rsid w:val="00280476"/>
    <w:rsid w:val="00281EAB"/>
    <w:rsid w:val="00281F92"/>
    <w:rsid w:val="002825BF"/>
    <w:rsid w:val="00282809"/>
    <w:rsid w:val="00282F45"/>
    <w:rsid w:val="00283175"/>
    <w:rsid w:val="002833F5"/>
    <w:rsid w:val="002850FC"/>
    <w:rsid w:val="00285547"/>
    <w:rsid w:val="0028561C"/>
    <w:rsid w:val="00285AAD"/>
    <w:rsid w:val="0028639C"/>
    <w:rsid w:val="0028667F"/>
    <w:rsid w:val="00287BBC"/>
    <w:rsid w:val="002908C9"/>
    <w:rsid w:val="00292BF1"/>
    <w:rsid w:val="00295613"/>
    <w:rsid w:val="002960CE"/>
    <w:rsid w:val="00296433"/>
    <w:rsid w:val="00296814"/>
    <w:rsid w:val="00297CF4"/>
    <w:rsid w:val="002A07D8"/>
    <w:rsid w:val="002A0C42"/>
    <w:rsid w:val="002A330E"/>
    <w:rsid w:val="002A4114"/>
    <w:rsid w:val="002A4E44"/>
    <w:rsid w:val="002A5354"/>
    <w:rsid w:val="002B10D1"/>
    <w:rsid w:val="002B1624"/>
    <w:rsid w:val="002B1CD2"/>
    <w:rsid w:val="002B21D9"/>
    <w:rsid w:val="002B2426"/>
    <w:rsid w:val="002B27CC"/>
    <w:rsid w:val="002B298D"/>
    <w:rsid w:val="002B31C2"/>
    <w:rsid w:val="002B3373"/>
    <w:rsid w:val="002B4C2E"/>
    <w:rsid w:val="002B4C86"/>
    <w:rsid w:val="002B5288"/>
    <w:rsid w:val="002B60B6"/>
    <w:rsid w:val="002B6B83"/>
    <w:rsid w:val="002B7A82"/>
    <w:rsid w:val="002B7C8E"/>
    <w:rsid w:val="002C016F"/>
    <w:rsid w:val="002C0347"/>
    <w:rsid w:val="002C29F8"/>
    <w:rsid w:val="002C3ABA"/>
    <w:rsid w:val="002C4763"/>
    <w:rsid w:val="002C5F6E"/>
    <w:rsid w:val="002C6FB3"/>
    <w:rsid w:val="002D0A6D"/>
    <w:rsid w:val="002D13B8"/>
    <w:rsid w:val="002D1B11"/>
    <w:rsid w:val="002D2514"/>
    <w:rsid w:val="002D38DD"/>
    <w:rsid w:val="002D4F4C"/>
    <w:rsid w:val="002D5CE4"/>
    <w:rsid w:val="002D5DC3"/>
    <w:rsid w:val="002D6616"/>
    <w:rsid w:val="002D6FED"/>
    <w:rsid w:val="002E11FC"/>
    <w:rsid w:val="002E1E04"/>
    <w:rsid w:val="002E2052"/>
    <w:rsid w:val="002E2AA4"/>
    <w:rsid w:val="002E444D"/>
    <w:rsid w:val="002E481F"/>
    <w:rsid w:val="002E4B69"/>
    <w:rsid w:val="002E55A6"/>
    <w:rsid w:val="002E5B95"/>
    <w:rsid w:val="002E6590"/>
    <w:rsid w:val="002F02A4"/>
    <w:rsid w:val="002F27EB"/>
    <w:rsid w:val="002F323F"/>
    <w:rsid w:val="002F3B91"/>
    <w:rsid w:val="002F40DA"/>
    <w:rsid w:val="002F6082"/>
    <w:rsid w:val="002F6BF5"/>
    <w:rsid w:val="002F7A8E"/>
    <w:rsid w:val="0030011D"/>
    <w:rsid w:val="00301999"/>
    <w:rsid w:val="00302BCF"/>
    <w:rsid w:val="00303067"/>
    <w:rsid w:val="00304820"/>
    <w:rsid w:val="00305DD0"/>
    <w:rsid w:val="00306F4B"/>
    <w:rsid w:val="00310381"/>
    <w:rsid w:val="003103E1"/>
    <w:rsid w:val="00310CB2"/>
    <w:rsid w:val="00310E61"/>
    <w:rsid w:val="003146EB"/>
    <w:rsid w:val="003158B6"/>
    <w:rsid w:val="00315CD9"/>
    <w:rsid w:val="00317710"/>
    <w:rsid w:val="00324C44"/>
    <w:rsid w:val="00324F7E"/>
    <w:rsid w:val="003250F7"/>
    <w:rsid w:val="00325697"/>
    <w:rsid w:val="00325C37"/>
    <w:rsid w:val="00325FD3"/>
    <w:rsid w:val="0032654B"/>
    <w:rsid w:val="003270A5"/>
    <w:rsid w:val="00327235"/>
    <w:rsid w:val="00327C6B"/>
    <w:rsid w:val="00330EAA"/>
    <w:rsid w:val="003318BA"/>
    <w:rsid w:val="00331DAA"/>
    <w:rsid w:val="003333C5"/>
    <w:rsid w:val="003343D7"/>
    <w:rsid w:val="00334CDC"/>
    <w:rsid w:val="00335055"/>
    <w:rsid w:val="003364E5"/>
    <w:rsid w:val="00340545"/>
    <w:rsid w:val="00340549"/>
    <w:rsid w:val="0034145F"/>
    <w:rsid w:val="0034289D"/>
    <w:rsid w:val="00342966"/>
    <w:rsid w:val="003445FC"/>
    <w:rsid w:val="00346235"/>
    <w:rsid w:val="00346F17"/>
    <w:rsid w:val="00347DF6"/>
    <w:rsid w:val="00350B99"/>
    <w:rsid w:val="00351241"/>
    <w:rsid w:val="00351DE1"/>
    <w:rsid w:val="00351FA6"/>
    <w:rsid w:val="003522D8"/>
    <w:rsid w:val="00352966"/>
    <w:rsid w:val="0035326E"/>
    <w:rsid w:val="0035350F"/>
    <w:rsid w:val="0035429F"/>
    <w:rsid w:val="00354ADA"/>
    <w:rsid w:val="00357088"/>
    <w:rsid w:val="00357779"/>
    <w:rsid w:val="00360109"/>
    <w:rsid w:val="00360615"/>
    <w:rsid w:val="003613F0"/>
    <w:rsid w:val="00363EF5"/>
    <w:rsid w:val="00365DBB"/>
    <w:rsid w:val="00366205"/>
    <w:rsid w:val="00367142"/>
    <w:rsid w:val="00367462"/>
    <w:rsid w:val="00367555"/>
    <w:rsid w:val="00367559"/>
    <w:rsid w:val="00367708"/>
    <w:rsid w:val="00367B96"/>
    <w:rsid w:val="00372243"/>
    <w:rsid w:val="00373B4F"/>
    <w:rsid w:val="0037694D"/>
    <w:rsid w:val="0037696F"/>
    <w:rsid w:val="003769C7"/>
    <w:rsid w:val="00377556"/>
    <w:rsid w:val="003779E0"/>
    <w:rsid w:val="0038008F"/>
    <w:rsid w:val="0038033A"/>
    <w:rsid w:val="00380F77"/>
    <w:rsid w:val="00381350"/>
    <w:rsid w:val="0038213B"/>
    <w:rsid w:val="00382A9D"/>
    <w:rsid w:val="00384AB2"/>
    <w:rsid w:val="003854AB"/>
    <w:rsid w:val="00385B5F"/>
    <w:rsid w:val="00390AE6"/>
    <w:rsid w:val="00391D12"/>
    <w:rsid w:val="00392372"/>
    <w:rsid w:val="00392564"/>
    <w:rsid w:val="003929DD"/>
    <w:rsid w:val="003955B3"/>
    <w:rsid w:val="00396422"/>
    <w:rsid w:val="00396DB2"/>
    <w:rsid w:val="003A0031"/>
    <w:rsid w:val="003A046D"/>
    <w:rsid w:val="003A0783"/>
    <w:rsid w:val="003A10D3"/>
    <w:rsid w:val="003A1137"/>
    <w:rsid w:val="003A1DD5"/>
    <w:rsid w:val="003A2E2A"/>
    <w:rsid w:val="003A30C5"/>
    <w:rsid w:val="003A3C92"/>
    <w:rsid w:val="003A4A6F"/>
    <w:rsid w:val="003A4BF8"/>
    <w:rsid w:val="003A6FDF"/>
    <w:rsid w:val="003A797E"/>
    <w:rsid w:val="003B1871"/>
    <w:rsid w:val="003B1B8B"/>
    <w:rsid w:val="003B326B"/>
    <w:rsid w:val="003B429A"/>
    <w:rsid w:val="003B5733"/>
    <w:rsid w:val="003B5AAE"/>
    <w:rsid w:val="003B5C06"/>
    <w:rsid w:val="003B6AA0"/>
    <w:rsid w:val="003B752C"/>
    <w:rsid w:val="003B7938"/>
    <w:rsid w:val="003C08A5"/>
    <w:rsid w:val="003C0EFE"/>
    <w:rsid w:val="003C1B0D"/>
    <w:rsid w:val="003C3D9B"/>
    <w:rsid w:val="003C42CF"/>
    <w:rsid w:val="003C52DC"/>
    <w:rsid w:val="003C71A5"/>
    <w:rsid w:val="003C7A3F"/>
    <w:rsid w:val="003C7E3E"/>
    <w:rsid w:val="003D06E6"/>
    <w:rsid w:val="003D20AF"/>
    <w:rsid w:val="003D28AE"/>
    <w:rsid w:val="003D3282"/>
    <w:rsid w:val="003D41CD"/>
    <w:rsid w:val="003D429E"/>
    <w:rsid w:val="003D4C2C"/>
    <w:rsid w:val="003D51A5"/>
    <w:rsid w:val="003D5331"/>
    <w:rsid w:val="003D54AD"/>
    <w:rsid w:val="003D708E"/>
    <w:rsid w:val="003E0A22"/>
    <w:rsid w:val="003E4C68"/>
    <w:rsid w:val="003E6FC9"/>
    <w:rsid w:val="003F0189"/>
    <w:rsid w:val="003F040A"/>
    <w:rsid w:val="003F1BDC"/>
    <w:rsid w:val="003F2926"/>
    <w:rsid w:val="003F2A12"/>
    <w:rsid w:val="003F3F91"/>
    <w:rsid w:val="003F401D"/>
    <w:rsid w:val="003F4C35"/>
    <w:rsid w:val="003F56F2"/>
    <w:rsid w:val="003F5B4E"/>
    <w:rsid w:val="003F70F7"/>
    <w:rsid w:val="003F7436"/>
    <w:rsid w:val="004007E3"/>
    <w:rsid w:val="00400C5B"/>
    <w:rsid w:val="00400D4D"/>
    <w:rsid w:val="00403848"/>
    <w:rsid w:val="0040384E"/>
    <w:rsid w:val="004038BD"/>
    <w:rsid w:val="00404399"/>
    <w:rsid w:val="00404528"/>
    <w:rsid w:val="004059BA"/>
    <w:rsid w:val="00405C3C"/>
    <w:rsid w:val="0040648C"/>
    <w:rsid w:val="00406928"/>
    <w:rsid w:val="00406BD8"/>
    <w:rsid w:val="004101B5"/>
    <w:rsid w:val="00410435"/>
    <w:rsid w:val="00410D4B"/>
    <w:rsid w:val="00410FEA"/>
    <w:rsid w:val="00411104"/>
    <w:rsid w:val="00412140"/>
    <w:rsid w:val="00412358"/>
    <w:rsid w:val="004138E6"/>
    <w:rsid w:val="0041475E"/>
    <w:rsid w:val="00414885"/>
    <w:rsid w:val="0041517E"/>
    <w:rsid w:val="00415D8B"/>
    <w:rsid w:val="00416280"/>
    <w:rsid w:val="00416B9F"/>
    <w:rsid w:val="0041762D"/>
    <w:rsid w:val="00417CA1"/>
    <w:rsid w:val="00417F74"/>
    <w:rsid w:val="0042103E"/>
    <w:rsid w:val="00422095"/>
    <w:rsid w:val="00423054"/>
    <w:rsid w:val="00424718"/>
    <w:rsid w:val="004256E9"/>
    <w:rsid w:val="00425A3D"/>
    <w:rsid w:val="00425E44"/>
    <w:rsid w:val="00425FC5"/>
    <w:rsid w:val="00432309"/>
    <w:rsid w:val="004327E7"/>
    <w:rsid w:val="00432A28"/>
    <w:rsid w:val="00433033"/>
    <w:rsid w:val="00433C1E"/>
    <w:rsid w:val="004343B3"/>
    <w:rsid w:val="004348F0"/>
    <w:rsid w:val="00435286"/>
    <w:rsid w:val="00436418"/>
    <w:rsid w:val="00437DC1"/>
    <w:rsid w:val="0044108D"/>
    <w:rsid w:val="00441864"/>
    <w:rsid w:val="004425FD"/>
    <w:rsid w:val="00442DFE"/>
    <w:rsid w:val="00442F25"/>
    <w:rsid w:val="004435DF"/>
    <w:rsid w:val="004438FA"/>
    <w:rsid w:val="004465CA"/>
    <w:rsid w:val="00446AAF"/>
    <w:rsid w:val="00450038"/>
    <w:rsid w:val="00450840"/>
    <w:rsid w:val="00450E38"/>
    <w:rsid w:val="0045121F"/>
    <w:rsid w:val="00452188"/>
    <w:rsid w:val="004521EC"/>
    <w:rsid w:val="00453A75"/>
    <w:rsid w:val="0045450B"/>
    <w:rsid w:val="004546E4"/>
    <w:rsid w:val="00455C8F"/>
    <w:rsid w:val="00455EDD"/>
    <w:rsid w:val="00456E8B"/>
    <w:rsid w:val="004574EC"/>
    <w:rsid w:val="00457BFA"/>
    <w:rsid w:val="00460052"/>
    <w:rsid w:val="00460A06"/>
    <w:rsid w:val="00461AF8"/>
    <w:rsid w:val="00462400"/>
    <w:rsid w:val="0046265A"/>
    <w:rsid w:val="00463277"/>
    <w:rsid w:val="0046540E"/>
    <w:rsid w:val="00465A6D"/>
    <w:rsid w:val="00465C24"/>
    <w:rsid w:val="00465D73"/>
    <w:rsid w:val="00466C53"/>
    <w:rsid w:val="0047015C"/>
    <w:rsid w:val="00470697"/>
    <w:rsid w:val="00471E7F"/>
    <w:rsid w:val="004726F1"/>
    <w:rsid w:val="0047382B"/>
    <w:rsid w:val="00474A08"/>
    <w:rsid w:val="00475B54"/>
    <w:rsid w:val="00475CE4"/>
    <w:rsid w:val="00477D62"/>
    <w:rsid w:val="004806E1"/>
    <w:rsid w:val="00480BDE"/>
    <w:rsid w:val="00480C7A"/>
    <w:rsid w:val="00482B86"/>
    <w:rsid w:val="00483E95"/>
    <w:rsid w:val="0048436D"/>
    <w:rsid w:val="004860A4"/>
    <w:rsid w:val="0048701E"/>
    <w:rsid w:val="00487907"/>
    <w:rsid w:val="00490157"/>
    <w:rsid w:val="00490261"/>
    <w:rsid w:val="0049074E"/>
    <w:rsid w:val="00491FF2"/>
    <w:rsid w:val="004938B4"/>
    <w:rsid w:val="00494C5D"/>
    <w:rsid w:val="004954CF"/>
    <w:rsid w:val="00496463"/>
    <w:rsid w:val="00496610"/>
    <w:rsid w:val="004977E5"/>
    <w:rsid w:val="00497C68"/>
    <w:rsid w:val="004A0652"/>
    <w:rsid w:val="004A0693"/>
    <w:rsid w:val="004A0AF2"/>
    <w:rsid w:val="004A1CC0"/>
    <w:rsid w:val="004A3749"/>
    <w:rsid w:val="004A4280"/>
    <w:rsid w:val="004A469E"/>
    <w:rsid w:val="004A4C81"/>
    <w:rsid w:val="004A57C3"/>
    <w:rsid w:val="004A5FE8"/>
    <w:rsid w:val="004A766A"/>
    <w:rsid w:val="004A7D50"/>
    <w:rsid w:val="004B02C4"/>
    <w:rsid w:val="004B1012"/>
    <w:rsid w:val="004B1E27"/>
    <w:rsid w:val="004B20A6"/>
    <w:rsid w:val="004B24C5"/>
    <w:rsid w:val="004B40D9"/>
    <w:rsid w:val="004B4B04"/>
    <w:rsid w:val="004B531F"/>
    <w:rsid w:val="004B56CD"/>
    <w:rsid w:val="004B7602"/>
    <w:rsid w:val="004B7C65"/>
    <w:rsid w:val="004B7D70"/>
    <w:rsid w:val="004B7E73"/>
    <w:rsid w:val="004C0466"/>
    <w:rsid w:val="004C09AF"/>
    <w:rsid w:val="004C1F04"/>
    <w:rsid w:val="004C315F"/>
    <w:rsid w:val="004C3B2E"/>
    <w:rsid w:val="004C518F"/>
    <w:rsid w:val="004C5873"/>
    <w:rsid w:val="004C5966"/>
    <w:rsid w:val="004C5B61"/>
    <w:rsid w:val="004C5FE6"/>
    <w:rsid w:val="004C7A29"/>
    <w:rsid w:val="004D01E2"/>
    <w:rsid w:val="004D0222"/>
    <w:rsid w:val="004D03AF"/>
    <w:rsid w:val="004D10AA"/>
    <w:rsid w:val="004D2632"/>
    <w:rsid w:val="004D3CB2"/>
    <w:rsid w:val="004D4C72"/>
    <w:rsid w:val="004D59B5"/>
    <w:rsid w:val="004D69DD"/>
    <w:rsid w:val="004D73E5"/>
    <w:rsid w:val="004E0593"/>
    <w:rsid w:val="004E0624"/>
    <w:rsid w:val="004E0740"/>
    <w:rsid w:val="004E0B72"/>
    <w:rsid w:val="004E35A7"/>
    <w:rsid w:val="004E41EF"/>
    <w:rsid w:val="004E42F0"/>
    <w:rsid w:val="004E5E8A"/>
    <w:rsid w:val="004E623E"/>
    <w:rsid w:val="004F0878"/>
    <w:rsid w:val="004F0B10"/>
    <w:rsid w:val="004F1BFB"/>
    <w:rsid w:val="004F261E"/>
    <w:rsid w:val="004F263E"/>
    <w:rsid w:val="004F28E6"/>
    <w:rsid w:val="004F323A"/>
    <w:rsid w:val="004F3702"/>
    <w:rsid w:val="004F417E"/>
    <w:rsid w:val="004F4618"/>
    <w:rsid w:val="004F78E9"/>
    <w:rsid w:val="00503844"/>
    <w:rsid w:val="00503A1D"/>
    <w:rsid w:val="00504487"/>
    <w:rsid w:val="00505891"/>
    <w:rsid w:val="00505A11"/>
    <w:rsid w:val="0050706C"/>
    <w:rsid w:val="00510814"/>
    <w:rsid w:val="00510B83"/>
    <w:rsid w:val="00511062"/>
    <w:rsid w:val="0051141E"/>
    <w:rsid w:val="00511B4C"/>
    <w:rsid w:val="005137DE"/>
    <w:rsid w:val="00513D6C"/>
    <w:rsid w:val="00514109"/>
    <w:rsid w:val="0051566E"/>
    <w:rsid w:val="00516747"/>
    <w:rsid w:val="00520519"/>
    <w:rsid w:val="00520F1E"/>
    <w:rsid w:val="00521520"/>
    <w:rsid w:val="00522300"/>
    <w:rsid w:val="0052254D"/>
    <w:rsid w:val="005228B8"/>
    <w:rsid w:val="005236F7"/>
    <w:rsid w:val="00524384"/>
    <w:rsid w:val="00524531"/>
    <w:rsid w:val="005245C3"/>
    <w:rsid w:val="00524862"/>
    <w:rsid w:val="0052509C"/>
    <w:rsid w:val="00530A80"/>
    <w:rsid w:val="00531214"/>
    <w:rsid w:val="005317F5"/>
    <w:rsid w:val="00534E40"/>
    <w:rsid w:val="00535A41"/>
    <w:rsid w:val="00535AE8"/>
    <w:rsid w:val="00535B4D"/>
    <w:rsid w:val="00535CEA"/>
    <w:rsid w:val="005360DD"/>
    <w:rsid w:val="00536994"/>
    <w:rsid w:val="00537FB3"/>
    <w:rsid w:val="005411C1"/>
    <w:rsid w:val="005414DA"/>
    <w:rsid w:val="005421BC"/>
    <w:rsid w:val="00542596"/>
    <w:rsid w:val="005428AF"/>
    <w:rsid w:val="00543044"/>
    <w:rsid w:val="0054341E"/>
    <w:rsid w:val="00544D91"/>
    <w:rsid w:val="00544EFD"/>
    <w:rsid w:val="005454EC"/>
    <w:rsid w:val="005478F4"/>
    <w:rsid w:val="00547AE6"/>
    <w:rsid w:val="00547AF9"/>
    <w:rsid w:val="00551484"/>
    <w:rsid w:val="00551B85"/>
    <w:rsid w:val="0055267F"/>
    <w:rsid w:val="00552D1C"/>
    <w:rsid w:val="00553010"/>
    <w:rsid w:val="00553472"/>
    <w:rsid w:val="0055347D"/>
    <w:rsid w:val="0055372B"/>
    <w:rsid w:val="0055452D"/>
    <w:rsid w:val="00554C90"/>
    <w:rsid w:val="00555705"/>
    <w:rsid w:val="005570A4"/>
    <w:rsid w:val="0056000D"/>
    <w:rsid w:val="00561DDC"/>
    <w:rsid w:val="00561E91"/>
    <w:rsid w:val="005627BE"/>
    <w:rsid w:val="005628A2"/>
    <w:rsid w:val="005629FE"/>
    <w:rsid w:val="005632D1"/>
    <w:rsid w:val="005633D2"/>
    <w:rsid w:val="00563609"/>
    <w:rsid w:val="005644B1"/>
    <w:rsid w:val="005661C8"/>
    <w:rsid w:val="00567009"/>
    <w:rsid w:val="005700DB"/>
    <w:rsid w:val="00570AA9"/>
    <w:rsid w:val="00570B39"/>
    <w:rsid w:val="00570C99"/>
    <w:rsid w:val="00571AAD"/>
    <w:rsid w:val="00571EAB"/>
    <w:rsid w:val="00572B9E"/>
    <w:rsid w:val="00573518"/>
    <w:rsid w:val="00573529"/>
    <w:rsid w:val="00574287"/>
    <w:rsid w:val="00574C96"/>
    <w:rsid w:val="0057523A"/>
    <w:rsid w:val="005800CD"/>
    <w:rsid w:val="00581631"/>
    <w:rsid w:val="00582B60"/>
    <w:rsid w:val="0058390B"/>
    <w:rsid w:val="005861D4"/>
    <w:rsid w:val="005869A1"/>
    <w:rsid w:val="00587A84"/>
    <w:rsid w:val="00591FCE"/>
    <w:rsid w:val="005930AA"/>
    <w:rsid w:val="005930BF"/>
    <w:rsid w:val="00594876"/>
    <w:rsid w:val="00594D4F"/>
    <w:rsid w:val="00595141"/>
    <w:rsid w:val="00595B8F"/>
    <w:rsid w:val="0059630D"/>
    <w:rsid w:val="00596311"/>
    <w:rsid w:val="00596893"/>
    <w:rsid w:val="00596B47"/>
    <w:rsid w:val="005970F9"/>
    <w:rsid w:val="005974CD"/>
    <w:rsid w:val="005A0E0F"/>
    <w:rsid w:val="005A2566"/>
    <w:rsid w:val="005A2749"/>
    <w:rsid w:val="005A2818"/>
    <w:rsid w:val="005A2ADD"/>
    <w:rsid w:val="005A3234"/>
    <w:rsid w:val="005A3438"/>
    <w:rsid w:val="005A3A30"/>
    <w:rsid w:val="005A3BE1"/>
    <w:rsid w:val="005A69E4"/>
    <w:rsid w:val="005A6E4D"/>
    <w:rsid w:val="005B0B5E"/>
    <w:rsid w:val="005B176D"/>
    <w:rsid w:val="005B2536"/>
    <w:rsid w:val="005B25AF"/>
    <w:rsid w:val="005B3056"/>
    <w:rsid w:val="005B4BF3"/>
    <w:rsid w:val="005B525A"/>
    <w:rsid w:val="005B6611"/>
    <w:rsid w:val="005B6E0E"/>
    <w:rsid w:val="005B7998"/>
    <w:rsid w:val="005B7FDD"/>
    <w:rsid w:val="005C0346"/>
    <w:rsid w:val="005C04C7"/>
    <w:rsid w:val="005C16A0"/>
    <w:rsid w:val="005C1925"/>
    <w:rsid w:val="005C25D5"/>
    <w:rsid w:val="005C2EC6"/>
    <w:rsid w:val="005C5F81"/>
    <w:rsid w:val="005C6197"/>
    <w:rsid w:val="005C6E53"/>
    <w:rsid w:val="005C6ECC"/>
    <w:rsid w:val="005C7AB1"/>
    <w:rsid w:val="005D032E"/>
    <w:rsid w:val="005D0331"/>
    <w:rsid w:val="005D0359"/>
    <w:rsid w:val="005D0C51"/>
    <w:rsid w:val="005D160B"/>
    <w:rsid w:val="005D1FC6"/>
    <w:rsid w:val="005D2E8C"/>
    <w:rsid w:val="005D3EA4"/>
    <w:rsid w:val="005D5AF6"/>
    <w:rsid w:val="005D6424"/>
    <w:rsid w:val="005E08F2"/>
    <w:rsid w:val="005E146A"/>
    <w:rsid w:val="005E2106"/>
    <w:rsid w:val="005E2460"/>
    <w:rsid w:val="005E3034"/>
    <w:rsid w:val="005E3B2E"/>
    <w:rsid w:val="005E3C65"/>
    <w:rsid w:val="005E3E42"/>
    <w:rsid w:val="005E446F"/>
    <w:rsid w:val="005E58A5"/>
    <w:rsid w:val="005E70C2"/>
    <w:rsid w:val="005F018B"/>
    <w:rsid w:val="005F07CE"/>
    <w:rsid w:val="005F11E9"/>
    <w:rsid w:val="005F1607"/>
    <w:rsid w:val="005F16AA"/>
    <w:rsid w:val="005F5269"/>
    <w:rsid w:val="005F6572"/>
    <w:rsid w:val="005F7794"/>
    <w:rsid w:val="006028C4"/>
    <w:rsid w:val="00603F80"/>
    <w:rsid w:val="006050E2"/>
    <w:rsid w:val="0060612D"/>
    <w:rsid w:val="00606BE8"/>
    <w:rsid w:val="00606D96"/>
    <w:rsid w:val="00606DFC"/>
    <w:rsid w:val="00606ED7"/>
    <w:rsid w:val="00606FC1"/>
    <w:rsid w:val="00607633"/>
    <w:rsid w:val="00607B15"/>
    <w:rsid w:val="00610A70"/>
    <w:rsid w:val="0061276C"/>
    <w:rsid w:val="0061364E"/>
    <w:rsid w:val="00613D97"/>
    <w:rsid w:val="006170EB"/>
    <w:rsid w:val="00617CBF"/>
    <w:rsid w:val="00620960"/>
    <w:rsid w:val="00620DC8"/>
    <w:rsid w:val="00621DF9"/>
    <w:rsid w:val="00621F91"/>
    <w:rsid w:val="006222A9"/>
    <w:rsid w:val="00623B12"/>
    <w:rsid w:val="00623EBB"/>
    <w:rsid w:val="00624368"/>
    <w:rsid w:val="006245CA"/>
    <w:rsid w:val="0062482E"/>
    <w:rsid w:val="006250A0"/>
    <w:rsid w:val="00626A34"/>
    <w:rsid w:val="00627214"/>
    <w:rsid w:val="006304C7"/>
    <w:rsid w:val="00632311"/>
    <w:rsid w:val="00632677"/>
    <w:rsid w:val="00633B33"/>
    <w:rsid w:val="006340DF"/>
    <w:rsid w:val="006344C3"/>
    <w:rsid w:val="006357F1"/>
    <w:rsid w:val="00635CCF"/>
    <w:rsid w:val="00635F94"/>
    <w:rsid w:val="0063759B"/>
    <w:rsid w:val="00640F80"/>
    <w:rsid w:val="006415CB"/>
    <w:rsid w:val="00641849"/>
    <w:rsid w:val="00641D31"/>
    <w:rsid w:val="0064258F"/>
    <w:rsid w:val="0064358E"/>
    <w:rsid w:val="006446F3"/>
    <w:rsid w:val="0064516F"/>
    <w:rsid w:val="00646809"/>
    <w:rsid w:val="006475EE"/>
    <w:rsid w:val="006476D4"/>
    <w:rsid w:val="00650CCD"/>
    <w:rsid w:val="00652397"/>
    <w:rsid w:val="00652A42"/>
    <w:rsid w:val="00654A2C"/>
    <w:rsid w:val="00655490"/>
    <w:rsid w:val="00657E4D"/>
    <w:rsid w:val="00660DAC"/>
    <w:rsid w:val="00662F50"/>
    <w:rsid w:val="00663B5E"/>
    <w:rsid w:val="00663FE2"/>
    <w:rsid w:val="00664768"/>
    <w:rsid w:val="006650EF"/>
    <w:rsid w:val="006656F3"/>
    <w:rsid w:val="006657FB"/>
    <w:rsid w:val="00665BD6"/>
    <w:rsid w:val="006673A9"/>
    <w:rsid w:val="0067238C"/>
    <w:rsid w:val="00673894"/>
    <w:rsid w:val="00673D7C"/>
    <w:rsid w:val="006742E0"/>
    <w:rsid w:val="00674C02"/>
    <w:rsid w:val="00676276"/>
    <w:rsid w:val="00676D42"/>
    <w:rsid w:val="00680F21"/>
    <w:rsid w:val="00681492"/>
    <w:rsid w:val="006818CB"/>
    <w:rsid w:val="006819C0"/>
    <w:rsid w:val="0068249B"/>
    <w:rsid w:val="00683DE4"/>
    <w:rsid w:val="006841F4"/>
    <w:rsid w:val="00684846"/>
    <w:rsid w:val="006848AB"/>
    <w:rsid w:val="00684FAE"/>
    <w:rsid w:val="00685194"/>
    <w:rsid w:val="00687829"/>
    <w:rsid w:val="006879AA"/>
    <w:rsid w:val="00687B54"/>
    <w:rsid w:val="00690E62"/>
    <w:rsid w:val="00691D03"/>
    <w:rsid w:val="00692BD3"/>
    <w:rsid w:val="00692E57"/>
    <w:rsid w:val="00694ED0"/>
    <w:rsid w:val="00695761"/>
    <w:rsid w:val="00695B02"/>
    <w:rsid w:val="006966F0"/>
    <w:rsid w:val="00696937"/>
    <w:rsid w:val="0069728F"/>
    <w:rsid w:val="006A011A"/>
    <w:rsid w:val="006A0244"/>
    <w:rsid w:val="006A112C"/>
    <w:rsid w:val="006A154C"/>
    <w:rsid w:val="006A21BB"/>
    <w:rsid w:val="006A2923"/>
    <w:rsid w:val="006A3160"/>
    <w:rsid w:val="006A3675"/>
    <w:rsid w:val="006A36F2"/>
    <w:rsid w:val="006A3CC0"/>
    <w:rsid w:val="006A4C35"/>
    <w:rsid w:val="006A58A3"/>
    <w:rsid w:val="006A6310"/>
    <w:rsid w:val="006A699F"/>
    <w:rsid w:val="006A70C0"/>
    <w:rsid w:val="006A773D"/>
    <w:rsid w:val="006B02C1"/>
    <w:rsid w:val="006B0F21"/>
    <w:rsid w:val="006B1830"/>
    <w:rsid w:val="006B1B51"/>
    <w:rsid w:val="006B2636"/>
    <w:rsid w:val="006B2B5A"/>
    <w:rsid w:val="006B38CA"/>
    <w:rsid w:val="006B3B25"/>
    <w:rsid w:val="006B4002"/>
    <w:rsid w:val="006B4937"/>
    <w:rsid w:val="006B49B2"/>
    <w:rsid w:val="006B51D0"/>
    <w:rsid w:val="006C1783"/>
    <w:rsid w:val="006C1EC2"/>
    <w:rsid w:val="006C1EE6"/>
    <w:rsid w:val="006C21B8"/>
    <w:rsid w:val="006C2A0E"/>
    <w:rsid w:val="006C2FAD"/>
    <w:rsid w:val="006C5E97"/>
    <w:rsid w:val="006C6200"/>
    <w:rsid w:val="006C69AC"/>
    <w:rsid w:val="006C72C4"/>
    <w:rsid w:val="006D0491"/>
    <w:rsid w:val="006D0550"/>
    <w:rsid w:val="006D0650"/>
    <w:rsid w:val="006D22E1"/>
    <w:rsid w:val="006D3BC3"/>
    <w:rsid w:val="006D709A"/>
    <w:rsid w:val="006D70E7"/>
    <w:rsid w:val="006D7FC4"/>
    <w:rsid w:val="006E2235"/>
    <w:rsid w:val="006E2523"/>
    <w:rsid w:val="006E32DA"/>
    <w:rsid w:val="006E35E8"/>
    <w:rsid w:val="006E3FB3"/>
    <w:rsid w:val="006E5264"/>
    <w:rsid w:val="006E67C2"/>
    <w:rsid w:val="006F057B"/>
    <w:rsid w:val="006F0B66"/>
    <w:rsid w:val="006F2D7B"/>
    <w:rsid w:val="006F5C81"/>
    <w:rsid w:val="006F62BF"/>
    <w:rsid w:val="006F70BE"/>
    <w:rsid w:val="006F771E"/>
    <w:rsid w:val="007006DB"/>
    <w:rsid w:val="00706579"/>
    <w:rsid w:val="0070673A"/>
    <w:rsid w:val="00706D9E"/>
    <w:rsid w:val="0070717F"/>
    <w:rsid w:val="007103FF"/>
    <w:rsid w:val="00710980"/>
    <w:rsid w:val="00710FE2"/>
    <w:rsid w:val="007115C7"/>
    <w:rsid w:val="00711713"/>
    <w:rsid w:val="0071186F"/>
    <w:rsid w:val="00711E1A"/>
    <w:rsid w:val="00713A51"/>
    <w:rsid w:val="00713FDF"/>
    <w:rsid w:val="007141F6"/>
    <w:rsid w:val="00714C7D"/>
    <w:rsid w:val="00715364"/>
    <w:rsid w:val="00716301"/>
    <w:rsid w:val="00716335"/>
    <w:rsid w:val="00716535"/>
    <w:rsid w:val="007167DF"/>
    <w:rsid w:val="00716B1D"/>
    <w:rsid w:val="00716C29"/>
    <w:rsid w:val="00717D4B"/>
    <w:rsid w:val="0072009B"/>
    <w:rsid w:val="007215FA"/>
    <w:rsid w:val="00721C39"/>
    <w:rsid w:val="00722C67"/>
    <w:rsid w:val="00723595"/>
    <w:rsid w:val="00723964"/>
    <w:rsid w:val="00724332"/>
    <w:rsid w:val="007261FA"/>
    <w:rsid w:val="00726AB8"/>
    <w:rsid w:val="00726D14"/>
    <w:rsid w:val="00727CE0"/>
    <w:rsid w:val="00730A5F"/>
    <w:rsid w:val="00731184"/>
    <w:rsid w:val="00731B5D"/>
    <w:rsid w:val="00731D42"/>
    <w:rsid w:val="00733F9A"/>
    <w:rsid w:val="00734043"/>
    <w:rsid w:val="00734EFF"/>
    <w:rsid w:val="00735084"/>
    <w:rsid w:val="00735194"/>
    <w:rsid w:val="0073539F"/>
    <w:rsid w:val="00737873"/>
    <w:rsid w:val="0074002B"/>
    <w:rsid w:val="00741AF4"/>
    <w:rsid w:val="00742423"/>
    <w:rsid w:val="007430E3"/>
    <w:rsid w:val="00743679"/>
    <w:rsid w:val="00743DD2"/>
    <w:rsid w:val="00744107"/>
    <w:rsid w:val="00744AAF"/>
    <w:rsid w:val="0074556A"/>
    <w:rsid w:val="007455A5"/>
    <w:rsid w:val="0074577D"/>
    <w:rsid w:val="007461ED"/>
    <w:rsid w:val="00746A19"/>
    <w:rsid w:val="00746FC9"/>
    <w:rsid w:val="00747F87"/>
    <w:rsid w:val="00750082"/>
    <w:rsid w:val="0075024A"/>
    <w:rsid w:val="00750782"/>
    <w:rsid w:val="00751797"/>
    <w:rsid w:val="00751C1F"/>
    <w:rsid w:val="00751EF4"/>
    <w:rsid w:val="0075490D"/>
    <w:rsid w:val="00755627"/>
    <w:rsid w:val="007560B3"/>
    <w:rsid w:val="00757056"/>
    <w:rsid w:val="007572C4"/>
    <w:rsid w:val="00760610"/>
    <w:rsid w:val="00760EDA"/>
    <w:rsid w:val="007625E6"/>
    <w:rsid w:val="0076395D"/>
    <w:rsid w:val="007641CF"/>
    <w:rsid w:val="007643C4"/>
    <w:rsid w:val="007655DE"/>
    <w:rsid w:val="00766DE8"/>
    <w:rsid w:val="00767866"/>
    <w:rsid w:val="00770178"/>
    <w:rsid w:val="00770598"/>
    <w:rsid w:val="007717AA"/>
    <w:rsid w:val="00771DD4"/>
    <w:rsid w:val="00771FB0"/>
    <w:rsid w:val="0077432E"/>
    <w:rsid w:val="007743C0"/>
    <w:rsid w:val="00775B7B"/>
    <w:rsid w:val="00776764"/>
    <w:rsid w:val="00777852"/>
    <w:rsid w:val="00777C3A"/>
    <w:rsid w:val="00777C46"/>
    <w:rsid w:val="00781210"/>
    <w:rsid w:val="007823D9"/>
    <w:rsid w:val="007840E3"/>
    <w:rsid w:val="007844EB"/>
    <w:rsid w:val="00786275"/>
    <w:rsid w:val="00786363"/>
    <w:rsid w:val="0078791C"/>
    <w:rsid w:val="0079053E"/>
    <w:rsid w:val="007905D9"/>
    <w:rsid w:val="00790E5F"/>
    <w:rsid w:val="00792BBE"/>
    <w:rsid w:val="00792CC0"/>
    <w:rsid w:val="007930CE"/>
    <w:rsid w:val="00793E5A"/>
    <w:rsid w:val="00794483"/>
    <w:rsid w:val="00794E6F"/>
    <w:rsid w:val="00795B27"/>
    <w:rsid w:val="00795BE7"/>
    <w:rsid w:val="00795C7A"/>
    <w:rsid w:val="007961D1"/>
    <w:rsid w:val="00796ABF"/>
    <w:rsid w:val="00797CF4"/>
    <w:rsid w:val="007A11FB"/>
    <w:rsid w:val="007A132F"/>
    <w:rsid w:val="007A1B38"/>
    <w:rsid w:val="007A4623"/>
    <w:rsid w:val="007A4CD5"/>
    <w:rsid w:val="007A4F13"/>
    <w:rsid w:val="007A6CEF"/>
    <w:rsid w:val="007A6EC6"/>
    <w:rsid w:val="007A7D94"/>
    <w:rsid w:val="007B0FF0"/>
    <w:rsid w:val="007B3269"/>
    <w:rsid w:val="007B4628"/>
    <w:rsid w:val="007B51F8"/>
    <w:rsid w:val="007B5D70"/>
    <w:rsid w:val="007B6743"/>
    <w:rsid w:val="007B692F"/>
    <w:rsid w:val="007B793C"/>
    <w:rsid w:val="007B7A00"/>
    <w:rsid w:val="007B7E8B"/>
    <w:rsid w:val="007C0BC8"/>
    <w:rsid w:val="007C1C41"/>
    <w:rsid w:val="007C30DF"/>
    <w:rsid w:val="007C38BF"/>
    <w:rsid w:val="007C3AA1"/>
    <w:rsid w:val="007C519D"/>
    <w:rsid w:val="007C649B"/>
    <w:rsid w:val="007D04AC"/>
    <w:rsid w:val="007D0619"/>
    <w:rsid w:val="007D0D57"/>
    <w:rsid w:val="007D1599"/>
    <w:rsid w:val="007D1C0E"/>
    <w:rsid w:val="007D1C4E"/>
    <w:rsid w:val="007D35EF"/>
    <w:rsid w:val="007D44AB"/>
    <w:rsid w:val="007D65B4"/>
    <w:rsid w:val="007E0B9A"/>
    <w:rsid w:val="007E11DB"/>
    <w:rsid w:val="007E3953"/>
    <w:rsid w:val="007E5215"/>
    <w:rsid w:val="007E5EA3"/>
    <w:rsid w:val="007E714D"/>
    <w:rsid w:val="007F0F1B"/>
    <w:rsid w:val="007F1B0D"/>
    <w:rsid w:val="007F2123"/>
    <w:rsid w:val="007F32C3"/>
    <w:rsid w:val="007F33DC"/>
    <w:rsid w:val="007F3813"/>
    <w:rsid w:val="007F4D8D"/>
    <w:rsid w:val="007F5257"/>
    <w:rsid w:val="007F6AAF"/>
    <w:rsid w:val="007F7C45"/>
    <w:rsid w:val="00800C24"/>
    <w:rsid w:val="00802CCF"/>
    <w:rsid w:val="008032CF"/>
    <w:rsid w:val="008038B1"/>
    <w:rsid w:val="00804FBB"/>
    <w:rsid w:val="00805857"/>
    <w:rsid w:val="00805A20"/>
    <w:rsid w:val="008073A9"/>
    <w:rsid w:val="00807B4A"/>
    <w:rsid w:val="00807BE9"/>
    <w:rsid w:val="00807D20"/>
    <w:rsid w:val="00810280"/>
    <w:rsid w:val="008109E4"/>
    <w:rsid w:val="00811971"/>
    <w:rsid w:val="0081232E"/>
    <w:rsid w:val="00813172"/>
    <w:rsid w:val="00816C60"/>
    <w:rsid w:val="008223EB"/>
    <w:rsid w:val="00822702"/>
    <w:rsid w:val="00824D72"/>
    <w:rsid w:val="00825B46"/>
    <w:rsid w:val="0082744D"/>
    <w:rsid w:val="00827BD0"/>
    <w:rsid w:val="00830272"/>
    <w:rsid w:val="00830810"/>
    <w:rsid w:val="00830A18"/>
    <w:rsid w:val="00830E46"/>
    <w:rsid w:val="00831B3B"/>
    <w:rsid w:val="00831EAF"/>
    <w:rsid w:val="00831FAE"/>
    <w:rsid w:val="0083203A"/>
    <w:rsid w:val="008326F9"/>
    <w:rsid w:val="00832B42"/>
    <w:rsid w:val="00834B39"/>
    <w:rsid w:val="0083579F"/>
    <w:rsid w:val="0083596F"/>
    <w:rsid w:val="00835DA2"/>
    <w:rsid w:val="00835F5C"/>
    <w:rsid w:val="008371DC"/>
    <w:rsid w:val="008401A8"/>
    <w:rsid w:val="0084022E"/>
    <w:rsid w:val="0084080C"/>
    <w:rsid w:val="00841039"/>
    <w:rsid w:val="008411BC"/>
    <w:rsid w:val="00841521"/>
    <w:rsid w:val="00842371"/>
    <w:rsid w:val="008426CF"/>
    <w:rsid w:val="00842743"/>
    <w:rsid w:val="008433EE"/>
    <w:rsid w:val="00844394"/>
    <w:rsid w:val="00845250"/>
    <w:rsid w:val="00845976"/>
    <w:rsid w:val="00845BF0"/>
    <w:rsid w:val="00846702"/>
    <w:rsid w:val="008471B8"/>
    <w:rsid w:val="0084748B"/>
    <w:rsid w:val="00847976"/>
    <w:rsid w:val="0085029E"/>
    <w:rsid w:val="00850FEE"/>
    <w:rsid w:val="0085286B"/>
    <w:rsid w:val="008532E1"/>
    <w:rsid w:val="00853630"/>
    <w:rsid w:val="00853955"/>
    <w:rsid w:val="00854109"/>
    <w:rsid w:val="0085497F"/>
    <w:rsid w:val="00854E22"/>
    <w:rsid w:val="008556C0"/>
    <w:rsid w:val="00857D9D"/>
    <w:rsid w:val="00861774"/>
    <w:rsid w:val="008624D8"/>
    <w:rsid w:val="0086272C"/>
    <w:rsid w:val="008627E2"/>
    <w:rsid w:val="008635CD"/>
    <w:rsid w:val="00864F39"/>
    <w:rsid w:val="00865063"/>
    <w:rsid w:val="008676A5"/>
    <w:rsid w:val="008679A5"/>
    <w:rsid w:val="00870239"/>
    <w:rsid w:val="0087094B"/>
    <w:rsid w:val="00870C81"/>
    <w:rsid w:val="00871054"/>
    <w:rsid w:val="008729A7"/>
    <w:rsid w:val="008737B1"/>
    <w:rsid w:val="008739E8"/>
    <w:rsid w:val="00873DF2"/>
    <w:rsid w:val="00874CE0"/>
    <w:rsid w:val="00875144"/>
    <w:rsid w:val="00875C24"/>
    <w:rsid w:val="00876814"/>
    <w:rsid w:val="00876B12"/>
    <w:rsid w:val="008775F4"/>
    <w:rsid w:val="00877E93"/>
    <w:rsid w:val="00877F0E"/>
    <w:rsid w:val="0088117E"/>
    <w:rsid w:val="008820A8"/>
    <w:rsid w:val="0088304B"/>
    <w:rsid w:val="0088409F"/>
    <w:rsid w:val="0088486A"/>
    <w:rsid w:val="00884E4A"/>
    <w:rsid w:val="0088594C"/>
    <w:rsid w:val="00885A2A"/>
    <w:rsid w:val="00886058"/>
    <w:rsid w:val="00887535"/>
    <w:rsid w:val="008901BA"/>
    <w:rsid w:val="0089037C"/>
    <w:rsid w:val="00890FB4"/>
    <w:rsid w:val="00891766"/>
    <w:rsid w:val="00891784"/>
    <w:rsid w:val="008922C6"/>
    <w:rsid w:val="00893F62"/>
    <w:rsid w:val="008949CF"/>
    <w:rsid w:val="008951AE"/>
    <w:rsid w:val="008951E1"/>
    <w:rsid w:val="00895447"/>
    <w:rsid w:val="0089579C"/>
    <w:rsid w:val="00895CCF"/>
    <w:rsid w:val="008A0292"/>
    <w:rsid w:val="008A0B4C"/>
    <w:rsid w:val="008A0C5A"/>
    <w:rsid w:val="008A0D77"/>
    <w:rsid w:val="008A16CC"/>
    <w:rsid w:val="008A1AF9"/>
    <w:rsid w:val="008A2638"/>
    <w:rsid w:val="008A3C08"/>
    <w:rsid w:val="008A3D59"/>
    <w:rsid w:val="008A42AB"/>
    <w:rsid w:val="008A46E9"/>
    <w:rsid w:val="008A4CCC"/>
    <w:rsid w:val="008A4F4E"/>
    <w:rsid w:val="008A5295"/>
    <w:rsid w:val="008A630A"/>
    <w:rsid w:val="008A6A78"/>
    <w:rsid w:val="008A6C5C"/>
    <w:rsid w:val="008A70D3"/>
    <w:rsid w:val="008A737F"/>
    <w:rsid w:val="008B0155"/>
    <w:rsid w:val="008B0EF8"/>
    <w:rsid w:val="008B1125"/>
    <w:rsid w:val="008B11CB"/>
    <w:rsid w:val="008B1250"/>
    <w:rsid w:val="008B1B33"/>
    <w:rsid w:val="008B1EA5"/>
    <w:rsid w:val="008B25B5"/>
    <w:rsid w:val="008B3F6B"/>
    <w:rsid w:val="008B4032"/>
    <w:rsid w:val="008B40AA"/>
    <w:rsid w:val="008B53FB"/>
    <w:rsid w:val="008B5C64"/>
    <w:rsid w:val="008B61D6"/>
    <w:rsid w:val="008B6397"/>
    <w:rsid w:val="008B6F9F"/>
    <w:rsid w:val="008B7110"/>
    <w:rsid w:val="008C0F2E"/>
    <w:rsid w:val="008C1B15"/>
    <w:rsid w:val="008C2464"/>
    <w:rsid w:val="008C2B82"/>
    <w:rsid w:val="008C2D4F"/>
    <w:rsid w:val="008C52D3"/>
    <w:rsid w:val="008C575A"/>
    <w:rsid w:val="008C5A39"/>
    <w:rsid w:val="008C5F44"/>
    <w:rsid w:val="008C6722"/>
    <w:rsid w:val="008C7B0F"/>
    <w:rsid w:val="008D3914"/>
    <w:rsid w:val="008D4477"/>
    <w:rsid w:val="008D4B93"/>
    <w:rsid w:val="008D4EBC"/>
    <w:rsid w:val="008D4EEE"/>
    <w:rsid w:val="008D562C"/>
    <w:rsid w:val="008D7BC4"/>
    <w:rsid w:val="008E0AAD"/>
    <w:rsid w:val="008E2612"/>
    <w:rsid w:val="008E3858"/>
    <w:rsid w:val="008E4534"/>
    <w:rsid w:val="008E6267"/>
    <w:rsid w:val="008E64F8"/>
    <w:rsid w:val="008E66E8"/>
    <w:rsid w:val="008E7013"/>
    <w:rsid w:val="008E710D"/>
    <w:rsid w:val="008E731C"/>
    <w:rsid w:val="008E75A3"/>
    <w:rsid w:val="008E7FB6"/>
    <w:rsid w:val="008F0566"/>
    <w:rsid w:val="008F1823"/>
    <w:rsid w:val="008F2C41"/>
    <w:rsid w:val="008F3976"/>
    <w:rsid w:val="008F3AE8"/>
    <w:rsid w:val="008F46CE"/>
    <w:rsid w:val="008F4F1A"/>
    <w:rsid w:val="008F5BF8"/>
    <w:rsid w:val="008F6E81"/>
    <w:rsid w:val="009001A9"/>
    <w:rsid w:val="00900ACE"/>
    <w:rsid w:val="00900BF0"/>
    <w:rsid w:val="00901CCB"/>
    <w:rsid w:val="00901DED"/>
    <w:rsid w:val="009025BF"/>
    <w:rsid w:val="00903368"/>
    <w:rsid w:val="00903479"/>
    <w:rsid w:val="00904C82"/>
    <w:rsid w:val="00904E74"/>
    <w:rsid w:val="0090634D"/>
    <w:rsid w:val="0090724C"/>
    <w:rsid w:val="0091050E"/>
    <w:rsid w:val="009108B3"/>
    <w:rsid w:val="009111B1"/>
    <w:rsid w:val="00911D6C"/>
    <w:rsid w:val="00913136"/>
    <w:rsid w:val="00914F3F"/>
    <w:rsid w:val="009153C4"/>
    <w:rsid w:val="00915F2F"/>
    <w:rsid w:val="009166A3"/>
    <w:rsid w:val="00916BFD"/>
    <w:rsid w:val="009225A4"/>
    <w:rsid w:val="009231BC"/>
    <w:rsid w:val="009235C1"/>
    <w:rsid w:val="00923A80"/>
    <w:rsid w:val="00924CA6"/>
    <w:rsid w:val="009254FD"/>
    <w:rsid w:val="009273B8"/>
    <w:rsid w:val="009278D4"/>
    <w:rsid w:val="00927EEB"/>
    <w:rsid w:val="009301DC"/>
    <w:rsid w:val="00930AB8"/>
    <w:rsid w:val="00930D3B"/>
    <w:rsid w:val="00931257"/>
    <w:rsid w:val="009312BB"/>
    <w:rsid w:val="009315A4"/>
    <w:rsid w:val="00931F8A"/>
    <w:rsid w:val="009328F3"/>
    <w:rsid w:val="00932CC4"/>
    <w:rsid w:val="00933433"/>
    <w:rsid w:val="009339DA"/>
    <w:rsid w:val="00934425"/>
    <w:rsid w:val="00935358"/>
    <w:rsid w:val="009360EB"/>
    <w:rsid w:val="00936DC8"/>
    <w:rsid w:val="00936FB8"/>
    <w:rsid w:val="00937568"/>
    <w:rsid w:val="00940040"/>
    <w:rsid w:val="009419A4"/>
    <w:rsid w:val="009422F7"/>
    <w:rsid w:val="00943DC7"/>
    <w:rsid w:val="0094701B"/>
    <w:rsid w:val="009471D4"/>
    <w:rsid w:val="00947BDB"/>
    <w:rsid w:val="00947D69"/>
    <w:rsid w:val="00951DD4"/>
    <w:rsid w:val="009526F9"/>
    <w:rsid w:val="0095290F"/>
    <w:rsid w:val="00954713"/>
    <w:rsid w:val="00954AF7"/>
    <w:rsid w:val="00955216"/>
    <w:rsid w:val="00956CF1"/>
    <w:rsid w:val="00956CFA"/>
    <w:rsid w:val="00956ECA"/>
    <w:rsid w:val="00957E1D"/>
    <w:rsid w:val="00960746"/>
    <w:rsid w:val="00961CB3"/>
    <w:rsid w:val="00962770"/>
    <w:rsid w:val="00962D16"/>
    <w:rsid w:val="009672F6"/>
    <w:rsid w:val="0096788B"/>
    <w:rsid w:val="00967C0A"/>
    <w:rsid w:val="00971AFE"/>
    <w:rsid w:val="00971CD3"/>
    <w:rsid w:val="00972C26"/>
    <w:rsid w:val="00972D54"/>
    <w:rsid w:val="0097423B"/>
    <w:rsid w:val="009747DF"/>
    <w:rsid w:val="00974A4D"/>
    <w:rsid w:val="00975188"/>
    <w:rsid w:val="00975419"/>
    <w:rsid w:val="009760EC"/>
    <w:rsid w:val="00976504"/>
    <w:rsid w:val="00976D38"/>
    <w:rsid w:val="0097760A"/>
    <w:rsid w:val="00977D67"/>
    <w:rsid w:val="0098057D"/>
    <w:rsid w:val="009813A2"/>
    <w:rsid w:val="00981F00"/>
    <w:rsid w:val="00982793"/>
    <w:rsid w:val="00982C1A"/>
    <w:rsid w:val="0098403B"/>
    <w:rsid w:val="00984F02"/>
    <w:rsid w:val="0098524A"/>
    <w:rsid w:val="00985C82"/>
    <w:rsid w:val="00985DA3"/>
    <w:rsid w:val="00985E78"/>
    <w:rsid w:val="00986DF4"/>
    <w:rsid w:val="00992B0A"/>
    <w:rsid w:val="009931ED"/>
    <w:rsid w:val="009938FE"/>
    <w:rsid w:val="00993BA6"/>
    <w:rsid w:val="00993DBB"/>
    <w:rsid w:val="00994402"/>
    <w:rsid w:val="00994A0F"/>
    <w:rsid w:val="009A0CB3"/>
    <w:rsid w:val="009A140B"/>
    <w:rsid w:val="009A25BC"/>
    <w:rsid w:val="009A2E69"/>
    <w:rsid w:val="009A3B2E"/>
    <w:rsid w:val="009A5C1D"/>
    <w:rsid w:val="009A646C"/>
    <w:rsid w:val="009A7A6E"/>
    <w:rsid w:val="009B0044"/>
    <w:rsid w:val="009B0527"/>
    <w:rsid w:val="009B05E3"/>
    <w:rsid w:val="009B09DB"/>
    <w:rsid w:val="009B0D8E"/>
    <w:rsid w:val="009B162F"/>
    <w:rsid w:val="009B17EC"/>
    <w:rsid w:val="009B3D70"/>
    <w:rsid w:val="009B3E02"/>
    <w:rsid w:val="009B46D7"/>
    <w:rsid w:val="009B4ED6"/>
    <w:rsid w:val="009B5164"/>
    <w:rsid w:val="009B69BD"/>
    <w:rsid w:val="009B6C17"/>
    <w:rsid w:val="009B6FDD"/>
    <w:rsid w:val="009B707A"/>
    <w:rsid w:val="009B77D4"/>
    <w:rsid w:val="009C097B"/>
    <w:rsid w:val="009C16F4"/>
    <w:rsid w:val="009C1884"/>
    <w:rsid w:val="009C2017"/>
    <w:rsid w:val="009C372F"/>
    <w:rsid w:val="009C3BE3"/>
    <w:rsid w:val="009C447B"/>
    <w:rsid w:val="009C475F"/>
    <w:rsid w:val="009C60B9"/>
    <w:rsid w:val="009C65E6"/>
    <w:rsid w:val="009C7186"/>
    <w:rsid w:val="009D0F9F"/>
    <w:rsid w:val="009D1354"/>
    <w:rsid w:val="009D18AB"/>
    <w:rsid w:val="009D213A"/>
    <w:rsid w:val="009D3AAD"/>
    <w:rsid w:val="009D42CA"/>
    <w:rsid w:val="009D55F1"/>
    <w:rsid w:val="009D5682"/>
    <w:rsid w:val="009D7202"/>
    <w:rsid w:val="009E0C12"/>
    <w:rsid w:val="009E19C8"/>
    <w:rsid w:val="009E1AC2"/>
    <w:rsid w:val="009E3B43"/>
    <w:rsid w:val="009E4832"/>
    <w:rsid w:val="009E4B4C"/>
    <w:rsid w:val="009E5218"/>
    <w:rsid w:val="009E54C5"/>
    <w:rsid w:val="009F0715"/>
    <w:rsid w:val="009F16D4"/>
    <w:rsid w:val="009F1CBC"/>
    <w:rsid w:val="009F2387"/>
    <w:rsid w:val="009F2BEA"/>
    <w:rsid w:val="009F2D50"/>
    <w:rsid w:val="009F30BD"/>
    <w:rsid w:val="009F36D7"/>
    <w:rsid w:val="009F38AA"/>
    <w:rsid w:val="009F3E4A"/>
    <w:rsid w:val="009F574D"/>
    <w:rsid w:val="009F5B9F"/>
    <w:rsid w:val="009F7A49"/>
    <w:rsid w:val="00A0089B"/>
    <w:rsid w:val="00A01E30"/>
    <w:rsid w:val="00A02860"/>
    <w:rsid w:val="00A02B3B"/>
    <w:rsid w:val="00A03D25"/>
    <w:rsid w:val="00A042FE"/>
    <w:rsid w:val="00A05B67"/>
    <w:rsid w:val="00A0655E"/>
    <w:rsid w:val="00A07C5F"/>
    <w:rsid w:val="00A11BE0"/>
    <w:rsid w:val="00A121E6"/>
    <w:rsid w:val="00A137E4"/>
    <w:rsid w:val="00A145DF"/>
    <w:rsid w:val="00A14944"/>
    <w:rsid w:val="00A22386"/>
    <w:rsid w:val="00A22822"/>
    <w:rsid w:val="00A2289D"/>
    <w:rsid w:val="00A23BBC"/>
    <w:rsid w:val="00A2469A"/>
    <w:rsid w:val="00A24B44"/>
    <w:rsid w:val="00A258BC"/>
    <w:rsid w:val="00A25AE2"/>
    <w:rsid w:val="00A26023"/>
    <w:rsid w:val="00A261E7"/>
    <w:rsid w:val="00A2666A"/>
    <w:rsid w:val="00A3213F"/>
    <w:rsid w:val="00A322DD"/>
    <w:rsid w:val="00A327F2"/>
    <w:rsid w:val="00A33A53"/>
    <w:rsid w:val="00A34A9D"/>
    <w:rsid w:val="00A3584A"/>
    <w:rsid w:val="00A36255"/>
    <w:rsid w:val="00A3748E"/>
    <w:rsid w:val="00A41280"/>
    <w:rsid w:val="00A44D17"/>
    <w:rsid w:val="00A45668"/>
    <w:rsid w:val="00A5160F"/>
    <w:rsid w:val="00A51793"/>
    <w:rsid w:val="00A51D36"/>
    <w:rsid w:val="00A523D9"/>
    <w:rsid w:val="00A52B3A"/>
    <w:rsid w:val="00A52D7A"/>
    <w:rsid w:val="00A530C1"/>
    <w:rsid w:val="00A53E19"/>
    <w:rsid w:val="00A54549"/>
    <w:rsid w:val="00A54F36"/>
    <w:rsid w:val="00A55654"/>
    <w:rsid w:val="00A578F3"/>
    <w:rsid w:val="00A57C2A"/>
    <w:rsid w:val="00A60E2A"/>
    <w:rsid w:val="00A61A20"/>
    <w:rsid w:val="00A62132"/>
    <w:rsid w:val="00A623ED"/>
    <w:rsid w:val="00A63E2F"/>
    <w:rsid w:val="00A6668E"/>
    <w:rsid w:val="00A674BE"/>
    <w:rsid w:val="00A67953"/>
    <w:rsid w:val="00A70291"/>
    <w:rsid w:val="00A703B9"/>
    <w:rsid w:val="00A70C5D"/>
    <w:rsid w:val="00A70DFF"/>
    <w:rsid w:val="00A7277F"/>
    <w:rsid w:val="00A734B5"/>
    <w:rsid w:val="00A749B8"/>
    <w:rsid w:val="00A74B4B"/>
    <w:rsid w:val="00A74D02"/>
    <w:rsid w:val="00A75868"/>
    <w:rsid w:val="00A75DBD"/>
    <w:rsid w:val="00A76C0C"/>
    <w:rsid w:val="00A76ED7"/>
    <w:rsid w:val="00A773AE"/>
    <w:rsid w:val="00A81767"/>
    <w:rsid w:val="00A81C28"/>
    <w:rsid w:val="00A824C3"/>
    <w:rsid w:val="00A84ADF"/>
    <w:rsid w:val="00A861AF"/>
    <w:rsid w:val="00A8670D"/>
    <w:rsid w:val="00A86844"/>
    <w:rsid w:val="00A87097"/>
    <w:rsid w:val="00A870DA"/>
    <w:rsid w:val="00A8729E"/>
    <w:rsid w:val="00A87947"/>
    <w:rsid w:val="00A879EE"/>
    <w:rsid w:val="00A911F9"/>
    <w:rsid w:val="00A91A7F"/>
    <w:rsid w:val="00A91DDC"/>
    <w:rsid w:val="00A924AD"/>
    <w:rsid w:val="00A92563"/>
    <w:rsid w:val="00A925C6"/>
    <w:rsid w:val="00A931EF"/>
    <w:rsid w:val="00A9383A"/>
    <w:rsid w:val="00A93A63"/>
    <w:rsid w:val="00A93DA8"/>
    <w:rsid w:val="00A96D1E"/>
    <w:rsid w:val="00A974C7"/>
    <w:rsid w:val="00AA07F6"/>
    <w:rsid w:val="00AA31A8"/>
    <w:rsid w:val="00AA5092"/>
    <w:rsid w:val="00AA58CF"/>
    <w:rsid w:val="00AA59E7"/>
    <w:rsid w:val="00AA6493"/>
    <w:rsid w:val="00AA755C"/>
    <w:rsid w:val="00AA787D"/>
    <w:rsid w:val="00AB03A9"/>
    <w:rsid w:val="00AB0550"/>
    <w:rsid w:val="00AB2036"/>
    <w:rsid w:val="00AB2FAD"/>
    <w:rsid w:val="00AB2FB2"/>
    <w:rsid w:val="00AB394F"/>
    <w:rsid w:val="00AC17DE"/>
    <w:rsid w:val="00AC1E05"/>
    <w:rsid w:val="00AC26E4"/>
    <w:rsid w:val="00AC4A9F"/>
    <w:rsid w:val="00AC4AC4"/>
    <w:rsid w:val="00AC55A3"/>
    <w:rsid w:val="00AC6681"/>
    <w:rsid w:val="00AC69AA"/>
    <w:rsid w:val="00AC7862"/>
    <w:rsid w:val="00AC7A97"/>
    <w:rsid w:val="00AD01A3"/>
    <w:rsid w:val="00AD0EE6"/>
    <w:rsid w:val="00AD1CCC"/>
    <w:rsid w:val="00AD2EC8"/>
    <w:rsid w:val="00AD3762"/>
    <w:rsid w:val="00AD470A"/>
    <w:rsid w:val="00AD49F4"/>
    <w:rsid w:val="00AD5112"/>
    <w:rsid w:val="00AD51E5"/>
    <w:rsid w:val="00AD5699"/>
    <w:rsid w:val="00AD5726"/>
    <w:rsid w:val="00AD5890"/>
    <w:rsid w:val="00AD63D8"/>
    <w:rsid w:val="00AD767C"/>
    <w:rsid w:val="00AE0ACE"/>
    <w:rsid w:val="00AE24E9"/>
    <w:rsid w:val="00AE250B"/>
    <w:rsid w:val="00AE2F18"/>
    <w:rsid w:val="00AE30C1"/>
    <w:rsid w:val="00AE35FE"/>
    <w:rsid w:val="00AE3657"/>
    <w:rsid w:val="00AE506B"/>
    <w:rsid w:val="00AE62CC"/>
    <w:rsid w:val="00AE6422"/>
    <w:rsid w:val="00AE65B6"/>
    <w:rsid w:val="00AE71B1"/>
    <w:rsid w:val="00AE7740"/>
    <w:rsid w:val="00AF0305"/>
    <w:rsid w:val="00AF03FA"/>
    <w:rsid w:val="00AF0473"/>
    <w:rsid w:val="00AF1326"/>
    <w:rsid w:val="00AF175C"/>
    <w:rsid w:val="00AF1A70"/>
    <w:rsid w:val="00AF6069"/>
    <w:rsid w:val="00AF690C"/>
    <w:rsid w:val="00AF7D22"/>
    <w:rsid w:val="00B0094C"/>
    <w:rsid w:val="00B00B8D"/>
    <w:rsid w:val="00B01A7E"/>
    <w:rsid w:val="00B0235B"/>
    <w:rsid w:val="00B03AF8"/>
    <w:rsid w:val="00B04CAB"/>
    <w:rsid w:val="00B06B54"/>
    <w:rsid w:val="00B06E1E"/>
    <w:rsid w:val="00B07965"/>
    <w:rsid w:val="00B07F76"/>
    <w:rsid w:val="00B1063E"/>
    <w:rsid w:val="00B11003"/>
    <w:rsid w:val="00B11C5E"/>
    <w:rsid w:val="00B12373"/>
    <w:rsid w:val="00B125B7"/>
    <w:rsid w:val="00B126D9"/>
    <w:rsid w:val="00B14943"/>
    <w:rsid w:val="00B229CC"/>
    <w:rsid w:val="00B22A98"/>
    <w:rsid w:val="00B23C38"/>
    <w:rsid w:val="00B23E6D"/>
    <w:rsid w:val="00B2426F"/>
    <w:rsid w:val="00B25401"/>
    <w:rsid w:val="00B2669E"/>
    <w:rsid w:val="00B27285"/>
    <w:rsid w:val="00B27C47"/>
    <w:rsid w:val="00B27D75"/>
    <w:rsid w:val="00B308A1"/>
    <w:rsid w:val="00B32CE2"/>
    <w:rsid w:val="00B358FE"/>
    <w:rsid w:val="00B3665D"/>
    <w:rsid w:val="00B3701B"/>
    <w:rsid w:val="00B376A6"/>
    <w:rsid w:val="00B37BE7"/>
    <w:rsid w:val="00B407BE"/>
    <w:rsid w:val="00B40BC2"/>
    <w:rsid w:val="00B41AEB"/>
    <w:rsid w:val="00B42303"/>
    <w:rsid w:val="00B42A7C"/>
    <w:rsid w:val="00B42DD9"/>
    <w:rsid w:val="00B42F10"/>
    <w:rsid w:val="00B43591"/>
    <w:rsid w:val="00B43929"/>
    <w:rsid w:val="00B44799"/>
    <w:rsid w:val="00B45EB8"/>
    <w:rsid w:val="00B46607"/>
    <w:rsid w:val="00B471DA"/>
    <w:rsid w:val="00B50230"/>
    <w:rsid w:val="00B512C1"/>
    <w:rsid w:val="00B51CCB"/>
    <w:rsid w:val="00B53964"/>
    <w:rsid w:val="00B542EE"/>
    <w:rsid w:val="00B5502A"/>
    <w:rsid w:val="00B56F49"/>
    <w:rsid w:val="00B57854"/>
    <w:rsid w:val="00B57E21"/>
    <w:rsid w:val="00B603A6"/>
    <w:rsid w:val="00B61105"/>
    <w:rsid w:val="00B616D8"/>
    <w:rsid w:val="00B62683"/>
    <w:rsid w:val="00B62883"/>
    <w:rsid w:val="00B62F89"/>
    <w:rsid w:val="00B6335A"/>
    <w:rsid w:val="00B6425F"/>
    <w:rsid w:val="00B6427D"/>
    <w:rsid w:val="00B65B3C"/>
    <w:rsid w:val="00B660B1"/>
    <w:rsid w:val="00B66542"/>
    <w:rsid w:val="00B669F4"/>
    <w:rsid w:val="00B67258"/>
    <w:rsid w:val="00B674A0"/>
    <w:rsid w:val="00B700BE"/>
    <w:rsid w:val="00B70AEF"/>
    <w:rsid w:val="00B70D7D"/>
    <w:rsid w:val="00B70F33"/>
    <w:rsid w:val="00B71FAA"/>
    <w:rsid w:val="00B72649"/>
    <w:rsid w:val="00B72744"/>
    <w:rsid w:val="00B73DF4"/>
    <w:rsid w:val="00B7496F"/>
    <w:rsid w:val="00B7543D"/>
    <w:rsid w:val="00B75AF5"/>
    <w:rsid w:val="00B764CF"/>
    <w:rsid w:val="00B76797"/>
    <w:rsid w:val="00B76A14"/>
    <w:rsid w:val="00B77B4E"/>
    <w:rsid w:val="00B77F80"/>
    <w:rsid w:val="00B77FBE"/>
    <w:rsid w:val="00B80193"/>
    <w:rsid w:val="00B8056A"/>
    <w:rsid w:val="00B81331"/>
    <w:rsid w:val="00B829EC"/>
    <w:rsid w:val="00B84244"/>
    <w:rsid w:val="00B84BB6"/>
    <w:rsid w:val="00B87E35"/>
    <w:rsid w:val="00B902D7"/>
    <w:rsid w:val="00B90C95"/>
    <w:rsid w:val="00B92891"/>
    <w:rsid w:val="00B937FE"/>
    <w:rsid w:val="00B9401B"/>
    <w:rsid w:val="00B95011"/>
    <w:rsid w:val="00B97163"/>
    <w:rsid w:val="00BA2614"/>
    <w:rsid w:val="00BA32CB"/>
    <w:rsid w:val="00BA3C6B"/>
    <w:rsid w:val="00BA459F"/>
    <w:rsid w:val="00BA58B0"/>
    <w:rsid w:val="00BA66E6"/>
    <w:rsid w:val="00BA6B01"/>
    <w:rsid w:val="00BA788A"/>
    <w:rsid w:val="00BA7B87"/>
    <w:rsid w:val="00BB0138"/>
    <w:rsid w:val="00BB02E7"/>
    <w:rsid w:val="00BB1B02"/>
    <w:rsid w:val="00BB1DD4"/>
    <w:rsid w:val="00BB21B4"/>
    <w:rsid w:val="00BB2A0E"/>
    <w:rsid w:val="00BB33DD"/>
    <w:rsid w:val="00BB3BF2"/>
    <w:rsid w:val="00BB4286"/>
    <w:rsid w:val="00BB4DD8"/>
    <w:rsid w:val="00BB5CD3"/>
    <w:rsid w:val="00BB6489"/>
    <w:rsid w:val="00BB6866"/>
    <w:rsid w:val="00BB700E"/>
    <w:rsid w:val="00BB74EB"/>
    <w:rsid w:val="00BB7806"/>
    <w:rsid w:val="00BC006D"/>
    <w:rsid w:val="00BC0260"/>
    <w:rsid w:val="00BC040F"/>
    <w:rsid w:val="00BC086C"/>
    <w:rsid w:val="00BC0A43"/>
    <w:rsid w:val="00BC1DBF"/>
    <w:rsid w:val="00BC407A"/>
    <w:rsid w:val="00BC447F"/>
    <w:rsid w:val="00BC4C41"/>
    <w:rsid w:val="00BC51A5"/>
    <w:rsid w:val="00BC5284"/>
    <w:rsid w:val="00BC7251"/>
    <w:rsid w:val="00BC733E"/>
    <w:rsid w:val="00BD03B8"/>
    <w:rsid w:val="00BD1A3A"/>
    <w:rsid w:val="00BD1F5F"/>
    <w:rsid w:val="00BD2651"/>
    <w:rsid w:val="00BD3C56"/>
    <w:rsid w:val="00BD4C98"/>
    <w:rsid w:val="00BD5855"/>
    <w:rsid w:val="00BD5ECE"/>
    <w:rsid w:val="00BD5FF0"/>
    <w:rsid w:val="00BD7021"/>
    <w:rsid w:val="00BE0261"/>
    <w:rsid w:val="00BE0FC7"/>
    <w:rsid w:val="00BE1162"/>
    <w:rsid w:val="00BE13A6"/>
    <w:rsid w:val="00BE14C5"/>
    <w:rsid w:val="00BE1E66"/>
    <w:rsid w:val="00BE3841"/>
    <w:rsid w:val="00BE4533"/>
    <w:rsid w:val="00BE601B"/>
    <w:rsid w:val="00BF0598"/>
    <w:rsid w:val="00BF0860"/>
    <w:rsid w:val="00BF1834"/>
    <w:rsid w:val="00BF2CD7"/>
    <w:rsid w:val="00BF4C77"/>
    <w:rsid w:val="00BF4D85"/>
    <w:rsid w:val="00BF4F00"/>
    <w:rsid w:val="00BF5C7E"/>
    <w:rsid w:val="00BF721C"/>
    <w:rsid w:val="00C00578"/>
    <w:rsid w:val="00C00A66"/>
    <w:rsid w:val="00C00B62"/>
    <w:rsid w:val="00C02AF3"/>
    <w:rsid w:val="00C039AD"/>
    <w:rsid w:val="00C04497"/>
    <w:rsid w:val="00C04E7A"/>
    <w:rsid w:val="00C053C1"/>
    <w:rsid w:val="00C06E3D"/>
    <w:rsid w:val="00C075A6"/>
    <w:rsid w:val="00C101B2"/>
    <w:rsid w:val="00C1076E"/>
    <w:rsid w:val="00C119FC"/>
    <w:rsid w:val="00C11A48"/>
    <w:rsid w:val="00C14118"/>
    <w:rsid w:val="00C143E0"/>
    <w:rsid w:val="00C148F7"/>
    <w:rsid w:val="00C14FC5"/>
    <w:rsid w:val="00C15ABF"/>
    <w:rsid w:val="00C20F96"/>
    <w:rsid w:val="00C214A3"/>
    <w:rsid w:val="00C220C3"/>
    <w:rsid w:val="00C2257E"/>
    <w:rsid w:val="00C225CC"/>
    <w:rsid w:val="00C22724"/>
    <w:rsid w:val="00C22E8A"/>
    <w:rsid w:val="00C23202"/>
    <w:rsid w:val="00C24185"/>
    <w:rsid w:val="00C25DC4"/>
    <w:rsid w:val="00C267F9"/>
    <w:rsid w:val="00C26982"/>
    <w:rsid w:val="00C270FB"/>
    <w:rsid w:val="00C27113"/>
    <w:rsid w:val="00C3184A"/>
    <w:rsid w:val="00C3527B"/>
    <w:rsid w:val="00C36814"/>
    <w:rsid w:val="00C36D61"/>
    <w:rsid w:val="00C37975"/>
    <w:rsid w:val="00C40AAE"/>
    <w:rsid w:val="00C40BCC"/>
    <w:rsid w:val="00C4108A"/>
    <w:rsid w:val="00C42722"/>
    <w:rsid w:val="00C42C32"/>
    <w:rsid w:val="00C42E7D"/>
    <w:rsid w:val="00C44032"/>
    <w:rsid w:val="00C443B8"/>
    <w:rsid w:val="00C443BF"/>
    <w:rsid w:val="00C44537"/>
    <w:rsid w:val="00C45A24"/>
    <w:rsid w:val="00C45D59"/>
    <w:rsid w:val="00C462DA"/>
    <w:rsid w:val="00C47F52"/>
    <w:rsid w:val="00C519E5"/>
    <w:rsid w:val="00C51FCA"/>
    <w:rsid w:val="00C520E1"/>
    <w:rsid w:val="00C52D4A"/>
    <w:rsid w:val="00C530ED"/>
    <w:rsid w:val="00C54470"/>
    <w:rsid w:val="00C54F7B"/>
    <w:rsid w:val="00C5540D"/>
    <w:rsid w:val="00C55FFA"/>
    <w:rsid w:val="00C563C1"/>
    <w:rsid w:val="00C5685A"/>
    <w:rsid w:val="00C56E7A"/>
    <w:rsid w:val="00C56F7A"/>
    <w:rsid w:val="00C57D16"/>
    <w:rsid w:val="00C62691"/>
    <w:rsid w:val="00C64042"/>
    <w:rsid w:val="00C642A4"/>
    <w:rsid w:val="00C66EAD"/>
    <w:rsid w:val="00C7091D"/>
    <w:rsid w:val="00C70AB2"/>
    <w:rsid w:val="00C72147"/>
    <w:rsid w:val="00C7246A"/>
    <w:rsid w:val="00C72F31"/>
    <w:rsid w:val="00C730AC"/>
    <w:rsid w:val="00C732FF"/>
    <w:rsid w:val="00C74DD5"/>
    <w:rsid w:val="00C74EBE"/>
    <w:rsid w:val="00C75673"/>
    <w:rsid w:val="00C75E30"/>
    <w:rsid w:val="00C75F36"/>
    <w:rsid w:val="00C76457"/>
    <w:rsid w:val="00C7673F"/>
    <w:rsid w:val="00C76A2D"/>
    <w:rsid w:val="00C77BCF"/>
    <w:rsid w:val="00C77C75"/>
    <w:rsid w:val="00C80C01"/>
    <w:rsid w:val="00C80D60"/>
    <w:rsid w:val="00C83212"/>
    <w:rsid w:val="00C838A9"/>
    <w:rsid w:val="00C83991"/>
    <w:rsid w:val="00C86E8D"/>
    <w:rsid w:val="00C86F84"/>
    <w:rsid w:val="00C903B5"/>
    <w:rsid w:val="00C90AC3"/>
    <w:rsid w:val="00C90C26"/>
    <w:rsid w:val="00C90DE6"/>
    <w:rsid w:val="00C91337"/>
    <w:rsid w:val="00C92B40"/>
    <w:rsid w:val="00C92BDC"/>
    <w:rsid w:val="00C9488F"/>
    <w:rsid w:val="00C9513A"/>
    <w:rsid w:val="00C955A4"/>
    <w:rsid w:val="00C959A0"/>
    <w:rsid w:val="00C96296"/>
    <w:rsid w:val="00C96512"/>
    <w:rsid w:val="00C96642"/>
    <w:rsid w:val="00C9668E"/>
    <w:rsid w:val="00C97092"/>
    <w:rsid w:val="00C97F60"/>
    <w:rsid w:val="00CA05B1"/>
    <w:rsid w:val="00CA1A2B"/>
    <w:rsid w:val="00CA288D"/>
    <w:rsid w:val="00CA36B5"/>
    <w:rsid w:val="00CA3DFB"/>
    <w:rsid w:val="00CA4A00"/>
    <w:rsid w:val="00CA4E32"/>
    <w:rsid w:val="00CA5B4C"/>
    <w:rsid w:val="00CA5CB2"/>
    <w:rsid w:val="00CA65EC"/>
    <w:rsid w:val="00CA758E"/>
    <w:rsid w:val="00CA7B4B"/>
    <w:rsid w:val="00CA7DCA"/>
    <w:rsid w:val="00CB2055"/>
    <w:rsid w:val="00CB329C"/>
    <w:rsid w:val="00CB3489"/>
    <w:rsid w:val="00CB3735"/>
    <w:rsid w:val="00CB3939"/>
    <w:rsid w:val="00CB396C"/>
    <w:rsid w:val="00CB3ABF"/>
    <w:rsid w:val="00CB3F65"/>
    <w:rsid w:val="00CB4088"/>
    <w:rsid w:val="00CB475F"/>
    <w:rsid w:val="00CB62A4"/>
    <w:rsid w:val="00CB6B80"/>
    <w:rsid w:val="00CB73C3"/>
    <w:rsid w:val="00CB7603"/>
    <w:rsid w:val="00CC0AA9"/>
    <w:rsid w:val="00CC0FEB"/>
    <w:rsid w:val="00CC15CB"/>
    <w:rsid w:val="00CC1D52"/>
    <w:rsid w:val="00CC20E9"/>
    <w:rsid w:val="00CC25DA"/>
    <w:rsid w:val="00CC28E8"/>
    <w:rsid w:val="00CC3934"/>
    <w:rsid w:val="00CC5FC2"/>
    <w:rsid w:val="00CD0396"/>
    <w:rsid w:val="00CD1548"/>
    <w:rsid w:val="00CD17C4"/>
    <w:rsid w:val="00CD2636"/>
    <w:rsid w:val="00CD28D1"/>
    <w:rsid w:val="00CD3243"/>
    <w:rsid w:val="00CD4BE9"/>
    <w:rsid w:val="00CD564E"/>
    <w:rsid w:val="00CD56CF"/>
    <w:rsid w:val="00CD7B07"/>
    <w:rsid w:val="00CE05D6"/>
    <w:rsid w:val="00CE2493"/>
    <w:rsid w:val="00CE3996"/>
    <w:rsid w:val="00CE3CFA"/>
    <w:rsid w:val="00CE45AE"/>
    <w:rsid w:val="00CE4910"/>
    <w:rsid w:val="00CE5275"/>
    <w:rsid w:val="00CE672C"/>
    <w:rsid w:val="00CE7C32"/>
    <w:rsid w:val="00CE7F6F"/>
    <w:rsid w:val="00CF229B"/>
    <w:rsid w:val="00CF28FE"/>
    <w:rsid w:val="00CF2C63"/>
    <w:rsid w:val="00CF306E"/>
    <w:rsid w:val="00CF3273"/>
    <w:rsid w:val="00CF47FA"/>
    <w:rsid w:val="00CF59FA"/>
    <w:rsid w:val="00CF5AC7"/>
    <w:rsid w:val="00CF5B66"/>
    <w:rsid w:val="00CF5DCB"/>
    <w:rsid w:val="00CF625E"/>
    <w:rsid w:val="00CF7070"/>
    <w:rsid w:val="00D004ED"/>
    <w:rsid w:val="00D00FAE"/>
    <w:rsid w:val="00D02678"/>
    <w:rsid w:val="00D02811"/>
    <w:rsid w:val="00D02A8A"/>
    <w:rsid w:val="00D02C21"/>
    <w:rsid w:val="00D03F29"/>
    <w:rsid w:val="00D04AA5"/>
    <w:rsid w:val="00D04B86"/>
    <w:rsid w:val="00D065E0"/>
    <w:rsid w:val="00D06EF9"/>
    <w:rsid w:val="00D070A6"/>
    <w:rsid w:val="00D11473"/>
    <w:rsid w:val="00D11EFB"/>
    <w:rsid w:val="00D12175"/>
    <w:rsid w:val="00D12532"/>
    <w:rsid w:val="00D12AA0"/>
    <w:rsid w:val="00D13D04"/>
    <w:rsid w:val="00D1444E"/>
    <w:rsid w:val="00D21F29"/>
    <w:rsid w:val="00D22D75"/>
    <w:rsid w:val="00D235CC"/>
    <w:rsid w:val="00D24714"/>
    <w:rsid w:val="00D2756F"/>
    <w:rsid w:val="00D27B44"/>
    <w:rsid w:val="00D27DA9"/>
    <w:rsid w:val="00D32D19"/>
    <w:rsid w:val="00D334A9"/>
    <w:rsid w:val="00D34095"/>
    <w:rsid w:val="00D343B5"/>
    <w:rsid w:val="00D345E9"/>
    <w:rsid w:val="00D36C6A"/>
    <w:rsid w:val="00D36CBB"/>
    <w:rsid w:val="00D379DF"/>
    <w:rsid w:val="00D41021"/>
    <w:rsid w:val="00D424C7"/>
    <w:rsid w:val="00D42603"/>
    <w:rsid w:val="00D42687"/>
    <w:rsid w:val="00D42991"/>
    <w:rsid w:val="00D42A51"/>
    <w:rsid w:val="00D43991"/>
    <w:rsid w:val="00D44475"/>
    <w:rsid w:val="00D44624"/>
    <w:rsid w:val="00D45D16"/>
    <w:rsid w:val="00D46609"/>
    <w:rsid w:val="00D4708C"/>
    <w:rsid w:val="00D479C7"/>
    <w:rsid w:val="00D47A9C"/>
    <w:rsid w:val="00D47D4E"/>
    <w:rsid w:val="00D508F8"/>
    <w:rsid w:val="00D522D7"/>
    <w:rsid w:val="00D57D96"/>
    <w:rsid w:val="00D61B32"/>
    <w:rsid w:val="00D61BF2"/>
    <w:rsid w:val="00D64DE8"/>
    <w:rsid w:val="00D6534D"/>
    <w:rsid w:val="00D657FC"/>
    <w:rsid w:val="00D67083"/>
    <w:rsid w:val="00D677AB"/>
    <w:rsid w:val="00D703B8"/>
    <w:rsid w:val="00D70589"/>
    <w:rsid w:val="00D71044"/>
    <w:rsid w:val="00D719A5"/>
    <w:rsid w:val="00D7247D"/>
    <w:rsid w:val="00D72C96"/>
    <w:rsid w:val="00D73BD5"/>
    <w:rsid w:val="00D74936"/>
    <w:rsid w:val="00D75056"/>
    <w:rsid w:val="00D75DD7"/>
    <w:rsid w:val="00D76309"/>
    <w:rsid w:val="00D77EE9"/>
    <w:rsid w:val="00D80370"/>
    <w:rsid w:val="00D80BCF"/>
    <w:rsid w:val="00D80E1A"/>
    <w:rsid w:val="00D82A82"/>
    <w:rsid w:val="00D85F9C"/>
    <w:rsid w:val="00D8766E"/>
    <w:rsid w:val="00D87CA4"/>
    <w:rsid w:val="00D90FCE"/>
    <w:rsid w:val="00D938A7"/>
    <w:rsid w:val="00D93BF7"/>
    <w:rsid w:val="00D977F0"/>
    <w:rsid w:val="00D9795D"/>
    <w:rsid w:val="00D97F5B"/>
    <w:rsid w:val="00DA247F"/>
    <w:rsid w:val="00DA4090"/>
    <w:rsid w:val="00DA4D95"/>
    <w:rsid w:val="00DA5507"/>
    <w:rsid w:val="00DA6118"/>
    <w:rsid w:val="00DB1A08"/>
    <w:rsid w:val="00DB2079"/>
    <w:rsid w:val="00DB3082"/>
    <w:rsid w:val="00DB3ADD"/>
    <w:rsid w:val="00DB3DF7"/>
    <w:rsid w:val="00DB42C6"/>
    <w:rsid w:val="00DB5060"/>
    <w:rsid w:val="00DB5AAB"/>
    <w:rsid w:val="00DB5C54"/>
    <w:rsid w:val="00DB5FC5"/>
    <w:rsid w:val="00DB6EB5"/>
    <w:rsid w:val="00DB7773"/>
    <w:rsid w:val="00DC048A"/>
    <w:rsid w:val="00DC1203"/>
    <w:rsid w:val="00DC1D91"/>
    <w:rsid w:val="00DC209C"/>
    <w:rsid w:val="00DC271F"/>
    <w:rsid w:val="00DC2819"/>
    <w:rsid w:val="00DC3DE1"/>
    <w:rsid w:val="00DC4649"/>
    <w:rsid w:val="00DC475E"/>
    <w:rsid w:val="00DC5060"/>
    <w:rsid w:val="00DC5E24"/>
    <w:rsid w:val="00DD0976"/>
    <w:rsid w:val="00DD1831"/>
    <w:rsid w:val="00DD310D"/>
    <w:rsid w:val="00DD3585"/>
    <w:rsid w:val="00DD512B"/>
    <w:rsid w:val="00DD5BED"/>
    <w:rsid w:val="00DD67BC"/>
    <w:rsid w:val="00DD79B9"/>
    <w:rsid w:val="00DD7DD9"/>
    <w:rsid w:val="00DE139A"/>
    <w:rsid w:val="00DE2844"/>
    <w:rsid w:val="00DE2A83"/>
    <w:rsid w:val="00DE2A95"/>
    <w:rsid w:val="00DE31AF"/>
    <w:rsid w:val="00DE658A"/>
    <w:rsid w:val="00DE6DB9"/>
    <w:rsid w:val="00DE7003"/>
    <w:rsid w:val="00DE7083"/>
    <w:rsid w:val="00DE763A"/>
    <w:rsid w:val="00DE7AF3"/>
    <w:rsid w:val="00DF0232"/>
    <w:rsid w:val="00DF22D7"/>
    <w:rsid w:val="00DF34EB"/>
    <w:rsid w:val="00DF609E"/>
    <w:rsid w:val="00DF6D33"/>
    <w:rsid w:val="00DF7050"/>
    <w:rsid w:val="00DF76D0"/>
    <w:rsid w:val="00DF7ED4"/>
    <w:rsid w:val="00E022B7"/>
    <w:rsid w:val="00E0353D"/>
    <w:rsid w:val="00E04C16"/>
    <w:rsid w:val="00E054F1"/>
    <w:rsid w:val="00E056A6"/>
    <w:rsid w:val="00E061E9"/>
    <w:rsid w:val="00E0643F"/>
    <w:rsid w:val="00E07248"/>
    <w:rsid w:val="00E119D9"/>
    <w:rsid w:val="00E141E6"/>
    <w:rsid w:val="00E1467B"/>
    <w:rsid w:val="00E1529F"/>
    <w:rsid w:val="00E1581D"/>
    <w:rsid w:val="00E15B91"/>
    <w:rsid w:val="00E15E91"/>
    <w:rsid w:val="00E16FF2"/>
    <w:rsid w:val="00E17274"/>
    <w:rsid w:val="00E17BC7"/>
    <w:rsid w:val="00E205FB"/>
    <w:rsid w:val="00E20D69"/>
    <w:rsid w:val="00E20DA0"/>
    <w:rsid w:val="00E225F2"/>
    <w:rsid w:val="00E22A14"/>
    <w:rsid w:val="00E23396"/>
    <w:rsid w:val="00E23CF1"/>
    <w:rsid w:val="00E24974"/>
    <w:rsid w:val="00E249ED"/>
    <w:rsid w:val="00E25646"/>
    <w:rsid w:val="00E25AE4"/>
    <w:rsid w:val="00E25DD0"/>
    <w:rsid w:val="00E25F2D"/>
    <w:rsid w:val="00E27E5B"/>
    <w:rsid w:val="00E31137"/>
    <w:rsid w:val="00E3242F"/>
    <w:rsid w:val="00E34742"/>
    <w:rsid w:val="00E35F96"/>
    <w:rsid w:val="00E36D60"/>
    <w:rsid w:val="00E40028"/>
    <w:rsid w:val="00E4054C"/>
    <w:rsid w:val="00E425DA"/>
    <w:rsid w:val="00E425E4"/>
    <w:rsid w:val="00E471BA"/>
    <w:rsid w:val="00E522F5"/>
    <w:rsid w:val="00E523EF"/>
    <w:rsid w:val="00E53C19"/>
    <w:rsid w:val="00E55044"/>
    <w:rsid w:val="00E550EC"/>
    <w:rsid w:val="00E55EB2"/>
    <w:rsid w:val="00E57D69"/>
    <w:rsid w:val="00E60028"/>
    <w:rsid w:val="00E60152"/>
    <w:rsid w:val="00E60769"/>
    <w:rsid w:val="00E61580"/>
    <w:rsid w:val="00E62A6B"/>
    <w:rsid w:val="00E62BA9"/>
    <w:rsid w:val="00E63434"/>
    <w:rsid w:val="00E63712"/>
    <w:rsid w:val="00E63A6A"/>
    <w:rsid w:val="00E63F87"/>
    <w:rsid w:val="00E64403"/>
    <w:rsid w:val="00E645CB"/>
    <w:rsid w:val="00E665F8"/>
    <w:rsid w:val="00E66EF5"/>
    <w:rsid w:val="00E67CEF"/>
    <w:rsid w:val="00E70287"/>
    <w:rsid w:val="00E72353"/>
    <w:rsid w:val="00E7333F"/>
    <w:rsid w:val="00E7403D"/>
    <w:rsid w:val="00E75A8A"/>
    <w:rsid w:val="00E76CA1"/>
    <w:rsid w:val="00E77455"/>
    <w:rsid w:val="00E81B57"/>
    <w:rsid w:val="00E82397"/>
    <w:rsid w:val="00E8295F"/>
    <w:rsid w:val="00E82E43"/>
    <w:rsid w:val="00E8374F"/>
    <w:rsid w:val="00E83BC5"/>
    <w:rsid w:val="00E84019"/>
    <w:rsid w:val="00E84622"/>
    <w:rsid w:val="00E84E02"/>
    <w:rsid w:val="00E879B3"/>
    <w:rsid w:val="00E87A5F"/>
    <w:rsid w:val="00E907E0"/>
    <w:rsid w:val="00E90CD2"/>
    <w:rsid w:val="00E916DE"/>
    <w:rsid w:val="00E92094"/>
    <w:rsid w:val="00E9258A"/>
    <w:rsid w:val="00E930B7"/>
    <w:rsid w:val="00E93718"/>
    <w:rsid w:val="00E95A1E"/>
    <w:rsid w:val="00E96AC0"/>
    <w:rsid w:val="00EA0485"/>
    <w:rsid w:val="00EA2254"/>
    <w:rsid w:val="00EA47AB"/>
    <w:rsid w:val="00EA56E4"/>
    <w:rsid w:val="00EA582A"/>
    <w:rsid w:val="00EA62FD"/>
    <w:rsid w:val="00EA6623"/>
    <w:rsid w:val="00EA6A76"/>
    <w:rsid w:val="00EA6AF9"/>
    <w:rsid w:val="00EA6C53"/>
    <w:rsid w:val="00EA7526"/>
    <w:rsid w:val="00EB0584"/>
    <w:rsid w:val="00EB05DD"/>
    <w:rsid w:val="00EB0C3A"/>
    <w:rsid w:val="00EB1102"/>
    <w:rsid w:val="00EB1EC2"/>
    <w:rsid w:val="00EB2569"/>
    <w:rsid w:val="00EB281E"/>
    <w:rsid w:val="00EB2D1E"/>
    <w:rsid w:val="00EB4012"/>
    <w:rsid w:val="00EB59B0"/>
    <w:rsid w:val="00EB6400"/>
    <w:rsid w:val="00EB6C3B"/>
    <w:rsid w:val="00EB709B"/>
    <w:rsid w:val="00EB7A01"/>
    <w:rsid w:val="00EC083B"/>
    <w:rsid w:val="00EC0F9A"/>
    <w:rsid w:val="00EC101E"/>
    <w:rsid w:val="00EC149C"/>
    <w:rsid w:val="00EC197F"/>
    <w:rsid w:val="00EC1E7F"/>
    <w:rsid w:val="00EC2915"/>
    <w:rsid w:val="00EC4100"/>
    <w:rsid w:val="00EC4A95"/>
    <w:rsid w:val="00EC4B51"/>
    <w:rsid w:val="00EC4DE1"/>
    <w:rsid w:val="00EC52A6"/>
    <w:rsid w:val="00EC689C"/>
    <w:rsid w:val="00EC6C74"/>
    <w:rsid w:val="00ED1911"/>
    <w:rsid w:val="00ED194F"/>
    <w:rsid w:val="00ED1E8B"/>
    <w:rsid w:val="00ED27EB"/>
    <w:rsid w:val="00ED3E14"/>
    <w:rsid w:val="00ED41D6"/>
    <w:rsid w:val="00ED4751"/>
    <w:rsid w:val="00ED7079"/>
    <w:rsid w:val="00ED713D"/>
    <w:rsid w:val="00ED7461"/>
    <w:rsid w:val="00EE04CE"/>
    <w:rsid w:val="00EE0762"/>
    <w:rsid w:val="00EE1BA5"/>
    <w:rsid w:val="00EE2490"/>
    <w:rsid w:val="00EE579C"/>
    <w:rsid w:val="00EE743C"/>
    <w:rsid w:val="00EE7CA1"/>
    <w:rsid w:val="00EF0944"/>
    <w:rsid w:val="00EF1825"/>
    <w:rsid w:val="00EF52CF"/>
    <w:rsid w:val="00EF5E71"/>
    <w:rsid w:val="00EF66C6"/>
    <w:rsid w:val="00EF6A6C"/>
    <w:rsid w:val="00EF71C9"/>
    <w:rsid w:val="00EF7825"/>
    <w:rsid w:val="00EF787F"/>
    <w:rsid w:val="00F00207"/>
    <w:rsid w:val="00F0147A"/>
    <w:rsid w:val="00F0184D"/>
    <w:rsid w:val="00F0228C"/>
    <w:rsid w:val="00F0231E"/>
    <w:rsid w:val="00F02FC2"/>
    <w:rsid w:val="00F033DB"/>
    <w:rsid w:val="00F034CF"/>
    <w:rsid w:val="00F03ACC"/>
    <w:rsid w:val="00F0422B"/>
    <w:rsid w:val="00F0487D"/>
    <w:rsid w:val="00F053B9"/>
    <w:rsid w:val="00F05CE5"/>
    <w:rsid w:val="00F06130"/>
    <w:rsid w:val="00F06B3E"/>
    <w:rsid w:val="00F06BAE"/>
    <w:rsid w:val="00F1093E"/>
    <w:rsid w:val="00F10DD3"/>
    <w:rsid w:val="00F11132"/>
    <w:rsid w:val="00F11A0B"/>
    <w:rsid w:val="00F11BB9"/>
    <w:rsid w:val="00F1274E"/>
    <w:rsid w:val="00F13726"/>
    <w:rsid w:val="00F13796"/>
    <w:rsid w:val="00F13D27"/>
    <w:rsid w:val="00F1414F"/>
    <w:rsid w:val="00F163AB"/>
    <w:rsid w:val="00F17B07"/>
    <w:rsid w:val="00F20B7D"/>
    <w:rsid w:val="00F20C76"/>
    <w:rsid w:val="00F20E70"/>
    <w:rsid w:val="00F21627"/>
    <w:rsid w:val="00F21799"/>
    <w:rsid w:val="00F225B7"/>
    <w:rsid w:val="00F229A4"/>
    <w:rsid w:val="00F24DE8"/>
    <w:rsid w:val="00F25180"/>
    <w:rsid w:val="00F25796"/>
    <w:rsid w:val="00F25CF7"/>
    <w:rsid w:val="00F25F72"/>
    <w:rsid w:val="00F26CEB"/>
    <w:rsid w:val="00F27E28"/>
    <w:rsid w:val="00F27FA9"/>
    <w:rsid w:val="00F30A70"/>
    <w:rsid w:val="00F31A22"/>
    <w:rsid w:val="00F3239E"/>
    <w:rsid w:val="00F323DC"/>
    <w:rsid w:val="00F3272C"/>
    <w:rsid w:val="00F32B71"/>
    <w:rsid w:val="00F33531"/>
    <w:rsid w:val="00F339AB"/>
    <w:rsid w:val="00F33B08"/>
    <w:rsid w:val="00F34F3D"/>
    <w:rsid w:val="00F35893"/>
    <w:rsid w:val="00F367AC"/>
    <w:rsid w:val="00F36918"/>
    <w:rsid w:val="00F36AAD"/>
    <w:rsid w:val="00F37183"/>
    <w:rsid w:val="00F3765C"/>
    <w:rsid w:val="00F37B3A"/>
    <w:rsid w:val="00F40526"/>
    <w:rsid w:val="00F4190E"/>
    <w:rsid w:val="00F4206B"/>
    <w:rsid w:val="00F420A1"/>
    <w:rsid w:val="00F42288"/>
    <w:rsid w:val="00F43461"/>
    <w:rsid w:val="00F444E3"/>
    <w:rsid w:val="00F4509B"/>
    <w:rsid w:val="00F45253"/>
    <w:rsid w:val="00F45DBE"/>
    <w:rsid w:val="00F46700"/>
    <w:rsid w:val="00F468D6"/>
    <w:rsid w:val="00F5172F"/>
    <w:rsid w:val="00F51B7D"/>
    <w:rsid w:val="00F54775"/>
    <w:rsid w:val="00F55D97"/>
    <w:rsid w:val="00F56C9F"/>
    <w:rsid w:val="00F56D88"/>
    <w:rsid w:val="00F57799"/>
    <w:rsid w:val="00F5795D"/>
    <w:rsid w:val="00F57AB1"/>
    <w:rsid w:val="00F614AA"/>
    <w:rsid w:val="00F6362D"/>
    <w:rsid w:val="00F66D6C"/>
    <w:rsid w:val="00F67248"/>
    <w:rsid w:val="00F6748D"/>
    <w:rsid w:val="00F675BC"/>
    <w:rsid w:val="00F67C6A"/>
    <w:rsid w:val="00F73FB9"/>
    <w:rsid w:val="00F7411C"/>
    <w:rsid w:val="00F74386"/>
    <w:rsid w:val="00F7494B"/>
    <w:rsid w:val="00F757BB"/>
    <w:rsid w:val="00F75E43"/>
    <w:rsid w:val="00F76649"/>
    <w:rsid w:val="00F76D9E"/>
    <w:rsid w:val="00F771A0"/>
    <w:rsid w:val="00F806E4"/>
    <w:rsid w:val="00F815AF"/>
    <w:rsid w:val="00F817C8"/>
    <w:rsid w:val="00F81EDA"/>
    <w:rsid w:val="00F82771"/>
    <w:rsid w:val="00F8314A"/>
    <w:rsid w:val="00F83C53"/>
    <w:rsid w:val="00F84FBB"/>
    <w:rsid w:val="00F85AE8"/>
    <w:rsid w:val="00F869D4"/>
    <w:rsid w:val="00F87DBF"/>
    <w:rsid w:val="00F90746"/>
    <w:rsid w:val="00F90FFB"/>
    <w:rsid w:val="00F92210"/>
    <w:rsid w:val="00F94BE7"/>
    <w:rsid w:val="00F95695"/>
    <w:rsid w:val="00F9598E"/>
    <w:rsid w:val="00F96FDA"/>
    <w:rsid w:val="00F97124"/>
    <w:rsid w:val="00FA06E8"/>
    <w:rsid w:val="00FA0F8B"/>
    <w:rsid w:val="00FA1039"/>
    <w:rsid w:val="00FA2EB6"/>
    <w:rsid w:val="00FA3D3D"/>
    <w:rsid w:val="00FA45F6"/>
    <w:rsid w:val="00FA4E91"/>
    <w:rsid w:val="00FA6718"/>
    <w:rsid w:val="00FA6878"/>
    <w:rsid w:val="00FA7755"/>
    <w:rsid w:val="00FA789F"/>
    <w:rsid w:val="00FB123B"/>
    <w:rsid w:val="00FB190C"/>
    <w:rsid w:val="00FB3D01"/>
    <w:rsid w:val="00FB4393"/>
    <w:rsid w:val="00FB5712"/>
    <w:rsid w:val="00FB679F"/>
    <w:rsid w:val="00FB7A45"/>
    <w:rsid w:val="00FC088C"/>
    <w:rsid w:val="00FC1352"/>
    <w:rsid w:val="00FC1B7B"/>
    <w:rsid w:val="00FC27A1"/>
    <w:rsid w:val="00FC2987"/>
    <w:rsid w:val="00FC30AF"/>
    <w:rsid w:val="00FC3233"/>
    <w:rsid w:val="00FC465D"/>
    <w:rsid w:val="00FC69CD"/>
    <w:rsid w:val="00FC73D9"/>
    <w:rsid w:val="00FD2D61"/>
    <w:rsid w:val="00FD3F85"/>
    <w:rsid w:val="00FD40FA"/>
    <w:rsid w:val="00FD46A5"/>
    <w:rsid w:val="00FD48D0"/>
    <w:rsid w:val="00FD600F"/>
    <w:rsid w:val="00FD7584"/>
    <w:rsid w:val="00FE1B0E"/>
    <w:rsid w:val="00FE1B44"/>
    <w:rsid w:val="00FE26D6"/>
    <w:rsid w:val="00FE3D02"/>
    <w:rsid w:val="00FE3E27"/>
    <w:rsid w:val="00FE4010"/>
    <w:rsid w:val="00FE54C8"/>
    <w:rsid w:val="00FE7495"/>
    <w:rsid w:val="00FE794C"/>
    <w:rsid w:val="00FE7984"/>
    <w:rsid w:val="00FF00A0"/>
    <w:rsid w:val="00FF03BE"/>
    <w:rsid w:val="00FF13C4"/>
    <w:rsid w:val="00FF1445"/>
    <w:rsid w:val="00FF1945"/>
    <w:rsid w:val="00FF1B92"/>
    <w:rsid w:val="00FF22EA"/>
    <w:rsid w:val="00FF31AF"/>
    <w:rsid w:val="00FF4126"/>
    <w:rsid w:val="00FF4242"/>
    <w:rsid w:val="00FF4360"/>
    <w:rsid w:val="00FF5C61"/>
    <w:rsid w:val="00FF6A86"/>
    <w:rsid w:val="00FF707C"/>
    <w:rsid w:val="00FF7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7" fillcolor="none [3215]" stroke="f">
      <v:fill color="none [3215]"/>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lsdException w:name="toc 2" w:locked="0" w:uiPriority="39"/>
    <w:lsdException w:name="toc 3" w:locked="0" w:uiPriority="39"/>
    <w:lsdException w:name="toc 4" w:locked="0" w:uiPriority="39"/>
    <w:lsdException w:name="toc 5" w:locked="0"/>
    <w:lsdException w:name="toc 6" w:locked="0" w:uiPriority="39"/>
    <w:lsdException w:name="toc 7" w:locked="0" w:uiPriority="39"/>
    <w:lsdException w:name="toc 8" w:locked="0"/>
    <w:lsdException w:name="toc 9" w:locked="0" w:uiPriority="39"/>
    <w:lsdException w:name="Normal Indent" w:locked="0" w:semiHidden="1"/>
    <w:lsdException w:name="footnote text" w:locked="0"/>
    <w:lsdException w:name="annotation text" w:locked="0" w:semiHidden="1"/>
    <w:lsdException w:name="header" w:locked="0"/>
    <w:lsdException w:name="footer" w:locked="0"/>
    <w:lsdException w:name="index heading" w:locked="0" w:semiHidden="1"/>
    <w:lsdException w:name="caption" w:locked="0" w:qFormat="1"/>
    <w:lsdException w:name="table of figures" w:locked="0" w:semiHidden="1" w:unhideWhenUsed="1"/>
    <w:lsdException w:name="envelope address" w:semiHidden="1" w:unhideWhenUsed="1"/>
    <w:lsdException w:name="envelope return" w:semiHidden="1"/>
    <w:lsdException w:name="footnote reference" w:locked="0" w:uiPriority="99"/>
    <w:lsdException w:name="annotation reference" w:locked="0" w:semiHidden="1"/>
    <w:lsdException w:name="line number" w:locked="0" w:semiHidden="1"/>
    <w:lsdException w:name="page number" w:locked="0"/>
    <w:lsdException w:name="endnote reference" w:locked="0"/>
    <w:lsdException w:name="endnote text" w:locked="0"/>
    <w:lsdException w:name="table of authorities" w:locked="0" w:semiHidden="1" w:unhideWhenUsed="1"/>
    <w:lsdException w:name="macro" w:semiHidden="1" w:unhideWhenUsed="1"/>
    <w:lsdException w:name="toa heading" w:locked="0" w:semiHidden="1" w:unhideWhenUsed="1"/>
    <w:lsdException w:name="List" w:semiHidden="1"/>
    <w:lsdException w:name="List Bullet" w:semiHidden="1" w:qFormat="1"/>
    <w:lsdException w:name="List Number" w:semiHidden="1" w:uiPriority="13"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5" w:semiHidden="1"/>
    <w:lsdException w:name="List Number 2" w:semiHidden="1" w:uiPriority="13" w:qFormat="1"/>
    <w:lsdException w:name="List Number 3" w:semiHidden="1" w:uiPriority="13" w:qFormat="1"/>
    <w:lsdException w:name="List Number 4" w:semiHidden="1" w:uiPriority="13"/>
    <w:lsdException w:name="List Number 5" w:semiHidden="1" w:uiPriority="13"/>
    <w:lsdException w:name="Title" w:locked="0" w:qFormat="1"/>
    <w:lsdException w:name="Closing" w:locked="0" w:semiHidden="1" w:unhideWhenUsed="1"/>
    <w:lsdException w:name="Signature" w:locked="0" w:semiHidden="1"/>
    <w:lsdException w:name="Default Paragraph Font" w:locked="0" w:uiPriority="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locked="0" w:semiHidden="1"/>
    <w:lsdException w:name="Subtitle" w:locked="0" w:semiHidden="1" w:qFormat="1"/>
    <w:lsdException w:name="Salutation" w:locked="0" w:semiHidden="1" w:unhideWhenUsed="1"/>
    <w:lsdException w:name="Date" w:locked="0"/>
    <w:lsdException w:name="Body Text First Indent" w:semiHidden="1"/>
    <w:lsdException w:name="Body Text First Indent 2" w:semiHidden="1"/>
    <w:lsdException w:name="Note Heading" w:locked="0" w:semiHidden="1" w:unhideWhenUsed="1"/>
    <w:lsdException w:name="Body Text 2" w:semiHidden="1"/>
    <w:lsdException w:name="Body Text 3" w:semiHidden="1"/>
    <w:lsdException w:name="Body Text Indent 2" w:semiHidden="1"/>
    <w:lsdException w:name="Body Text Indent 3" w:semiHidden="1"/>
    <w:lsdException w:name="Block Text" w:locked="0" w:semiHidden="1" w:uiPriority="99" w:qFormat="1"/>
    <w:lsdException w:name="Hyperlink" w:locked="0" w:semiHidden="1" w:uiPriority="99"/>
    <w:lsdException w:name="FollowedHyperlink" w:locked="0" w:semiHidden="1"/>
    <w:lsdException w:name="Strong" w:locked="0" w:semiHidden="1" w:qFormat="1"/>
    <w:lsdException w:name="Emphasis" w:semiHidden="1" w:qFormat="1"/>
    <w:lsdException w:name="Document Map" w:locked="0" w:semiHidden="1"/>
    <w:lsdException w:name="Plain Text" w:locked="0" w:semiHidden="1"/>
    <w:lsdException w:name="E-mail Signature" w:semiHidden="1"/>
    <w:lsdException w:name="HTML Top of Form" w:locked="0"/>
    <w:lsdException w:name="HTML Bottom of Form" w:locked="0"/>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annotation subject" w:locked="0" w:semiHidden="1"/>
    <w:lsdException w:name="No List" w:locked="0" w:uiPriority="99"/>
    <w:lsdException w:name="Outline List 1" w:locked="0"/>
    <w:lsdException w:name="Outline List 2" w:locked="0"/>
    <w:lsdException w:name="Outline List 3" w:locked="0"/>
    <w:lsdException w:name="Table Theme" w:locked="0"/>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locked="0"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qFormat="1"/>
  </w:latentStyles>
  <w:style w:type="paragraph" w:default="1" w:styleId="Normal">
    <w:name w:val="Normal"/>
    <w:next w:val="PwCNormal"/>
    <w:qFormat/>
    <w:rsid w:val="00245C02"/>
    <w:pPr>
      <w:kinsoku w:val="0"/>
      <w:overflowPunct w:val="0"/>
      <w:autoSpaceDE w:val="0"/>
      <w:autoSpaceDN w:val="0"/>
      <w:adjustRightInd w:val="0"/>
      <w:snapToGrid w:val="0"/>
    </w:pPr>
    <w:rPr>
      <w:rFonts w:cs="Arial"/>
      <w:snapToGrid w:val="0"/>
      <w:lang w:eastAsia="en-US"/>
    </w:rPr>
  </w:style>
  <w:style w:type="paragraph" w:styleId="Heading1">
    <w:name w:val="heading 1"/>
    <w:aliases w:val="Chapter Heading (Long)"/>
    <w:basedOn w:val="Normal"/>
    <w:next w:val="PwCNormal"/>
    <w:qFormat/>
    <w:rsid w:val="00BC0A43"/>
    <w:pPr>
      <w:spacing w:line="720" w:lineRule="atLeast"/>
      <w:outlineLvl w:val="0"/>
    </w:pPr>
    <w:rPr>
      <w:rFonts w:asciiTheme="majorHAnsi" w:hAnsiTheme="majorHAnsi"/>
      <w:b/>
      <w:bCs/>
      <w:i/>
      <w:sz w:val="56"/>
      <w:szCs w:val="72"/>
    </w:rPr>
  </w:style>
  <w:style w:type="paragraph" w:styleId="Heading2">
    <w:name w:val="heading 2"/>
    <w:aliases w:val="Chapter Heading (Short)"/>
    <w:basedOn w:val="Normal"/>
    <w:next w:val="PwCNormal"/>
    <w:qFormat/>
    <w:rsid w:val="00930AB8"/>
    <w:pPr>
      <w:keepNext/>
      <w:keepLines/>
      <w:pageBreakBefore/>
      <w:numPr>
        <w:ilvl w:val="1"/>
        <w:numId w:val="26"/>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PwCNormal"/>
    <w:qFormat/>
    <w:rsid w:val="008D4477"/>
    <w:pPr>
      <w:outlineLvl w:val="2"/>
    </w:pPr>
    <w:rPr>
      <w:bCs w:val="0"/>
    </w:rPr>
  </w:style>
  <w:style w:type="paragraph" w:styleId="Heading4">
    <w:name w:val="heading 4"/>
    <w:aliases w:val="Appendix Heading (Short)"/>
    <w:basedOn w:val="Heading2"/>
    <w:next w:val="PwCNormal"/>
    <w:qFormat/>
    <w:rsid w:val="00AE506B"/>
    <w:pPr>
      <w:pageBreakBefore w:val="0"/>
      <w:numPr>
        <w:ilvl w:val="4"/>
      </w:numPr>
      <w:outlineLvl w:val="3"/>
    </w:pPr>
    <w:rPr>
      <w:bCs w:val="0"/>
    </w:rPr>
  </w:style>
  <w:style w:type="paragraph" w:styleId="Heading5">
    <w:name w:val="heading 5"/>
    <w:basedOn w:val="Heading2"/>
    <w:next w:val="PwCNormal"/>
    <w:qFormat/>
    <w:rsid w:val="00317710"/>
    <w:pPr>
      <w:pageBreakBefore w:val="0"/>
      <w:numPr>
        <w:ilvl w:val="0"/>
        <w:numId w:val="0"/>
      </w:numPr>
      <w:spacing w:before="360" w:line="380" w:lineRule="atLeast"/>
      <w:outlineLvl w:val="4"/>
    </w:pPr>
    <w:rPr>
      <w:bCs w:val="0"/>
      <w:iCs w:val="0"/>
      <w:sz w:val="32"/>
      <w:szCs w:val="32"/>
    </w:rPr>
  </w:style>
  <w:style w:type="paragraph" w:styleId="Heading6">
    <w:name w:val="heading 6"/>
    <w:basedOn w:val="Heading2"/>
    <w:next w:val="PwCNormal"/>
    <w:qFormat/>
    <w:rsid w:val="00BC0A43"/>
    <w:pPr>
      <w:pageBreakBefore w:val="0"/>
      <w:numPr>
        <w:ilvl w:val="2"/>
      </w:numPr>
      <w:spacing w:after="40" w:line="240" w:lineRule="auto"/>
      <w:outlineLvl w:val="5"/>
    </w:pPr>
    <w:rPr>
      <w:bCs w:val="0"/>
      <w:color w:val="A32020" w:themeColor="text2"/>
      <w:sz w:val="32"/>
    </w:rPr>
  </w:style>
  <w:style w:type="paragraph" w:styleId="Heading7">
    <w:name w:val="heading 7"/>
    <w:basedOn w:val="Heading6"/>
    <w:next w:val="PwCNormal"/>
    <w:qFormat/>
    <w:rsid w:val="005C6E53"/>
    <w:pPr>
      <w:numPr>
        <w:ilvl w:val="3"/>
      </w:numPr>
      <w:outlineLvl w:val="6"/>
    </w:pPr>
    <w:rPr>
      <w:b w:val="0"/>
      <w:sz w:val="28"/>
      <w:szCs w:val="28"/>
    </w:rPr>
  </w:style>
  <w:style w:type="paragraph" w:styleId="Heading8">
    <w:name w:val="heading 8"/>
    <w:basedOn w:val="Majorheading"/>
    <w:next w:val="PwCNormal"/>
    <w:qFormat/>
    <w:rsid w:val="00930AB8"/>
    <w:pPr>
      <w:numPr>
        <w:ilvl w:val="6"/>
        <w:numId w:val="26"/>
      </w:numPr>
      <w:outlineLvl w:val="7"/>
    </w:pPr>
    <w:rPr>
      <w:sz w:val="32"/>
      <w:szCs w:val="21"/>
    </w:rPr>
  </w:style>
  <w:style w:type="paragraph" w:styleId="Heading9">
    <w:name w:val="heading 9"/>
    <w:basedOn w:val="Heading8"/>
    <w:next w:val="PwCNormal"/>
    <w:qFormat/>
    <w:rsid w:val="005C6E53"/>
    <w:pPr>
      <w:numPr>
        <w:ilvl w:val="0"/>
        <w:numId w:val="0"/>
      </w:numPr>
      <w:outlineLvl w:val="8"/>
    </w:pPr>
    <w:rPr>
      <w:b w:val="0"/>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76A6"/>
    <w:pPr>
      <w:tabs>
        <w:tab w:val="right" w:pos="8220"/>
      </w:tabs>
    </w:pPr>
    <w:rPr>
      <w:rFonts w:ascii="Arial" w:hAnsi="Arial"/>
      <w:color w:val="000000" w:themeColor="text1"/>
      <w:sz w:val="19"/>
      <w:szCs w:val="18"/>
    </w:rPr>
  </w:style>
  <w:style w:type="paragraph" w:styleId="Footer">
    <w:name w:val="footer"/>
    <w:basedOn w:val="Normal"/>
    <w:link w:val="FooterChar"/>
    <w:rsid w:val="00B376A6"/>
    <w:pPr>
      <w:tabs>
        <w:tab w:val="right" w:pos="8220"/>
      </w:tabs>
      <w:spacing w:line="0" w:lineRule="atLeast"/>
    </w:pPr>
    <w:rPr>
      <w:rFonts w:ascii="Arial" w:hAnsi="Arial"/>
      <w:color w:val="000000" w:themeColor="text1"/>
      <w:sz w:val="19"/>
      <w:szCs w:val="18"/>
    </w:rPr>
  </w:style>
  <w:style w:type="paragraph" w:customStyle="1" w:styleId="TOCtitle">
    <w:name w:val="TOC title"/>
    <w:basedOn w:val="Heading2"/>
    <w:next w:val="PwCNormal"/>
    <w:unhideWhenUsed/>
    <w:rsid w:val="005E2460"/>
    <w:pPr>
      <w:numPr>
        <w:ilvl w:val="0"/>
        <w:numId w:val="0"/>
      </w:numPr>
      <w:spacing w:after="600"/>
    </w:pPr>
    <w:rPr>
      <w:color w:val="auto"/>
    </w:rPr>
  </w:style>
  <w:style w:type="paragraph" w:customStyle="1" w:styleId="Covertitle">
    <w:name w:val="Cover title"/>
    <w:basedOn w:val="KeySentenceInside"/>
    <w:next w:val="Coversubtitle"/>
    <w:rsid w:val="00F323DC"/>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6C1EC2"/>
    <w:pPr>
      <w:framePr w:wrap="notBeside"/>
      <w:spacing w:before="180"/>
    </w:pPr>
    <w:rPr>
      <w:bCs/>
      <w:szCs w:val="64"/>
    </w:rPr>
  </w:style>
  <w:style w:type="paragraph" w:customStyle="1" w:styleId="AppendixNumberLong">
    <w:name w:val="Appendix Number (Long)"/>
    <w:basedOn w:val="Heading3"/>
    <w:next w:val="Heading3"/>
    <w:rsid w:val="00930AB8"/>
    <w:pPr>
      <w:keepNext/>
      <w:keepLines/>
      <w:pageBreakBefore/>
      <w:numPr>
        <w:ilvl w:val="5"/>
        <w:numId w:val="26"/>
      </w:numPr>
    </w:pPr>
    <w:rPr>
      <w:color w:val="000000" w:themeColor="text1"/>
    </w:rPr>
  </w:style>
  <w:style w:type="paragraph" w:customStyle="1" w:styleId="ChapterNumberLong">
    <w:name w:val="Chapter Number (Long)"/>
    <w:basedOn w:val="Heading1"/>
    <w:next w:val="Heading1"/>
    <w:rsid w:val="00930AB8"/>
    <w:pPr>
      <w:pageBreakBefore/>
      <w:numPr>
        <w:numId w:val="26"/>
      </w:numPr>
    </w:pPr>
  </w:style>
  <w:style w:type="paragraph" w:customStyle="1" w:styleId="Footer-Even">
    <w:name w:val="Footer - Even"/>
    <w:basedOn w:val="Footer"/>
    <w:rsid w:val="00B51CCB"/>
  </w:style>
  <w:style w:type="paragraph" w:customStyle="1" w:styleId="URL">
    <w:name w:val="URL"/>
    <w:basedOn w:val="PwCNormal"/>
    <w:next w:val="PwCNormal"/>
    <w:rsid w:val="00BF2CD7"/>
    <w:pPr>
      <w:framePr w:wrap="around" w:vAnchor="page" w:hAnchor="page" w:x="1022" w:y="568"/>
      <w:spacing w:after="0"/>
    </w:pPr>
    <w:rPr>
      <w:rFonts w:eastAsia="+mn-ea"/>
      <w:snapToGrid/>
      <w:color w:val="A32020" w:themeColor="text2"/>
      <w:sz w:val="36"/>
    </w:rPr>
  </w:style>
  <w:style w:type="paragraph" w:customStyle="1" w:styleId="Indent1">
    <w:name w:val="Indent 1"/>
    <w:basedOn w:val="Normal"/>
    <w:rsid w:val="006C1EC2"/>
    <w:pPr>
      <w:numPr>
        <w:ilvl w:val="1"/>
        <w:numId w:val="9"/>
      </w:numPr>
      <w:spacing w:before="100" w:after="100"/>
    </w:pPr>
    <w:rPr>
      <w:rFonts w:cs="Times New Roman"/>
    </w:rPr>
  </w:style>
  <w:style w:type="paragraph" w:customStyle="1" w:styleId="Indent2">
    <w:name w:val="Indent 2"/>
    <w:basedOn w:val="Indent1"/>
    <w:rsid w:val="00931F8A"/>
    <w:pPr>
      <w:numPr>
        <w:ilvl w:val="2"/>
      </w:numPr>
    </w:pPr>
  </w:style>
  <w:style w:type="paragraph" w:customStyle="1" w:styleId="Indent3">
    <w:name w:val="Indent 3"/>
    <w:basedOn w:val="Indent2"/>
    <w:rsid w:val="00931F8A"/>
    <w:pPr>
      <w:numPr>
        <w:ilvl w:val="3"/>
      </w:numPr>
    </w:pPr>
  </w:style>
  <w:style w:type="paragraph" w:customStyle="1" w:styleId="Indent5">
    <w:name w:val="Indent 5"/>
    <w:basedOn w:val="Indent4"/>
    <w:rsid w:val="00931F8A"/>
    <w:pPr>
      <w:numPr>
        <w:ilvl w:val="5"/>
      </w:numPr>
    </w:pPr>
  </w:style>
  <w:style w:type="paragraph" w:customStyle="1" w:styleId="Indent6">
    <w:name w:val="Indent 6"/>
    <w:basedOn w:val="Indent5"/>
    <w:rsid w:val="00931F8A"/>
    <w:pPr>
      <w:numPr>
        <w:ilvl w:val="6"/>
      </w:numPr>
    </w:pPr>
  </w:style>
  <w:style w:type="paragraph" w:customStyle="1" w:styleId="Indent7">
    <w:name w:val="Indent 7"/>
    <w:basedOn w:val="Indent6"/>
    <w:rsid w:val="00931F8A"/>
    <w:pPr>
      <w:numPr>
        <w:ilvl w:val="7"/>
      </w:numPr>
    </w:pPr>
  </w:style>
  <w:style w:type="numbering" w:customStyle="1" w:styleId="Indents">
    <w:name w:val="Indents"/>
    <w:rsid w:val="00931F8A"/>
    <w:pPr>
      <w:numPr>
        <w:numId w:val="2"/>
      </w:numPr>
    </w:pPr>
  </w:style>
  <w:style w:type="paragraph" w:customStyle="1" w:styleId="Copyright">
    <w:name w:val="Copyright"/>
    <w:basedOn w:val="Normal"/>
    <w:rsid w:val="00483E95"/>
    <w:pPr>
      <w:framePr w:w="7938" w:wrap="around" w:vAnchor="page" w:hAnchor="page" w:x="1022" w:y="15196"/>
      <w:spacing w:before="150" w:after="150" w:line="150" w:lineRule="atLeast"/>
      <w:ind w:right="816"/>
    </w:pPr>
    <w:rPr>
      <w:rFonts w:ascii="Arial" w:hAnsi="Arial"/>
      <w:color w:val="A32020" w:themeColor="text2"/>
      <w:sz w:val="16"/>
      <w:lang w:val="en-US"/>
    </w:rPr>
  </w:style>
  <w:style w:type="paragraph" w:customStyle="1" w:styleId="Header-Even">
    <w:name w:val="Header - Even"/>
    <w:basedOn w:val="Header"/>
    <w:rsid w:val="00B51CCB"/>
  </w:style>
  <w:style w:type="paragraph" w:customStyle="1" w:styleId="PleaseNote">
    <w:name w:val="Please Note"/>
    <w:basedOn w:val="PrefaceTitle"/>
    <w:next w:val="PwCNormal"/>
    <w:rsid w:val="008D4477"/>
    <w:rPr>
      <w:iCs w:val="0"/>
    </w:rPr>
  </w:style>
  <w:style w:type="paragraph" w:customStyle="1" w:styleId="Indent4">
    <w:name w:val="Indent 4"/>
    <w:basedOn w:val="Indent3"/>
    <w:rsid w:val="00931F8A"/>
    <w:pPr>
      <w:numPr>
        <w:ilvl w:val="4"/>
      </w:numPr>
    </w:pPr>
  </w:style>
  <w:style w:type="paragraph" w:styleId="TOC2">
    <w:name w:val="toc 2"/>
    <w:basedOn w:val="TOC1"/>
    <w:next w:val="PwCNormal"/>
    <w:uiPriority w:val="39"/>
    <w:rsid w:val="008D4477"/>
    <w:pPr>
      <w:numPr>
        <w:numId w:val="0"/>
      </w:numPr>
      <w:tabs>
        <w:tab w:val="left" w:pos="567"/>
      </w:tabs>
      <w:ind w:left="567" w:hanging="567"/>
    </w:pPr>
  </w:style>
  <w:style w:type="paragraph" w:styleId="TOC4">
    <w:name w:val="toc 4"/>
    <w:basedOn w:val="TOC2"/>
    <w:next w:val="PwCNormal"/>
    <w:uiPriority w:val="39"/>
    <w:rsid w:val="00A14944"/>
    <w:pPr>
      <w:tabs>
        <w:tab w:val="clear" w:pos="567"/>
        <w:tab w:val="left" w:pos="1134"/>
      </w:tabs>
      <w:ind w:left="1134" w:hanging="1134"/>
    </w:pPr>
  </w:style>
  <w:style w:type="paragraph" w:styleId="TOC7">
    <w:name w:val="toc 7"/>
    <w:basedOn w:val="TOC6"/>
    <w:next w:val="PwCNormal"/>
    <w:uiPriority w:val="39"/>
    <w:rsid w:val="008D4477"/>
    <w:pPr>
      <w:tabs>
        <w:tab w:val="clear" w:pos="1134"/>
        <w:tab w:val="left" w:pos="1985"/>
      </w:tabs>
      <w:ind w:left="1985" w:hanging="851"/>
    </w:pPr>
  </w:style>
  <w:style w:type="paragraph" w:customStyle="1" w:styleId="KeySentenceInside">
    <w:name w:val="Key Sentence Inside"/>
    <w:basedOn w:val="KeySentence"/>
    <w:rsid w:val="00731B5D"/>
    <w:pPr>
      <w:framePr w:w="2296" w:wrap="notBeside" w:vAnchor="text" w:hAnchor="margin" w:x="-2521" w:y="1" w:anchorLock="1"/>
    </w:pPr>
  </w:style>
  <w:style w:type="paragraph" w:customStyle="1" w:styleId="ChapterNumberedList1">
    <w:name w:val="Chapter Numbered List 1"/>
    <w:basedOn w:val="PwCNormal"/>
    <w:rsid w:val="00930AB8"/>
    <w:pPr>
      <w:numPr>
        <w:ilvl w:val="7"/>
        <w:numId w:val="26"/>
      </w:numPr>
    </w:pPr>
  </w:style>
  <w:style w:type="paragraph" w:customStyle="1" w:styleId="ChapterNumberedList2">
    <w:name w:val="Chapter Numbered List 2"/>
    <w:basedOn w:val="ChapterNumberedList1"/>
    <w:rsid w:val="00F614AA"/>
    <w:pPr>
      <w:numPr>
        <w:ilvl w:val="8"/>
      </w:numPr>
    </w:pPr>
  </w:style>
  <w:style w:type="paragraph" w:styleId="TOC6">
    <w:name w:val="toc 6"/>
    <w:basedOn w:val="TOC2"/>
    <w:next w:val="PwCNormal"/>
    <w:uiPriority w:val="39"/>
    <w:rsid w:val="008D4477"/>
    <w:pPr>
      <w:tabs>
        <w:tab w:val="clear" w:pos="567"/>
        <w:tab w:val="left" w:pos="1134"/>
      </w:tabs>
      <w:ind w:left="1134"/>
    </w:pPr>
  </w:style>
  <w:style w:type="paragraph" w:customStyle="1" w:styleId="PwCNormal">
    <w:name w:val="PwC Normal"/>
    <w:aliases w:val="n"/>
    <w:basedOn w:val="Normal"/>
    <w:link w:val="PwCNormalChar"/>
    <w:qFormat/>
    <w:rsid w:val="00126AFF"/>
    <w:pPr>
      <w:numPr>
        <w:numId w:val="9"/>
      </w:numPr>
      <w:spacing w:after="240"/>
    </w:pPr>
  </w:style>
  <w:style w:type="paragraph" w:customStyle="1" w:styleId="CoverDate">
    <w:name w:val="Cover Date"/>
    <w:basedOn w:val="Coversubtitle"/>
    <w:rsid w:val="002D5CE4"/>
    <w:pPr>
      <w:framePr w:wrap="notBeside"/>
    </w:pPr>
  </w:style>
  <w:style w:type="paragraph" w:customStyle="1" w:styleId="KeySentenceOutside">
    <w:name w:val="Key Sentence Outside"/>
    <w:basedOn w:val="KeySentence"/>
    <w:rsid w:val="002627A5"/>
    <w:pPr>
      <w:framePr w:w="2410" w:wrap="around" w:vAnchor="text" w:hAnchor="margin" w:x="7909" w:y="1" w:anchorLock="1"/>
    </w:pPr>
  </w:style>
  <w:style w:type="character" w:customStyle="1" w:styleId="PwCNormalChar">
    <w:name w:val="PwC Normal Char"/>
    <w:aliases w:val="n Char Char,n Char"/>
    <w:basedOn w:val="DefaultParagraphFont"/>
    <w:link w:val="PwCNormal"/>
    <w:rsid w:val="00126AFF"/>
    <w:rPr>
      <w:rFonts w:cs="Arial"/>
      <w:snapToGrid w:val="0"/>
      <w:lang w:eastAsia="en-US"/>
    </w:rPr>
  </w:style>
  <w:style w:type="paragraph" w:styleId="TOC1">
    <w:name w:val="toc 1"/>
    <w:basedOn w:val="Normal"/>
    <w:next w:val="PwCNormal"/>
    <w:uiPriority w:val="39"/>
    <w:rsid w:val="001D29AE"/>
    <w:pPr>
      <w:numPr>
        <w:numId w:val="24"/>
      </w:numPr>
      <w:tabs>
        <w:tab w:val="left" w:pos="567"/>
        <w:tab w:val="right" w:pos="8220"/>
      </w:tabs>
      <w:spacing w:before="240" w:after="240" w:line="240" w:lineRule="atLeast"/>
      <w:ind w:right="851"/>
    </w:pPr>
  </w:style>
  <w:style w:type="paragraph" w:customStyle="1" w:styleId="CREATISID">
    <w:name w:val="CREATISID"/>
    <w:basedOn w:val="PwCNormal"/>
    <w:unhideWhenUsed/>
    <w:rsid w:val="008D4477"/>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21094E"/>
    <w:pPr>
      <w:numPr>
        <w:numId w:val="1"/>
      </w:numPr>
    </w:pPr>
  </w:style>
  <w:style w:type="paragraph" w:customStyle="1" w:styleId="Footer-Landscape">
    <w:name w:val="Footer - Landscape"/>
    <w:basedOn w:val="Footer"/>
    <w:rsid w:val="008D4477"/>
    <w:pPr>
      <w:tabs>
        <w:tab w:val="clear" w:pos="8220"/>
        <w:tab w:val="right" w:pos="14797"/>
      </w:tabs>
    </w:pPr>
  </w:style>
  <w:style w:type="paragraph" w:customStyle="1" w:styleId="TableBullet1Normal">
    <w:name w:val="Table Bullet 1 Normal"/>
    <w:basedOn w:val="TableTextNormal"/>
    <w:rsid w:val="00317710"/>
    <w:pPr>
      <w:numPr>
        <w:numId w:val="6"/>
      </w:numPr>
      <w:spacing w:before="40" w:after="40"/>
    </w:pPr>
  </w:style>
  <w:style w:type="paragraph" w:customStyle="1" w:styleId="TableTextNormal">
    <w:name w:val="Table Text Normal"/>
    <w:basedOn w:val="Normal"/>
    <w:rsid w:val="00053B82"/>
    <w:pPr>
      <w:spacing w:before="80" w:after="80"/>
    </w:pPr>
  </w:style>
  <w:style w:type="paragraph" w:customStyle="1" w:styleId="TableBullet1Small">
    <w:name w:val="Table Bullet 1 Small"/>
    <w:basedOn w:val="TableTextSmall"/>
    <w:rsid w:val="00317710"/>
    <w:pPr>
      <w:numPr>
        <w:numId w:val="7"/>
      </w:numPr>
      <w:spacing w:before="20" w:after="20"/>
    </w:pPr>
  </w:style>
  <w:style w:type="paragraph" w:customStyle="1" w:styleId="TableTextSmall">
    <w:name w:val="Table Text Small"/>
    <w:basedOn w:val="Normal"/>
    <w:rsid w:val="00020F7F"/>
    <w:pPr>
      <w:spacing w:before="40" w:after="40"/>
    </w:pPr>
    <w:rPr>
      <w:rFonts w:ascii="Arial" w:hAnsi="Arial"/>
      <w:sz w:val="16"/>
      <w:szCs w:val="18"/>
    </w:rPr>
  </w:style>
  <w:style w:type="paragraph" w:customStyle="1" w:styleId="TableBullet3Normal">
    <w:name w:val="Table Bullet 3 Normal"/>
    <w:basedOn w:val="TableBullet2Normal"/>
    <w:rsid w:val="008D4477"/>
    <w:pPr>
      <w:numPr>
        <w:ilvl w:val="2"/>
      </w:numPr>
    </w:pPr>
  </w:style>
  <w:style w:type="paragraph" w:customStyle="1" w:styleId="TableBullet3Small">
    <w:name w:val="Table Bullet 3 Small"/>
    <w:basedOn w:val="TableBullet2Small"/>
    <w:rsid w:val="008D4477"/>
    <w:pPr>
      <w:numPr>
        <w:ilvl w:val="2"/>
      </w:numPr>
    </w:pPr>
    <w:rPr>
      <w:szCs w:val="16"/>
    </w:rPr>
  </w:style>
  <w:style w:type="paragraph" w:customStyle="1" w:styleId="BlockText2">
    <w:name w:val="Block Text 2"/>
    <w:basedOn w:val="Normal"/>
    <w:qFormat/>
    <w:rsid w:val="0071186F"/>
    <w:pPr>
      <w:pBdr>
        <w:top w:val="single" w:sz="2" w:space="10" w:color="A32020" w:themeColor="text2"/>
        <w:left w:val="single" w:sz="2" w:space="10" w:color="A32020" w:themeColor="text2"/>
        <w:bottom w:val="single" w:sz="2" w:space="10" w:color="A32020" w:themeColor="text2"/>
        <w:right w:val="single" w:sz="2" w:space="10" w:color="A32020" w:themeColor="text2"/>
      </w:pBdr>
      <w:shd w:val="clear" w:color="auto" w:fill="A32020" w:themeFill="text2"/>
      <w:kinsoku/>
      <w:overflowPunct/>
      <w:autoSpaceDE/>
      <w:autoSpaceDN/>
      <w:adjustRightInd/>
      <w:snapToGrid/>
      <w:spacing w:after="240"/>
      <w:ind w:left="227" w:right="227"/>
    </w:pPr>
    <w:rPr>
      <w:rFonts w:eastAsiaTheme="minorHAnsi" w:cstheme="minorBidi"/>
      <w:i/>
      <w:snapToGrid/>
      <w:color w:val="FFFFFF" w:themeColor="background2"/>
      <w:sz w:val="48"/>
      <w:szCs w:val="48"/>
      <w:lang w:val="en-GB"/>
    </w:rPr>
  </w:style>
  <w:style w:type="paragraph" w:customStyle="1" w:styleId="Appendix">
    <w:name w:val="Appendix"/>
    <w:basedOn w:val="Heading1"/>
    <w:next w:val="Normal"/>
    <w:uiPriority w:val="99"/>
    <w:qFormat/>
    <w:rsid w:val="0071186F"/>
    <w:pPr>
      <w:keepNext/>
      <w:keepLines/>
      <w:numPr>
        <w:numId w:val="12"/>
      </w:numPr>
      <w:kinsoku/>
      <w:overflowPunct/>
      <w:autoSpaceDE/>
      <w:autoSpaceDN/>
      <w:adjustRightInd/>
      <w:snapToGrid/>
      <w:spacing w:after="480" w:line="600" w:lineRule="atLeast"/>
    </w:pPr>
    <w:rPr>
      <w:rFonts w:eastAsiaTheme="majorEastAsia" w:cstheme="majorBidi"/>
      <w:snapToGrid/>
      <w:szCs w:val="28"/>
      <w:lang w:val="en-GB"/>
    </w:rPr>
  </w:style>
  <w:style w:type="numbering" w:customStyle="1" w:styleId="PwCAppendixList1">
    <w:name w:val="PwC Appendix List 1"/>
    <w:uiPriority w:val="99"/>
    <w:rsid w:val="0071186F"/>
    <w:pPr>
      <w:numPr>
        <w:numId w:val="11"/>
      </w:numPr>
    </w:pPr>
  </w:style>
  <w:style w:type="paragraph" w:styleId="Caption">
    <w:name w:val="caption"/>
    <w:basedOn w:val="Normal"/>
    <w:next w:val="Normal"/>
    <w:unhideWhenUsed/>
    <w:qFormat/>
    <w:rsid w:val="004C7A29"/>
    <w:pPr>
      <w:keepNext/>
      <w:keepLines/>
      <w:tabs>
        <w:tab w:val="left" w:pos="992"/>
      </w:tabs>
      <w:spacing w:before="240" w:after="120"/>
      <w:ind w:left="992" w:hanging="992"/>
    </w:pPr>
    <w:rPr>
      <w:rFonts w:asciiTheme="majorHAnsi" w:hAnsiTheme="majorHAnsi"/>
      <w:b/>
      <w:bCs/>
      <w:color w:val="A32020" w:themeColor="text2"/>
      <w:szCs w:val="18"/>
    </w:rPr>
  </w:style>
  <w:style w:type="paragraph" w:customStyle="1" w:styleId="Majorheading">
    <w:name w:val="Major heading"/>
    <w:basedOn w:val="Normal"/>
    <w:next w:val="PwCNormal"/>
    <w:rsid w:val="0095290F"/>
    <w:pPr>
      <w:keepNext/>
      <w:keepLines/>
      <w:spacing w:before="240" w:after="40"/>
    </w:pPr>
    <w:rPr>
      <w:rFonts w:asciiTheme="majorHAnsi" w:hAnsiTheme="majorHAnsi"/>
      <w:b/>
      <w:i/>
      <w:color w:val="A32020" w:themeColor="text2"/>
      <w:sz w:val="28"/>
      <w:szCs w:val="24"/>
    </w:rPr>
  </w:style>
  <w:style w:type="numbering" w:customStyle="1" w:styleId="TableBulletNormalList">
    <w:name w:val="Table Bullet Normal List"/>
    <w:rsid w:val="0021094E"/>
    <w:pPr>
      <w:numPr>
        <w:numId w:val="4"/>
      </w:numPr>
    </w:pPr>
  </w:style>
  <w:style w:type="paragraph" w:customStyle="1" w:styleId="Disclaimer">
    <w:name w:val="Disclaimer"/>
    <w:basedOn w:val="Normal"/>
    <w:unhideWhenUsed/>
    <w:rsid w:val="00F03ACC"/>
    <w:pPr>
      <w:spacing w:after="140"/>
    </w:pPr>
    <w:rPr>
      <w:rFonts w:ascii="Arial" w:hAnsi="Arial"/>
      <w:sz w:val="15"/>
    </w:rPr>
  </w:style>
  <w:style w:type="paragraph" w:customStyle="1" w:styleId="Footer-LandscapeEven">
    <w:name w:val="Footer - Landscape Even"/>
    <w:basedOn w:val="Footer-Landscape"/>
    <w:rsid w:val="008D4477"/>
  </w:style>
  <w:style w:type="paragraph" w:customStyle="1" w:styleId="PwCNormal-Single">
    <w:name w:val="PwC Normal - Single"/>
    <w:basedOn w:val="PwCNormal"/>
    <w:rsid w:val="00126AFF"/>
    <w:pPr>
      <w:numPr>
        <w:numId w:val="0"/>
      </w:numPr>
      <w:spacing w:after="0"/>
    </w:pPr>
  </w:style>
  <w:style w:type="numbering" w:customStyle="1" w:styleId="TableNumberdListNormal">
    <w:name w:val="Table Numberd List Normal"/>
    <w:uiPriority w:val="99"/>
    <w:rsid w:val="00EA47AB"/>
    <w:pPr>
      <w:numPr>
        <w:numId w:val="14"/>
      </w:numPr>
    </w:pPr>
  </w:style>
  <w:style w:type="numbering" w:customStyle="1" w:styleId="TableNumberedListSmall">
    <w:name w:val="Table Numbered List Small"/>
    <w:uiPriority w:val="99"/>
    <w:rsid w:val="00EA47AB"/>
    <w:pPr>
      <w:numPr>
        <w:numId w:val="16"/>
      </w:numPr>
    </w:pPr>
  </w:style>
  <w:style w:type="paragraph" w:customStyle="1" w:styleId="TableIndent2Normal">
    <w:name w:val="Table Indent 2 Normal"/>
    <w:basedOn w:val="TableIndent1Normal"/>
    <w:rsid w:val="008D4477"/>
    <w:pPr>
      <w:ind w:left="567"/>
    </w:pPr>
  </w:style>
  <w:style w:type="paragraph" w:customStyle="1" w:styleId="TableIndent2Small">
    <w:name w:val="Table Indent 2 Small"/>
    <w:basedOn w:val="TableIndent1Small"/>
    <w:rsid w:val="00461AF8"/>
    <w:pPr>
      <w:ind w:left="567"/>
    </w:pPr>
    <w:rPr>
      <w:szCs w:val="16"/>
    </w:rPr>
  </w:style>
  <w:style w:type="paragraph" w:customStyle="1" w:styleId="KeySentence">
    <w:name w:val="Key Sentence"/>
    <w:basedOn w:val="Normal"/>
    <w:rsid w:val="00A86844"/>
    <w:pPr>
      <w:spacing w:after="160" w:line="260" w:lineRule="atLeast"/>
    </w:pPr>
    <w:rPr>
      <w:i/>
      <w:color w:val="A32020" w:themeColor="text2"/>
      <w:sz w:val="16"/>
      <w:szCs w:val="18"/>
    </w:rPr>
  </w:style>
  <w:style w:type="numbering" w:customStyle="1" w:styleId="TableNumberedListS">
    <w:name w:val="Table Numbered List S"/>
    <w:rsid w:val="008D4477"/>
  </w:style>
  <w:style w:type="paragraph" w:customStyle="1" w:styleId="PrefaceTitle">
    <w:name w:val="Preface Title"/>
    <w:basedOn w:val="Heading2"/>
    <w:next w:val="PwCNormal"/>
    <w:rsid w:val="00C75673"/>
    <w:pPr>
      <w:numPr>
        <w:ilvl w:val="0"/>
        <w:numId w:val="0"/>
      </w:numPr>
    </w:pPr>
  </w:style>
  <w:style w:type="paragraph" w:customStyle="1" w:styleId="Sources">
    <w:name w:val="Sources"/>
    <w:basedOn w:val="Normal"/>
    <w:next w:val="PwCNormal"/>
    <w:rsid w:val="006742E0"/>
    <w:pPr>
      <w:spacing w:before="80" w:after="240" w:line="180" w:lineRule="atLeast"/>
    </w:pPr>
    <w:rPr>
      <w:color w:val="A32020" w:themeColor="text2"/>
      <w:sz w:val="16"/>
    </w:rPr>
  </w:style>
  <w:style w:type="paragraph" w:customStyle="1" w:styleId="Minorheading">
    <w:name w:val="Minor heading"/>
    <w:basedOn w:val="Majorheading"/>
    <w:next w:val="PwCNormal"/>
    <w:rsid w:val="003C52DC"/>
    <w:pPr>
      <w:spacing w:line="180" w:lineRule="atLeast"/>
    </w:pPr>
    <w:rPr>
      <w:b w:val="0"/>
      <w:sz w:val="26"/>
    </w:rPr>
  </w:style>
  <w:style w:type="paragraph" w:customStyle="1" w:styleId="Minorheading2">
    <w:name w:val="Minor heading 2"/>
    <w:basedOn w:val="Minorheading"/>
    <w:next w:val="PwCNormal"/>
    <w:rsid w:val="00D657FC"/>
    <w:pPr>
      <w:spacing w:line="240" w:lineRule="atLeast"/>
    </w:pPr>
    <w:rPr>
      <w:b/>
      <w:i w:val="0"/>
      <w:sz w:val="20"/>
    </w:rPr>
  </w:style>
  <w:style w:type="numbering" w:customStyle="1" w:styleId="PwCListNumbers1">
    <w:name w:val="PwC List Numbers 1"/>
    <w:uiPriority w:val="99"/>
    <w:rsid w:val="0071186F"/>
    <w:pPr>
      <w:numPr>
        <w:numId w:val="13"/>
      </w:numPr>
    </w:pPr>
  </w:style>
  <w:style w:type="paragraph" w:customStyle="1" w:styleId="BlockText3">
    <w:name w:val="Block Text 3"/>
    <w:basedOn w:val="BlockText"/>
    <w:qFormat/>
    <w:rsid w:val="0071186F"/>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kinsoku/>
      <w:overflowPunct/>
      <w:autoSpaceDE/>
      <w:autoSpaceDN/>
      <w:adjustRightInd/>
      <w:snapToGrid/>
      <w:ind w:left="227" w:right="227"/>
    </w:pPr>
    <w:rPr>
      <w:snapToGrid/>
      <w:sz w:val="96"/>
      <w:lang w:val="en-GB"/>
    </w:rPr>
  </w:style>
  <w:style w:type="paragraph" w:customStyle="1" w:styleId="TableBullet2Normal">
    <w:name w:val="Table Bullet 2 Normal"/>
    <w:basedOn w:val="TableBullet1Normal"/>
    <w:rsid w:val="008D4477"/>
    <w:pPr>
      <w:numPr>
        <w:ilvl w:val="1"/>
      </w:numPr>
    </w:pPr>
  </w:style>
  <w:style w:type="paragraph" w:customStyle="1" w:styleId="TableBullet2Small">
    <w:name w:val="Table Bullet 2 Small"/>
    <w:basedOn w:val="TableBullet1Small"/>
    <w:rsid w:val="008D4477"/>
    <w:pPr>
      <w:numPr>
        <w:ilvl w:val="1"/>
      </w:numPr>
    </w:pPr>
  </w:style>
  <w:style w:type="paragraph" w:customStyle="1" w:styleId="TableIndent1Normal">
    <w:name w:val="Table Indent 1 Normal"/>
    <w:basedOn w:val="TableBullet1Normal"/>
    <w:rsid w:val="008D4477"/>
    <w:pPr>
      <w:numPr>
        <w:numId w:val="0"/>
      </w:numPr>
      <w:ind w:left="284"/>
    </w:pPr>
  </w:style>
  <w:style w:type="paragraph" w:customStyle="1" w:styleId="TableIndent1Small">
    <w:name w:val="Table Indent 1 Small"/>
    <w:basedOn w:val="TableBullet1Small"/>
    <w:rsid w:val="00461AF8"/>
    <w:pPr>
      <w:numPr>
        <w:numId w:val="0"/>
      </w:numPr>
      <w:ind w:left="284"/>
    </w:pPr>
  </w:style>
  <w:style w:type="paragraph" w:customStyle="1" w:styleId="SubHeading">
    <w:name w:val="Sub Heading"/>
    <w:basedOn w:val="PwCNormal"/>
    <w:rsid w:val="00930AB8"/>
    <w:pPr>
      <w:spacing w:after="480" w:line="600" w:lineRule="atLeast"/>
    </w:pPr>
    <w:rPr>
      <w:sz w:val="56"/>
    </w:rPr>
  </w:style>
  <w:style w:type="paragraph" w:styleId="FootnoteText">
    <w:name w:val="footnote text"/>
    <w:basedOn w:val="Normal"/>
    <w:link w:val="FootnoteTextChar"/>
    <w:rsid w:val="005F07CE"/>
    <w:pPr>
      <w:tabs>
        <w:tab w:val="left" w:pos="284"/>
      </w:tabs>
      <w:spacing w:before="80" w:after="80"/>
      <w:ind w:left="227" w:hanging="227"/>
    </w:pPr>
    <w:rPr>
      <w:sz w:val="14"/>
    </w:rPr>
  </w:style>
  <w:style w:type="character" w:styleId="FootnoteReference">
    <w:name w:val="footnote reference"/>
    <w:basedOn w:val="DefaultParagraphFont"/>
    <w:uiPriority w:val="99"/>
    <w:rsid w:val="00317710"/>
    <w:rPr>
      <w:rFonts w:cs="Arial"/>
      <w:sz w:val="21"/>
      <w:vertAlign w:val="superscript"/>
    </w:rPr>
  </w:style>
  <w:style w:type="character" w:styleId="EndnoteReference">
    <w:name w:val="endnote reference"/>
    <w:basedOn w:val="DefaultParagraphFont"/>
    <w:semiHidden/>
    <w:unhideWhenUsed/>
    <w:rsid w:val="008D4477"/>
    <w:rPr>
      <w:rFonts w:ascii="Arial" w:hAnsi="Arial" w:cs="Arial"/>
      <w:sz w:val="21"/>
      <w:vertAlign w:val="superscript"/>
    </w:rPr>
  </w:style>
  <w:style w:type="paragraph" w:styleId="EndnoteText">
    <w:name w:val="endnote text"/>
    <w:basedOn w:val="FootnoteText"/>
    <w:semiHidden/>
    <w:unhideWhenUsed/>
    <w:rsid w:val="008D4477"/>
  </w:style>
  <w:style w:type="paragraph" w:customStyle="1" w:styleId="Address">
    <w:name w:val="Address"/>
    <w:basedOn w:val="Normal"/>
    <w:qFormat/>
    <w:rsid w:val="009231BC"/>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table" w:styleId="TableGrid">
    <w:name w:val="Table Grid"/>
    <w:basedOn w:val="TableNormal"/>
    <w:semiHidden/>
    <w:locked/>
    <w:rsid w:val="008D4477"/>
    <w:pPr>
      <w:kinsoku w:val="0"/>
      <w:overflowPunct w:val="0"/>
      <w:autoSpaceDE w:val="0"/>
      <w:autoSpaceDN w:val="0"/>
      <w:adjustRightInd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TOC1"/>
    <w:next w:val="PwCNormal"/>
    <w:uiPriority w:val="39"/>
    <w:rsid w:val="008D4477"/>
    <w:pPr>
      <w:numPr>
        <w:ilvl w:val="2"/>
      </w:numPr>
    </w:pPr>
  </w:style>
  <w:style w:type="paragraph" w:styleId="TOC5">
    <w:name w:val="toc 5"/>
    <w:basedOn w:val="TOC2"/>
    <w:next w:val="PwCNormal"/>
    <w:rsid w:val="008D4477"/>
  </w:style>
  <w:style w:type="paragraph" w:styleId="TOC8">
    <w:name w:val="toc 8"/>
    <w:basedOn w:val="TOC7"/>
    <w:next w:val="PwCNormal"/>
    <w:rsid w:val="008D4477"/>
    <w:pPr>
      <w:tabs>
        <w:tab w:val="clear" w:pos="1985"/>
        <w:tab w:val="left" w:pos="3402"/>
      </w:tabs>
      <w:ind w:left="3403"/>
    </w:pPr>
  </w:style>
  <w:style w:type="paragraph" w:styleId="TOC9">
    <w:name w:val="toc 9"/>
    <w:basedOn w:val="TOC8"/>
    <w:next w:val="PwCNormal"/>
    <w:uiPriority w:val="39"/>
    <w:rsid w:val="008D4477"/>
    <w:pPr>
      <w:tabs>
        <w:tab w:val="clear" w:pos="3402"/>
        <w:tab w:val="left" w:pos="4253"/>
      </w:tabs>
      <w:ind w:left="4253"/>
    </w:pPr>
  </w:style>
  <w:style w:type="paragraph" w:customStyle="1" w:styleId="Separator">
    <w:name w:val="Separator"/>
    <w:basedOn w:val="Normal"/>
    <w:semiHidden/>
    <w:rsid w:val="008D4477"/>
    <w:pPr>
      <w:spacing w:before="240" w:after="120"/>
    </w:pPr>
    <w:rPr>
      <w:sz w:val="16"/>
    </w:rPr>
  </w:style>
  <w:style w:type="numbering" w:customStyle="1" w:styleId="TableNumberedListN">
    <w:name w:val="Table Numbered List N"/>
    <w:rsid w:val="008D4477"/>
  </w:style>
  <w:style w:type="paragraph" w:customStyle="1" w:styleId="TableColumnHeadingNormal">
    <w:name w:val="Table Column Heading Normal"/>
    <w:basedOn w:val="TableTextNormal"/>
    <w:rsid w:val="000B319E"/>
    <w:pPr>
      <w:keepNext/>
      <w:keepLines/>
    </w:pPr>
    <w:rPr>
      <w:b/>
      <w:color w:val="A32020" w:themeColor="text2"/>
    </w:rPr>
  </w:style>
  <w:style w:type="paragraph" w:customStyle="1" w:styleId="TableColumnHeadingSmall">
    <w:name w:val="Table Column Heading Small"/>
    <w:basedOn w:val="TableTextSmall"/>
    <w:next w:val="TableTextSmall"/>
    <w:rsid w:val="00053B82"/>
    <w:pPr>
      <w:keepNext/>
      <w:keepLines/>
    </w:pPr>
    <w:rPr>
      <w:b/>
      <w:color w:val="A32020" w:themeColor="text2"/>
      <w:szCs w:val="16"/>
    </w:rPr>
  </w:style>
  <w:style w:type="numbering" w:customStyle="1" w:styleId="TableBulletSmallList">
    <w:name w:val="Table Bullet Small List"/>
    <w:rsid w:val="0021094E"/>
    <w:pPr>
      <w:numPr>
        <w:numId w:val="3"/>
      </w:numPr>
    </w:pPr>
  </w:style>
  <w:style w:type="paragraph" w:customStyle="1" w:styleId="Header-Landscape">
    <w:name w:val="Header - Landscape"/>
    <w:basedOn w:val="Header"/>
    <w:rsid w:val="008D4477"/>
  </w:style>
  <w:style w:type="character" w:styleId="PageNumber">
    <w:name w:val="page number"/>
    <w:semiHidden/>
    <w:unhideWhenUsed/>
    <w:rsid w:val="008D4477"/>
  </w:style>
  <w:style w:type="paragraph" w:styleId="Date">
    <w:name w:val="Date"/>
    <w:basedOn w:val="Normal"/>
    <w:next w:val="PwCNormal"/>
    <w:semiHidden/>
    <w:rsid w:val="008D4477"/>
  </w:style>
  <w:style w:type="paragraph" w:customStyle="1" w:styleId="Indent8">
    <w:name w:val="Indent 8"/>
    <w:basedOn w:val="Indent7"/>
    <w:rsid w:val="00931F8A"/>
    <w:pPr>
      <w:numPr>
        <w:ilvl w:val="8"/>
      </w:numPr>
    </w:pPr>
  </w:style>
  <w:style w:type="paragraph" w:customStyle="1" w:styleId="Header-LandscapeEven">
    <w:name w:val="Header - Landscape Even"/>
    <w:basedOn w:val="Header-Landscape"/>
    <w:rsid w:val="008D4477"/>
    <w:pPr>
      <w:tabs>
        <w:tab w:val="right" w:pos="14661"/>
      </w:tabs>
    </w:pPr>
  </w:style>
  <w:style w:type="paragraph" w:customStyle="1" w:styleId="Footer-ToC">
    <w:name w:val="Footer - ToC"/>
    <w:basedOn w:val="Footer"/>
    <w:rsid w:val="0064358E"/>
  </w:style>
  <w:style w:type="paragraph" w:customStyle="1" w:styleId="Footer-ToCEven">
    <w:name w:val="Footer - ToC Even"/>
    <w:basedOn w:val="Footer-ToC"/>
    <w:rsid w:val="00BB4286"/>
  </w:style>
  <w:style w:type="table" w:customStyle="1" w:styleId="Tables-APBase">
    <w:name w:val="Tables - AP Base"/>
    <w:basedOn w:val="TableNormal"/>
    <w:rsid w:val="00A87947"/>
    <w:tblPr>
      <w:tblStyleRowBandSize w:val="1"/>
      <w:tblStyleColBandSize w:val="1"/>
      <w:tblInd w:w="0" w:type="dxa"/>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CellMar>
        <w:top w:w="0" w:type="dxa"/>
        <w:left w:w="108" w:type="dxa"/>
        <w:bottom w:w="0" w:type="dxa"/>
        <w:right w:w="108" w:type="dxa"/>
      </w:tblCellMar>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A32020" w:themeColor="text2"/>
          <w:bottom w:val="single" w:sz="4" w:space="0" w:color="A32020" w:themeColor="text2"/>
        </w:tcBorders>
      </w:tcPr>
    </w:tblStylePr>
    <w:tblStylePr w:type="lastRow">
      <w:rPr>
        <w:color w:val="auto"/>
      </w:rPr>
      <w:tblPr/>
      <w:tcPr>
        <w:tcBorders>
          <w:top w:val="single" w:sz="4" w:space="0" w:color="A32020"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rsid w:val="00C70AB2"/>
    <w:pPr>
      <w:pBdr>
        <w:bottom w:val="none" w:sz="0" w:space="0" w:color="00457C"/>
      </w:pBdr>
    </w:pPr>
    <w:rPr>
      <w:i/>
      <w:color w:val="A32020" w:themeColor="text2"/>
      <w:sz w:val="24"/>
      <w:szCs w:val="24"/>
    </w:rPr>
  </w:style>
  <w:style w:type="paragraph" w:customStyle="1" w:styleId="ListBullet1">
    <w:name w:val="List Bullet 1"/>
    <w:basedOn w:val="Normal"/>
    <w:semiHidden/>
    <w:locked/>
    <w:rsid w:val="006C1EC2"/>
    <w:pPr>
      <w:tabs>
        <w:tab w:val="num" w:pos="720"/>
      </w:tabs>
      <w:spacing w:before="100" w:after="100"/>
      <w:ind w:left="720" w:hanging="720"/>
    </w:pPr>
  </w:style>
  <w:style w:type="paragraph" w:styleId="ListBullet2">
    <w:name w:val="List Bullet 2"/>
    <w:basedOn w:val="ListBullet1"/>
    <w:qFormat/>
    <w:locked/>
    <w:rsid w:val="00CC25DA"/>
    <w:pPr>
      <w:numPr>
        <w:ilvl w:val="1"/>
        <w:numId w:val="5"/>
      </w:numPr>
      <w:spacing w:before="0" w:after="240"/>
    </w:pPr>
  </w:style>
  <w:style w:type="paragraph" w:styleId="ListBullet4">
    <w:name w:val="List Bullet 4"/>
    <w:basedOn w:val="ListBullet3"/>
    <w:unhideWhenUsed/>
    <w:locked/>
    <w:rsid w:val="00F614AA"/>
    <w:pPr>
      <w:numPr>
        <w:ilvl w:val="3"/>
      </w:numPr>
    </w:pPr>
  </w:style>
  <w:style w:type="paragraph" w:customStyle="1" w:styleId="CVBullet1">
    <w:name w:val="CV Bullet 1"/>
    <w:basedOn w:val="CVText"/>
    <w:rsid w:val="00C72147"/>
    <w:pPr>
      <w:numPr>
        <w:numId w:val="10"/>
      </w:numPr>
      <w:spacing w:before="40" w:after="40"/>
    </w:pPr>
  </w:style>
  <w:style w:type="paragraph" w:customStyle="1" w:styleId="CVDetails">
    <w:name w:val="CV Details"/>
    <w:basedOn w:val="CVRoleTitle"/>
    <w:rsid w:val="001226BE"/>
    <w:pPr>
      <w:spacing w:before="120" w:after="40"/>
    </w:pPr>
    <w:rPr>
      <w:sz w:val="14"/>
    </w:rPr>
  </w:style>
  <w:style w:type="paragraph" w:customStyle="1" w:styleId="CVHeading2">
    <w:name w:val="CV Heading 2"/>
    <w:basedOn w:val="CVHeading1"/>
    <w:next w:val="CVText"/>
    <w:rsid w:val="00EF71C9"/>
    <w:pPr>
      <w:pBdr>
        <w:bottom w:val="none" w:sz="0" w:space="0" w:color="00457C"/>
      </w:pBdr>
    </w:pPr>
    <w:rPr>
      <w:b w:val="0"/>
      <w:sz w:val="18"/>
      <w:szCs w:val="24"/>
    </w:rPr>
  </w:style>
  <w:style w:type="paragraph" w:styleId="ListBullet3">
    <w:name w:val="List Bullet 3"/>
    <w:basedOn w:val="ListBullet2"/>
    <w:qFormat/>
    <w:locked/>
    <w:rsid w:val="00CC25DA"/>
    <w:pPr>
      <w:numPr>
        <w:ilvl w:val="2"/>
      </w:numPr>
    </w:pPr>
  </w:style>
  <w:style w:type="paragraph" w:customStyle="1" w:styleId="CVHeading1">
    <w:name w:val="CV Heading 1"/>
    <w:basedOn w:val="CVText"/>
    <w:next w:val="CVText"/>
    <w:rsid w:val="00C70AB2"/>
    <w:pPr>
      <w:keepNext/>
      <w:keepLines/>
      <w:spacing w:before="120"/>
    </w:pPr>
    <w:rPr>
      <w:b/>
      <w:i/>
      <w:color w:val="A32020" w:themeColor="text2"/>
    </w:rPr>
  </w:style>
  <w:style w:type="paragraph" w:customStyle="1" w:styleId="CVPhoto">
    <w:name w:val="CV Photo"/>
    <w:basedOn w:val="CVHeading2"/>
    <w:rsid w:val="00C70AB2"/>
    <w:rPr>
      <w:sz w:val="21"/>
    </w:rPr>
  </w:style>
  <w:style w:type="paragraph" w:customStyle="1" w:styleId="CVText">
    <w:name w:val="CV Text"/>
    <w:basedOn w:val="PwCNormal"/>
    <w:rsid w:val="00C72147"/>
    <w:pPr>
      <w:numPr>
        <w:numId w:val="0"/>
      </w:numPr>
      <w:spacing w:before="80" w:after="80"/>
    </w:pPr>
  </w:style>
  <w:style w:type="paragraph" w:customStyle="1" w:styleId="CVNamelarge">
    <w:name w:val="CV Name large"/>
    <w:basedOn w:val="CVText"/>
    <w:next w:val="CVRoleTitle"/>
    <w:rsid w:val="00C70AB2"/>
    <w:pPr>
      <w:spacing w:before="0"/>
    </w:pPr>
    <w:rPr>
      <w:b/>
      <w:i/>
      <w:color w:val="A32020" w:themeColor="text2"/>
      <w:sz w:val="36"/>
      <w:szCs w:val="24"/>
    </w:rPr>
  </w:style>
  <w:style w:type="paragraph" w:customStyle="1" w:styleId="CVBullet2">
    <w:name w:val="CV Bullet 2"/>
    <w:basedOn w:val="CVBullet1"/>
    <w:rsid w:val="008D4477"/>
    <w:pPr>
      <w:numPr>
        <w:ilvl w:val="1"/>
      </w:numPr>
    </w:pPr>
  </w:style>
  <w:style w:type="paragraph" w:styleId="Title">
    <w:name w:val="Title"/>
    <w:basedOn w:val="Normal"/>
    <w:semiHidden/>
    <w:qFormat/>
    <w:rsid w:val="008D4477"/>
    <w:pPr>
      <w:spacing w:before="240" w:after="60"/>
      <w:jc w:val="center"/>
      <w:outlineLvl w:val="0"/>
    </w:pPr>
    <w:rPr>
      <w:b/>
      <w:bCs/>
      <w:color w:val="A32020" w:themeColor="text2"/>
      <w:kern w:val="28"/>
      <w:sz w:val="32"/>
      <w:szCs w:val="32"/>
    </w:rPr>
  </w:style>
  <w:style w:type="paragraph" w:styleId="BalloonText">
    <w:name w:val="Balloon Text"/>
    <w:basedOn w:val="Normal"/>
    <w:semiHidden/>
    <w:locked/>
    <w:rsid w:val="008D4477"/>
    <w:rPr>
      <w:rFonts w:ascii="Tahoma" w:hAnsi="Tahoma"/>
      <w:sz w:val="16"/>
      <w:szCs w:val="16"/>
    </w:rPr>
  </w:style>
  <w:style w:type="numbering" w:customStyle="1" w:styleId="Style1">
    <w:name w:val="Style1"/>
    <w:uiPriority w:val="99"/>
    <w:rsid w:val="00D424C7"/>
    <w:pPr>
      <w:numPr>
        <w:numId w:val="24"/>
      </w:numPr>
    </w:pPr>
  </w:style>
  <w:style w:type="numbering" w:customStyle="1" w:styleId="IndentList">
    <w:name w:val="IndentList"/>
    <w:basedOn w:val="NoList"/>
    <w:rsid w:val="008D4477"/>
  </w:style>
  <w:style w:type="paragraph" w:customStyle="1" w:styleId="VersionControl">
    <w:name w:val="Version Control"/>
    <w:basedOn w:val="TOCtitle"/>
    <w:unhideWhenUsed/>
    <w:rsid w:val="007D1C0E"/>
    <w:pPr>
      <w:pageBreakBefore w:val="0"/>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3779E0"/>
    <w:pPr>
      <w:framePr w:wrap="around"/>
    </w:pPr>
  </w:style>
  <w:style w:type="paragraph" w:customStyle="1" w:styleId="VersionTableText">
    <w:name w:val="Version Table Text"/>
    <w:basedOn w:val="VersionControl"/>
    <w:unhideWhenUsed/>
    <w:rsid w:val="003779E0"/>
    <w:pPr>
      <w:framePr w:wrap="around"/>
      <w:spacing w:before="80" w:after="80" w:line="240" w:lineRule="auto"/>
      <w:outlineLvl w:val="9"/>
    </w:pPr>
    <w:rPr>
      <w:rFonts w:ascii="Georgia" w:hAnsi="Georgia"/>
      <w:sz w:val="21"/>
      <w:szCs w:val="20"/>
    </w:rPr>
  </w:style>
  <w:style w:type="table" w:customStyle="1" w:styleId="Tables-APBase2">
    <w:name w:val="Tables - AP Base 2"/>
    <w:basedOn w:val="Tables-APBase"/>
    <w:uiPriority w:val="99"/>
    <w:qFormat/>
    <w:rsid w:val="003779E0"/>
    <w:tblPr>
      <w:tblStyleRowBandSize w:val="1"/>
      <w:tblStyleColBandSize w:val="1"/>
      <w:tblInd w:w="0" w:type="dxa"/>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CellMar>
        <w:top w:w="0" w:type="dxa"/>
        <w:left w:w="108" w:type="dxa"/>
        <w:bottom w:w="0" w:type="dxa"/>
        <w:right w:w="108" w:type="dxa"/>
      </w:tblCellMar>
    </w:tblPr>
    <w:tcPr>
      <w:shd w:val="clear" w:color="auto" w:fill="auto"/>
      <w:tcMar>
        <w:top w:w="0" w:type="dxa"/>
        <w:left w:w="108" w:type="dxa"/>
        <w:bottom w:w="0" w:type="dxa"/>
        <w:right w:w="108" w:type="dxa"/>
      </w:tcMar>
    </w:tcPr>
    <w:tblStylePr w:type="firstRow">
      <w:pPr>
        <w:jc w:val="center"/>
      </w:pPr>
      <w:rPr>
        <w:rFonts w:asciiTheme="minorHAnsi" w:hAnsiTheme="minorHAnsi"/>
        <w:b/>
        <w:color w:val="FFFFFF" w:themeColor="background2"/>
      </w:rPr>
      <w:tblPr/>
      <w:trPr>
        <w:tblHeader/>
      </w:trPr>
      <w:tcPr>
        <w:tcBorders>
          <w:top w:val="single" w:sz="4" w:space="0" w:color="A32020" w:themeColor="text2"/>
          <w:bottom w:val="single" w:sz="4" w:space="0" w:color="A32020" w:themeColor="text2"/>
        </w:tcBorders>
        <w:shd w:val="clear" w:color="auto" w:fill="A32020" w:themeFill="text2"/>
        <w:vAlign w:val="bottom"/>
      </w:tcPr>
    </w:tblStylePr>
    <w:tblStylePr w:type="lastRow">
      <w:rPr>
        <w:color w:val="FFFFFF" w:themeColor="background1"/>
      </w:rPr>
      <w:tblPr/>
      <w:tcPr>
        <w:tcBorders>
          <w:top w:val="single" w:sz="4" w:space="0" w:color="A32020" w:themeColor="text2"/>
        </w:tcBorders>
        <w:shd w:val="clear" w:color="auto" w:fill="A32020" w:themeFill="text2"/>
      </w:tcPr>
    </w:tblStylePr>
    <w:tblStylePr w:type="firstCol">
      <w:tblPr/>
      <w:tcPr>
        <w:shd w:val="clear" w:color="auto" w:fill="FFFFFF" w:themeFill="background2"/>
      </w:tcPr>
    </w:tblStylePr>
    <w:tblStylePr w:type="lastCol">
      <w:tblPr/>
      <w:tcPr>
        <w:shd w:val="clear" w:color="auto" w:fill="FFFFFF" w:themeFill="background2"/>
      </w:tcPr>
    </w:tblStylePr>
    <w:tblStylePr w:type="band2Vert">
      <w:tblPr/>
      <w:tcPr>
        <w:shd w:val="clear" w:color="auto" w:fill="F4CACA" w:themeFill="text2" w:themeFillTint="33"/>
      </w:tcPr>
    </w:tblStylePr>
    <w:tblStylePr w:type="band2Horz">
      <w:tblPr/>
      <w:tcPr>
        <w:shd w:val="clear" w:color="auto" w:fill="F4CACA" w:themeFill="text2" w:themeFillTint="33"/>
      </w:tcPr>
    </w:tblStylePr>
    <w:tblStylePr w:type="nwCell">
      <w:pPr>
        <w:jc w:val="left"/>
      </w:pPr>
      <w:tblPr/>
      <w:tcPr>
        <w:shd w:val="clear" w:color="auto" w:fill="FFFFFF" w:themeFill="background1"/>
        <w:vAlign w:val="bottom"/>
      </w:tcPr>
    </w:tblStylePr>
  </w:style>
  <w:style w:type="character" w:customStyle="1" w:styleId="HeaderChar">
    <w:name w:val="Header Char"/>
    <w:basedOn w:val="DefaultParagraphFont"/>
    <w:link w:val="Header"/>
    <w:locked/>
    <w:rsid w:val="00B376A6"/>
    <w:rPr>
      <w:rFonts w:ascii="Arial" w:hAnsi="Arial" w:cs="Arial"/>
      <w:snapToGrid w:val="0"/>
      <w:color w:val="000000" w:themeColor="text1"/>
      <w:sz w:val="19"/>
      <w:szCs w:val="18"/>
      <w:lang w:eastAsia="en-US"/>
    </w:rPr>
  </w:style>
  <w:style w:type="character" w:customStyle="1" w:styleId="FooterChar">
    <w:name w:val="Footer Char"/>
    <w:basedOn w:val="DefaultParagraphFont"/>
    <w:link w:val="Footer"/>
    <w:locked/>
    <w:rsid w:val="00B376A6"/>
    <w:rPr>
      <w:rFonts w:ascii="Arial" w:hAnsi="Arial" w:cs="Arial"/>
      <w:snapToGrid w:val="0"/>
      <w:color w:val="000000" w:themeColor="text1"/>
      <w:sz w:val="19"/>
      <w:szCs w:val="18"/>
      <w:lang w:eastAsia="en-US"/>
    </w:rPr>
  </w:style>
  <w:style w:type="paragraph" w:customStyle="1" w:styleId="Header-FirstPage">
    <w:name w:val="Header - First Page"/>
    <w:basedOn w:val="Header"/>
    <w:rsid w:val="008D4477"/>
  </w:style>
  <w:style w:type="paragraph" w:customStyle="1" w:styleId="Appendicestitle">
    <w:name w:val="Appendices title"/>
    <w:basedOn w:val="TOCtitle"/>
    <w:qFormat/>
    <w:rsid w:val="00D424C7"/>
    <w:pPr>
      <w:pageBreakBefore w:val="0"/>
      <w:numPr>
        <w:ilvl w:val="1"/>
        <w:numId w:val="24"/>
      </w:numPr>
    </w:pPr>
  </w:style>
  <w:style w:type="numbering" w:customStyle="1" w:styleId="CVBullets">
    <w:name w:val="CV Bullets"/>
    <w:uiPriority w:val="99"/>
    <w:rsid w:val="0021094E"/>
    <w:pPr>
      <w:numPr>
        <w:numId w:val="8"/>
      </w:numPr>
    </w:pPr>
  </w:style>
  <w:style w:type="paragraph" w:styleId="DocumentMap">
    <w:name w:val="Document Map"/>
    <w:basedOn w:val="Normal"/>
    <w:link w:val="DocumentMapChar"/>
    <w:semiHidden/>
    <w:rsid w:val="00235653"/>
    <w:rPr>
      <w:rFonts w:ascii="Tahoma" w:hAnsi="Tahoma" w:cs="Tahoma"/>
      <w:sz w:val="16"/>
      <w:szCs w:val="16"/>
    </w:rPr>
  </w:style>
  <w:style w:type="character" w:customStyle="1" w:styleId="DocumentMapChar">
    <w:name w:val="Document Map Char"/>
    <w:basedOn w:val="DefaultParagraphFont"/>
    <w:link w:val="DocumentMap"/>
    <w:semiHidden/>
    <w:rsid w:val="00235653"/>
    <w:rPr>
      <w:rFonts w:ascii="Tahoma" w:hAnsi="Tahoma" w:cs="Tahoma"/>
      <w:snapToGrid w:val="0"/>
      <w:sz w:val="16"/>
      <w:szCs w:val="16"/>
      <w:lang w:eastAsia="en-US"/>
    </w:rPr>
  </w:style>
  <w:style w:type="table" w:styleId="TableGrid1">
    <w:name w:val="Table Grid 1"/>
    <w:basedOn w:val="TableNormal"/>
    <w:semiHidden/>
    <w:locked/>
    <w:rsid w:val="00CC1D52"/>
    <w:pPr>
      <w:kinsoku w:val="0"/>
      <w:overflowPunct w:val="0"/>
      <w:autoSpaceDE w:val="0"/>
      <w:autoSpaceDN w:val="0"/>
      <w:adjustRightInd w:val="0"/>
      <w:snapToGri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CC1D52"/>
    <w:pPr>
      <w:kinsoku w:val="0"/>
      <w:overflowPunct w:val="0"/>
      <w:autoSpaceDE w:val="0"/>
      <w:autoSpaceDN w:val="0"/>
      <w:adjustRightInd w:val="0"/>
      <w:snapToGrid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CC1D52"/>
    <w:pPr>
      <w:kinsoku w:val="0"/>
      <w:overflowPunct w:val="0"/>
      <w:autoSpaceDE w:val="0"/>
      <w:autoSpaceDN w:val="0"/>
      <w:adjustRightInd w:val="0"/>
      <w:snapToGrid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CC1D52"/>
    <w:pPr>
      <w:kinsoku w:val="0"/>
      <w:overflowPunct w:val="0"/>
      <w:autoSpaceDE w:val="0"/>
      <w:autoSpaceDN w:val="0"/>
      <w:adjustRightInd w:val="0"/>
      <w:snapToGrid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CC1D52"/>
    <w:pPr>
      <w:kinsoku w:val="0"/>
      <w:overflowPunct w:val="0"/>
      <w:autoSpaceDE w:val="0"/>
      <w:autoSpaceDN w:val="0"/>
      <w:adjustRightInd w:val="0"/>
      <w:snapToGrid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CC1D52"/>
    <w:pPr>
      <w:kinsoku w:val="0"/>
      <w:overflowPunct w:val="0"/>
      <w:autoSpaceDE w:val="0"/>
      <w:autoSpaceDN w:val="0"/>
      <w:adjustRightInd w:val="0"/>
      <w:snapToGrid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locked/>
    <w:rsid w:val="00020F7F"/>
    <w:pPr>
      <w:kinsoku w:val="0"/>
      <w:overflowPunct w:val="0"/>
      <w:autoSpaceDE w:val="0"/>
      <w:autoSpaceDN w:val="0"/>
      <w:adjustRightInd w:val="0"/>
      <w:snapToGrid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CC1D52"/>
    <w:pPr>
      <w:kinsoku w:val="0"/>
      <w:overflowPunct w:val="0"/>
      <w:autoSpaceDE w:val="0"/>
      <w:autoSpaceDN w:val="0"/>
      <w:adjustRightInd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croText">
    <w:name w:val="macro"/>
    <w:link w:val="MacroTextChar"/>
    <w:unhideWhenUsed/>
    <w:locked/>
    <w:rsid w:val="001E6A5E"/>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1E6A5E"/>
    <w:rPr>
      <w:rFonts w:ascii="Consolas" w:hAnsi="Consolas" w:cs="Arial"/>
      <w:snapToGrid w:val="0"/>
      <w:sz w:val="20"/>
      <w:szCs w:val="20"/>
      <w:lang w:eastAsia="en-US"/>
    </w:rPr>
  </w:style>
  <w:style w:type="paragraph" w:styleId="Bibliography">
    <w:name w:val="Bibliography"/>
    <w:basedOn w:val="Normal"/>
    <w:next w:val="Normal"/>
    <w:uiPriority w:val="37"/>
    <w:semiHidden/>
    <w:locked/>
    <w:rsid w:val="007D1C0E"/>
  </w:style>
  <w:style w:type="paragraph" w:styleId="BlockText">
    <w:name w:val="Block Text"/>
    <w:basedOn w:val="Normal"/>
    <w:qFormat/>
    <w:rsid w:val="0071186F"/>
    <w:pPr>
      <w:spacing w:after="240"/>
    </w:pPr>
    <w:rPr>
      <w:rFonts w:eastAsiaTheme="minorEastAsia" w:cstheme="minorBidi"/>
      <w:b/>
      <w:i/>
      <w:iCs/>
      <w:color w:val="A32020" w:themeColor="accent1"/>
      <w:sz w:val="48"/>
    </w:rPr>
  </w:style>
  <w:style w:type="paragraph" w:styleId="BodyText">
    <w:name w:val="Body Text"/>
    <w:basedOn w:val="Normal"/>
    <w:link w:val="BodyTextChar"/>
    <w:qFormat/>
    <w:locked/>
    <w:rsid w:val="007D1C0E"/>
    <w:pPr>
      <w:spacing w:after="120"/>
    </w:pPr>
  </w:style>
  <w:style w:type="character" w:customStyle="1" w:styleId="BodyTextChar">
    <w:name w:val="Body Text Char"/>
    <w:basedOn w:val="DefaultParagraphFont"/>
    <w:link w:val="BodyText"/>
    <w:rsid w:val="007D1C0E"/>
    <w:rPr>
      <w:rFonts w:ascii="Georgia" w:hAnsi="Georgia" w:cs="Arial"/>
      <w:snapToGrid w:val="0"/>
      <w:sz w:val="20"/>
      <w:lang w:eastAsia="en-US"/>
    </w:rPr>
  </w:style>
  <w:style w:type="paragraph" w:styleId="BodyText2">
    <w:name w:val="Body Text 2"/>
    <w:basedOn w:val="Normal"/>
    <w:link w:val="BodyText2Char"/>
    <w:semiHidden/>
    <w:locked/>
    <w:rsid w:val="007D1C0E"/>
    <w:pPr>
      <w:spacing w:after="120" w:line="480" w:lineRule="auto"/>
    </w:pPr>
  </w:style>
  <w:style w:type="character" w:customStyle="1" w:styleId="BodyText2Char">
    <w:name w:val="Body Text 2 Char"/>
    <w:basedOn w:val="DefaultParagraphFont"/>
    <w:link w:val="BodyText2"/>
    <w:semiHidden/>
    <w:rsid w:val="007D1C0E"/>
    <w:rPr>
      <w:rFonts w:ascii="Georgia" w:hAnsi="Georgia" w:cs="Arial"/>
      <w:snapToGrid w:val="0"/>
      <w:sz w:val="20"/>
      <w:lang w:eastAsia="en-US"/>
    </w:rPr>
  </w:style>
  <w:style w:type="paragraph" w:styleId="BodyText3">
    <w:name w:val="Body Text 3"/>
    <w:basedOn w:val="Normal"/>
    <w:link w:val="BodyText3Char"/>
    <w:semiHidden/>
    <w:locked/>
    <w:rsid w:val="007D1C0E"/>
    <w:pPr>
      <w:spacing w:after="120"/>
    </w:pPr>
    <w:rPr>
      <w:sz w:val="16"/>
      <w:szCs w:val="16"/>
    </w:rPr>
  </w:style>
  <w:style w:type="character" w:customStyle="1" w:styleId="BodyText3Char">
    <w:name w:val="Body Text 3 Char"/>
    <w:basedOn w:val="DefaultParagraphFont"/>
    <w:link w:val="BodyText3"/>
    <w:semiHidden/>
    <w:rsid w:val="007D1C0E"/>
    <w:rPr>
      <w:rFonts w:ascii="Georgia" w:hAnsi="Georgia" w:cs="Arial"/>
      <w:snapToGrid w:val="0"/>
      <w:sz w:val="16"/>
      <w:szCs w:val="16"/>
      <w:lang w:eastAsia="en-US"/>
    </w:rPr>
  </w:style>
  <w:style w:type="paragraph" w:styleId="BodyTextFirstIndent">
    <w:name w:val="Body Text First Indent"/>
    <w:basedOn w:val="BodyText"/>
    <w:link w:val="BodyTextFirstIndentChar"/>
    <w:semiHidden/>
    <w:locked/>
    <w:rsid w:val="007D1C0E"/>
    <w:pPr>
      <w:spacing w:after="0"/>
      <w:ind w:firstLine="360"/>
    </w:pPr>
  </w:style>
  <w:style w:type="character" w:customStyle="1" w:styleId="BodyTextFirstIndentChar">
    <w:name w:val="Body Text First Indent Char"/>
    <w:basedOn w:val="BodyTextChar"/>
    <w:link w:val="BodyTextFirstIndent"/>
    <w:semiHidden/>
    <w:rsid w:val="007D1C0E"/>
    <w:rPr>
      <w:rFonts w:ascii="Georgia" w:hAnsi="Georgia" w:cs="Arial"/>
      <w:snapToGrid w:val="0"/>
      <w:sz w:val="20"/>
      <w:lang w:eastAsia="en-US"/>
    </w:rPr>
  </w:style>
  <w:style w:type="paragraph" w:styleId="BodyTextIndent">
    <w:name w:val="Body Text Indent"/>
    <w:basedOn w:val="Normal"/>
    <w:link w:val="BodyTextIndentChar"/>
    <w:semiHidden/>
    <w:locked/>
    <w:rsid w:val="007D1C0E"/>
    <w:pPr>
      <w:spacing w:after="120"/>
      <w:ind w:left="283"/>
    </w:pPr>
  </w:style>
  <w:style w:type="character" w:customStyle="1" w:styleId="BodyTextIndentChar">
    <w:name w:val="Body Text Indent Char"/>
    <w:basedOn w:val="DefaultParagraphFont"/>
    <w:link w:val="BodyTextIndent"/>
    <w:semiHidden/>
    <w:rsid w:val="007D1C0E"/>
    <w:rPr>
      <w:rFonts w:ascii="Georgia" w:hAnsi="Georgia" w:cs="Arial"/>
      <w:snapToGrid w:val="0"/>
      <w:sz w:val="20"/>
      <w:lang w:eastAsia="en-US"/>
    </w:rPr>
  </w:style>
  <w:style w:type="paragraph" w:styleId="BodyTextFirstIndent2">
    <w:name w:val="Body Text First Indent 2"/>
    <w:basedOn w:val="BodyTextIndent"/>
    <w:link w:val="BodyTextFirstIndent2Char"/>
    <w:semiHidden/>
    <w:locked/>
    <w:rsid w:val="007D1C0E"/>
    <w:pPr>
      <w:spacing w:after="0"/>
      <w:ind w:left="360" w:firstLine="360"/>
    </w:pPr>
  </w:style>
  <w:style w:type="character" w:customStyle="1" w:styleId="BodyTextFirstIndent2Char">
    <w:name w:val="Body Text First Indent 2 Char"/>
    <w:basedOn w:val="BodyTextIndentChar"/>
    <w:link w:val="BodyTextFirstIndent2"/>
    <w:semiHidden/>
    <w:rsid w:val="007D1C0E"/>
    <w:rPr>
      <w:rFonts w:ascii="Georgia" w:hAnsi="Georgia" w:cs="Arial"/>
      <w:snapToGrid w:val="0"/>
      <w:sz w:val="20"/>
      <w:lang w:eastAsia="en-US"/>
    </w:rPr>
  </w:style>
  <w:style w:type="paragraph" w:styleId="BodyTextIndent2">
    <w:name w:val="Body Text Indent 2"/>
    <w:basedOn w:val="Normal"/>
    <w:link w:val="BodyTextIndent2Char"/>
    <w:semiHidden/>
    <w:locked/>
    <w:rsid w:val="007D1C0E"/>
    <w:pPr>
      <w:spacing w:after="120" w:line="480" w:lineRule="auto"/>
      <w:ind w:left="283"/>
    </w:pPr>
  </w:style>
  <w:style w:type="character" w:customStyle="1" w:styleId="BodyTextIndent2Char">
    <w:name w:val="Body Text Indent 2 Char"/>
    <w:basedOn w:val="DefaultParagraphFont"/>
    <w:link w:val="BodyTextIndent2"/>
    <w:semiHidden/>
    <w:rsid w:val="007D1C0E"/>
    <w:rPr>
      <w:rFonts w:ascii="Georgia" w:hAnsi="Georgia" w:cs="Arial"/>
      <w:snapToGrid w:val="0"/>
      <w:sz w:val="20"/>
      <w:lang w:eastAsia="en-US"/>
    </w:rPr>
  </w:style>
  <w:style w:type="paragraph" w:styleId="BodyTextIndent3">
    <w:name w:val="Body Text Indent 3"/>
    <w:basedOn w:val="Normal"/>
    <w:link w:val="BodyTextIndent3Char"/>
    <w:semiHidden/>
    <w:locked/>
    <w:rsid w:val="007D1C0E"/>
    <w:pPr>
      <w:spacing w:after="120"/>
      <w:ind w:left="283"/>
    </w:pPr>
    <w:rPr>
      <w:sz w:val="16"/>
      <w:szCs w:val="16"/>
    </w:rPr>
  </w:style>
  <w:style w:type="character" w:customStyle="1" w:styleId="BodyTextIndent3Char">
    <w:name w:val="Body Text Indent 3 Char"/>
    <w:basedOn w:val="DefaultParagraphFont"/>
    <w:link w:val="BodyTextIndent3"/>
    <w:semiHidden/>
    <w:rsid w:val="007D1C0E"/>
    <w:rPr>
      <w:rFonts w:ascii="Georgia" w:hAnsi="Georgia" w:cs="Arial"/>
      <w:snapToGrid w:val="0"/>
      <w:sz w:val="16"/>
      <w:szCs w:val="16"/>
      <w:lang w:eastAsia="en-US"/>
    </w:rPr>
  </w:style>
  <w:style w:type="character" w:styleId="BookTitle">
    <w:name w:val="Book Title"/>
    <w:basedOn w:val="DefaultParagraphFont"/>
    <w:uiPriority w:val="33"/>
    <w:semiHidden/>
    <w:qFormat/>
    <w:locked/>
    <w:rsid w:val="007D1C0E"/>
    <w:rPr>
      <w:rFonts w:ascii="Georgia" w:hAnsi="Georgia"/>
      <w:b/>
      <w:bCs/>
      <w:smallCaps/>
      <w:spacing w:val="5"/>
    </w:rPr>
  </w:style>
  <w:style w:type="paragraph" w:styleId="Closing">
    <w:name w:val="Closing"/>
    <w:basedOn w:val="Normal"/>
    <w:link w:val="ClosingChar"/>
    <w:semiHidden/>
    <w:unhideWhenUsed/>
    <w:rsid w:val="007D1C0E"/>
    <w:pPr>
      <w:ind w:left="4252"/>
    </w:pPr>
  </w:style>
  <w:style w:type="character" w:customStyle="1" w:styleId="ClosingChar">
    <w:name w:val="Closing Char"/>
    <w:basedOn w:val="DefaultParagraphFont"/>
    <w:link w:val="Closing"/>
    <w:semiHidden/>
    <w:rsid w:val="007D1C0E"/>
    <w:rPr>
      <w:rFonts w:ascii="Georgia" w:hAnsi="Georgia" w:cs="Arial"/>
      <w:snapToGrid w:val="0"/>
      <w:sz w:val="20"/>
      <w:lang w:eastAsia="en-US"/>
    </w:rPr>
  </w:style>
  <w:style w:type="character" w:styleId="CommentReference">
    <w:name w:val="annotation reference"/>
    <w:basedOn w:val="DefaultParagraphFont"/>
    <w:semiHidden/>
    <w:rsid w:val="007D1C0E"/>
    <w:rPr>
      <w:rFonts w:ascii="Georgia" w:hAnsi="Georgia"/>
      <w:sz w:val="16"/>
      <w:szCs w:val="16"/>
    </w:rPr>
  </w:style>
  <w:style w:type="paragraph" w:styleId="CommentText">
    <w:name w:val="annotation text"/>
    <w:basedOn w:val="Normal"/>
    <w:link w:val="CommentTextChar"/>
    <w:semiHidden/>
    <w:rsid w:val="007D1C0E"/>
  </w:style>
  <w:style w:type="character" w:customStyle="1" w:styleId="CommentTextChar">
    <w:name w:val="Comment Text Char"/>
    <w:basedOn w:val="DefaultParagraphFont"/>
    <w:link w:val="CommentText"/>
    <w:semiHidden/>
    <w:rsid w:val="007D1C0E"/>
    <w:rPr>
      <w:rFonts w:ascii="Georgia" w:hAnsi="Georgia" w:cs="Arial"/>
      <w:snapToGrid w:val="0"/>
      <w:sz w:val="20"/>
      <w:szCs w:val="20"/>
      <w:lang w:eastAsia="en-US"/>
    </w:rPr>
  </w:style>
  <w:style w:type="paragraph" w:styleId="CommentSubject">
    <w:name w:val="annotation subject"/>
    <w:basedOn w:val="CommentText"/>
    <w:next w:val="CommentText"/>
    <w:link w:val="CommentSubjectChar"/>
    <w:semiHidden/>
    <w:rsid w:val="007D1C0E"/>
    <w:rPr>
      <w:b/>
      <w:bCs/>
    </w:rPr>
  </w:style>
  <w:style w:type="character" w:customStyle="1" w:styleId="CommentSubjectChar">
    <w:name w:val="Comment Subject Char"/>
    <w:basedOn w:val="CommentTextChar"/>
    <w:link w:val="CommentSubject"/>
    <w:semiHidden/>
    <w:rsid w:val="007D1C0E"/>
    <w:rPr>
      <w:rFonts w:ascii="Georgia" w:hAnsi="Georgia" w:cs="Arial"/>
      <w:b/>
      <w:bCs/>
      <w:snapToGrid w:val="0"/>
      <w:sz w:val="20"/>
      <w:szCs w:val="20"/>
      <w:lang w:eastAsia="en-US"/>
    </w:rPr>
  </w:style>
  <w:style w:type="paragraph" w:styleId="EnvelopeAddress">
    <w:name w:val="envelope address"/>
    <w:basedOn w:val="Normal"/>
    <w:semiHidden/>
    <w:unhideWhenUsed/>
    <w:locked/>
    <w:rsid w:val="007D1C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locked/>
    <w:rsid w:val="007D1C0E"/>
    <w:rPr>
      <w:rFonts w:asciiTheme="majorHAnsi" w:eastAsiaTheme="majorEastAsia" w:hAnsiTheme="majorHAnsi" w:cstheme="majorBidi"/>
    </w:rPr>
  </w:style>
  <w:style w:type="character" w:styleId="FollowedHyperlink">
    <w:name w:val="FollowedHyperlink"/>
    <w:basedOn w:val="DefaultParagraphFont"/>
    <w:semiHidden/>
    <w:rsid w:val="007D1C0E"/>
    <w:rPr>
      <w:color w:val="0000FF" w:themeColor="followedHyperlink"/>
      <w:u w:val="single"/>
    </w:rPr>
  </w:style>
  <w:style w:type="character" w:styleId="Hyperlink">
    <w:name w:val="Hyperlink"/>
    <w:basedOn w:val="DefaultParagraphFont"/>
    <w:uiPriority w:val="99"/>
    <w:rsid w:val="00185720"/>
    <w:rPr>
      <w:color w:val="A32020" w:themeColor="text2"/>
      <w:u w:val="single"/>
    </w:rPr>
  </w:style>
  <w:style w:type="paragraph" w:styleId="IndexHeading">
    <w:name w:val="index heading"/>
    <w:basedOn w:val="Normal"/>
    <w:next w:val="Normal"/>
    <w:semiHidden/>
    <w:rsid w:val="007D1C0E"/>
    <w:rPr>
      <w:rFonts w:asciiTheme="majorHAnsi" w:eastAsiaTheme="majorEastAsia" w:hAnsiTheme="majorHAnsi" w:cstheme="majorBidi"/>
      <w:b/>
      <w:bCs/>
    </w:rPr>
  </w:style>
  <w:style w:type="paragraph" w:customStyle="1" w:styleId="BlockTextClient">
    <w:name w:val="Block Text Client"/>
    <w:basedOn w:val="BlockText"/>
    <w:rsid w:val="004138E6"/>
    <w:pPr>
      <w:spacing w:after="0"/>
    </w:pPr>
    <w:rPr>
      <w:b w:val="0"/>
      <w:sz w:val="20"/>
    </w:rPr>
  </w:style>
  <w:style w:type="paragraph" w:customStyle="1" w:styleId="BlockTextPosition">
    <w:name w:val="Block Text Position"/>
    <w:basedOn w:val="BlockText"/>
    <w:rsid w:val="004138E6"/>
    <w:rPr>
      <w:b w:val="0"/>
      <w:i w:val="0"/>
      <w:sz w:val="20"/>
    </w:rPr>
  </w:style>
  <w:style w:type="paragraph" w:customStyle="1" w:styleId="BlockText2Client">
    <w:name w:val="Block Text 2 Client"/>
    <w:basedOn w:val="BlockText2"/>
    <w:rsid w:val="004138E6"/>
    <w:pPr>
      <w:spacing w:after="0"/>
    </w:pPr>
    <w:rPr>
      <w:sz w:val="20"/>
      <w:szCs w:val="20"/>
    </w:rPr>
  </w:style>
  <w:style w:type="paragraph" w:customStyle="1" w:styleId="BlockText2Position">
    <w:name w:val="Block Text 2 Position"/>
    <w:basedOn w:val="BlockText2"/>
    <w:rsid w:val="004138E6"/>
    <w:rPr>
      <w:i w:val="0"/>
      <w:sz w:val="20"/>
      <w:szCs w:val="20"/>
    </w:rPr>
  </w:style>
  <w:style w:type="character" w:styleId="LineNumber">
    <w:name w:val="line number"/>
    <w:basedOn w:val="DefaultParagraphFont"/>
    <w:semiHidden/>
    <w:rsid w:val="007D1C0E"/>
  </w:style>
  <w:style w:type="paragraph" w:styleId="ListBullet">
    <w:name w:val="List Bullet"/>
    <w:basedOn w:val="Normal"/>
    <w:qFormat/>
    <w:locked/>
    <w:rsid w:val="00CC25DA"/>
    <w:pPr>
      <w:numPr>
        <w:numId w:val="5"/>
      </w:numPr>
      <w:spacing w:after="240"/>
    </w:pPr>
  </w:style>
  <w:style w:type="paragraph" w:styleId="ListBullet5">
    <w:name w:val="List Bullet 5"/>
    <w:basedOn w:val="ListBullet4"/>
    <w:unhideWhenUsed/>
    <w:locked/>
    <w:rsid w:val="00CC25DA"/>
    <w:pPr>
      <w:numPr>
        <w:ilvl w:val="4"/>
      </w:numPr>
      <w:contextualSpacing/>
    </w:pPr>
  </w:style>
  <w:style w:type="paragraph" w:styleId="ListNumber">
    <w:name w:val="List Number"/>
    <w:basedOn w:val="Normal"/>
    <w:uiPriority w:val="13"/>
    <w:unhideWhenUsed/>
    <w:qFormat/>
    <w:locked/>
    <w:rsid w:val="009E54C5"/>
    <w:pPr>
      <w:numPr>
        <w:numId w:val="19"/>
      </w:numPr>
      <w:contextualSpacing/>
    </w:pPr>
  </w:style>
  <w:style w:type="paragraph" w:styleId="ListNumber2">
    <w:name w:val="List Number 2"/>
    <w:basedOn w:val="ListNumber"/>
    <w:uiPriority w:val="13"/>
    <w:unhideWhenUsed/>
    <w:qFormat/>
    <w:locked/>
    <w:rsid w:val="009E54C5"/>
    <w:pPr>
      <w:numPr>
        <w:ilvl w:val="1"/>
      </w:numPr>
    </w:pPr>
  </w:style>
  <w:style w:type="paragraph" w:styleId="ListNumber3">
    <w:name w:val="List Number 3"/>
    <w:basedOn w:val="ListNumber2"/>
    <w:uiPriority w:val="13"/>
    <w:unhideWhenUsed/>
    <w:qFormat/>
    <w:locked/>
    <w:rsid w:val="009E54C5"/>
    <w:pPr>
      <w:numPr>
        <w:ilvl w:val="2"/>
      </w:numPr>
    </w:pPr>
  </w:style>
  <w:style w:type="paragraph" w:styleId="ListNumber4">
    <w:name w:val="List Number 4"/>
    <w:basedOn w:val="ListNumber3"/>
    <w:uiPriority w:val="13"/>
    <w:unhideWhenUsed/>
    <w:locked/>
    <w:rsid w:val="009E54C5"/>
    <w:pPr>
      <w:numPr>
        <w:ilvl w:val="3"/>
      </w:numPr>
    </w:pPr>
  </w:style>
  <w:style w:type="paragraph" w:styleId="ListNumber5">
    <w:name w:val="List Number 5"/>
    <w:basedOn w:val="ListNumber4"/>
    <w:uiPriority w:val="13"/>
    <w:unhideWhenUsed/>
    <w:locked/>
    <w:rsid w:val="009E54C5"/>
    <w:pPr>
      <w:numPr>
        <w:ilvl w:val="4"/>
      </w:numPr>
    </w:pPr>
  </w:style>
  <w:style w:type="paragraph" w:styleId="ListParagraph">
    <w:name w:val="List Paragraph"/>
    <w:basedOn w:val="Normal"/>
    <w:uiPriority w:val="34"/>
    <w:qFormat/>
    <w:locked/>
    <w:rsid w:val="007D1C0E"/>
    <w:pPr>
      <w:ind w:left="720"/>
      <w:contextualSpacing/>
    </w:pPr>
  </w:style>
  <w:style w:type="paragraph" w:styleId="MessageHeader">
    <w:name w:val="Message Header"/>
    <w:basedOn w:val="Normal"/>
    <w:link w:val="MessageHeaderChar"/>
    <w:semiHidden/>
    <w:rsid w:val="007D1C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1C0E"/>
    <w:rPr>
      <w:rFonts w:asciiTheme="majorHAnsi" w:eastAsiaTheme="majorEastAsia" w:hAnsiTheme="majorHAnsi" w:cstheme="majorBidi"/>
      <w:snapToGrid w:val="0"/>
      <w:sz w:val="24"/>
      <w:szCs w:val="24"/>
      <w:shd w:val="pct20" w:color="auto" w:fill="auto"/>
      <w:lang w:eastAsia="en-US"/>
    </w:rPr>
  </w:style>
  <w:style w:type="paragraph" w:styleId="NoSpacing">
    <w:name w:val="No Spacing"/>
    <w:uiPriority w:val="1"/>
    <w:semiHidden/>
    <w:qFormat/>
    <w:rsid w:val="007D1C0E"/>
    <w:pPr>
      <w:kinsoku w:val="0"/>
      <w:overflowPunct w:val="0"/>
      <w:autoSpaceDE w:val="0"/>
      <w:autoSpaceDN w:val="0"/>
      <w:adjustRightInd w:val="0"/>
      <w:snapToGrid w:val="0"/>
    </w:pPr>
    <w:rPr>
      <w:rFonts w:cs="Arial"/>
      <w:snapToGrid w:val="0"/>
      <w:lang w:eastAsia="en-US"/>
    </w:rPr>
  </w:style>
  <w:style w:type="paragraph" w:styleId="NormalIndent">
    <w:name w:val="Normal Indent"/>
    <w:basedOn w:val="Normal"/>
    <w:semiHidden/>
    <w:rsid w:val="007D1C0E"/>
    <w:pPr>
      <w:ind w:left="720"/>
    </w:pPr>
  </w:style>
  <w:style w:type="paragraph" w:styleId="NoteHeading">
    <w:name w:val="Note Heading"/>
    <w:basedOn w:val="Normal"/>
    <w:next w:val="Normal"/>
    <w:link w:val="NoteHeadingChar"/>
    <w:semiHidden/>
    <w:unhideWhenUsed/>
    <w:rsid w:val="007D1C0E"/>
  </w:style>
  <w:style w:type="character" w:customStyle="1" w:styleId="NoteHeadingChar">
    <w:name w:val="Note Heading Char"/>
    <w:basedOn w:val="DefaultParagraphFont"/>
    <w:link w:val="NoteHeading"/>
    <w:semiHidden/>
    <w:rsid w:val="007D1C0E"/>
    <w:rPr>
      <w:rFonts w:cs="Arial"/>
      <w:snapToGrid w:val="0"/>
      <w:lang w:eastAsia="en-US"/>
    </w:rPr>
  </w:style>
  <w:style w:type="character" w:styleId="PlaceholderText">
    <w:name w:val="Placeholder Text"/>
    <w:basedOn w:val="DefaultParagraphFont"/>
    <w:uiPriority w:val="99"/>
    <w:semiHidden/>
    <w:rsid w:val="007D1C0E"/>
    <w:rPr>
      <w:color w:val="808080"/>
    </w:rPr>
  </w:style>
  <w:style w:type="paragraph" w:styleId="PlainText">
    <w:name w:val="Plain Text"/>
    <w:basedOn w:val="Normal"/>
    <w:link w:val="PlainTextChar"/>
    <w:semiHidden/>
    <w:rsid w:val="007D1C0E"/>
    <w:rPr>
      <w:rFonts w:ascii="Consolas" w:hAnsi="Consolas"/>
    </w:rPr>
  </w:style>
  <w:style w:type="character" w:customStyle="1" w:styleId="PlainTextChar">
    <w:name w:val="Plain Text Char"/>
    <w:basedOn w:val="DefaultParagraphFont"/>
    <w:link w:val="PlainText"/>
    <w:semiHidden/>
    <w:rsid w:val="007D1C0E"/>
    <w:rPr>
      <w:rFonts w:ascii="Consolas" w:hAnsi="Consolas" w:cs="Arial"/>
      <w:snapToGrid w:val="0"/>
      <w:lang w:eastAsia="en-US"/>
    </w:rPr>
  </w:style>
  <w:style w:type="paragraph" w:styleId="Quote">
    <w:name w:val="Quote"/>
    <w:basedOn w:val="Normal"/>
    <w:next w:val="Normal"/>
    <w:link w:val="QuoteChar"/>
    <w:uiPriority w:val="29"/>
    <w:semiHidden/>
    <w:qFormat/>
    <w:rsid w:val="007D1C0E"/>
    <w:rPr>
      <w:i/>
      <w:iCs/>
      <w:color w:val="000000" w:themeColor="text1"/>
    </w:rPr>
  </w:style>
  <w:style w:type="character" w:customStyle="1" w:styleId="QuoteChar">
    <w:name w:val="Quote Char"/>
    <w:basedOn w:val="DefaultParagraphFont"/>
    <w:link w:val="Quote"/>
    <w:uiPriority w:val="29"/>
    <w:semiHidden/>
    <w:rsid w:val="007D1C0E"/>
    <w:rPr>
      <w:rFonts w:cs="Arial"/>
      <w:i/>
      <w:iCs/>
      <w:snapToGrid w:val="0"/>
      <w:color w:val="000000" w:themeColor="text1"/>
      <w:lang w:eastAsia="en-US"/>
    </w:rPr>
  </w:style>
  <w:style w:type="paragraph" w:styleId="Salutation">
    <w:name w:val="Salutation"/>
    <w:basedOn w:val="Normal"/>
    <w:next w:val="Normal"/>
    <w:link w:val="SalutationChar"/>
    <w:semiHidden/>
    <w:unhideWhenUsed/>
    <w:rsid w:val="007D1C0E"/>
  </w:style>
  <w:style w:type="character" w:customStyle="1" w:styleId="SalutationChar">
    <w:name w:val="Salutation Char"/>
    <w:basedOn w:val="DefaultParagraphFont"/>
    <w:link w:val="Salutation"/>
    <w:semiHidden/>
    <w:rsid w:val="007D1C0E"/>
    <w:rPr>
      <w:rFonts w:cs="Arial"/>
      <w:snapToGrid w:val="0"/>
      <w:lang w:eastAsia="en-US"/>
    </w:rPr>
  </w:style>
  <w:style w:type="paragraph" w:styleId="Signature">
    <w:name w:val="Signature"/>
    <w:basedOn w:val="Normal"/>
    <w:link w:val="SignatureChar"/>
    <w:semiHidden/>
    <w:rsid w:val="007D1C0E"/>
    <w:pPr>
      <w:ind w:left="4252"/>
    </w:pPr>
  </w:style>
  <w:style w:type="character" w:customStyle="1" w:styleId="SignatureChar">
    <w:name w:val="Signature Char"/>
    <w:basedOn w:val="DefaultParagraphFont"/>
    <w:link w:val="Signature"/>
    <w:semiHidden/>
    <w:rsid w:val="007D1C0E"/>
    <w:rPr>
      <w:rFonts w:cs="Arial"/>
      <w:snapToGrid w:val="0"/>
      <w:lang w:eastAsia="en-US"/>
    </w:rPr>
  </w:style>
  <w:style w:type="paragraph" w:styleId="TableofAuthorities">
    <w:name w:val="table of authorities"/>
    <w:basedOn w:val="Normal"/>
    <w:next w:val="Normal"/>
    <w:semiHidden/>
    <w:unhideWhenUsed/>
    <w:rsid w:val="007D1C0E"/>
    <w:pPr>
      <w:ind w:left="210" w:hanging="210"/>
    </w:pPr>
  </w:style>
  <w:style w:type="paragraph" w:styleId="TableofFigures">
    <w:name w:val="table of figures"/>
    <w:basedOn w:val="Normal"/>
    <w:next w:val="Normal"/>
    <w:semiHidden/>
    <w:unhideWhenUsed/>
    <w:rsid w:val="007D1C0E"/>
  </w:style>
  <w:style w:type="paragraph" w:styleId="TOAHeading">
    <w:name w:val="toa heading"/>
    <w:basedOn w:val="Normal"/>
    <w:next w:val="Normal"/>
    <w:semiHidden/>
    <w:unhideWhenUsed/>
    <w:rsid w:val="007D1C0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1C0E"/>
    <w:pPr>
      <w:keepNext/>
      <w:keepLines/>
      <w:spacing w:before="480" w:line="240" w:lineRule="auto"/>
      <w:outlineLvl w:val="9"/>
    </w:pPr>
    <w:rPr>
      <w:rFonts w:eastAsiaTheme="majorEastAsia" w:cstheme="majorBidi"/>
      <w:color w:val="7A1818" w:themeColor="accent1" w:themeShade="BF"/>
      <w:sz w:val="28"/>
      <w:szCs w:val="28"/>
    </w:rPr>
  </w:style>
  <w:style w:type="paragraph" w:customStyle="1" w:styleId="CoverPanelFrame">
    <w:name w:val="Cover Panel Frame"/>
    <w:basedOn w:val="Coverpulloutframe"/>
    <w:rsid w:val="0059630D"/>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993DBB"/>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FirstPagePanelFrame">
    <w:name w:val="First Page Panel Frame"/>
    <w:basedOn w:val="CoverPanelFrame"/>
    <w:rsid w:val="0085497F"/>
    <w:pPr>
      <w:framePr w:w="8334" w:h="227" w:hRule="exact" w:wrap="notBeside" w:y="-169"/>
      <w:pBdr>
        <w:top w:val="single" w:sz="6" w:space="1" w:color="A32020" w:themeColor="text2"/>
        <w:left w:val="single" w:sz="6" w:space="4" w:color="A32020" w:themeColor="text2"/>
      </w:pBdr>
    </w:pPr>
  </w:style>
  <w:style w:type="paragraph" w:customStyle="1" w:styleId="URLCover">
    <w:name w:val="URL Cover"/>
    <w:basedOn w:val="Normal"/>
    <w:rsid w:val="00270144"/>
    <w:rPr>
      <w:color w:val="000000" w:themeColor="text1"/>
      <w:sz w:val="19"/>
    </w:rPr>
  </w:style>
  <w:style w:type="paragraph" w:customStyle="1" w:styleId="Coverpulloutframe">
    <w:name w:val="Cover pull out frame"/>
    <w:basedOn w:val="KeySentenceInside"/>
    <w:rsid w:val="007625E6"/>
    <w:pPr>
      <w:framePr w:w="2189" w:h="227" w:wrap="notBeside" w:vAnchor="page" w:hAnchor="page" w:x="908" w:y="8415"/>
      <w:pBdr>
        <w:top w:val="dotted" w:sz="8" w:space="1" w:color="A32020" w:themeColor="text2"/>
        <w:left w:val="dotted" w:sz="8" w:space="4" w:color="A32020" w:themeColor="text2"/>
      </w:pBdr>
      <w:spacing w:after="0" w:line="0" w:lineRule="atLeast"/>
    </w:pPr>
    <w:rPr>
      <w:color w:val="auto"/>
      <w:sz w:val="8"/>
      <w:lang w:val="en-GB"/>
    </w:rPr>
  </w:style>
  <w:style w:type="paragraph" w:customStyle="1" w:styleId="CoverOutcomeHeadline">
    <w:name w:val="Cover Outcome Headline"/>
    <w:basedOn w:val="PwCNormal"/>
    <w:rsid w:val="00617CBF"/>
    <w:pPr>
      <w:spacing w:after="0" w:line="960" w:lineRule="atLeast"/>
      <w:ind w:right="1701"/>
    </w:pPr>
    <w:rPr>
      <w:b/>
      <w:i/>
      <w:color w:val="FFFFFF" w:themeColor="background1"/>
      <w:sz w:val="88"/>
      <w:szCs w:val="88"/>
      <w:lang w:val="en-GB"/>
    </w:rPr>
  </w:style>
  <w:style w:type="paragraph" w:customStyle="1" w:styleId="CoverOutcomeSubtitle">
    <w:name w:val="Cover Outcome Subtitle"/>
    <w:basedOn w:val="CoverOutcomeHeadline"/>
    <w:rsid w:val="00A93A63"/>
    <w:rPr>
      <w:b w:val="0"/>
      <w:i w:val="0"/>
    </w:rPr>
  </w:style>
  <w:style w:type="paragraph" w:customStyle="1" w:styleId="LogoFixed">
    <w:name w:val="Logo Fixed"/>
    <w:basedOn w:val="LogoActivated"/>
    <w:rsid w:val="003D28AE"/>
    <w:pPr>
      <w:framePr w:h="2733" w:hRule="exact" w:wrap="around" w:x="1322" w:y="14125"/>
    </w:pPr>
  </w:style>
  <w:style w:type="paragraph" w:customStyle="1" w:styleId="NumericCaption">
    <w:name w:val="Numeric Caption"/>
    <w:basedOn w:val="Caption"/>
    <w:rsid w:val="00053B82"/>
    <w:rPr>
      <w:rFonts w:ascii="Arial" w:hAnsi="Arial"/>
    </w:rPr>
  </w:style>
  <w:style w:type="paragraph" w:customStyle="1" w:styleId="NumericTableColumnHeadingNormal">
    <w:name w:val="Numeric Table Column Heading Normal"/>
    <w:basedOn w:val="TableColumnHeadingNormal"/>
    <w:rsid w:val="00053B82"/>
    <w:rPr>
      <w:rFonts w:ascii="Arial" w:hAnsi="Arial"/>
    </w:rPr>
  </w:style>
  <w:style w:type="paragraph" w:customStyle="1" w:styleId="NumericTableTextNormal">
    <w:name w:val="Numeric Table Text Normal"/>
    <w:basedOn w:val="TableTextNormal"/>
    <w:rsid w:val="00053B82"/>
    <w:rPr>
      <w:rFonts w:ascii="Arial" w:hAnsi="Arial"/>
    </w:rPr>
  </w:style>
  <w:style w:type="paragraph" w:customStyle="1" w:styleId="NumericSources">
    <w:name w:val="Numeric Sources"/>
    <w:basedOn w:val="Sources"/>
    <w:rsid w:val="00053B82"/>
    <w:rPr>
      <w:rFonts w:ascii="Arial" w:hAnsi="Arial"/>
    </w:rPr>
  </w:style>
  <w:style w:type="paragraph" w:customStyle="1" w:styleId="NumericTableColumnHeadingSmall">
    <w:name w:val="Numeric Table Column Heading Small"/>
    <w:basedOn w:val="NumericTableColumnHeadingNormal"/>
    <w:rsid w:val="0052509C"/>
    <w:rPr>
      <w:sz w:val="16"/>
      <w:szCs w:val="16"/>
    </w:rPr>
  </w:style>
  <w:style w:type="paragraph" w:customStyle="1" w:styleId="NumericTableTextSmall">
    <w:name w:val="Numeric Table Text Small"/>
    <w:basedOn w:val="NumericTableTextNormal"/>
    <w:rsid w:val="0052509C"/>
    <w:rPr>
      <w:sz w:val="16"/>
      <w:szCs w:val="16"/>
    </w:rPr>
  </w:style>
  <w:style w:type="paragraph" w:customStyle="1" w:styleId="NumericTableTextDecimalNormal">
    <w:name w:val="Numeric Table Text Decimal Normal"/>
    <w:basedOn w:val="NumericTableTextNormal"/>
    <w:rsid w:val="006304C7"/>
    <w:pPr>
      <w:tabs>
        <w:tab w:val="decimal" w:pos="1004"/>
      </w:tabs>
    </w:pPr>
  </w:style>
  <w:style w:type="paragraph" w:customStyle="1" w:styleId="NumericTableTextDecimalSmall">
    <w:name w:val="Numeric Table Text Decimal Small"/>
    <w:basedOn w:val="NumericTableTextDecimalNormal"/>
    <w:rsid w:val="006304C7"/>
    <w:rPr>
      <w:sz w:val="16"/>
      <w:szCs w:val="16"/>
    </w:rPr>
  </w:style>
  <w:style w:type="paragraph" w:customStyle="1" w:styleId="Heading2Nospacing">
    <w:name w:val="Heading 2 No spacing"/>
    <w:basedOn w:val="Heading2"/>
    <w:rsid w:val="00F8314A"/>
    <w:pPr>
      <w:spacing w:after="0" w:line="0" w:lineRule="atLeast"/>
      <w:ind w:left="851" w:hanging="851"/>
    </w:pPr>
  </w:style>
  <w:style w:type="paragraph" w:customStyle="1" w:styleId="TableNumberedList1">
    <w:name w:val="Table Numbered List 1"/>
    <w:basedOn w:val="TableTextNormal"/>
    <w:rsid w:val="00EA47AB"/>
    <w:pPr>
      <w:numPr>
        <w:numId w:val="15"/>
      </w:numPr>
    </w:pPr>
  </w:style>
  <w:style w:type="paragraph" w:customStyle="1" w:styleId="TableNumberedList2">
    <w:name w:val="Table Numbered List 2"/>
    <w:basedOn w:val="TableNumberedList1"/>
    <w:rsid w:val="00EA47AB"/>
    <w:pPr>
      <w:numPr>
        <w:ilvl w:val="1"/>
      </w:numPr>
      <w:spacing w:before="40" w:after="40"/>
    </w:pPr>
  </w:style>
  <w:style w:type="paragraph" w:customStyle="1" w:styleId="TableNumberedList3">
    <w:name w:val="Table Numbered List 3"/>
    <w:basedOn w:val="TableNumberedList2"/>
    <w:rsid w:val="00EA47AB"/>
    <w:pPr>
      <w:numPr>
        <w:ilvl w:val="2"/>
      </w:numPr>
    </w:pPr>
  </w:style>
  <w:style w:type="paragraph" w:customStyle="1" w:styleId="TableNumberedListSmall1">
    <w:name w:val="Table Numbered List Small 1"/>
    <w:basedOn w:val="TableTextSmall"/>
    <w:rsid w:val="00EA47AB"/>
    <w:pPr>
      <w:numPr>
        <w:numId w:val="17"/>
      </w:numPr>
    </w:pPr>
  </w:style>
  <w:style w:type="paragraph" w:customStyle="1" w:styleId="TableNumberedListSmall2">
    <w:name w:val="Table Numbered List Small 2"/>
    <w:basedOn w:val="TableNumberedListSmall1"/>
    <w:rsid w:val="00EA47AB"/>
    <w:pPr>
      <w:numPr>
        <w:ilvl w:val="1"/>
      </w:numPr>
    </w:pPr>
    <w:rPr>
      <w:szCs w:val="21"/>
    </w:rPr>
  </w:style>
  <w:style w:type="paragraph" w:customStyle="1" w:styleId="TableNumberedListSmall3">
    <w:name w:val="Table Numbered List Small 3"/>
    <w:basedOn w:val="TableNumberedListSmall2"/>
    <w:rsid w:val="00EA47AB"/>
    <w:pPr>
      <w:numPr>
        <w:ilvl w:val="2"/>
      </w:numPr>
    </w:pPr>
  </w:style>
  <w:style w:type="numbering" w:customStyle="1" w:styleId="ListNumberList">
    <w:name w:val="List Number List"/>
    <w:uiPriority w:val="99"/>
    <w:rsid w:val="009E54C5"/>
    <w:pPr>
      <w:numPr>
        <w:numId w:val="18"/>
      </w:numPr>
    </w:pPr>
  </w:style>
  <w:style w:type="numbering" w:styleId="111111">
    <w:name w:val="Outline List 2"/>
    <w:basedOn w:val="NoList"/>
    <w:rsid w:val="00070164"/>
    <w:pPr>
      <w:numPr>
        <w:numId w:val="20"/>
      </w:numPr>
    </w:pPr>
  </w:style>
  <w:style w:type="numbering" w:styleId="1ai">
    <w:name w:val="Outline List 1"/>
    <w:basedOn w:val="NoList"/>
    <w:rsid w:val="00070164"/>
    <w:pPr>
      <w:numPr>
        <w:numId w:val="21"/>
      </w:numPr>
    </w:pPr>
  </w:style>
  <w:style w:type="numbering" w:styleId="ArticleSection">
    <w:name w:val="Outline List 3"/>
    <w:basedOn w:val="NoList"/>
    <w:rsid w:val="00070164"/>
    <w:pPr>
      <w:numPr>
        <w:numId w:val="22"/>
      </w:numPr>
    </w:pPr>
  </w:style>
  <w:style w:type="paragraph" w:customStyle="1" w:styleId="Minorheading3">
    <w:name w:val="Minor heading 3"/>
    <w:basedOn w:val="Minorheading2"/>
    <w:rsid w:val="00D657FC"/>
    <w:rPr>
      <w:b w:val="0"/>
      <w:i/>
    </w:rPr>
  </w:style>
  <w:style w:type="table" w:customStyle="1" w:styleId="Tables-APLines">
    <w:name w:val="Tables - AP Lines"/>
    <w:basedOn w:val="TableNormal"/>
    <w:rsid w:val="00127829"/>
    <w:tblPr>
      <w:tblStyleRowBandSize w:val="1"/>
      <w:tblStyleColBandSize w:val="1"/>
      <w:tblInd w:w="0" w:type="dxa"/>
      <w:tblBorders>
        <w:insideH w:val="single" w:sz="4" w:space="0" w:color="A32020" w:themeColor="text2"/>
        <w:insideV w:val="single" w:sz="4" w:space="0" w:color="A32020" w:themeColor="text2"/>
      </w:tblBorders>
      <w:tblCellMar>
        <w:top w:w="0" w:type="dxa"/>
        <w:left w:w="108" w:type="dxa"/>
        <w:bottom w:w="0" w:type="dxa"/>
        <w:right w:w="108" w:type="dxa"/>
      </w:tblCellMar>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4B1E27"/>
    <w:pPr>
      <w:spacing w:line="227" w:lineRule="exact"/>
    </w:pPr>
    <w:rPr>
      <w:sz w:val="8"/>
    </w:rPr>
    <w:tblPr>
      <w:tblInd w:w="0" w:type="dxa"/>
      <w:tblBorders>
        <w:top w:val="single" w:sz="8" w:space="0" w:color="A32020" w:themeColor="text2"/>
        <w:left w:val="single" w:sz="8" w:space="0" w:color="A32020" w:themeColor="text2"/>
      </w:tblBorders>
      <w:tblCellMar>
        <w:top w:w="0" w:type="dxa"/>
        <w:left w:w="227" w:type="dxa"/>
        <w:bottom w:w="0" w:type="dxa"/>
        <w:right w:w="0" w:type="dxa"/>
      </w:tblCellMar>
    </w:tblPr>
    <w:tcPr>
      <w:shd w:val="clear" w:color="auto" w:fill="auto"/>
    </w:tcPr>
  </w:style>
  <w:style w:type="table" w:customStyle="1" w:styleId="PwCpull-outframe">
    <w:name w:val="PwC pull-out frame"/>
    <w:basedOn w:val="PwCPanelframe"/>
    <w:uiPriority w:val="99"/>
    <w:rsid w:val="007167DF"/>
    <w:tblPr>
      <w:tblInd w:w="0" w:type="dxa"/>
      <w:tblBorders>
        <w:top w:val="dotted" w:sz="8" w:space="0" w:color="A32020" w:themeColor="text2"/>
        <w:left w:val="dotted" w:sz="8" w:space="0" w:color="A32020" w:themeColor="text2"/>
      </w:tblBorders>
      <w:tblCellMar>
        <w:top w:w="0" w:type="dxa"/>
        <w:left w:w="227" w:type="dxa"/>
        <w:bottom w:w="0" w:type="dxa"/>
        <w:right w:w="0" w:type="dxa"/>
      </w:tblCellMar>
    </w:tblPr>
    <w:tcPr>
      <w:shd w:val="clear" w:color="auto" w:fill="auto"/>
    </w:tcPr>
  </w:style>
  <w:style w:type="paragraph" w:customStyle="1" w:styleId="Bullet1">
    <w:name w:val="Bullet 1"/>
    <w:basedOn w:val="PwCNormal"/>
    <w:rsid w:val="003522D8"/>
    <w:pPr>
      <w:numPr>
        <w:numId w:val="23"/>
      </w:numPr>
      <w:spacing w:after="80"/>
    </w:pPr>
  </w:style>
  <w:style w:type="paragraph" w:customStyle="1" w:styleId="Bullet2">
    <w:name w:val="Bullet 2"/>
    <w:basedOn w:val="Bullet1"/>
    <w:rsid w:val="003522D8"/>
    <w:pPr>
      <w:numPr>
        <w:ilvl w:val="1"/>
      </w:numPr>
    </w:pPr>
  </w:style>
  <w:style w:type="paragraph" w:customStyle="1" w:styleId="Bullet3">
    <w:name w:val="Bullet 3"/>
    <w:basedOn w:val="Bullet2"/>
    <w:rsid w:val="003522D8"/>
    <w:pPr>
      <w:numPr>
        <w:ilvl w:val="2"/>
      </w:numPr>
    </w:pPr>
  </w:style>
  <w:style w:type="paragraph" w:customStyle="1" w:styleId="Bullet4">
    <w:name w:val="Bullet 4"/>
    <w:basedOn w:val="Bullet3"/>
    <w:rsid w:val="003522D8"/>
    <w:pPr>
      <w:numPr>
        <w:ilvl w:val="3"/>
      </w:numPr>
    </w:pPr>
  </w:style>
  <w:style w:type="numbering" w:customStyle="1" w:styleId="Bullets">
    <w:name w:val="Bullets"/>
    <w:uiPriority w:val="99"/>
    <w:rsid w:val="003522D8"/>
    <w:pPr>
      <w:numPr>
        <w:numId w:val="23"/>
      </w:numPr>
    </w:pPr>
  </w:style>
  <w:style w:type="paragraph" w:customStyle="1" w:styleId="FirstPagePanelFrame-Contents">
    <w:name w:val="First Page Panel Frame - Contents"/>
    <w:basedOn w:val="FirstPagePanelFrame"/>
    <w:rsid w:val="0085497F"/>
    <w:pPr>
      <w:framePr w:wrap="notBeside"/>
    </w:pPr>
  </w:style>
  <w:style w:type="numbering" w:customStyle="1" w:styleId="ChapterNumberingList">
    <w:name w:val="Chapter Numbering List"/>
    <w:uiPriority w:val="99"/>
    <w:rsid w:val="00930AB8"/>
    <w:pPr>
      <w:numPr>
        <w:numId w:val="25"/>
      </w:numPr>
    </w:pPr>
  </w:style>
  <w:style w:type="paragraph" w:customStyle="1" w:styleId="Bulletletter">
    <w:name w:val="Bullet letter"/>
    <w:basedOn w:val="BodyText"/>
    <w:link w:val="BulletletterChar"/>
    <w:qFormat/>
    <w:rsid w:val="003A0031"/>
    <w:pPr>
      <w:numPr>
        <w:numId w:val="27"/>
      </w:numPr>
      <w:kinsoku/>
      <w:overflowPunct/>
      <w:autoSpaceDE/>
      <w:autoSpaceDN/>
      <w:adjustRightInd/>
      <w:snapToGrid/>
      <w:spacing w:before="120" w:line="240" w:lineRule="atLeast"/>
      <w:jc w:val="both"/>
    </w:pPr>
    <w:rPr>
      <w:rFonts w:eastAsia="Arial"/>
      <w:snapToGrid/>
      <w:szCs w:val="19"/>
      <w:lang w:val="en-GB"/>
    </w:rPr>
  </w:style>
  <w:style w:type="character" w:customStyle="1" w:styleId="BulletletterChar">
    <w:name w:val="Bullet letter Char"/>
    <w:basedOn w:val="BodyTextChar"/>
    <w:link w:val="Bulletletter"/>
    <w:rsid w:val="003A0031"/>
    <w:rPr>
      <w:rFonts w:ascii="Georgia" w:eastAsia="Arial" w:hAnsi="Georgia" w:cs="Arial"/>
      <w:snapToGrid w:val="0"/>
      <w:sz w:val="20"/>
      <w:szCs w:val="19"/>
      <w:lang w:val="en-GB" w:eastAsia="en-US"/>
    </w:rPr>
  </w:style>
  <w:style w:type="character" w:styleId="IntenseEmphasis">
    <w:name w:val="Intense Emphasis"/>
    <w:basedOn w:val="DefaultParagraphFont"/>
    <w:uiPriority w:val="21"/>
    <w:qFormat/>
    <w:locked/>
    <w:rsid w:val="0085497F"/>
    <w:rPr>
      <w:b/>
      <w:bCs/>
      <w:i/>
      <w:iCs/>
      <w:color w:val="A32020" w:themeColor="accent1"/>
    </w:rPr>
  </w:style>
  <w:style w:type="character" w:customStyle="1" w:styleId="FootnoteTextChar">
    <w:name w:val="Footnote Text Char"/>
    <w:basedOn w:val="DefaultParagraphFont"/>
    <w:link w:val="FootnoteText"/>
    <w:uiPriority w:val="99"/>
    <w:rsid w:val="00845BF0"/>
    <w:rPr>
      <w:rFonts w:cs="Arial"/>
      <w:snapToGrid w:val="0"/>
      <w:sz w:val="14"/>
      <w:lang w:eastAsia="en-US"/>
    </w:rPr>
  </w:style>
  <w:style w:type="paragraph" w:customStyle="1" w:styleId="Arial">
    <w:name w:val="Arial"/>
    <w:basedOn w:val="Normal"/>
    <w:rsid w:val="0054341E"/>
    <w:pPr>
      <w:kinsoku/>
      <w:overflowPunct/>
      <w:autoSpaceDE/>
      <w:autoSpaceDN/>
      <w:adjustRightInd/>
      <w:snapToGrid/>
    </w:pPr>
    <w:rPr>
      <w:rFonts w:ascii="Calibri" w:hAnsi="Calibri" w:cs="Times New Roman"/>
      <w:snapToGrid/>
      <w:color w:val="FFFFFF"/>
      <w:sz w:val="18"/>
      <w:szCs w:val="18"/>
      <w:lang w:eastAsia="en-AU"/>
    </w:rPr>
  </w:style>
  <w:style w:type="paragraph" w:customStyle="1" w:styleId="Default">
    <w:name w:val="Default"/>
    <w:rsid w:val="00263E9B"/>
    <w:pPr>
      <w:autoSpaceDE w:val="0"/>
      <w:autoSpaceDN w:val="0"/>
      <w:adjustRightInd w:val="0"/>
    </w:pPr>
    <w:rPr>
      <w:rFonts w:ascii="Times New Roman" w:hAnsi="Times New Roman"/>
      <w:color w:val="000000"/>
      <w:sz w:val="24"/>
      <w:szCs w:val="24"/>
    </w:rPr>
  </w:style>
  <w:style w:type="paragraph" w:customStyle="1" w:styleId="bodybodytext">
    <w:name w:val="body: body text"/>
    <w:basedOn w:val="Normal"/>
    <w:uiPriority w:val="99"/>
    <w:rsid w:val="00AD2EC8"/>
    <w:pPr>
      <w:widowControl w:val="0"/>
      <w:suppressAutoHyphens/>
      <w:kinsoku/>
      <w:overflowPunct/>
      <w:snapToGrid/>
      <w:spacing w:before="170" w:line="250" w:lineRule="atLeast"/>
      <w:textAlignment w:val="center"/>
    </w:pPr>
    <w:rPr>
      <w:rFonts w:ascii="TheSansLight-Plain" w:hAnsi="TheSansLight-Plain" w:cs="TheSansLight-Plain"/>
      <w:snapToGrid/>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AD2EC8"/>
    <w:rPr>
      <w:rFonts w:ascii="Symbol" w:hAnsi="Symbol"/>
      <w:w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lsdException w:name="toc 2" w:locked="0" w:uiPriority="39"/>
    <w:lsdException w:name="toc 3" w:locked="0" w:uiPriority="39"/>
    <w:lsdException w:name="toc 4" w:locked="0" w:uiPriority="39"/>
    <w:lsdException w:name="toc 5" w:locked="0"/>
    <w:lsdException w:name="toc 6" w:locked="0" w:uiPriority="39"/>
    <w:lsdException w:name="toc 7" w:locked="0" w:uiPriority="39"/>
    <w:lsdException w:name="toc 8" w:locked="0"/>
    <w:lsdException w:name="toc 9" w:locked="0" w:uiPriority="39"/>
    <w:lsdException w:name="Normal Indent" w:locked="0" w:semiHidden="1"/>
    <w:lsdException w:name="footnote text" w:locked="0"/>
    <w:lsdException w:name="annotation text" w:locked="0" w:semiHidden="1"/>
    <w:lsdException w:name="header" w:locked="0"/>
    <w:lsdException w:name="footer" w:locked="0"/>
    <w:lsdException w:name="index heading" w:locked="0" w:semiHidden="1"/>
    <w:lsdException w:name="caption" w:locked="0" w:qFormat="1"/>
    <w:lsdException w:name="table of figures" w:locked="0" w:semiHidden="1" w:unhideWhenUsed="1"/>
    <w:lsdException w:name="envelope address" w:semiHidden="1" w:unhideWhenUsed="1"/>
    <w:lsdException w:name="envelope return" w:semiHidden="1"/>
    <w:lsdException w:name="footnote reference" w:locked="0" w:uiPriority="99"/>
    <w:lsdException w:name="annotation reference" w:locked="0" w:semiHidden="1"/>
    <w:lsdException w:name="line number" w:locked="0" w:semiHidden="1"/>
    <w:lsdException w:name="page number" w:locked="0"/>
    <w:lsdException w:name="endnote reference" w:locked="0"/>
    <w:lsdException w:name="endnote text" w:locked="0"/>
    <w:lsdException w:name="table of authorities" w:locked="0" w:semiHidden="1" w:unhideWhenUsed="1"/>
    <w:lsdException w:name="macro" w:semiHidden="1" w:unhideWhenUsed="1"/>
    <w:lsdException w:name="toa heading" w:locked="0" w:semiHidden="1" w:unhideWhenUsed="1"/>
    <w:lsdException w:name="List" w:semiHidden="1"/>
    <w:lsdException w:name="List Bullet" w:semiHidden="1" w:qFormat="1"/>
    <w:lsdException w:name="List Number" w:semiHidden="1" w:uiPriority="13"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5" w:semiHidden="1"/>
    <w:lsdException w:name="List Number 2" w:semiHidden="1" w:uiPriority="13" w:qFormat="1"/>
    <w:lsdException w:name="List Number 3" w:semiHidden="1" w:uiPriority="13" w:qFormat="1"/>
    <w:lsdException w:name="List Number 4" w:semiHidden="1" w:uiPriority="13"/>
    <w:lsdException w:name="List Number 5" w:semiHidden="1" w:uiPriority="13"/>
    <w:lsdException w:name="Title" w:locked="0" w:qFormat="1"/>
    <w:lsdException w:name="Closing" w:locked="0" w:semiHidden="1" w:unhideWhenUsed="1"/>
    <w:lsdException w:name="Signature" w:locked="0" w:semiHidden="1"/>
    <w:lsdException w:name="Default Paragraph Font" w:locked="0" w:uiPriority="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locked="0" w:semiHidden="1"/>
    <w:lsdException w:name="Subtitle" w:locked="0" w:semiHidden="1" w:qFormat="1"/>
    <w:lsdException w:name="Salutation" w:locked="0" w:semiHidden="1" w:unhideWhenUsed="1"/>
    <w:lsdException w:name="Date" w:locked="0"/>
    <w:lsdException w:name="Body Text First Indent" w:semiHidden="1"/>
    <w:lsdException w:name="Body Text First Indent 2" w:semiHidden="1"/>
    <w:lsdException w:name="Note Heading" w:locked="0" w:semiHidden="1" w:unhideWhenUsed="1"/>
    <w:lsdException w:name="Body Text 2" w:semiHidden="1"/>
    <w:lsdException w:name="Body Text 3" w:semiHidden="1"/>
    <w:lsdException w:name="Body Text Indent 2" w:semiHidden="1"/>
    <w:lsdException w:name="Body Text Indent 3" w:semiHidden="1"/>
    <w:lsdException w:name="Block Text" w:locked="0" w:semiHidden="1" w:uiPriority="99" w:qFormat="1"/>
    <w:lsdException w:name="Hyperlink" w:locked="0" w:semiHidden="1" w:uiPriority="99"/>
    <w:lsdException w:name="FollowedHyperlink" w:locked="0" w:semiHidden="1"/>
    <w:lsdException w:name="Strong" w:locked="0" w:semiHidden="1" w:qFormat="1"/>
    <w:lsdException w:name="Emphasis" w:semiHidden="1" w:qFormat="1"/>
    <w:lsdException w:name="Document Map" w:locked="0" w:semiHidden="1"/>
    <w:lsdException w:name="Plain Text" w:locked="0" w:semiHidden="1"/>
    <w:lsdException w:name="E-mail Signature" w:semiHidden="1"/>
    <w:lsdException w:name="HTML Top of Form" w:locked="0"/>
    <w:lsdException w:name="HTML Bottom of Form" w:locked="0"/>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annotation subject" w:locked="0" w:semiHidden="1"/>
    <w:lsdException w:name="No List" w:locked="0" w:uiPriority="99"/>
    <w:lsdException w:name="Outline List 1" w:locked="0"/>
    <w:lsdException w:name="Outline List 2" w:locked="0"/>
    <w:lsdException w:name="Outline List 3" w:locked="0"/>
    <w:lsdException w:name="Table Theme" w:locked="0"/>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locked="0"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qFormat="1"/>
  </w:latentStyles>
  <w:style w:type="paragraph" w:default="1" w:styleId="Normal">
    <w:name w:val="Normal"/>
    <w:next w:val="PwCNormal"/>
    <w:qFormat/>
    <w:rsid w:val="00245C02"/>
    <w:pPr>
      <w:kinsoku w:val="0"/>
      <w:overflowPunct w:val="0"/>
      <w:autoSpaceDE w:val="0"/>
      <w:autoSpaceDN w:val="0"/>
      <w:adjustRightInd w:val="0"/>
      <w:snapToGrid w:val="0"/>
    </w:pPr>
    <w:rPr>
      <w:rFonts w:cs="Arial"/>
      <w:snapToGrid w:val="0"/>
      <w:lang w:eastAsia="en-US"/>
    </w:rPr>
  </w:style>
  <w:style w:type="paragraph" w:styleId="Heading1">
    <w:name w:val="heading 1"/>
    <w:aliases w:val="Chapter Heading (Long)"/>
    <w:basedOn w:val="Normal"/>
    <w:next w:val="PwCNormal"/>
    <w:qFormat/>
    <w:rsid w:val="00BC0A43"/>
    <w:pPr>
      <w:spacing w:line="720" w:lineRule="atLeast"/>
      <w:outlineLvl w:val="0"/>
    </w:pPr>
    <w:rPr>
      <w:rFonts w:asciiTheme="majorHAnsi" w:hAnsiTheme="majorHAnsi"/>
      <w:b/>
      <w:bCs/>
      <w:i/>
      <w:sz w:val="56"/>
      <w:szCs w:val="72"/>
    </w:rPr>
  </w:style>
  <w:style w:type="paragraph" w:styleId="Heading2">
    <w:name w:val="heading 2"/>
    <w:aliases w:val="Chapter Heading (Short)"/>
    <w:basedOn w:val="Normal"/>
    <w:next w:val="PwCNormal"/>
    <w:qFormat/>
    <w:rsid w:val="00930AB8"/>
    <w:pPr>
      <w:keepNext/>
      <w:keepLines/>
      <w:pageBreakBefore/>
      <w:numPr>
        <w:ilvl w:val="1"/>
        <w:numId w:val="26"/>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PwCNormal"/>
    <w:qFormat/>
    <w:rsid w:val="008D4477"/>
    <w:pPr>
      <w:outlineLvl w:val="2"/>
    </w:pPr>
    <w:rPr>
      <w:bCs w:val="0"/>
    </w:rPr>
  </w:style>
  <w:style w:type="paragraph" w:styleId="Heading4">
    <w:name w:val="heading 4"/>
    <w:aliases w:val="Appendix Heading (Short)"/>
    <w:basedOn w:val="Heading2"/>
    <w:next w:val="PwCNormal"/>
    <w:qFormat/>
    <w:rsid w:val="00AE506B"/>
    <w:pPr>
      <w:pageBreakBefore w:val="0"/>
      <w:numPr>
        <w:ilvl w:val="4"/>
      </w:numPr>
      <w:outlineLvl w:val="3"/>
    </w:pPr>
    <w:rPr>
      <w:bCs w:val="0"/>
    </w:rPr>
  </w:style>
  <w:style w:type="paragraph" w:styleId="Heading5">
    <w:name w:val="heading 5"/>
    <w:basedOn w:val="Heading2"/>
    <w:next w:val="PwCNormal"/>
    <w:qFormat/>
    <w:rsid w:val="00317710"/>
    <w:pPr>
      <w:pageBreakBefore w:val="0"/>
      <w:numPr>
        <w:ilvl w:val="0"/>
        <w:numId w:val="0"/>
      </w:numPr>
      <w:spacing w:before="360" w:line="380" w:lineRule="atLeast"/>
      <w:outlineLvl w:val="4"/>
    </w:pPr>
    <w:rPr>
      <w:bCs w:val="0"/>
      <w:iCs w:val="0"/>
      <w:sz w:val="32"/>
      <w:szCs w:val="32"/>
    </w:rPr>
  </w:style>
  <w:style w:type="paragraph" w:styleId="Heading6">
    <w:name w:val="heading 6"/>
    <w:basedOn w:val="Heading2"/>
    <w:next w:val="PwCNormal"/>
    <w:qFormat/>
    <w:rsid w:val="00BC0A43"/>
    <w:pPr>
      <w:pageBreakBefore w:val="0"/>
      <w:numPr>
        <w:ilvl w:val="2"/>
      </w:numPr>
      <w:spacing w:after="40" w:line="240" w:lineRule="auto"/>
      <w:outlineLvl w:val="5"/>
    </w:pPr>
    <w:rPr>
      <w:bCs w:val="0"/>
      <w:color w:val="A32020" w:themeColor="text2"/>
      <w:sz w:val="32"/>
    </w:rPr>
  </w:style>
  <w:style w:type="paragraph" w:styleId="Heading7">
    <w:name w:val="heading 7"/>
    <w:basedOn w:val="Heading6"/>
    <w:next w:val="PwCNormal"/>
    <w:qFormat/>
    <w:rsid w:val="005C6E53"/>
    <w:pPr>
      <w:numPr>
        <w:ilvl w:val="3"/>
      </w:numPr>
      <w:outlineLvl w:val="6"/>
    </w:pPr>
    <w:rPr>
      <w:b w:val="0"/>
      <w:sz w:val="28"/>
      <w:szCs w:val="28"/>
    </w:rPr>
  </w:style>
  <w:style w:type="paragraph" w:styleId="Heading8">
    <w:name w:val="heading 8"/>
    <w:basedOn w:val="Majorheading"/>
    <w:next w:val="PwCNormal"/>
    <w:qFormat/>
    <w:rsid w:val="00930AB8"/>
    <w:pPr>
      <w:numPr>
        <w:ilvl w:val="6"/>
        <w:numId w:val="26"/>
      </w:numPr>
      <w:outlineLvl w:val="7"/>
    </w:pPr>
    <w:rPr>
      <w:sz w:val="32"/>
      <w:szCs w:val="21"/>
    </w:rPr>
  </w:style>
  <w:style w:type="paragraph" w:styleId="Heading9">
    <w:name w:val="heading 9"/>
    <w:basedOn w:val="Heading8"/>
    <w:next w:val="PwCNormal"/>
    <w:qFormat/>
    <w:rsid w:val="005C6E53"/>
    <w:pPr>
      <w:numPr>
        <w:ilvl w:val="0"/>
        <w:numId w:val="0"/>
      </w:numPr>
      <w:outlineLvl w:val="8"/>
    </w:pPr>
    <w:rPr>
      <w:b w:val="0"/>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76A6"/>
    <w:pPr>
      <w:tabs>
        <w:tab w:val="right" w:pos="8220"/>
      </w:tabs>
    </w:pPr>
    <w:rPr>
      <w:rFonts w:ascii="Arial" w:hAnsi="Arial"/>
      <w:color w:val="000000" w:themeColor="text1"/>
      <w:sz w:val="19"/>
      <w:szCs w:val="18"/>
    </w:rPr>
  </w:style>
  <w:style w:type="paragraph" w:styleId="Footer">
    <w:name w:val="footer"/>
    <w:basedOn w:val="Normal"/>
    <w:link w:val="FooterChar"/>
    <w:rsid w:val="00B376A6"/>
    <w:pPr>
      <w:tabs>
        <w:tab w:val="right" w:pos="8220"/>
      </w:tabs>
      <w:spacing w:line="0" w:lineRule="atLeast"/>
    </w:pPr>
    <w:rPr>
      <w:rFonts w:ascii="Arial" w:hAnsi="Arial"/>
      <w:color w:val="000000" w:themeColor="text1"/>
      <w:sz w:val="19"/>
      <w:szCs w:val="18"/>
    </w:rPr>
  </w:style>
  <w:style w:type="paragraph" w:customStyle="1" w:styleId="TOCtitle">
    <w:name w:val="TOC title"/>
    <w:basedOn w:val="Heading2"/>
    <w:next w:val="PwCNormal"/>
    <w:unhideWhenUsed/>
    <w:rsid w:val="005E2460"/>
    <w:pPr>
      <w:numPr>
        <w:ilvl w:val="0"/>
        <w:numId w:val="0"/>
      </w:numPr>
      <w:spacing w:after="600"/>
    </w:pPr>
    <w:rPr>
      <w:color w:val="auto"/>
    </w:rPr>
  </w:style>
  <w:style w:type="paragraph" w:customStyle="1" w:styleId="Covertitle">
    <w:name w:val="Cover title"/>
    <w:basedOn w:val="KeySentenceInside"/>
    <w:next w:val="Coversubtitle"/>
    <w:rsid w:val="00F323DC"/>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6C1EC2"/>
    <w:pPr>
      <w:framePr w:wrap="notBeside"/>
      <w:spacing w:before="180"/>
    </w:pPr>
    <w:rPr>
      <w:bCs/>
      <w:szCs w:val="64"/>
    </w:rPr>
  </w:style>
  <w:style w:type="paragraph" w:customStyle="1" w:styleId="AppendixNumberLong">
    <w:name w:val="Appendix Number (Long)"/>
    <w:basedOn w:val="Heading3"/>
    <w:next w:val="Heading3"/>
    <w:rsid w:val="00930AB8"/>
    <w:pPr>
      <w:keepNext/>
      <w:keepLines/>
      <w:pageBreakBefore/>
      <w:numPr>
        <w:ilvl w:val="5"/>
        <w:numId w:val="26"/>
      </w:numPr>
    </w:pPr>
    <w:rPr>
      <w:color w:val="000000" w:themeColor="text1"/>
    </w:rPr>
  </w:style>
  <w:style w:type="paragraph" w:customStyle="1" w:styleId="ChapterNumberLong">
    <w:name w:val="Chapter Number (Long)"/>
    <w:basedOn w:val="Heading1"/>
    <w:next w:val="Heading1"/>
    <w:rsid w:val="00930AB8"/>
    <w:pPr>
      <w:pageBreakBefore/>
      <w:numPr>
        <w:numId w:val="26"/>
      </w:numPr>
    </w:pPr>
  </w:style>
  <w:style w:type="paragraph" w:customStyle="1" w:styleId="Footer-Even">
    <w:name w:val="Footer - Even"/>
    <w:basedOn w:val="Footer"/>
    <w:rsid w:val="00B51CCB"/>
  </w:style>
  <w:style w:type="paragraph" w:customStyle="1" w:styleId="URL">
    <w:name w:val="URL"/>
    <w:basedOn w:val="PwCNormal"/>
    <w:next w:val="PwCNormal"/>
    <w:rsid w:val="00BF2CD7"/>
    <w:pPr>
      <w:framePr w:wrap="around" w:vAnchor="page" w:hAnchor="page" w:x="1022" w:y="568"/>
      <w:spacing w:after="0"/>
    </w:pPr>
    <w:rPr>
      <w:rFonts w:eastAsia="+mn-ea"/>
      <w:snapToGrid/>
      <w:color w:val="A32020" w:themeColor="text2"/>
      <w:sz w:val="36"/>
    </w:rPr>
  </w:style>
  <w:style w:type="paragraph" w:customStyle="1" w:styleId="Indent1">
    <w:name w:val="Indent 1"/>
    <w:basedOn w:val="Normal"/>
    <w:rsid w:val="006C1EC2"/>
    <w:pPr>
      <w:numPr>
        <w:ilvl w:val="1"/>
        <w:numId w:val="9"/>
      </w:numPr>
      <w:spacing w:before="100" w:after="100"/>
    </w:pPr>
    <w:rPr>
      <w:rFonts w:cs="Times New Roman"/>
    </w:rPr>
  </w:style>
  <w:style w:type="paragraph" w:customStyle="1" w:styleId="Indent2">
    <w:name w:val="Indent 2"/>
    <w:basedOn w:val="Indent1"/>
    <w:rsid w:val="00931F8A"/>
    <w:pPr>
      <w:numPr>
        <w:ilvl w:val="2"/>
      </w:numPr>
    </w:pPr>
  </w:style>
  <w:style w:type="paragraph" w:customStyle="1" w:styleId="Indent3">
    <w:name w:val="Indent 3"/>
    <w:basedOn w:val="Indent2"/>
    <w:rsid w:val="00931F8A"/>
    <w:pPr>
      <w:numPr>
        <w:ilvl w:val="3"/>
      </w:numPr>
    </w:pPr>
  </w:style>
  <w:style w:type="paragraph" w:customStyle="1" w:styleId="Indent5">
    <w:name w:val="Indent 5"/>
    <w:basedOn w:val="Indent4"/>
    <w:rsid w:val="00931F8A"/>
    <w:pPr>
      <w:numPr>
        <w:ilvl w:val="5"/>
      </w:numPr>
    </w:pPr>
  </w:style>
  <w:style w:type="paragraph" w:customStyle="1" w:styleId="Indent6">
    <w:name w:val="Indent 6"/>
    <w:basedOn w:val="Indent5"/>
    <w:rsid w:val="00931F8A"/>
    <w:pPr>
      <w:numPr>
        <w:ilvl w:val="6"/>
      </w:numPr>
    </w:pPr>
  </w:style>
  <w:style w:type="paragraph" w:customStyle="1" w:styleId="Indent7">
    <w:name w:val="Indent 7"/>
    <w:basedOn w:val="Indent6"/>
    <w:rsid w:val="00931F8A"/>
    <w:pPr>
      <w:numPr>
        <w:ilvl w:val="7"/>
      </w:numPr>
    </w:pPr>
  </w:style>
  <w:style w:type="numbering" w:customStyle="1" w:styleId="Indents">
    <w:name w:val="Indents"/>
    <w:rsid w:val="00931F8A"/>
    <w:pPr>
      <w:numPr>
        <w:numId w:val="2"/>
      </w:numPr>
    </w:pPr>
  </w:style>
  <w:style w:type="paragraph" w:customStyle="1" w:styleId="Copyright">
    <w:name w:val="Copyright"/>
    <w:basedOn w:val="Normal"/>
    <w:rsid w:val="00483E95"/>
    <w:pPr>
      <w:framePr w:w="7938" w:wrap="around" w:vAnchor="page" w:hAnchor="page" w:x="1022" w:y="15196"/>
      <w:spacing w:before="150" w:after="150" w:line="150" w:lineRule="atLeast"/>
      <w:ind w:right="816"/>
    </w:pPr>
    <w:rPr>
      <w:rFonts w:ascii="Arial" w:hAnsi="Arial"/>
      <w:color w:val="A32020" w:themeColor="text2"/>
      <w:sz w:val="16"/>
      <w:lang w:val="en-US"/>
    </w:rPr>
  </w:style>
  <w:style w:type="paragraph" w:customStyle="1" w:styleId="Header-Even">
    <w:name w:val="Header - Even"/>
    <w:basedOn w:val="Header"/>
    <w:rsid w:val="00B51CCB"/>
  </w:style>
  <w:style w:type="paragraph" w:customStyle="1" w:styleId="PleaseNote">
    <w:name w:val="Please Note"/>
    <w:basedOn w:val="PrefaceTitle"/>
    <w:next w:val="PwCNormal"/>
    <w:rsid w:val="008D4477"/>
    <w:rPr>
      <w:iCs w:val="0"/>
    </w:rPr>
  </w:style>
  <w:style w:type="paragraph" w:customStyle="1" w:styleId="Indent4">
    <w:name w:val="Indent 4"/>
    <w:basedOn w:val="Indent3"/>
    <w:rsid w:val="00931F8A"/>
    <w:pPr>
      <w:numPr>
        <w:ilvl w:val="4"/>
      </w:numPr>
    </w:pPr>
  </w:style>
  <w:style w:type="paragraph" w:styleId="TOC2">
    <w:name w:val="toc 2"/>
    <w:basedOn w:val="TOC1"/>
    <w:next w:val="PwCNormal"/>
    <w:uiPriority w:val="39"/>
    <w:rsid w:val="008D4477"/>
    <w:pPr>
      <w:numPr>
        <w:numId w:val="0"/>
      </w:numPr>
      <w:tabs>
        <w:tab w:val="left" w:pos="567"/>
      </w:tabs>
      <w:ind w:left="567" w:hanging="567"/>
    </w:pPr>
  </w:style>
  <w:style w:type="paragraph" w:styleId="TOC4">
    <w:name w:val="toc 4"/>
    <w:basedOn w:val="TOC2"/>
    <w:next w:val="PwCNormal"/>
    <w:uiPriority w:val="39"/>
    <w:rsid w:val="00A14944"/>
    <w:pPr>
      <w:tabs>
        <w:tab w:val="clear" w:pos="567"/>
        <w:tab w:val="left" w:pos="1134"/>
      </w:tabs>
      <w:ind w:left="1134" w:hanging="1134"/>
    </w:pPr>
  </w:style>
  <w:style w:type="paragraph" w:styleId="TOC7">
    <w:name w:val="toc 7"/>
    <w:basedOn w:val="TOC6"/>
    <w:next w:val="PwCNormal"/>
    <w:uiPriority w:val="39"/>
    <w:rsid w:val="008D4477"/>
    <w:pPr>
      <w:tabs>
        <w:tab w:val="clear" w:pos="1134"/>
        <w:tab w:val="left" w:pos="1985"/>
      </w:tabs>
      <w:ind w:left="1985" w:hanging="851"/>
    </w:pPr>
  </w:style>
  <w:style w:type="paragraph" w:customStyle="1" w:styleId="KeySentenceInside">
    <w:name w:val="Key Sentence Inside"/>
    <w:basedOn w:val="KeySentence"/>
    <w:rsid w:val="00731B5D"/>
    <w:pPr>
      <w:framePr w:w="2296" w:wrap="notBeside" w:vAnchor="text" w:hAnchor="margin" w:x="-2521" w:y="1" w:anchorLock="1"/>
    </w:pPr>
  </w:style>
  <w:style w:type="paragraph" w:customStyle="1" w:styleId="ChapterNumberedList1">
    <w:name w:val="Chapter Numbered List 1"/>
    <w:basedOn w:val="PwCNormal"/>
    <w:rsid w:val="00930AB8"/>
    <w:pPr>
      <w:numPr>
        <w:ilvl w:val="7"/>
        <w:numId w:val="26"/>
      </w:numPr>
    </w:pPr>
  </w:style>
  <w:style w:type="paragraph" w:customStyle="1" w:styleId="ChapterNumberedList2">
    <w:name w:val="Chapter Numbered List 2"/>
    <w:basedOn w:val="ChapterNumberedList1"/>
    <w:rsid w:val="00F614AA"/>
    <w:pPr>
      <w:numPr>
        <w:ilvl w:val="8"/>
      </w:numPr>
    </w:pPr>
  </w:style>
  <w:style w:type="paragraph" w:styleId="TOC6">
    <w:name w:val="toc 6"/>
    <w:basedOn w:val="TOC2"/>
    <w:next w:val="PwCNormal"/>
    <w:uiPriority w:val="39"/>
    <w:rsid w:val="008D4477"/>
    <w:pPr>
      <w:tabs>
        <w:tab w:val="clear" w:pos="567"/>
        <w:tab w:val="left" w:pos="1134"/>
      </w:tabs>
      <w:ind w:left="1134"/>
    </w:pPr>
  </w:style>
  <w:style w:type="paragraph" w:customStyle="1" w:styleId="PwCNormal">
    <w:name w:val="PwC Normal"/>
    <w:aliases w:val="n"/>
    <w:basedOn w:val="Normal"/>
    <w:link w:val="PwCNormalChar"/>
    <w:qFormat/>
    <w:rsid w:val="00126AFF"/>
    <w:pPr>
      <w:numPr>
        <w:numId w:val="9"/>
      </w:numPr>
      <w:spacing w:after="240"/>
    </w:pPr>
  </w:style>
  <w:style w:type="paragraph" w:customStyle="1" w:styleId="CoverDate">
    <w:name w:val="Cover Date"/>
    <w:basedOn w:val="Coversubtitle"/>
    <w:rsid w:val="002D5CE4"/>
    <w:pPr>
      <w:framePr w:wrap="notBeside"/>
    </w:pPr>
  </w:style>
  <w:style w:type="paragraph" w:customStyle="1" w:styleId="KeySentenceOutside">
    <w:name w:val="Key Sentence Outside"/>
    <w:basedOn w:val="KeySentence"/>
    <w:rsid w:val="002627A5"/>
    <w:pPr>
      <w:framePr w:w="2410" w:wrap="around" w:vAnchor="text" w:hAnchor="margin" w:x="7909" w:y="1" w:anchorLock="1"/>
    </w:pPr>
  </w:style>
  <w:style w:type="character" w:customStyle="1" w:styleId="PwCNormalChar">
    <w:name w:val="PwC Normal Char"/>
    <w:aliases w:val="n Char Char,n Char"/>
    <w:basedOn w:val="DefaultParagraphFont"/>
    <w:link w:val="PwCNormal"/>
    <w:rsid w:val="00126AFF"/>
    <w:rPr>
      <w:rFonts w:cs="Arial"/>
      <w:snapToGrid w:val="0"/>
      <w:lang w:eastAsia="en-US"/>
    </w:rPr>
  </w:style>
  <w:style w:type="paragraph" w:styleId="TOC1">
    <w:name w:val="toc 1"/>
    <w:basedOn w:val="Normal"/>
    <w:next w:val="PwCNormal"/>
    <w:uiPriority w:val="39"/>
    <w:rsid w:val="001D29AE"/>
    <w:pPr>
      <w:numPr>
        <w:numId w:val="24"/>
      </w:numPr>
      <w:tabs>
        <w:tab w:val="left" w:pos="567"/>
        <w:tab w:val="right" w:pos="8220"/>
      </w:tabs>
      <w:spacing w:before="240" w:after="240" w:line="240" w:lineRule="atLeast"/>
      <w:ind w:right="851"/>
    </w:pPr>
  </w:style>
  <w:style w:type="paragraph" w:customStyle="1" w:styleId="CREATISID">
    <w:name w:val="CREATISID"/>
    <w:basedOn w:val="PwCNormal"/>
    <w:unhideWhenUsed/>
    <w:rsid w:val="008D4477"/>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21094E"/>
    <w:pPr>
      <w:numPr>
        <w:numId w:val="1"/>
      </w:numPr>
    </w:pPr>
  </w:style>
  <w:style w:type="paragraph" w:customStyle="1" w:styleId="Footer-Landscape">
    <w:name w:val="Footer - Landscape"/>
    <w:basedOn w:val="Footer"/>
    <w:rsid w:val="008D4477"/>
    <w:pPr>
      <w:tabs>
        <w:tab w:val="clear" w:pos="8220"/>
        <w:tab w:val="right" w:pos="14797"/>
      </w:tabs>
    </w:pPr>
  </w:style>
  <w:style w:type="paragraph" w:customStyle="1" w:styleId="TableBullet1Normal">
    <w:name w:val="Table Bullet 1 Normal"/>
    <w:basedOn w:val="TableTextNormal"/>
    <w:rsid w:val="00317710"/>
    <w:pPr>
      <w:numPr>
        <w:numId w:val="6"/>
      </w:numPr>
      <w:spacing w:before="40" w:after="40"/>
    </w:pPr>
  </w:style>
  <w:style w:type="paragraph" w:customStyle="1" w:styleId="TableTextNormal">
    <w:name w:val="Table Text Normal"/>
    <w:basedOn w:val="Normal"/>
    <w:rsid w:val="00053B82"/>
    <w:pPr>
      <w:spacing w:before="80" w:after="80"/>
    </w:pPr>
  </w:style>
  <w:style w:type="paragraph" w:customStyle="1" w:styleId="TableBullet1Small">
    <w:name w:val="Table Bullet 1 Small"/>
    <w:basedOn w:val="TableTextSmall"/>
    <w:rsid w:val="00317710"/>
    <w:pPr>
      <w:numPr>
        <w:numId w:val="7"/>
      </w:numPr>
      <w:spacing w:before="20" w:after="20"/>
    </w:pPr>
  </w:style>
  <w:style w:type="paragraph" w:customStyle="1" w:styleId="TableTextSmall">
    <w:name w:val="Table Text Small"/>
    <w:basedOn w:val="Normal"/>
    <w:rsid w:val="00020F7F"/>
    <w:pPr>
      <w:spacing w:before="40" w:after="40"/>
    </w:pPr>
    <w:rPr>
      <w:rFonts w:ascii="Arial" w:hAnsi="Arial"/>
      <w:sz w:val="16"/>
      <w:szCs w:val="18"/>
    </w:rPr>
  </w:style>
  <w:style w:type="paragraph" w:customStyle="1" w:styleId="TableBullet3Normal">
    <w:name w:val="Table Bullet 3 Normal"/>
    <w:basedOn w:val="TableBullet2Normal"/>
    <w:rsid w:val="008D4477"/>
    <w:pPr>
      <w:numPr>
        <w:ilvl w:val="2"/>
      </w:numPr>
    </w:pPr>
  </w:style>
  <w:style w:type="paragraph" w:customStyle="1" w:styleId="TableBullet3Small">
    <w:name w:val="Table Bullet 3 Small"/>
    <w:basedOn w:val="TableBullet2Small"/>
    <w:rsid w:val="008D4477"/>
    <w:pPr>
      <w:numPr>
        <w:ilvl w:val="2"/>
      </w:numPr>
    </w:pPr>
    <w:rPr>
      <w:szCs w:val="16"/>
    </w:rPr>
  </w:style>
  <w:style w:type="paragraph" w:customStyle="1" w:styleId="BlockText2">
    <w:name w:val="Block Text 2"/>
    <w:basedOn w:val="Normal"/>
    <w:qFormat/>
    <w:rsid w:val="0071186F"/>
    <w:pPr>
      <w:pBdr>
        <w:top w:val="single" w:sz="2" w:space="10" w:color="A32020" w:themeColor="text2"/>
        <w:left w:val="single" w:sz="2" w:space="10" w:color="A32020" w:themeColor="text2"/>
        <w:bottom w:val="single" w:sz="2" w:space="10" w:color="A32020" w:themeColor="text2"/>
        <w:right w:val="single" w:sz="2" w:space="10" w:color="A32020" w:themeColor="text2"/>
      </w:pBdr>
      <w:shd w:val="clear" w:color="auto" w:fill="A32020" w:themeFill="text2"/>
      <w:kinsoku/>
      <w:overflowPunct/>
      <w:autoSpaceDE/>
      <w:autoSpaceDN/>
      <w:adjustRightInd/>
      <w:snapToGrid/>
      <w:spacing w:after="240"/>
      <w:ind w:left="227" w:right="227"/>
    </w:pPr>
    <w:rPr>
      <w:rFonts w:eastAsiaTheme="minorHAnsi" w:cstheme="minorBidi"/>
      <w:i/>
      <w:snapToGrid/>
      <w:color w:val="FFFFFF" w:themeColor="background2"/>
      <w:sz w:val="48"/>
      <w:szCs w:val="48"/>
      <w:lang w:val="en-GB"/>
    </w:rPr>
  </w:style>
  <w:style w:type="paragraph" w:customStyle="1" w:styleId="Appendix">
    <w:name w:val="Appendix"/>
    <w:basedOn w:val="Heading1"/>
    <w:next w:val="Normal"/>
    <w:uiPriority w:val="99"/>
    <w:qFormat/>
    <w:rsid w:val="0071186F"/>
    <w:pPr>
      <w:keepNext/>
      <w:keepLines/>
      <w:numPr>
        <w:numId w:val="12"/>
      </w:numPr>
      <w:kinsoku/>
      <w:overflowPunct/>
      <w:autoSpaceDE/>
      <w:autoSpaceDN/>
      <w:adjustRightInd/>
      <w:snapToGrid/>
      <w:spacing w:after="480" w:line="600" w:lineRule="atLeast"/>
    </w:pPr>
    <w:rPr>
      <w:rFonts w:eastAsiaTheme="majorEastAsia" w:cstheme="majorBidi"/>
      <w:snapToGrid/>
      <w:szCs w:val="28"/>
      <w:lang w:val="en-GB"/>
    </w:rPr>
  </w:style>
  <w:style w:type="numbering" w:customStyle="1" w:styleId="PwCAppendixList1">
    <w:name w:val="PwC Appendix List 1"/>
    <w:uiPriority w:val="99"/>
    <w:rsid w:val="0071186F"/>
    <w:pPr>
      <w:numPr>
        <w:numId w:val="11"/>
      </w:numPr>
    </w:pPr>
  </w:style>
  <w:style w:type="paragraph" w:styleId="Caption">
    <w:name w:val="caption"/>
    <w:basedOn w:val="Normal"/>
    <w:next w:val="Normal"/>
    <w:unhideWhenUsed/>
    <w:qFormat/>
    <w:rsid w:val="004C7A29"/>
    <w:pPr>
      <w:keepNext/>
      <w:keepLines/>
      <w:tabs>
        <w:tab w:val="left" w:pos="992"/>
      </w:tabs>
      <w:spacing w:before="240" w:after="120"/>
      <w:ind w:left="992" w:hanging="992"/>
    </w:pPr>
    <w:rPr>
      <w:rFonts w:asciiTheme="majorHAnsi" w:hAnsiTheme="majorHAnsi"/>
      <w:b/>
      <w:bCs/>
      <w:color w:val="A32020" w:themeColor="text2"/>
      <w:szCs w:val="18"/>
    </w:rPr>
  </w:style>
  <w:style w:type="paragraph" w:customStyle="1" w:styleId="Majorheading">
    <w:name w:val="Major heading"/>
    <w:basedOn w:val="Normal"/>
    <w:next w:val="PwCNormal"/>
    <w:rsid w:val="0095290F"/>
    <w:pPr>
      <w:keepNext/>
      <w:keepLines/>
      <w:spacing w:before="240" w:after="40"/>
    </w:pPr>
    <w:rPr>
      <w:rFonts w:asciiTheme="majorHAnsi" w:hAnsiTheme="majorHAnsi"/>
      <w:b/>
      <w:i/>
      <w:color w:val="A32020" w:themeColor="text2"/>
      <w:sz w:val="28"/>
      <w:szCs w:val="24"/>
    </w:rPr>
  </w:style>
  <w:style w:type="numbering" w:customStyle="1" w:styleId="TableBulletNormalList">
    <w:name w:val="Table Bullet Normal List"/>
    <w:rsid w:val="0021094E"/>
    <w:pPr>
      <w:numPr>
        <w:numId w:val="4"/>
      </w:numPr>
    </w:pPr>
  </w:style>
  <w:style w:type="paragraph" w:customStyle="1" w:styleId="Disclaimer">
    <w:name w:val="Disclaimer"/>
    <w:basedOn w:val="Normal"/>
    <w:unhideWhenUsed/>
    <w:rsid w:val="00F03ACC"/>
    <w:pPr>
      <w:spacing w:after="140"/>
    </w:pPr>
    <w:rPr>
      <w:rFonts w:ascii="Arial" w:hAnsi="Arial"/>
      <w:sz w:val="15"/>
    </w:rPr>
  </w:style>
  <w:style w:type="paragraph" w:customStyle="1" w:styleId="Footer-LandscapeEven">
    <w:name w:val="Footer - Landscape Even"/>
    <w:basedOn w:val="Footer-Landscape"/>
    <w:rsid w:val="008D4477"/>
  </w:style>
  <w:style w:type="paragraph" w:customStyle="1" w:styleId="PwCNormal-Single">
    <w:name w:val="PwC Normal - Single"/>
    <w:basedOn w:val="PwCNormal"/>
    <w:rsid w:val="00126AFF"/>
    <w:pPr>
      <w:numPr>
        <w:numId w:val="0"/>
      </w:numPr>
      <w:spacing w:after="0"/>
    </w:pPr>
  </w:style>
  <w:style w:type="numbering" w:customStyle="1" w:styleId="TableNumberdListNormal">
    <w:name w:val="Table Numberd List Normal"/>
    <w:uiPriority w:val="99"/>
    <w:rsid w:val="00EA47AB"/>
    <w:pPr>
      <w:numPr>
        <w:numId w:val="14"/>
      </w:numPr>
    </w:pPr>
  </w:style>
  <w:style w:type="numbering" w:customStyle="1" w:styleId="TableNumberedListSmall">
    <w:name w:val="Table Numbered List Small"/>
    <w:uiPriority w:val="99"/>
    <w:rsid w:val="00EA47AB"/>
    <w:pPr>
      <w:numPr>
        <w:numId w:val="16"/>
      </w:numPr>
    </w:pPr>
  </w:style>
  <w:style w:type="paragraph" w:customStyle="1" w:styleId="TableIndent2Normal">
    <w:name w:val="Table Indent 2 Normal"/>
    <w:basedOn w:val="TableIndent1Normal"/>
    <w:rsid w:val="008D4477"/>
    <w:pPr>
      <w:ind w:left="567"/>
    </w:pPr>
  </w:style>
  <w:style w:type="paragraph" w:customStyle="1" w:styleId="TableIndent2Small">
    <w:name w:val="Table Indent 2 Small"/>
    <w:basedOn w:val="TableIndent1Small"/>
    <w:rsid w:val="00461AF8"/>
    <w:pPr>
      <w:ind w:left="567"/>
    </w:pPr>
    <w:rPr>
      <w:szCs w:val="16"/>
    </w:rPr>
  </w:style>
  <w:style w:type="paragraph" w:customStyle="1" w:styleId="KeySentence">
    <w:name w:val="Key Sentence"/>
    <w:basedOn w:val="Normal"/>
    <w:rsid w:val="00A86844"/>
    <w:pPr>
      <w:spacing w:after="160" w:line="260" w:lineRule="atLeast"/>
    </w:pPr>
    <w:rPr>
      <w:i/>
      <w:color w:val="A32020" w:themeColor="text2"/>
      <w:sz w:val="16"/>
      <w:szCs w:val="18"/>
    </w:rPr>
  </w:style>
  <w:style w:type="numbering" w:customStyle="1" w:styleId="TableNumberedListS">
    <w:name w:val="Table Numbered List S"/>
    <w:rsid w:val="008D4477"/>
  </w:style>
  <w:style w:type="paragraph" w:customStyle="1" w:styleId="PrefaceTitle">
    <w:name w:val="Preface Title"/>
    <w:basedOn w:val="Heading2"/>
    <w:next w:val="PwCNormal"/>
    <w:rsid w:val="00C75673"/>
    <w:pPr>
      <w:numPr>
        <w:ilvl w:val="0"/>
        <w:numId w:val="0"/>
      </w:numPr>
    </w:pPr>
  </w:style>
  <w:style w:type="paragraph" w:customStyle="1" w:styleId="Sources">
    <w:name w:val="Sources"/>
    <w:basedOn w:val="Normal"/>
    <w:next w:val="PwCNormal"/>
    <w:rsid w:val="006742E0"/>
    <w:pPr>
      <w:spacing w:before="80" w:after="240" w:line="180" w:lineRule="atLeast"/>
    </w:pPr>
    <w:rPr>
      <w:color w:val="A32020" w:themeColor="text2"/>
      <w:sz w:val="16"/>
    </w:rPr>
  </w:style>
  <w:style w:type="paragraph" w:customStyle="1" w:styleId="Minorheading">
    <w:name w:val="Minor heading"/>
    <w:basedOn w:val="Majorheading"/>
    <w:next w:val="PwCNormal"/>
    <w:rsid w:val="003C52DC"/>
    <w:pPr>
      <w:spacing w:line="180" w:lineRule="atLeast"/>
    </w:pPr>
    <w:rPr>
      <w:b w:val="0"/>
      <w:sz w:val="26"/>
    </w:rPr>
  </w:style>
  <w:style w:type="paragraph" w:customStyle="1" w:styleId="Minorheading2">
    <w:name w:val="Minor heading 2"/>
    <w:basedOn w:val="Minorheading"/>
    <w:next w:val="PwCNormal"/>
    <w:rsid w:val="00D657FC"/>
    <w:pPr>
      <w:spacing w:line="240" w:lineRule="atLeast"/>
    </w:pPr>
    <w:rPr>
      <w:b/>
      <w:i w:val="0"/>
      <w:sz w:val="20"/>
    </w:rPr>
  </w:style>
  <w:style w:type="numbering" w:customStyle="1" w:styleId="PwCListNumbers1">
    <w:name w:val="PwC List Numbers 1"/>
    <w:uiPriority w:val="99"/>
    <w:rsid w:val="0071186F"/>
    <w:pPr>
      <w:numPr>
        <w:numId w:val="13"/>
      </w:numPr>
    </w:pPr>
  </w:style>
  <w:style w:type="paragraph" w:customStyle="1" w:styleId="BlockText3">
    <w:name w:val="Block Text 3"/>
    <w:basedOn w:val="BlockText"/>
    <w:qFormat/>
    <w:rsid w:val="0071186F"/>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kinsoku/>
      <w:overflowPunct/>
      <w:autoSpaceDE/>
      <w:autoSpaceDN/>
      <w:adjustRightInd/>
      <w:snapToGrid/>
      <w:ind w:left="227" w:right="227"/>
    </w:pPr>
    <w:rPr>
      <w:snapToGrid/>
      <w:sz w:val="96"/>
      <w:lang w:val="en-GB"/>
    </w:rPr>
  </w:style>
  <w:style w:type="paragraph" w:customStyle="1" w:styleId="TableBullet2Normal">
    <w:name w:val="Table Bullet 2 Normal"/>
    <w:basedOn w:val="TableBullet1Normal"/>
    <w:rsid w:val="008D4477"/>
    <w:pPr>
      <w:numPr>
        <w:ilvl w:val="1"/>
      </w:numPr>
    </w:pPr>
  </w:style>
  <w:style w:type="paragraph" w:customStyle="1" w:styleId="TableBullet2Small">
    <w:name w:val="Table Bullet 2 Small"/>
    <w:basedOn w:val="TableBullet1Small"/>
    <w:rsid w:val="008D4477"/>
    <w:pPr>
      <w:numPr>
        <w:ilvl w:val="1"/>
      </w:numPr>
    </w:pPr>
  </w:style>
  <w:style w:type="paragraph" w:customStyle="1" w:styleId="TableIndent1Normal">
    <w:name w:val="Table Indent 1 Normal"/>
    <w:basedOn w:val="TableBullet1Normal"/>
    <w:rsid w:val="008D4477"/>
    <w:pPr>
      <w:numPr>
        <w:numId w:val="0"/>
      </w:numPr>
      <w:ind w:left="284"/>
    </w:pPr>
  </w:style>
  <w:style w:type="paragraph" w:customStyle="1" w:styleId="TableIndent1Small">
    <w:name w:val="Table Indent 1 Small"/>
    <w:basedOn w:val="TableBullet1Small"/>
    <w:rsid w:val="00461AF8"/>
    <w:pPr>
      <w:numPr>
        <w:numId w:val="0"/>
      </w:numPr>
      <w:ind w:left="284"/>
    </w:pPr>
  </w:style>
  <w:style w:type="paragraph" w:customStyle="1" w:styleId="SubHeading">
    <w:name w:val="Sub Heading"/>
    <w:basedOn w:val="PwCNormal"/>
    <w:rsid w:val="00930AB8"/>
    <w:pPr>
      <w:spacing w:after="480" w:line="600" w:lineRule="atLeast"/>
    </w:pPr>
    <w:rPr>
      <w:sz w:val="56"/>
    </w:rPr>
  </w:style>
  <w:style w:type="paragraph" w:styleId="FootnoteText">
    <w:name w:val="footnote text"/>
    <w:basedOn w:val="Normal"/>
    <w:link w:val="FootnoteTextChar"/>
    <w:rsid w:val="005F07CE"/>
    <w:pPr>
      <w:tabs>
        <w:tab w:val="left" w:pos="284"/>
      </w:tabs>
      <w:spacing w:before="80" w:after="80"/>
      <w:ind w:left="227" w:hanging="227"/>
    </w:pPr>
    <w:rPr>
      <w:sz w:val="14"/>
    </w:rPr>
  </w:style>
  <w:style w:type="character" w:styleId="FootnoteReference">
    <w:name w:val="footnote reference"/>
    <w:basedOn w:val="DefaultParagraphFont"/>
    <w:uiPriority w:val="99"/>
    <w:rsid w:val="00317710"/>
    <w:rPr>
      <w:rFonts w:cs="Arial"/>
      <w:sz w:val="21"/>
      <w:vertAlign w:val="superscript"/>
    </w:rPr>
  </w:style>
  <w:style w:type="character" w:styleId="EndnoteReference">
    <w:name w:val="endnote reference"/>
    <w:basedOn w:val="DefaultParagraphFont"/>
    <w:semiHidden/>
    <w:unhideWhenUsed/>
    <w:rsid w:val="008D4477"/>
    <w:rPr>
      <w:rFonts w:ascii="Arial" w:hAnsi="Arial" w:cs="Arial"/>
      <w:sz w:val="21"/>
      <w:vertAlign w:val="superscript"/>
    </w:rPr>
  </w:style>
  <w:style w:type="paragraph" w:styleId="EndnoteText">
    <w:name w:val="endnote text"/>
    <w:basedOn w:val="FootnoteText"/>
    <w:semiHidden/>
    <w:unhideWhenUsed/>
    <w:rsid w:val="008D4477"/>
  </w:style>
  <w:style w:type="paragraph" w:customStyle="1" w:styleId="Address">
    <w:name w:val="Address"/>
    <w:basedOn w:val="Normal"/>
    <w:qFormat/>
    <w:rsid w:val="009231BC"/>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table" w:styleId="TableGrid">
    <w:name w:val="Table Grid"/>
    <w:basedOn w:val="TableNormal"/>
    <w:semiHidden/>
    <w:locked/>
    <w:rsid w:val="008D4477"/>
    <w:pPr>
      <w:kinsoku w:val="0"/>
      <w:overflowPunct w:val="0"/>
      <w:autoSpaceDE w:val="0"/>
      <w:autoSpaceDN w:val="0"/>
      <w:adjustRightInd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TOC1"/>
    <w:next w:val="PwCNormal"/>
    <w:uiPriority w:val="39"/>
    <w:rsid w:val="008D4477"/>
    <w:pPr>
      <w:numPr>
        <w:ilvl w:val="2"/>
      </w:numPr>
    </w:pPr>
  </w:style>
  <w:style w:type="paragraph" w:styleId="TOC5">
    <w:name w:val="toc 5"/>
    <w:basedOn w:val="TOC2"/>
    <w:next w:val="PwCNormal"/>
    <w:rsid w:val="008D4477"/>
  </w:style>
  <w:style w:type="paragraph" w:styleId="TOC8">
    <w:name w:val="toc 8"/>
    <w:basedOn w:val="TOC7"/>
    <w:next w:val="PwCNormal"/>
    <w:rsid w:val="008D4477"/>
    <w:pPr>
      <w:tabs>
        <w:tab w:val="clear" w:pos="1985"/>
        <w:tab w:val="left" w:pos="3402"/>
      </w:tabs>
      <w:ind w:left="3403"/>
    </w:pPr>
  </w:style>
  <w:style w:type="paragraph" w:styleId="TOC9">
    <w:name w:val="toc 9"/>
    <w:basedOn w:val="TOC8"/>
    <w:next w:val="PwCNormal"/>
    <w:uiPriority w:val="39"/>
    <w:rsid w:val="008D4477"/>
    <w:pPr>
      <w:tabs>
        <w:tab w:val="clear" w:pos="3402"/>
        <w:tab w:val="left" w:pos="4253"/>
      </w:tabs>
      <w:ind w:left="4253"/>
    </w:pPr>
  </w:style>
  <w:style w:type="paragraph" w:customStyle="1" w:styleId="Separator">
    <w:name w:val="Separator"/>
    <w:basedOn w:val="Normal"/>
    <w:semiHidden/>
    <w:rsid w:val="008D4477"/>
    <w:pPr>
      <w:spacing w:before="240" w:after="120"/>
    </w:pPr>
    <w:rPr>
      <w:sz w:val="16"/>
    </w:rPr>
  </w:style>
  <w:style w:type="numbering" w:customStyle="1" w:styleId="TableNumberedListN">
    <w:name w:val="Table Numbered List N"/>
    <w:rsid w:val="008D4477"/>
  </w:style>
  <w:style w:type="paragraph" w:customStyle="1" w:styleId="TableColumnHeadingNormal">
    <w:name w:val="Table Column Heading Normal"/>
    <w:basedOn w:val="TableTextNormal"/>
    <w:rsid w:val="000B319E"/>
    <w:pPr>
      <w:keepNext/>
      <w:keepLines/>
    </w:pPr>
    <w:rPr>
      <w:b/>
      <w:color w:val="A32020" w:themeColor="text2"/>
    </w:rPr>
  </w:style>
  <w:style w:type="paragraph" w:customStyle="1" w:styleId="TableColumnHeadingSmall">
    <w:name w:val="Table Column Heading Small"/>
    <w:basedOn w:val="TableTextSmall"/>
    <w:next w:val="TableTextSmall"/>
    <w:rsid w:val="00053B82"/>
    <w:pPr>
      <w:keepNext/>
      <w:keepLines/>
    </w:pPr>
    <w:rPr>
      <w:b/>
      <w:color w:val="A32020" w:themeColor="text2"/>
      <w:szCs w:val="16"/>
    </w:rPr>
  </w:style>
  <w:style w:type="numbering" w:customStyle="1" w:styleId="TableBulletSmallList">
    <w:name w:val="Table Bullet Small List"/>
    <w:rsid w:val="0021094E"/>
    <w:pPr>
      <w:numPr>
        <w:numId w:val="3"/>
      </w:numPr>
    </w:pPr>
  </w:style>
  <w:style w:type="paragraph" w:customStyle="1" w:styleId="Header-Landscape">
    <w:name w:val="Header - Landscape"/>
    <w:basedOn w:val="Header"/>
    <w:rsid w:val="008D4477"/>
  </w:style>
  <w:style w:type="character" w:styleId="PageNumber">
    <w:name w:val="page number"/>
    <w:semiHidden/>
    <w:unhideWhenUsed/>
    <w:rsid w:val="008D4477"/>
  </w:style>
  <w:style w:type="paragraph" w:styleId="Date">
    <w:name w:val="Date"/>
    <w:basedOn w:val="Normal"/>
    <w:next w:val="PwCNormal"/>
    <w:semiHidden/>
    <w:rsid w:val="008D4477"/>
  </w:style>
  <w:style w:type="paragraph" w:customStyle="1" w:styleId="Indent8">
    <w:name w:val="Indent 8"/>
    <w:basedOn w:val="Indent7"/>
    <w:rsid w:val="00931F8A"/>
    <w:pPr>
      <w:numPr>
        <w:ilvl w:val="8"/>
      </w:numPr>
    </w:pPr>
  </w:style>
  <w:style w:type="paragraph" w:customStyle="1" w:styleId="Header-LandscapeEven">
    <w:name w:val="Header - Landscape Even"/>
    <w:basedOn w:val="Header-Landscape"/>
    <w:rsid w:val="008D4477"/>
    <w:pPr>
      <w:tabs>
        <w:tab w:val="right" w:pos="14661"/>
      </w:tabs>
    </w:pPr>
  </w:style>
  <w:style w:type="paragraph" w:customStyle="1" w:styleId="Footer-ToC">
    <w:name w:val="Footer - ToC"/>
    <w:basedOn w:val="Footer"/>
    <w:rsid w:val="0064358E"/>
  </w:style>
  <w:style w:type="paragraph" w:customStyle="1" w:styleId="Footer-ToCEven">
    <w:name w:val="Footer - ToC Even"/>
    <w:basedOn w:val="Footer-ToC"/>
    <w:rsid w:val="00BB4286"/>
  </w:style>
  <w:style w:type="table" w:customStyle="1" w:styleId="Tables-APBase">
    <w:name w:val="Tables - AP Base"/>
    <w:basedOn w:val="TableNormal"/>
    <w:rsid w:val="00A87947"/>
    <w:tblPr>
      <w:tblStyleRowBandSize w:val="1"/>
      <w:tblStyleColBandSize w:val="1"/>
      <w:tblInd w:w="0" w:type="dxa"/>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CellMar>
        <w:top w:w="0" w:type="dxa"/>
        <w:left w:w="108" w:type="dxa"/>
        <w:bottom w:w="0" w:type="dxa"/>
        <w:right w:w="108" w:type="dxa"/>
      </w:tblCellMar>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A32020" w:themeColor="text2"/>
          <w:bottom w:val="single" w:sz="4" w:space="0" w:color="A32020" w:themeColor="text2"/>
        </w:tcBorders>
      </w:tcPr>
    </w:tblStylePr>
    <w:tblStylePr w:type="lastRow">
      <w:rPr>
        <w:color w:val="auto"/>
      </w:rPr>
      <w:tblPr/>
      <w:tcPr>
        <w:tcBorders>
          <w:top w:val="single" w:sz="4" w:space="0" w:color="A32020"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rsid w:val="00C70AB2"/>
    <w:pPr>
      <w:pBdr>
        <w:bottom w:val="none" w:sz="0" w:space="0" w:color="00457C"/>
      </w:pBdr>
    </w:pPr>
    <w:rPr>
      <w:i/>
      <w:color w:val="A32020" w:themeColor="text2"/>
      <w:sz w:val="24"/>
      <w:szCs w:val="24"/>
    </w:rPr>
  </w:style>
  <w:style w:type="paragraph" w:customStyle="1" w:styleId="ListBullet1">
    <w:name w:val="List Bullet 1"/>
    <w:basedOn w:val="Normal"/>
    <w:semiHidden/>
    <w:locked/>
    <w:rsid w:val="006C1EC2"/>
    <w:pPr>
      <w:tabs>
        <w:tab w:val="num" w:pos="720"/>
      </w:tabs>
      <w:spacing w:before="100" w:after="100"/>
      <w:ind w:left="720" w:hanging="720"/>
    </w:pPr>
  </w:style>
  <w:style w:type="paragraph" w:styleId="ListBullet2">
    <w:name w:val="List Bullet 2"/>
    <w:basedOn w:val="ListBullet1"/>
    <w:qFormat/>
    <w:locked/>
    <w:rsid w:val="00CC25DA"/>
    <w:pPr>
      <w:numPr>
        <w:ilvl w:val="1"/>
        <w:numId w:val="5"/>
      </w:numPr>
      <w:spacing w:before="0" w:after="240"/>
    </w:pPr>
  </w:style>
  <w:style w:type="paragraph" w:styleId="ListBullet4">
    <w:name w:val="List Bullet 4"/>
    <w:basedOn w:val="ListBullet3"/>
    <w:unhideWhenUsed/>
    <w:locked/>
    <w:rsid w:val="00F614AA"/>
    <w:pPr>
      <w:numPr>
        <w:ilvl w:val="3"/>
      </w:numPr>
    </w:pPr>
  </w:style>
  <w:style w:type="paragraph" w:customStyle="1" w:styleId="CVBullet1">
    <w:name w:val="CV Bullet 1"/>
    <w:basedOn w:val="CVText"/>
    <w:rsid w:val="00C72147"/>
    <w:pPr>
      <w:numPr>
        <w:numId w:val="10"/>
      </w:numPr>
      <w:spacing w:before="40" w:after="40"/>
    </w:pPr>
  </w:style>
  <w:style w:type="paragraph" w:customStyle="1" w:styleId="CVDetails">
    <w:name w:val="CV Details"/>
    <w:basedOn w:val="CVRoleTitle"/>
    <w:rsid w:val="001226BE"/>
    <w:pPr>
      <w:spacing w:before="120" w:after="40"/>
    </w:pPr>
    <w:rPr>
      <w:sz w:val="14"/>
    </w:rPr>
  </w:style>
  <w:style w:type="paragraph" w:customStyle="1" w:styleId="CVHeading2">
    <w:name w:val="CV Heading 2"/>
    <w:basedOn w:val="CVHeading1"/>
    <w:next w:val="CVText"/>
    <w:rsid w:val="00EF71C9"/>
    <w:pPr>
      <w:pBdr>
        <w:bottom w:val="none" w:sz="0" w:space="0" w:color="00457C"/>
      </w:pBdr>
    </w:pPr>
    <w:rPr>
      <w:b w:val="0"/>
      <w:sz w:val="18"/>
      <w:szCs w:val="24"/>
    </w:rPr>
  </w:style>
  <w:style w:type="paragraph" w:styleId="ListBullet3">
    <w:name w:val="List Bullet 3"/>
    <w:basedOn w:val="ListBullet2"/>
    <w:qFormat/>
    <w:locked/>
    <w:rsid w:val="00CC25DA"/>
    <w:pPr>
      <w:numPr>
        <w:ilvl w:val="2"/>
      </w:numPr>
    </w:pPr>
  </w:style>
  <w:style w:type="paragraph" w:customStyle="1" w:styleId="CVHeading1">
    <w:name w:val="CV Heading 1"/>
    <w:basedOn w:val="CVText"/>
    <w:next w:val="CVText"/>
    <w:rsid w:val="00C70AB2"/>
    <w:pPr>
      <w:keepNext/>
      <w:keepLines/>
      <w:spacing w:before="120"/>
    </w:pPr>
    <w:rPr>
      <w:b/>
      <w:i/>
      <w:color w:val="A32020" w:themeColor="text2"/>
    </w:rPr>
  </w:style>
  <w:style w:type="paragraph" w:customStyle="1" w:styleId="CVPhoto">
    <w:name w:val="CV Photo"/>
    <w:basedOn w:val="CVHeading2"/>
    <w:rsid w:val="00C70AB2"/>
    <w:rPr>
      <w:sz w:val="21"/>
    </w:rPr>
  </w:style>
  <w:style w:type="paragraph" w:customStyle="1" w:styleId="CVText">
    <w:name w:val="CV Text"/>
    <w:basedOn w:val="PwCNormal"/>
    <w:rsid w:val="00C72147"/>
    <w:pPr>
      <w:numPr>
        <w:numId w:val="0"/>
      </w:numPr>
      <w:spacing w:before="80" w:after="80"/>
    </w:pPr>
  </w:style>
  <w:style w:type="paragraph" w:customStyle="1" w:styleId="CVNamelarge">
    <w:name w:val="CV Name large"/>
    <w:basedOn w:val="CVText"/>
    <w:next w:val="CVRoleTitle"/>
    <w:rsid w:val="00C70AB2"/>
    <w:pPr>
      <w:spacing w:before="0"/>
    </w:pPr>
    <w:rPr>
      <w:b/>
      <w:i/>
      <w:color w:val="A32020" w:themeColor="text2"/>
      <w:sz w:val="36"/>
      <w:szCs w:val="24"/>
    </w:rPr>
  </w:style>
  <w:style w:type="paragraph" w:customStyle="1" w:styleId="CVBullet2">
    <w:name w:val="CV Bullet 2"/>
    <w:basedOn w:val="CVBullet1"/>
    <w:rsid w:val="008D4477"/>
    <w:pPr>
      <w:numPr>
        <w:ilvl w:val="1"/>
      </w:numPr>
    </w:pPr>
  </w:style>
  <w:style w:type="paragraph" w:styleId="Title">
    <w:name w:val="Title"/>
    <w:basedOn w:val="Normal"/>
    <w:semiHidden/>
    <w:qFormat/>
    <w:rsid w:val="008D4477"/>
    <w:pPr>
      <w:spacing w:before="240" w:after="60"/>
      <w:jc w:val="center"/>
      <w:outlineLvl w:val="0"/>
    </w:pPr>
    <w:rPr>
      <w:b/>
      <w:bCs/>
      <w:color w:val="A32020" w:themeColor="text2"/>
      <w:kern w:val="28"/>
      <w:sz w:val="32"/>
      <w:szCs w:val="32"/>
    </w:rPr>
  </w:style>
  <w:style w:type="paragraph" w:styleId="BalloonText">
    <w:name w:val="Balloon Text"/>
    <w:basedOn w:val="Normal"/>
    <w:semiHidden/>
    <w:locked/>
    <w:rsid w:val="008D4477"/>
    <w:rPr>
      <w:rFonts w:ascii="Tahoma" w:hAnsi="Tahoma"/>
      <w:sz w:val="16"/>
      <w:szCs w:val="16"/>
    </w:rPr>
  </w:style>
  <w:style w:type="numbering" w:customStyle="1" w:styleId="Style1">
    <w:name w:val="Style1"/>
    <w:uiPriority w:val="99"/>
    <w:rsid w:val="00D424C7"/>
    <w:pPr>
      <w:numPr>
        <w:numId w:val="24"/>
      </w:numPr>
    </w:pPr>
  </w:style>
  <w:style w:type="numbering" w:customStyle="1" w:styleId="IndentList">
    <w:name w:val="IndentList"/>
    <w:basedOn w:val="NoList"/>
    <w:rsid w:val="008D4477"/>
  </w:style>
  <w:style w:type="paragraph" w:customStyle="1" w:styleId="VersionControl">
    <w:name w:val="Version Control"/>
    <w:basedOn w:val="TOCtitle"/>
    <w:unhideWhenUsed/>
    <w:rsid w:val="007D1C0E"/>
    <w:pPr>
      <w:pageBreakBefore w:val="0"/>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3779E0"/>
    <w:pPr>
      <w:framePr w:wrap="around"/>
    </w:pPr>
  </w:style>
  <w:style w:type="paragraph" w:customStyle="1" w:styleId="VersionTableText">
    <w:name w:val="Version Table Text"/>
    <w:basedOn w:val="VersionControl"/>
    <w:unhideWhenUsed/>
    <w:rsid w:val="003779E0"/>
    <w:pPr>
      <w:framePr w:wrap="around"/>
      <w:spacing w:before="80" w:after="80" w:line="240" w:lineRule="auto"/>
      <w:outlineLvl w:val="9"/>
    </w:pPr>
    <w:rPr>
      <w:rFonts w:ascii="Georgia" w:hAnsi="Georgia"/>
      <w:sz w:val="21"/>
      <w:szCs w:val="20"/>
    </w:rPr>
  </w:style>
  <w:style w:type="table" w:customStyle="1" w:styleId="Tables-APBase2">
    <w:name w:val="Tables - AP Base 2"/>
    <w:basedOn w:val="Tables-APBase"/>
    <w:uiPriority w:val="99"/>
    <w:qFormat/>
    <w:rsid w:val="003779E0"/>
    <w:tblPr>
      <w:tblStyleRowBandSize w:val="1"/>
      <w:tblStyleColBandSize w:val="1"/>
      <w:tblInd w:w="0" w:type="dxa"/>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CellMar>
        <w:top w:w="0" w:type="dxa"/>
        <w:left w:w="108" w:type="dxa"/>
        <w:bottom w:w="0" w:type="dxa"/>
        <w:right w:w="108" w:type="dxa"/>
      </w:tblCellMar>
    </w:tblPr>
    <w:tcPr>
      <w:shd w:val="clear" w:color="auto" w:fill="auto"/>
      <w:tcMar>
        <w:top w:w="0" w:type="dxa"/>
        <w:left w:w="108" w:type="dxa"/>
        <w:bottom w:w="0" w:type="dxa"/>
        <w:right w:w="108" w:type="dxa"/>
      </w:tcMar>
    </w:tcPr>
    <w:tblStylePr w:type="firstRow">
      <w:pPr>
        <w:jc w:val="center"/>
      </w:pPr>
      <w:rPr>
        <w:rFonts w:asciiTheme="minorHAnsi" w:hAnsiTheme="minorHAnsi"/>
        <w:b/>
        <w:color w:val="FFFFFF" w:themeColor="background2"/>
      </w:rPr>
      <w:tblPr/>
      <w:trPr>
        <w:tblHeader/>
      </w:trPr>
      <w:tcPr>
        <w:tcBorders>
          <w:top w:val="single" w:sz="4" w:space="0" w:color="A32020" w:themeColor="text2"/>
          <w:bottom w:val="single" w:sz="4" w:space="0" w:color="A32020" w:themeColor="text2"/>
        </w:tcBorders>
        <w:shd w:val="clear" w:color="auto" w:fill="A32020" w:themeFill="text2"/>
        <w:vAlign w:val="bottom"/>
      </w:tcPr>
    </w:tblStylePr>
    <w:tblStylePr w:type="lastRow">
      <w:rPr>
        <w:color w:val="FFFFFF" w:themeColor="background1"/>
      </w:rPr>
      <w:tblPr/>
      <w:tcPr>
        <w:tcBorders>
          <w:top w:val="single" w:sz="4" w:space="0" w:color="A32020" w:themeColor="text2"/>
        </w:tcBorders>
        <w:shd w:val="clear" w:color="auto" w:fill="A32020" w:themeFill="text2"/>
      </w:tcPr>
    </w:tblStylePr>
    <w:tblStylePr w:type="firstCol">
      <w:tblPr/>
      <w:tcPr>
        <w:shd w:val="clear" w:color="auto" w:fill="FFFFFF" w:themeFill="background2"/>
      </w:tcPr>
    </w:tblStylePr>
    <w:tblStylePr w:type="lastCol">
      <w:tblPr/>
      <w:tcPr>
        <w:shd w:val="clear" w:color="auto" w:fill="FFFFFF" w:themeFill="background2"/>
      </w:tcPr>
    </w:tblStylePr>
    <w:tblStylePr w:type="band2Vert">
      <w:tblPr/>
      <w:tcPr>
        <w:shd w:val="clear" w:color="auto" w:fill="F4CACA" w:themeFill="text2" w:themeFillTint="33"/>
      </w:tcPr>
    </w:tblStylePr>
    <w:tblStylePr w:type="band2Horz">
      <w:tblPr/>
      <w:tcPr>
        <w:shd w:val="clear" w:color="auto" w:fill="F4CACA" w:themeFill="text2" w:themeFillTint="33"/>
      </w:tcPr>
    </w:tblStylePr>
    <w:tblStylePr w:type="nwCell">
      <w:pPr>
        <w:jc w:val="left"/>
      </w:pPr>
      <w:tblPr/>
      <w:tcPr>
        <w:shd w:val="clear" w:color="auto" w:fill="FFFFFF" w:themeFill="background1"/>
        <w:vAlign w:val="bottom"/>
      </w:tcPr>
    </w:tblStylePr>
  </w:style>
  <w:style w:type="character" w:customStyle="1" w:styleId="HeaderChar">
    <w:name w:val="Header Char"/>
    <w:basedOn w:val="DefaultParagraphFont"/>
    <w:link w:val="Header"/>
    <w:locked/>
    <w:rsid w:val="00B376A6"/>
    <w:rPr>
      <w:rFonts w:ascii="Arial" w:hAnsi="Arial" w:cs="Arial"/>
      <w:snapToGrid w:val="0"/>
      <w:color w:val="000000" w:themeColor="text1"/>
      <w:sz w:val="19"/>
      <w:szCs w:val="18"/>
      <w:lang w:eastAsia="en-US"/>
    </w:rPr>
  </w:style>
  <w:style w:type="character" w:customStyle="1" w:styleId="FooterChar">
    <w:name w:val="Footer Char"/>
    <w:basedOn w:val="DefaultParagraphFont"/>
    <w:link w:val="Footer"/>
    <w:locked/>
    <w:rsid w:val="00B376A6"/>
    <w:rPr>
      <w:rFonts w:ascii="Arial" w:hAnsi="Arial" w:cs="Arial"/>
      <w:snapToGrid w:val="0"/>
      <w:color w:val="000000" w:themeColor="text1"/>
      <w:sz w:val="19"/>
      <w:szCs w:val="18"/>
      <w:lang w:eastAsia="en-US"/>
    </w:rPr>
  </w:style>
  <w:style w:type="paragraph" w:customStyle="1" w:styleId="Header-FirstPage">
    <w:name w:val="Header - First Page"/>
    <w:basedOn w:val="Header"/>
    <w:rsid w:val="008D4477"/>
  </w:style>
  <w:style w:type="paragraph" w:customStyle="1" w:styleId="Appendicestitle">
    <w:name w:val="Appendices title"/>
    <w:basedOn w:val="TOCtitle"/>
    <w:qFormat/>
    <w:rsid w:val="00D424C7"/>
    <w:pPr>
      <w:pageBreakBefore w:val="0"/>
      <w:numPr>
        <w:ilvl w:val="1"/>
        <w:numId w:val="24"/>
      </w:numPr>
    </w:pPr>
  </w:style>
  <w:style w:type="numbering" w:customStyle="1" w:styleId="CVBullets">
    <w:name w:val="CV Bullets"/>
    <w:uiPriority w:val="99"/>
    <w:rsid w:val="0021094E"/>
    <w:pPr>
      <w:numPr>
        <w:numId w:val="8"/>
      </w:numPr>
    </w:pPr>
  </w:style>
  <w:style w:type="paragraph" w:styleId="DocumentMap">
    <w:name w:val="Document Map"/>
    <w:basedOn w:val="Normal"/>
    <w:link w:val="DocumentMapChar"/>
    <w:semiHidden/>
    <w:rsid w:val="00235653"/>
    <w:rPr>
      <w:rFonts w:ascii="Tahoma" w:hAnsi="Tahoma" w:cs="Tahoma"/>
      <w:sz w:val="16"/>
      <w:szCs w:val="16"/>
    </w:rPr>
  </w:style>
  <w:style w:type="character" w:customStyle="1" w:styleId="DocumentMapChar">
    <w:name w:val="Document Map Char"/>
    <w:basedOn w:val="DefaultParagraphFont"/>
    <w:link w:val="DocumentMap"/>
    <w:semiHidden/>
    <w:rsid w:val="00235653"/>
    <w:rPr>
      <w:rFonts w:ascii="Tahoma" w:hAnsi="Tahoma" w:cs="Tahoma"/>
      <w:snapToGrid w:val="0"/>
      <w:sz w:val="16"/>
      <w:szCs w:val="16"/>
      <w:lang w:eastAsia="en-US"/>
    </w:rPr>
  </w:style>
  <w:style w:type="table" w:styleId="TableGrid1">
    <w:name w:val="Table Grid 1"/>
    <w:basedOn w:val="TableNormal"/>
    <w:semiHidden/>
    <w:locked/>
    <w:rsid w:val="00CC1D52"/>
    <w:pPr>
      <w:kinsoku w:val="0"/>
      <w:overflowPunct w:val="0"/>
      <w:autoSpaceDE w:val="0"/>
      <w:autoSpaceDN w:val="0"/>
      <w:adjustRightInd w:val="0"/>
      <w:snapToGri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CC1D52"/>
    <w:pPr>
      <w:kinsoku w:val="0"/>
      <w:overflowPunct w:val="0"/>
      <w:autoSpaceDE w:val="0"/>
      <w:autoSpaceDN w:val="0"/>
      <w:adjustRightInd w:val="0"/>
      <w:snapToGrid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CC1D52"/>
    <w:pPr>
      <w:kinsoku w:val="0"/>
      <w:overflowPunct w:val="0"/>
      <w:autoSpaceDE w:val="0"/>
      <w:autoSpaceDN w:val="0"/>
      <w:adjustRightInd w:val="0"/>
      <w:snapToGrid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CC1D52"/>
    <w:pPr>
      <w:kinsoku w:val="0"/>
      <w:overflowPunct w:val="0"/>
      <w:autoSpaceDE w:val="0"/>
      <w:autoSpaceDN w:val="0"/>
      <w:adjustRightInd w:val="0"/>
      <w:snapToGrid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CC1D52"/>
    <w:pPr>
      <w:kinsoku w:val="0"/>
      <w:overflowPunct w:val="0"/>
      <w:autoSpaceDE w:val="0"/>
      <w:autoSpaceDN w:val="0"/>
      <w:adjustRightInd w:val="0"/>
      <w:snapToGrid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CC1D52"/>
    <w:pPr>
      <w:kinsoku w:val="0"/>
      <w:overflowPunct w:val="0"/>
      <w:autoSpaceDE w:val="0"/>
      <w:autoSpaceDN w:val="0"/>
      <w:adjustRightInd w:val="0"/>
      <w:snapToGrid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locked/>
    <w:rsid w:val="00020F7F"/>
    <w:pPr>
      <w:kinsoku w:val="0"/>
      <w:overflowPunct w:val="0"/>
      <w:autoSpaceDE w:val="0"/>
      <w:autoSpaceDN w:val="0"/>
      <w:adjustRightInd w:val="0"/>
      <w:snapToGrid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CC1D52"/>
    <w:pPr>
      <w:kinsoku w:val="0"/>
      <w:overflowPunct w:val="0"/>
      <w:autoSpaceDE w:val="0"/>
      <w:autoSpaceDN w:val="0"/>
      <w:adjustRightInd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croText">
    <w:name w:val="macro"/>
    <w:link w:val="MacroTextChar"/>
    <w:unhideWhenUsed/>
    <w:locked/>
    <w:rsid w:val="001E6A5E"/>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1E6A5E"/>
    <w:rPr>
      <w:rFonts w:ascii="Consolas" w:hAnsi="Consolas" w:cs="Arial"/>
      <w:snapToGrid w:val="0"/>
      <w:sz w:val="20"/>
      <w:szCs w:val="20"/>
      <w:lang w:eastAsia="en-US"/>
    </w:rPr>
  </w:style>
  <w:style w:type="paragraph" w:styleId="Bibliography">
    <w:name w:val="Bibliography"/>
    <w:basedOn w:val="Normal"/>
    <w:next w:val="Normal"/>
    <w:uiPriority w:val="37"/>
    <w:semiHidden/>
    <w:locked/>
    <w:rsid w:val="007D1C0E"/>
  </w:style>
  <w:style w:type="paragraph" w:styleId="BlockText">
    <w:name w:val="Block Text"/>
    <w:basedOn w:val="Normal"/>
    <w:qFormat/>
    <w:rsid w:val="0071186F"/>
    <w:pPr>
      <w:spacing w:after="240"/>
    </w:pPr>
    <w:rPr>
      <w:rFonts w:eastAsiaTheme="minorEastAsia" w:cstheme="minorBidi"/>
      <w:b/>
      <w:i/>
      <w:iCs/>
      <w:color w:val="A32020" w:themeColor="accent1"/>
      <w:sz w:val="48"/>
    </w:rPr>
  </w:style>
  <w:style w:type="paragraph" w:styleId="BodyText">
    <w:name w:val="Body Text"/>
    <w:basedOn w:val="Normal"/>
    <w:link w:val="BodyTextChar"/>
    <w:qFormat/>
    <w:locked/>
    <w:rsid w:val="007D1C0E"/>
    <w:pPr>
      <w:spacing w:after="120"/>
    </w:pPr>
  </w:style>
  <w:style w:type="character" w:customStyle="1" w:styleId="BodyTextChar">
    <w:name w:val="Body Text Char"/>
    <w:basedOn w:val="DefaultParagraphFont"/>
    <w:link w:val="BodyText"/>
    <w:rsid w:val="007D1C0E"/>
    <w:rPr>
      <w:rFonts w:ascii="Georgia" w:hAnsi="Georgia" w:cs="Arial"/>
      <w:snapToGrid w:val="0"/>
      <w:sz w:val="20"/>
      <w:lang w:eastAsia="en-US"/>
    </w:rPr>
  </w:style>
  <w:style w:type="paragraph" w:styleId="BodyText2">
    <w:name w:val="Body Text 2"/>
    <w:basedOn w:val="Normal"/>
    <w:link w:val="BodyText2Char"/>
    <w:semiHidden/>
    <w:locked/>
    <w:rsid w:val="007D1C0E"/>
    <w:pPr>
      <w:spacing w:after="120" w:line="480" w:lineRule="auto"/>
    </w:pPr>
  </w:style>
  <w:style w:type="character" w:customStyle="1" w:styleId="BodyText2Char">
    <w:name w:val="Body Text 2 Char"/>
    <w:basedOn w:val="DefaultParagraphFont"/>
    <w:link w:val="BodyText2"/>
    <w:semiHidden/>
    <w:rsid w:val="007D1C0E"/>
    <w:rPr>
      <w:rFonts w:ascii="Georgia" w:hAnsi="Georgia" w:cs="Arial"/>
      <w:snapToGrid w:val="0"/>
      <w:sz w:val="20"/>
      <w:lang w:eastAsia="en-US"/>
    </w:rPr>
  </w:style>
  <w:style w:type="paragraph" w:styleId="BodyText3">
    <w:name w:val="Body Text 3"/>
    <w:basedOn w:val="Normal"/>
    <w:link w:val="BodyText3Char"/>
    <w:semiHidden/>
    <w:locked/>
    <w:rsid w:val="007D1C0E"/>
    <w:pPr>
      <w:spacing w:after="120"/>
    </w:pPr>
    <w:rPr>
      <w:sz w:val="16"/>
      <w:szCs w:val="16"/>
    </w:rPr>
  </w:style>
  <w:style w:type="character" w:customStyle="1" w:styleId="BodyText3Char">
    <w:name w:val="Body Text 3 Char"/>
    <w:basedOn w:val="DefaultParagraphFont"/>
    <w:link w:val="BodyText3"/>
    <w:semiHidden/>
    <w:rsid w:val="007D1C0E"/>
    <w:rPr>
      <w:rFonts w:ascii="Georgia" w:hAnsi="Georgia" w:cs="Arial"/>
      <w:snapToGrid w:val="0"/>
      <w:sz w:val="16"/>
      <w:szCs w:val="16"/>
      <w:lang w:eastAsia="en-US"/>
    </w:rPr>
  </w:style>
  <w:style w:type="paragraph" w:styleId="BodyTextFirstIndent">
    <w:name w:val="Body Text First Indent"/>
    <w:basedOn w:val="BodyText"/>
    <w:link w:val="BodyTextFirstIndentChar"/>
    <w:semiHidden/>
    <w:locked/>
    <w:rsid w:val="007D1C0E"/>
    <w:pPr>
      <w:spacing w:after="0"/>
      <w:ind w:firstLine="360"/>
    </w:pPr>
  </w:style>
  <w:style w:type="character" w:customStyle="1" w:styleId="BodyTextFirstIndentChar">
    <w:name w:val="Body Text First Indent Char"/>
    <w:basedOn w:val="BodyTextChar"/>
    <w:link w:val="BodyTextFirstIndent"/>
    <w:semiHidden/>
    <w:rsid w:val="007D1C0E"/>
    <w:rPr>
      <w:rFonts w:ascii="Georgia" w:hAnsi="Georgia" w:cs="Arial"/>
      <w:snapToGrid w:val="0"/>
      <w:sz w:val="20"/>
      <w:lang w:eastAsia="en-US"/>
    </w:rPr>
  </w:style>
  <w:style w:type="paragraph" w:styleId="BodyTextIndent">
    <w:name w:val="Body Text Indent"/>
    <w:basedOn w:val="Normal"/>
    <w:link w:val="BodyTextIndentChar"/>
    <w:semiHidden/>
    <w:locked/>
    <w:rsid w:val="007D1C0E"/>
    <w:pPr>
      <w:spacing w:after="120"/>
      <w:ind w:left="283"/>
    </w:pPr>
  </w:style>
  <w:style w:type="character" w:customStyle="1" w:styleId="BodyTextIndentChar">
    <w:name w:val="Body Text Indent Char"/>
    <w:basedOn w:val="DefaultParagraphFont"/>
    <w:link w:val="BodyTextIndent"/>
    <w:semiHidden/>
    <w:rsid w:val="007D1C0E"/>
    <w:rPr>
      <w:rFonts w:ascii="Georgia" w:hAnsi="Georgia" w:cs="Arial"/>
      <w:snapToGrid w:val="0"/>
      <w:sz w:val="20"/>
      <w:lang w:eastAsia="en-US"/>
    </w:rPr>
  </w:style>
  <w:style w:type="paragraph" w:styleId="BodyTextFirstIndent2">
    <w:name w:val="Body Text First Indent 2"/>
    <w:basedOn w:val="BodyTextIndent"/>
    <w:link w:val="BodyTextFirstIndent2Char"/>
    <w:semiHidden/>
    <w:locked/>
    <w:rsid w:val="007D1C0E"/>
    <w:pPr>
      <w:spacing w:after="0"/>
      <w:ind w:left="360" w:firstLine="360"/>
    </w:pPr>
  </w:style>
  <w:style w:type="character" w:customStyle="1" w:styleId="BodyTextFirstIndent2Char">
    <w:name w:val="Body Text First Indent 2 Char"/>
    <w:basedOn w:val="BodyTextIndentChar"/>
    <w:link w:val="BodyTextFirstIndent2"/>
    <w:semiHidden/>
    <w:rsid w:val="007D1C0E"/>
    <w:rPr>
      <w:rFonts w:ascii="Georgia" w:hAnsi="Georgia" w:cs="Arial"/>
      <w:snapToGrid w:val="0"/>
      <w:sz w:val="20"/>
      <w:lang w:eastAsia="en-US"/>
    </w:rPr>
  </w:style>
  <w:style w:type="paragraph" w:styleId="BodyTextIndent2">
    <w:name w:val="Body Text Indent 2"/>
    <w:basedOn w:val="Normal"/>
    <w:link w:val="BodyTextIndent2Char"/>
    <w:semiHidden/>
    <w:locked/>
    <w:rsid w:val="007D1C0E"/>
    <w:pPr>
      <w:spacing w:after="120" w:line="480" w:lineRule="auto"/>
      <w:ind w:left="283"/>
    </w:pPr>
  </w:style>
  <w:style w:type="character" w:customStyle="1" w:styleId="BodyTextIndent2Char">
    <w:name w:val="Body Text Indent 2 Char"/>
    <w:basedOn w:val="DefaultParagraphFont"/>
    <w:link w:val="BodyTextIndent2"/>
    <w:semiHidden/>
    <w:rsid w:val="007D1C0E"/>
    <w:rPr>
      <w:rFonts w:ascii="Georgia" w:hAnsi="Georgia" w:cs="Arial"/>
      <w:snapToGrid w:val="0"/>
      <w:sz w:val="20"/>
      <w:lang w:eastAsia="en-US"/>
    </w:rPr>
  </w:style>
  <w:style w:type="paragraph" w:styleId="BodyTextIndent3">
    <w:name w:val="Body Text Indent 3"/>
    <w:basedOn w:val="Normal"/>
    <w:link w:val="BodyTextIndent3Char"/>
    <w:semiHidden/>
    <w:locked/>
    <w:rsid w:val="007D1C0E"/>
    <w:pPr>
      <w:spacing w:after="120"/>
      <w:ind w:left="283"/>
    </w:pPr>
    <w:rPr>
      <w:sz w:val="16"/>
      <w:szCs w:val="16"/>
    </w:rPr>
  </w:style>
  <w:style w:type="character" w:customStyle="1" w:styleId="BodyTextIndent3Char">
    <w:name w:val="Body Text Indent 3 Char"/>
    <w:basedOn w:val="DefaultParagraphFont"/>
    <w:link w:val="BodyTextIndent3"/>
    <w:semiHidden/>
    <w:rsid w:val="007D1C0E"/>
    <w:rPr>
      <w:rFonts w:ascii="Georgia" w:hAnsi="Georgia" w:cs="Arial"/>
      <w:snapToGrid w:val="0"/>
      <w:sz w:val="16"/>
      <w:szCs w:val="16"/>
      <w:lang w:eastAsia="en-US"/>
    </w:rPr>
  </w:style>
  <w:style w:type="character" w:styleId="BookTitle">
    <w:name w:val="Book Title"/>
    <w:basedOn w:val="DefaultParagraphFont"/>
    <w:uiPriority w:val="33"/>
    <w:semiHidden/>
    <w:qFormat/>
    <w:locked/>
    <w:rsid w:val="007D1C0E"/>
    <w:rPr>
      <w:rFonts w:ascii="Georgia" w:hAnsi="Georgia"/>
      <w:b/>
      <w:bCs/>
      <w:smallCaps/>
      <w:spacing w:val="5"/>
    </w:rPr>
  </w:style>
  <w:style w:type="paragraph" w:styleId="Closing">
    <w:name w:val="Closing"/>
    <w:basedOn w:val="Normal"/>
    <w:link w:val="ClosingChar"/>
    <w:semiHidden/>
    <w:unhideWhenUsed/>
    <w:rsid w:val="007D1C0E"/>
    <w:pPr>
      <w:ind w:left="4252"/>
    </w:pPr>
  </w:style>
  <w:style w:type="character" w:customStyle="1" w:styleId="ClosingChar">
    <w:name w:val="Closing Char"/>
    <w:basedOn w:val="DefaultParagraphFont"/>
    <w:link w:val="Closing"/>
    <w:semiHidden/>
    <w:rsid w:val="007D1C0E"/>
    <w:rPr>
      <w:rFonts w:ascii="Georgia" w:hAnsi="Georgia" w:cs="Arial"/>
      <w:snapToGrid w:val="0"/>
      <w:sz w:val="20"/>
      <w:lang w:eastAsia="en-US"/>
    </w:rPr>
  </w:style>
  <w:style w:type="character" w:styleId="CommentReference">
    <w:name w:val="annotation reference"/>
    <w:basedOn w:val="DefaultParagraphFont"/>
    <w:semiHidden/>
    <w:rsid w:val="007D1C0E"/>
    <w:rPr>
      <w:rFonts w:ascii="Georgia" w:hAnsi="Georgia"/>
      <w:sz w:val="16"/>
      <w:szCs w:val="16"/>
    </w:rPr>
  </w:style>
  <w:style w:type="paragraph" w:styleId="CommentText">
    <w:name w:val="annotation text"/>
    <w:basedOn w:val="Normal"/>
    <w:link w:val="CommentTextChar"/>
    <w:semiHidden/>
    <w:rsid w:val="007D1C0E"/>
  </w:style>
  <w:style w:type="character" w:customStyle="1" w:styleId="CommentTextChar">
    <w:name w:val="Comment Text Char"/>
    <w:basedOn w:val="DefaultParagraphFont"/>
    <w:link w:val="CommentText"/>
    <w:semiHidden/>
    <w:rsid w:val="007D1C0E"/>
    <w:rPr>
      <w:rFonts w:ascii="Georgia" w:hAnsi="Georgia" w:cs="Arial"/>
      <w:snapToGrid w:val="0"/>
      <w:sz w:val="20"/>
      <w:szCs w:val="20"/>
      <w:lang w:eastAsia="en-US"/>
    </w:rPr>
  </w:style>
  <w:style w:type="paragraph" w:styleId="CommentSubject">
    <w:name w:val="annotation subject"/>
    <w:basedOn w:val="CommentText"/>
    <w:next w:val="CommentText"/>
    <w:link w:val="CommentSubjectChar"/>
    <w:semiHidden/>
    <w:rsid w:val="007D1C0E"/>
    <w:rPr>
      <w:b/>
      <w:bCs/>
    </w:rPr>
  </w:style>
  <w:style w:type="character" w:customStyle="1" w:styleId="CommentSubjectChar">
    <w:name w:val="Comment Subject Char"/>
    <w:basedOn w:val="CommentTextChar"/>
    <w:link w:val="CommentSubject"/>
    <w:semiHidden/>
    <w:rsid w:val="007D1C0E"/>
    <w:rPr>
      <w:rFonts w:ascii="Georgia" w:hAnsi="Georgia" w:cs="Arial"/>
      <w:b/>
      <w:bCs/>
      <w:snapToGrid w:val="0"/>
      <w:sz w:val="20"/>
      <w:szCs w:val="20"/>
      <w:lang w:eastAsia="en-US"/>
    </w:rPr>
  </w:style>
  <w:style w:type="paragraph" w:styleId="EnvelopeAddress">
    <w:name w:val="envelope address"/>
    <w:basedOn w:val="Normal"/>
    <w:semiHidden/>
    <w:unhideWhenUsed/>
    <w:locked/>
    <w:rsid w:val="007D1C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locked/>
    <w:rsid w:val="007D1C0E"/>
    <w:rPr>
      <w:rFonts w:asciiTheme="majorHAnsi" w:eastAsiaTheme="majorEastAsia" w:hAnsiTheme="majorHAnsi" w:cstheme="majorBidi"/>
    </w:rPr>
  </w:style>
  <w:style w:type="character" w:styleId="FollowedHyperlink">
    <w:name w:val="FollowedHyperlink"/>
    <w:basedOn w:val="DefaultParagraphFont"/>
    <w:semiHidden/>
    <w:rsid w:val="007D1C0E"/>
    <w:rPr>
      <w:color w:val="0000FF" w:themeColor="followedHyperlink"/>
      <w:u w:val="single"/>
    </w:rPr>
  </w:style>
  <w:style w:type="character" w:styleId="Hyperlink">
    <w:name w:val="Hyperlink"/>
    <w:basedOn w:val="DefaultParagraphFont"/>
    <w:uiPriority w:val="99"/>
    <w:rsid w:val="00185720"/>
    <w:rPr>
      <w:color w:val="A32020" w:themeColor="text2"/>
      <w:u w:val="single"/>
    </w:rPr>
  </w:style>
  <w:style w:type="paragraph" w:styleId="IndexHeading">
    <w:name w:val="index heading"/>
    <w:basedOn w:val="Normal"/>
    <w:next w:val="Normal"/>
    <w:semiHidden/>
    <w:rsid w:val="007D1C0E"/>
    <w:rPr>
      <w:rFonts w:asciiTheme="majorHAnsi" w:eastAsiaTheme="majorEastAsia" w:hAnsiTheme="majorHAnsi" w:cstheme="majorBidi"/>
      <w:b/>
      <w:bCs/>
    </w:rPr>
  </w:style>
  <w:style w:type="paragraph" w:customStyle="1" w:styleId="BlockTextClient">
    <w:name w:val="Block Text Client"/>
    <w:basedOn w:val="BlockText"/>
    <w:rsid w:val="004138E6"/>
    <w:pPr>
      <w:spacing w:after="0"/>
    </w:pPr>
    <w:rPr>
      <w:b w:val="0"/>
      <w:sz w:val="20"/>
    </w:rPr>
  </w:style>
  <w:style w:type="paragraph" w:customStyle="1" w:styleId="BlockTextPosition">
    <w:name w:val="Block Text Position"/>
    <w:basedOn w:val="BlockText"/>
    <w:rsid w:val="004138E6"/>
    <w:rPr>
      <w:b w:val="0"/>
      <w:i w:val="0"/>
      <w:sz w:val="20"/>
    </w:rPr>
  </w:style>
  <w:style w:type="paragraph" w:customStyle="1" w:styleId="BlockText2Client">
    <w:name w:val="Block Text 2 Client"/>
    <w:basedOn w:val="BlockText2"/>
    <w:rsid w:val="004138E6"/>
    <w:pPr>
      <w:spacing w:after="0"/>
    </w:pPr>
    <w:rPr>
      <w:sz w:val="20"/>
      <w:szCs w:val="20"/>
    </w:rPr>
  </w:style>
  <w:style w:type="paragraph" w:customStyle="1" w:styleId="BlockText2Position">
    <w:name w:val="Block Text 2 Position"/>
    <w:basedOn w:val="BlockText2"/>
    <w:rsid w:val="004138E6"/>
    <w:rPr>
      <w:i w:val="0"/>
      <w:sz w:val="20"/>
      <w:szCs w:val="20"/>
    </w:rPr>
  </w:style>
  <w:style w:type="character" w:styleId="LineNumber">
    <w:name w:val="line number"/>
    <w:basedOn w:val="DefaultParagraphFont"/>
    <w:semiHidden/>
    <w:rsid w:val="007D1C0E"/>
  </w:style>
  <w:style w:type="paragraph" w:styleId="ListBullet">
    <w:name w:val="List Bullet"/>
    <w:basedOn w:val="Normal"/>
    <w:qFormat/>
    <w:locked/>
    <w:rsid w:val="00CC25DA"/>
    <w:pPr>
      <w:numPr>
        <w:numId w:val="5"/>
      </w:numPr>
      <w:spacing w:after="240"/>
    </w:pPr>
  </w:style>
  <w:style w:type="paragraph" w:styleId="ListBullet5">
    <w:name w:val="List Bullet 5"/>
    <w:basedOn w:val="ListBullet4"/>
    <w:unhideWhenUsed/>
    <w:locked/>
    <w:rsid w:val="00CC25DA"/>
    <w:pPr>
      <w:numPr>
        <w:ilvl w:val="4"/>
      </w:numPr>
      <w:contextualSpacing/>
    </w:pPr>
  </w:style>
  <w:style w:type="paragraph" w:styleId="ListNumber">
    <w:name w:val="List Number"/>
    <w:basedOn w:val="Normal"/>
    <w:uiPriority w:val="13"/>
    <w:unhideWhenUsed/>
    <w:qFormat/>
    <w:locked/>
    <w:rsid w:val="009E54C5"/>
    <w:pPr>
      <w:numPr>
        <w:numId w:val="19"/>
      </w:numPr>
      <w:contextualSpacing/>
    </w:pPr>
  </w:style>
  <w:style w:type="paragraph" w:styleId="ListNumber2">
    <w:name w:val="List Number 2"/>
    <w:basedOn w:val="ListNumber"/>
    <w:uiPriority w:val="13"/>
    <w:unhideWhenUsed/>
    <w:qFormat/>
    <w:locked/>
    <w:rsid w:val="009E54C5"/>
    <w:pPr>
      <w:numPr>
        <w:ilvl w:val="1"/>
      </w:numPr>
    </w:pPr>
  </w:style>
  <w:style w:type="paragraph" w:styleId="ListNumber3">
    <w:name w:val="List Number 3"/>
    <w:basedOn w:val="ListNumber2"/>
    <w:uiPriority w:val="13"/>
    <w:unhideWhenUsed/>
    <w:qFormat/>
    <w:locked/>
    <w:rsid w:val="009E54C5"/>
    <w:pPr>
      <w:numPr>
        <w:ilvl w:val="2"/>
      </w:numPr>
    </w:pPr>
  </w:style>
  <w:style w:type="paragraph" w:styleId="ListNumber4">
    <w:name w:val="List Number 4"/>
    <w:basedOn w:val="ListNumber3"/>
    <w:uiPriority w:val="13"/>
    <w:unhideWhenUsed/>
    <w:locked/>
    <w:rsid w:val="009E54C5"/>
    <w:pPr>
      <w:numPr>
        <w:ilvl w:val="3"/>
      </w:numPr>
    </w:pPr>
  </w:style>
  <w:style w:type="paragraph" w:styleId="ListNumber5">
    <w:name w:val="List Number 5"/>
    <w:basedOn w:val="ListNumber4"/>
    <w:uiPriority w:val="13"/>
    <w:unhideWhenUsed/>
    <w:locked/>
    <w:rsid w:val="009E54C5"/>
    <w:pPr>
      <w:numPr>
        <w:ilvl w:val="4"/>
      </w:numPr>
    </w:pPr>
  </w:style>
  <w:style w:type="paragraph" w:styleId="ListParagraph">
    <w:name w:val="List Paragraph"/>
    <w:basedOn w:val="Normal"/>
    <w:uiPriority w:val="34"/>
    <w:qFormat/>
    <w:locked/>
    <w:rsid w:val="007D1C0E"/>
    <w:pPr>
      <w:ind w:left="720"/>
      <w:contextualSpacing/>
    </w:pPr>
  </w:style>
  <w:style w:type="paragraph" w:styleId="MessageHeader">
    <w:name w:val="Message Header"/>
    <w:basedOn w:val="Normal"/>
    <w:link w:val="MessageHeaderChar"/>
    <w:semiHidden/>
    <w:rsid w:val="007D1C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1C0E"/>
    <w:rPr>
      <w:rFonts w:asciiTheme="majorHAnsi" w:eastAsiaTheme="majorEastAsia" w:hAnsiTheme="majorHAnsi" w:cstheme="majorBidi"/>
      <w:snapToGrid w:val="0"/>
      <w:sz w:val="24"/>
      <w:szCs w:val="24"/>
      <w:shd w:val="pct20" w:color="auto" w:fill="auto"/>
      <w:lang w:eastAsia="en-US"/>
    </w:rPr>
  </w:style>
  <w:style w:type="paragraph" w:styleId="NoSpacing">
    <w:name w:val="No Spacing"/>
    <w:uiPriority w:val="1"/>
    <w:semiHidden/>
    <w:qFormat/>
    <w:rsid w:val="007D1C0E"/>
    <w:pPr>
      <w:kinsoku w:val="0"/>
      <w:overflowPunct w:val="0"/>
      <w:autoSpaceDE w:val="0"/>
      <w:autoSpaceDN w:val="0"/>
      <w:adjustRightInd w:val="0"/>
      <w:snapToGrid w:val="0"/>
    </w:pPr>
    <w:rPr>
      <w:rFonts w:cs="Arial"/>
      <w:snapToGrid w:val="0"/>
      <w:lang w:eastAsia="en-US"/>
    </w:rPr>
  </w:style>
  <w:style w:type="paragraph" w:styleId="NormalIndent">
    <w:name w:val="Normal Indent"/>
    <w:basedOn w:val="Normal"/>
    <w:semiHidden/>
    <w:rsid w:val="007D1C0E"/>
    <w:pPr>
      <w:ind w:left="720"/>
    </w:pPr>
  </w:style>
  <w:style w:type="paragraph" w:styleId="NoteHeading">
    <w:name w:val="Note Heading"/>
    <w:basedOn w:val="Normal"/>
    <w:next w:val="Normal"/>
    <w:link w:val="NoteHeadingChar"/>
    <w:semiHidden/>
    <w:unhideWhenUsed/>
    <w:rsid w:val="007D1C0E"/>
  </w:style>
  <w:style w:type="character" w:customStyle="1" w:styleId="NoteHeadingChar">
    <w:name w:val="Note Heading Char"/>
    <w:basedOn w:val="DefaultParagraphFont"/>
    <w:link w:val="NoteHeading"/>
    <w:semiHidden/>
    <w:rsid w:val="007D1C0E"/>
    <w:rPr>
      <w:rFonts w:cs="Arial"/>
      <w:snapToGrid w:val="0"/>
      <w:lang w:eastAsia="en-US"/>
    </w:rPr>
  </w:style>
  <w:style w:type="character" w:styleId="PlaceholderText">
    <w:name w:val="Placeholder Text"/>
    <w:basedOn w:val="DefaultParagraphFont"/>
    <w:uiPriority w:val="99"/>
    <w:semiHidden/>
    <w:rsid w:val="007D1C0E"/>
    <w:rPr>
      <w:color w:val="808080"/>
    </w:rPr>
  </w:style>
  <w:style w:type="paragraph" w:styleId="PlainText">
    <w:name w:val="Plain Text"/>
    <w:basedOn w:val="Normal"/>
    <w:link w:val="PlainTextChar"/>
    <w:semiHidden/>
    <w:rsid w:val="007D1C0E"/>
    <w:rPr>
      <w:rFonts w:ascii="Consolas" w:hAnsi="Consolas"/>
    </w:rPr>
  </w:style>
  <w:style w:type="character" w:customStyle="1" w:styleId="PlainTextChar">
    <w:name w:val="Plain Text Char"/>
    <w:basedOn w:val="DefaultParagraphFont"/>
    <w:link w:val="PlainText"/>
    <w:semiHidden/>
    <w:rsid w:val="007D1C0E"/>
    <w:rPr>
      <w:rFonts w:ascii="Consolas" w:hAnsi="Consolas" w:cs="Arial"/>
      <w:snapToGrid w:val="0"/>
      <w:lang w:eastAsia="en-US"/>
    </w:rPr>
  </w:style>
  <w:style w:type="paragraph" w:styleId="Quote">
    <w:name w:val="Quote"/>
    <w:basedOn w:val="Normal"/>
    <w:next w:val="Normal"/>
    <w:link w:val="QuoteChar"/>
    <w:uiPriority w:val="29"/>
    <w:semiHidden/>
    <w:qFormat/>
    <w:rsid w:val="007D1C0E"/>
    <w:rPr>
      <w:i/>
      <w:iCs/>
      <w:color w:val="000000" w:themeColor="text1"/>
    </w:rPr>
  </w:style>
  <w:style w:type="character" w:customStyle="1" w:styleId="QuoteChar">
    <w:name w:val="Quote Char"/>
    <w:basedOn w:val="DefaultParagraphFont"/>
    <w:link w:val="Quote"/>
    <w:uiPriority w:val="29"/>
    <w:semiHidden/>
    <w:rsid w:val="007D1C0E"/>
    <w:rPr>
      <w:rFonts w:cs="Arial"/>
      <w:i/>
      <w:iCs/>
      <w:snapToGrid w:val="0"/>
      <w:color w:val="000000" w:themeColor="text1"/>
      <w:lang w:eastAsia="en-US"/>
    </w:rPr>
  </w:style>
  <w:style w:type="paragraph" w:styleId="Salutation">
    <w:name w:val="Salutation"/>
    <w:basedOn w:val="Normal"/>
    <w:next w:val="Normal"/>
    <w:link w:val="SalutationChar"/>
    <w:semiHidden/>
    <w:unhideWhenUsed/>
    <w:rsid w:val="007D1C0E"/>
  </w:style>
  <w:style w:type="character" w:customStyle="1" w:styleId="SalutationChar">
    <w:name w:val="Salutation Char"/>
    <w:basedOn w:val="DefaultParagraphFont"/>
    <w:link w:val="Salutation"/>
    <w:semiHidden/>
    <w:rsid w:val="007D1C0E"/>
    <w:rPr>
      <w:rFonts w:cs="Arial"/>
      <w:snapToGrid w:val="0"/>
      <w:lang w:eastAsia="en-US"/>
    </w:rPr>
  </w:style>
  <w:style w:type="paragraph" w:styleId="Signature">
    <w:name w:val="Signature"/>
    <w:basedOn w:val="Normal"/>
    <w:link w:val="SignatureChar"/>
    <w:semiHidden/>
    <w:rsid w:val="007D1C0E"/>
    <w:pPr>
      <w:ind w:left="4252"/>
    </w:pPr>
  </w:style>
  <w:style w:type="character" w:customStyle="1" w:styleId="SignatureChar">
    <w:name w:val="Signature Char"/>
    <w:basedOn w:val="DefaultParagraphFont"/>
    <w:link w:val="Signature"/>
    <w:semiHidden/>
    <w:rsid w:val="007D1C0E"/>
    <w:rPr>
      <w:rFonts w:cs="Arial"/>
      <w:snapToGrid w:val="0"/>
      <w:lang w:eastAsia="en-US"/>
    </w:rPr>
  </w:style>
  <w:style w:type="paragraph" w:styleId="TableofAuthorities">
    <w:name w:val="table of authorities"/>
    <w:basedOn w:val="Normal"/>
    <w:next w:val="Normal"/>
    <w:semiHidden/>
    <w:unhideWhenUsed/>
    <w:rsid w:val="007D1C0E"/>
    <w:pPr>
      <w:ind w:left="210" w:hanging="210"/>
    </w:pPr>
  </w:style>
  <w:style w:type="paragraph" w:styleId="TableofFigures">
    <w:name w:val="table of figures"/>
    <w:basedOn w:val="Normal"/>
    <w:next w:val="Normal"/>
    <w:semiHidden/>
    <w:unhideWhenUsed/>
    <w:rsid w:val="007D1C0E"/>
  </w:style>
  <w:style w:type="paragraph" w:styleId="TOAHeading">
    <w:name w:val="toa heading"/>
    <w:basedOn w:val="Normal"/>
    <w:next w:val="Normal"/>
    <w:semiHidden/>
    <w:unhideWhenUsed/>
    <w:rsid w:val="007D1C0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1C0E"/>
    <w:pPr>
      <w:keepNext/>
      <w:keepLines/>
      <w:spacing w:before="480" w:line="240" w:lineRule="auto"/>
      <w:outlineLvl w:val="9"/>
    </w:pPr>
    <w:rPr>
      <w:rFonts w:eastAsiaTheme="majorEastAsia" w:cstheme="majorBidi"/>
      <w:color w:val="7A1818" w:themeColor="accent1" w:themeShade="BF"/>
      <w:sz w:val="28"/>
      <w:szCs w:val="28"/>
    </w:rPr>
  </w:style>
  <w:style w:type="paragraph" w:customStyle="1" w:styleId="CoverPanelFrame">
    <w:name w:val="Cover Panel Frame"/>
    <w:basedOn w:val="Coverpulloutframe"/>
    <w:rsid w:val="0059630D"/>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993DBB"/>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FirstPagePanelFrame">
    <w:name w:val="First Page Panel Frame"/>
    <w:basedOn w:val="CoverPanelFrame"/>
    <w:rsid w:val="0085497F"/>
    <w:pPr>
      <w:framePr w:w="8334" w:h="227" w:hRule="exact" w:wrap="notBeside" w:y="-169"/>
      <w:pBdr>
        <w:top w:val="single" w:sz="6" w:space="1" w:color="A32020" w:themeColor="text2"/>
        <w:left w:val="single" w:sz="6" w:space="4" w:color="A32020" w:themeColor="text2"/>
      </w:pBdr>
    </w:pPr>
  </w:style>
  <w:style w:type="paragraph" w:customStyle="1" w:styleId="URLCover">
    <w:name w:val="URL Cover"/>
    <w:basedOn w:val="Normal"/>
    <w:rsid w:val="00270144"/>
    <w:rPr>
      <w:color w:val="000000" w:themeColor="text1"/>
      <w:sz w:val="19"/>
    </w:rPr>
  </w:style>
  <w:style w:type="paragraph" w:customStyle="1" w:styleId="Coverpulloutframe">
    <w:name w:val="Cover pull out frame"/>
    <w:basedOn w:val="KeySentenceInside"/>
    <w:rsid w:val="007625E6"/>
    <w:pPr>
      <w:framePr w:w="2189" w:h="227" w:wrap="notBeside" w:vAnchor="page" w:hAnchor="page" w:x="908" w:y="8415"/>
      <w:pBdr>
        <w:top w:val="dotted" w:sz="8" w:space="1" w:color="A32020" w:themeColor="text2"/>
        <w:left w:val="dotted" w:sz="8" w:space="4" w:color="A32020" w:themeColor="text2"/>
      </w:pBdr>
      <w:spacing w:after="0" w:line="0" w:lineRule="atLeast"/>
    </w:pPr>
    <w:rPr>
      <w:color w:val="auto"/>
      <w:sz w:val="8"/>
      <w:lang w:val="en-GB"/>
    </w:rPr>
  </w:style>
  <w:style w:type="paragraph" w:customStyle="1" w:styleId="CoverOutcomeHeadline">
    <w:name w:val="Cover Outcome Headline"/>
    <w:basedOn w:val="PwCNormal"/>
    <w:rsid w:val="00617CBF"/>
    <w:pPr>
      <w:spacing w:after="0" w:line="960" w:lineRule="atLeast"/>
      <w:ind w:right="1701"/>
    </w:pPr>
    <w:rPr>
      <w:b/>
      <w:i/>
      <w:color w:val="FFFFFF" w:themeColor="background1"/>
      <w:sz w:val="88"/>
      <w:szCs w:val="88"/>
      <w:lang w:val="en-GB"/>
    </w:rPr>
  </w:style>
  <w:style w:type="paragraph" w:customStyle="1" w:styleId="CoverOutcomeSubtitle">
    <w:name w:val="Cover Outcome Subtitle"/>
    <w:basedOn w:val="CoverOutcomeHeadline"/>
    <w:rsid w:val="00A93A63"/>
    <w:rPr>
      <w:b w:val="0"/>
      <w:i w:val="0"/>
    </w:rPr>
  </w:style>
  <w:style w:type="paragraph" w:customStyle="1" w:styleId="LogoFixed">
    <w:name w:val="Logo Fixed"/>
    <w:basedOn w:val="LogoActivated"/>
    <w:rsid w:val="003D28AE"/>
    <w:pPr>
      <w:framePr w:h="2733" w:hRule="exact" w:wrap="around" w:x="1322" w:y="14125"/>
    </w:pPr>
  </w:style>
  <w:style w:type="paragraph" w:customStyle="1" w:styleId="NumericCaption">
    <w:name w:val="Numeric Caption"/>
    <w:basedOn w:val="Caption"/>
    <w:rsid w:val="00053B82"/>
    <w:rPr>
      <w:rFonts w:ascii="Arial" w:hAnsi="Arial"/>
    </w:rPr>
  </w:style>
  <w:style w:type="paragraph" w:customStyle="1" w:styleId="NumericTableColumnHeadingNormal">
    <w:name w:val="Numeric Table Column Heading Normal"/>
    <w:basedOn w:val="TableColumnHeadingNormal"/>
    <w:rsid w:val="00053B82"/>
    <w:rPr>
      <w:rFonts w:ascii="Arial" w:hAnsi="Arial"/>
    </w:rPr>
  </w:style>
  <w:style w:type="paragraph" w:customStyle="1" w:styleId="NumericTableTextNormal">
    <w:name w:val="Numeric Table Text Normal"/>
    <w:basedOn w:val="TableTextNormal"/>
    <w:rsid w:val="00053B82"/>
    <w:rPr>
      <w:rFonts w:ascii="Arial" w:hAnsi="Arial"/>
    </w:rPr>
  </w:style>
  <w:style w:type="paragraph" w:customStyle="1" w:styleId="NumericSources">
    <w:name w:val="Numeric Sources"/>
    <w:basedOn w:val="Sources"/>
    <w:rsid w:val="00053B82"/>
    <w:rPr>
      <w:rFonts w:ascii="Arial" w:hAnsi="Arial"/>
    </w:rPr>
  </w:style>
  <w:style w:type="paragraph" w:customStyle="1" w:styleId="NumericTableColumnHeadingSmall">
    <w:name w:val="Numeric Table Column Heading Small"/>
    <w:basedOn w:val="NumericTableColumnHeadingNormal"/>
    <w:rsid w:val="0052509C"/>
    <w:rPr>
      <w:sz w:val="16"/>
      <w:szCs w:val="16"/>
    </w:rPr>
  </w:style>
  <w:style w:type="paragraph" w:customStyle="1" w:styleId="NumericTableTextSmall">
    <w:name w:val="Numeric Table Text Small"/>
    <w:basedOn w:val="NumericTableTextNormal"/>
    <w:rsid w:val="0052509C"/>
    <w:rPr>
      <w:sz w:val="16"/>
      <w:szCs w:val="16"/>
    </w:rPr>
  </w:style>
  <w:style w:type="paragraph" w:customStyle="1" w:styleId="NumericTableTextDecimalNormal">
    <w:name w:val="Numeric Table Text Decimal Normal"/>
    <w:basedOn w:val="NumericTableTextNormal"/>
    <w:rsid w:val="006304C7"/>
    <w:pPr>
      <w:tabs>
        <w:tab w:val="decimal" w:pos="1004"/>
      </w:tabs>
    </w:pPr>
  </w:style>
  <w:style w:type="paragraph" w:customStyle="1" w:styleId="NumericTableTextDecimalSmall">
    <w:name w:val="Numeric Table Text Decimal Small"/>
    <w:basedOn w:val="NumericTableTextDecimalNormal"/>
    <w:rsid w:val="006304C7"/>
    <w:rPr>
      <w:sz w:val="16"/>
      <w:szCs w:val="16"/>
    </w:rPr>
  </w:style>
  <w:style w:type="paragraph" w:customStyle="1" w:styleId="Heading2Nospacing">
    <w:name w:val="Heading 2 No spacing"/>
    <w:basedOn w:val="Heading2"/>
    <w:rsid w:val="00F8314A"/>
    <w:pPr>
      <w:spacing w:after="0" w:line="0" w:lineRule="atLeast"/>
      <w:ind w:left="851" w:hanging="851"/>
    </w:pPr>
  </w:style>
  <w:style w:type="paragraph" w:customStyle="1" w:styleId="TableNumberedList1">
    <w:name w:val="Table Numbered List 1"/>
    <w:basedOn w:val="TableTextNormal"/>
    <w:rsid w:val="00EA47AB"/>
    <w:pPr>
      <w:numPr>
        <w:numId w:val="15"/>
      </w:numPr>
    </w:pPr>
  </w:style>
  <w:style w:type="paragraph" w:customStyle="1" w:styleId="TableNumberedList2">
    <w:name w:val="Table Numbered List 2"/>
    <w:basedOn w:val="TableNumberedList1"/>
    <w:rsid w:val="00EA47AB"/>
    <w:pPr>
      <w:numPr>
        <w:ilvl w:val="1"/>
      </w:numPr>
      <w:spacing w:before="40" w:after="40"/>
    </w:pPr>
  </w:style>
  <w:style w:type="paragraph" w:customStyle="1" w:styleId="TableNumberedList3">
    <w:name w:val="Table Numbered List 3"/>
    <w:basedOn w:val="TableNumberedList2"/>
    <w:rsid w:val="00EA47AB"/>
    <w:pPr>
      <w:numPr>
        <w:ilvl w:val="2"/>
      </w:numPr>
    </w:pPr>
  </w:style>
  <w:style w:type="paragraph" w:customStyle="1" w:styleId="TableNumberedListSmall1">
    <w:name w:val="Table Numbered List Small 1"/>
    <w:basedOn w:val="TableTextSmall"/>
    <w:rsid w:val="00EA47AB"/>
    <w:pPr>
      <w:numPr>
        <w:numId w:val="17"/>
      </w:numPr>
    </w:pPr>
  </w:style>
  <w:style w:type="paragraph" w:customStyle="1" w:styleId="TableNumberedListSmall2">
    <w:name w:val="Table Numbered List Small 2"/>
    <w:basedOn w:val="TableNumberedListSmall1"/>
    <w:rsid w:val="00EA47AB"/>
    <w:pPr>
      <w:numPr>
        <w:ilvl w:val="1"/>
      </w:numPr>
    </w:pPr>
    <w:rPr>
      <w:szCs w:val="21"/>
    </w:rPr>
  </w:style>
  <w:style w:type="paragraph" w:customStyle="1" w:styleId="TableNumberedListSmall3">
    <w:name w:val="Table Numbered List Small 3"/>
    <w:basedOn w:val="TableNumberedListSmall2"/>
    <w:rsid w:val="00EA47AB"/>
    <w:pPr>
      <w:numPr>
        <w:ilvl w:val="2"/>
      </w:numPr>
    </w:pPr>
  </w:style>
  <w:style w:type="numbering" w:customStyle="1" w:styleId="ListNumberList">
    <w:name w:val="List Number List"/>
    <w:uiPriority w:val="99"/>
    <w:rsid w:val="009E54C5"/>
    <w:pPr>
      <w:numPr>
        <w:numId w:val="18"/>
      </w:numPr>
    </w:pPr>
  </w:style>
  <w:style w:type="numbering" w:styleId="111111">
    <w:name w:val="Outline List 2"/>
    <w:basedOn w:val="NoList"/>
    <w:rsid w:val="00070164"/>
    <w:pPr>
      <w:numPr>
        <w:numId w:val="20"/>
      </w:numPr>
    </w:pPr>
  </w:style>
  <w:style w:type="numbering" w:styleId="1ai">
    <w:name w:val="Outline List 1"/>
    <w:basedOn w:val="NoList"/>
    <w:rsid w:val="00070164"/>
    <w:pPr>
      <w:numPr>
        <w:numId w:val="21"/>
      </w:numPr>
    </w:pPr>
  </w:style>
  <w:style w:type="numbering" w:styleId="ArticleSection">
    <w:name w:val="Outline List 3"/>
    <w:basedOn w:val="NoList"/>
    <w:rsid w:val="00070164"/>
    <w:pPr>
      <w:numPr>
        <w:numId w:val="22"/>
      </w:numPr>
    </w:pPr>
  </w:style>
  <w:style w:type="paragraph" w:customStyle="1" w:styleId="Minorheading3">
    <w:name w:val="Minor heading 3"/>
    <w:basedOn w:val="Minorheading2"/>
    <w:rsid w:val="00D657FC"/>
    <w:rPr>
      <w:b w:val="0"/>
      <w:i/>
    </w:rPr>
  </w:style>
  <w:style w:type="table" w:customStyle="1" w:styleId="Tables-APLines">
    <w:name w:val="Tables - AP Lines"/>
    <w:basedOn w:val="TableNormal"/>
    <w:rsid w:val="00127829"/>
    <w:tblPr>
      <w:tblStyleRowBandSize w:val="1"/>
      <w:tblStyleColBandSize w:val="1"/>
      <w:tblInd w:w="0" w:type="dxa"/>
      <w:tblBorders>
        <w:insideH w:val="single" w:sz="4" w:space="0" w:color="A32020" w:themeColor="text2"/>
        <w:insideV w:val="single" w:sz="4" w:space="0" w:color="A32020" w:themeColor="text2"/>
      </w:tblBorders>
      <w:tblCellMar>
        <w:top w:w="0" w:type="dxa"/>
        <w:left w:w="108" w:type="dxa"/>
        <w:bottom w:w="0" w:type="dxa"/>
        <w:right w:w="108" w:type="dxa"/>
      </w:tblCellMar>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4B1E27"/>
    <w:pPr>
      <w:spacing w:line="227" w:lineRule="exact"/>
    </w:pPr>
    <w:rPr>
      <w:sz w:val="8"/>
    </w:rPr>
    <w:tblPr>
      <w:tblInd w:w="0" w:type="dxa"/>
      <w:tblBorders>
        <w:top w:val="single" w:sz="8" w:space="0" w:color="A32020" w:themeColor="text2"/>
        <w:left w:val="single" w:sz="8" w:space="0" w:color="A32020" w:themeColor="text2"/>
      </w:tblBorders>
      <w:tblCellMar>
        <w:top w:w="0" w:type="dxa"/>
        <w:left w:w="227" w:type="dxa"/>
        <w:bottom w:w="0" w:type="dxa"/>
        <w:right w:w="0" w:type="dxa"/>
      </w:tblCellMar>
    </w:tblPr>
    <w:tcPr>
      <w:shd w:val="clear" w:color="auto" w:fill="auto"/>
    </w:tcPr>
  </w:style>
  <w:style w:type="table" w:customStyle="1" w:styleId="PwCpull-outframe">
    <w:name w:val="PwC pull-out frame"/>
    <w:basedOn w:val="PwCPanelframe"/>
    <w:uiPriority w:val="99"/>
    <w:rsid w:val="007167DF"/>
    <w:tblPr>
      <w:tblInd w:w="0" w:type="dxa"/>
      <w:tblBorders>
        <w:top w:val="dotted" w:sz="8" w:space="0" w:color="A32020" w:themeColor="text2"/>
        <w:left w:val="dotted" w:sz="8" w:space="0" w:color="A32020" w:themeColor="text2"/>
      </w:tblBorders>
      <w:tblCellMar>
        <w:top w:w="0" w:type="dxa"/>
        <w:left w:w="227" w:type="dxa"/>
        <w:bottom w:w="0" w:type="dxa"/>
        <w:right w:w="0" w:type="dxa"/>
      </w:tblCellMar>
    </w:tblPr>
    <w:tcPr>
      <w:shd w:val="clear" w:color="auto" w:fill="auto"/>
    </w:tcPr>
  </w:style>
  <w:style w:type="paragraph" w:customStyle="1" w:styleId="Bullet1">
    <w:name w:val="Bullet 1"/>
    <w:basedOn w:val="PwCNormal"/>
    <w:rsid w:val="003522D8"/>
    <w:pPr>
      <w:numPr>
        <w:numId w:val="23"/>
      </w:numPr>
      <w:spacing w:after="80"/>
    </w:pPr>
  </w:style>
  <w:style w:type="paragraph" w:customStyle="1" w:styleId="Bullet2">
    <w:name w:val="Bullet 2"/>
    <w:basedOn w:val="Bullet1"/>
    <w:rsid w:val="003522D8"/>
    <w:pPr>
      <w:numPr>
        <w:ilvl w:val="1"/>
      </w:numPr>
    </w:pPr>
  </w:style>
  <w:style w:type="paragraph" w:customStyle="1" w:styleId="Bullet3">
    <w:name w:val="Bullet 3"/>
    <w:basedOn w:val="Bullet2"/>
    <w:rsid w:val="003522D8"/>
    <w:pPr>
      <w:numPr>
        <w:ilvl w:val="2"/>
      </w:numPr>
    </w:pPr>
  </w:style>
  <w:style w:type="paragraph" w:customStyle="1" w:styleId="Bullet4">
    <w:name w:val="Bullet 4"/>
    <w:basedOn w:val="Bullet3"/>
    <w:rsid w:val="003522D8"/>
    <w:pPr>
      <w:numPr>
        <w:ilvl w:val="3"/>
      </w:numPr>
    </w:pPr>
  </w:style>
  <w:style w:type="numbering" w:customStyle="1" w:styleId="Bullets">
    <w:name w:val="Bullets"/>
    <w:uiPriority w:val="99"/>
    <w:rsid w:val="003522D8"/>
    <w:pPr>
      <w:numPr>
        <w:numId w:val="23"/>
      </w:numPr>
    </w:pPr>
  </w:style>
  <w:style w:type="paragraph" w:customStyle="1" w:styleId="FirstPagePanelFrame-Contents">
    <w:name w:val="First Page Panel Frame - Contents"/>
    <w:basedOn w:val="FirstPagePanelFrame"/>
    <w:rsid w:val="0085497F"/>
    <w:pPr>
      <w:framePr w:wrap="notBeside"/>
    </w:pPr>
  </w:style>
  <w:style w:type="numbering" w:customStyle="1" w:styleId="ChapterNumberingList">
    <w:name w:val="Chapter Numbering List"/>
    <w:uiPriority w:val="99"/>
    <w:rsid w:val="00930AB8"/>
    <w:pPr>
      <w:numPr>
        <w:numId w:val="25"/>
      </w:numPr>
    </w:pPr>
  </w:style>
  <w:style w:type="paragraph" w:customStyle="1" w:styleId="Bulletletter">
    <w:name w:val="Bullet letter"/>
    <w:basedOn w:val="BodyText"/>
    <w:link w:val="BulletletterChar"/>
    <w:qFormat/>
    <w:rsid w:val="003A0031"/>
    <w:pPr>
      <w:numPr>
        <w:numId w:val="27"/>
      </w:numPr>
      <w:kinsoku/>
      <w:overflowPunct/>
      <w:autoSpaceDE/>
      <w:autoSpaceDN/>
      <w:adjustRightInd/>
      <w:snapToGrid/>
      <w:spacing w:before="120" w:line="240" w:lineRule="atLeast"/>
      <w:jc w:val="both"/>
    </w:pPr>
    <w:rPr>
      <w:rFonts w:eastAsia="Arial"/>
      <w:snapToGrid/>
      <w:szCs w:val="19"/>
      <w:lang w:val="en-GB"/>
    </w:rPr>
  </w:style>
  <w:style w:type="character" w:customStyle="1" w:styleId="BulletletterChar">
    <w:name w:val="Bullet letter Char"/>
    <w:basedOn w:val="BodyTextChar"/>
    <w:link w:val="Bulletletter"/>
    <w:rsid w:val="003A0031"/>
    <w:rPr>
      <w:rFonts w:ascii="Georgia" w:eastAsia="Arial" w:hAnsi="Georgia" w:cs="Arial"/>
      <w:snapToGrid w:val="0"/>
      <w:sz w:val="20"/>
      <w:szCs w:val="19"/>
      <w:lang w:val="en-GB" w:eastAsia="en-US"/>
    </w:rPr>
  </w:style>
  <w:style w:type="character" w:styleId="IntenseEmphasis">
    <w:name w:val="Intense Emphasis"/>
    <w:basedOn w:val="DefaultParagraphFont"/>
    <w:uiPriority w:val="21"/>
    <w:qFormat/>
    <w:locked/>
    <w:rsid w:val="0085497F"/>
    <w:rPr>
      <w:b/>
      <w:bCs/>
      <w:i/>
      <w:iCs/>
      <w:color w:val="A32020" w:themeColor="accent1"/>
    </w:rPr>
  </w:style>
  <w:style w:type="character" w:customStyle="1" w:styleId="FootnoteTextChar">
    <w:name w:val="Footnote Text Char"/>
    <w:basedOn w:val="DefaultParagraphFont"/>
    <w:link w:val="FootnoteText"/>
    <w:uiPriority w:val="99"/>
    <w:rsid w:val="00845BF0"/>
    <w:rPr>
      <w:rFonts w:cs="Arial"/>
      <w:snapToGrid w:val="0"/>
      <w:sz w:val="14"/>
      <w:lang w:eastAsia="en-US"/>
    </w:rPr>
  </w:style>
  <w:style w:type="paragraph" w:customStyle="1" w:styleId="Arial">
    <w:name w:val="Arial"/>
    <w:basedOn w:val="Normal"/>
    <w:rsid w:val="0054341E"/>
    <w:pPr>
      <w:kinsoku/>
      <w:overflowPunct/>
      <w:autoSpaceDE/>
      <w:autoSpaceDN/>
      <w:adjustRightInd/>
      <w:snapToGrid/>
    </w:pPr>
    <w:rPr>
      <w:rFonts w:ascii="Calibri" w:hAnsi="Calibri" w:cs="Times New Roman"/>
      <w:snapToGrid/>
      <w:color w:val="FFFFFF"/>
      <w:sz w:val="18"/>
      <w:szCs w:val="18"/>
      <w:lang w:eastAsia="en-AU"/>
    </w:rPr>
  </w:style>
  <w:style w:type="paragraph" w:customStyle="1" w:styleId="Default">
    <w:name w:val="Default"/>
    <w:rsid w:val="00263E9B"/>
    <w:pPr>
      <w:autoSpaceDE w:val="0"/>
      <w:autoSpaceDN w:val="0"/>
      <w:adjustRightInd w:val="0"/>
    </w:pPr>
    <w:rPr>
      <w:rFonts w:ascii="Times New Roman" w:hAnsi="Times New Roman"/>
      <w:color w:val="000000"/>
      <w:sz w:val="24"/>
      <w:szCs w:val="24"/>
    </w:rPr>
  </w:style>
  <w:style w:type="paragraph" w:customStyle="1" w:styleId="bodybodytext">
    <w:name w:val="body: body text"/>
    <w:basedOn w:val="Normal"/>
    <w:uiPriority w:val="99"/>
    <w:rsid w:val="00AD2EC8"/>
    <w:pPr>
      <w:widowControl w:val="0"/>
      <w:suppressAutoHyphens/>
      <w:kinsoku/>
      <w:overflowPunct/>
      <w:snapToGrid/>
      <w:spacing w:before="170" w:line="250" w:lineRule="atLeast"/>
      <w:textAlignment w:val="center"/>
    </w:pPr>
    <w:rPr>
      <w:rFonts w:ascii="TheSansLight-Plain" w:hAnsi="TheSansLight-Plain" w:cs="TheSansLight-Plain"/>
      <w:snapToGrid/>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AD2EC8"/>
    <w:rPr>
      <w:rFonts w:ascii="Symbol" w:hAnsi="Symbol"/>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60234">
      <w:bodyDiv w:val="1"/>
      <w:marLeft w:val="0"/>
      <w:marRight w:val="0"/>
      <w:marTop w:val="0"/>
      <w:marBottom w:val="0"/>
      <w:divBdr>
        <w:top w:val="none" w:sz="0" w:space="0" w:color="auto"/>
        <w:left w:val="none" w:sz="0" w:space="0" w:color="auto"/>
        <w:bottom w:val="none" w:sz="0" w:space="0" w:color="auto"/>
        <w:right w:val="none" w:sz="0" w:space="0" w:color="auto"/>
      </w:divBdr>
    </w:div>
    <w:div w:id="611522443">
      <w:bodyDiv w:val="1"/>
      <w:marLeft w:val="0"/>
      <w:marRight w:val="0"/>
      <w:marTop w:val="0"/>
      <w:marBottom w:val="0"/>
      <w:divBdr>
        <w:top w:val="none" w:sz="0" w:space="0" w:color="auto"/>
        <w:left w:val="none" w:sz="0" w:space="0" w:color="auto"/>
        <w:bottom w:val="none" w:sz="0" w:space="0" w:color="auto"/>
        <w:right w:val="none" w:sz="0" w:space="0" w:color="auto"/>
      </w:divBdr>
    </w:div>
    <w:div w:id="732508825">
      <w:bodyDiv w:val="1"/>
      <w:marLeft w:val="0"/>
      <w:marRight w:val="0"/>
      <w:marTop w:val="0"/>
      <w:marBottom w:val="0"/>
      <w:divBdr>
        <w:top w:val="none" w:sz="0" w:space="0" w:color="auto"/>
        <w:left w:val="none" w:sz="0" w:space="0" w:color="auto"/>
        <w:bottom w:val="none" w:sz="0" w:space="0" w:color="auto"/>
        <w:right w:val="none" w:sz="0" w:space="0" w:color="auto"/>
      </w:divBdr>
    </w:div>
    <w:div w:id="773285514">
      <w:bodyDiv w:val="1"/>
      <w:marLeft w:val="0"/>
      <w:marRight w:val="0"/>
      <w:marTop w:val="0"/>
      <w:marBottom w:val="0"/>
      <w:divBdr>
        <w:top w:val="none" w:sz="0" w:space="0" w:color="auto"/>
        <w:left w:val="none" w:sz="0" w:space="0" w:color="auto"/>
        <w:bottom w:val="none" w:sz="0" w:space="0" w:color="auto"/>
        <w:right w:val="none" w:sz="0" w:space="0" w:color="auto"/>
      </w:divBdr>
    </w:div>
    <w:div w:id="876162434">
      <w:bodyDiv w:val="1"/>
      <w:marLeft w:val="0"/>
      <w:marRight w:val="0"/>
      <w:marTop w:val="0"/>
      <w:marBottom w:val="0"/>
      <w:divBdr>
        <w:top w:val="none" w:sz="0" w:space="0" w:color="auto"/>
        <w:left w:val="none" w:sz="0" w:space="0" w:color="auto"/>
        <w:bottom w:val="none" w:sz="0" w:space="0" w:color="auto"/>
        <w:right w:val="none" w:sz="0" w:space="0" w:color="auto"/>
      </w:divBdr>
    </w:div>
    <w:div w:id="1046102785">
      <w:bodyDiv w:val="1"/>
      <w:marLeft w:val="0"/>
      <w:marRight w:val="0"/>
      <w:marTop w:val="0"/>
      <w:marBottom w:val="0"/>
      <w:divBdr>
        <w:top w:val="none" w:sz="0" w:space="0" w:color="auto"/>
        <w:left w:val="none" w:sz="0" w:space="0" w:color="auto"/>
        <w:bottom w:val="none" w:sz="0" w:space="0" w:color="auto"/>
        <w:right w:val="none" w:sz="0" w:space="0" w:color="auto"/>
      </w:divBdr>
    </w:div>
    <w:div w:id="1194156040">
      <w:bodyDiv w:val="1"/>
      <w:marLeft w:val="0"/>
      <w:marRight w:val="0"/>
      <w:marTop w:val="0"/>
      <w:marBottom w:val="0"/>
      <w:divBdr>
        <w:top w:val="none" w:sz="0" w:space="0" w:color="auto"/>
        <w:left w:val="none" w:sz="0" w:space="0" w:color="auto"/>
        <w:bottom w:val="none" w:sz="0" w:space="0" w:color="auto"/>
        <w:right w:val="none" w:sz="0" w:space="0" w:color="auto"/>
      </w:divBdr>
    </w:div>
    <w:div w:id="127725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chart" Target="charts/chart1.xml"/><Relationship Id="rId32" Type="http://schemas.openxmlformats.org/officeDocument/2006/relationships/header" Target="header14.xml"/><Relationship Id="rId37"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0.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20Van\AppData\Roaming\Microsoft\Templates\PwCWL_Report%20Georgia.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wcau\syd$\data\Advisory\Restricted\Economics%20and%20Policy\Client%20C-E\Depts%20of%20Comm%20Govt\Education%20Employment%20and%20Workplace%20Relations\Ministerial%20review%20of%20EYQF\Data\EYQF%20Review%20-%20Data%20anlaysis%20for%20draft%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51619663908049"/>
          <c:y val="7.008045396985596E-2"/>
          <c:w val="0.85332506555906262"/>
          <c:h val="0.64566784020665269"/>
        </c:manualLayout>
      </c:layout>
      <c:lineChart>
        <c:grouping val="standard"/>
        <c:varyColors val="0"/>
        <c:ser>
          <c:idx val="0"/>
          <c:order val="0"/>
          <c:tx>
            <c:strRef>
              <c:f>summary!$M$41</c:f>
              <c:strCache>
                <c:ptCount val="1"/>
                <c:pt idx="0">
                  <c:v>Small providers</c:v>
                </c:pt>
              </c:strCache>
            </c:strRef>
          </c:tx>
          <c:val>
            <c:numRef>
              <c:f>summary!$M$43:$M$55</c:f>
              <c:numCache>
                <c:formatCode>0.0</c:formatCode>
                <c:ptCount val="13"/>
                <c:pt idx="0">
                  <c:v>14.740133641125098</c:v>
                </c:pt>
                <c:pt idx="1">
                  <c:v>36.113103616751971</c:v>
                </c:pt>
                <c:pt idx="2">
                  <c:v>56.919274692685974</c:v>
                </c:pt>
                <c:pt idx="3">
                  <c:v>67.168206532246288</c:v>
                </c:pt>
                <c:pt idx="4">
                  <c:v>81.016885641883903</c:v>
                </c:pt>
                <c:pt idx="5">
                  <c:v>88.785458708021196</c:v>
                </c:pt>
                <c:pt idx="6">
                  <c:v>92.5337632876778</c:v>
                </c:pt>
                <c:pt idx="7">
                  <c:v>94.733161008082504</c:v>
                </c:pt>
                <c:pt idx="8">
                  <c:v>99.168152439904858</c:v>
                </c:pt>
                <c:pt idx="9">
                  <c:v>99.277336484917697</c:v>
                </c:pt>
                <c:pt idx="10">
                  <c:v>99.527853275372635</c:v>
                </c:pt>
                <c:pt idx="11">
                  <c:v>99.746956665568476</c:v>
                </c:pt>
                <c:pt idx="12">
                  <c:v>100</c:v>
                </c:pt>
              </c:numCache>
            </c:numRef>
          </c:val>
          <c:smooth val="0"/>
        </c:ser>
        <c:ser>
          <c:idx val="1"/>
          <c:order val="1"/>
          <c:tx>
            <c:strRef>
              <c:f>summary!$I$41</c:f>
              <c:strCache>
                <c:ptCount val="1"/>
                <c:pt idx="0">
                  <c:v>Large providers</c:v>
                </c:pt>
              </c:strCache>
            </c:strRef>
          </c:tx>
          <c:val>
            <c:numRef>
              <c:f>summary!$I$43:$I$56</c:f>
              <c:numCache>
                <c:formatCode>0.0</c:formatCode>
                <c:ptCount val="14"/>
                <c:pt idx="0">
                  <c:v>88.270194594077267</c:v>
                </c:pt>
                <c:pt idx="1">
                  <c:v>88.270194594077267</c:v>
                </c:pt>
                <c:pt idx="2">
                  <c:v>100</c:v>
                </c:pt>
                <c:pt idx="3">
                  <c:v>100</c:v>
                </c:pt>
                <c:pt idx="4">
                  <c:v>100</c:v>
                </c:pt>
                <c:pt idx="5">
                  <c:v>100</c:v>
                </c:pt>
                <c:pt idx="6">
                  <c:v>100</c:v>
                </c:pt>
                <c:pt idx="7">
                  <c:v>100</c:v>
                </c:pt>
                <c:pt idx="8">
                  <c:v>100</c:v>
                </c:pt>
                <c:pt idx="9">
                  <c:v>100</c:v>
                </c:pt>
                <c:pt idx="10">
                  <c:v>100</c:v>
                </c:pt>
                <c:pt idx="11">
                  <c:v>100</c:v>
                </c:pt>
                <c:pt idx="12">
                  <c:v>100</c:v>
                </c:pt>
                <c:pt idx="13">
                  <c:v>100</c:v>
                </c:pt>
              </c:numCache>
            </c:numRef>
          </c:val>
          <c:smooth val="0"/>
        </c:ser>
        <c:dLbls>
          <c:showLegendKey val="0"/>
          <c:showVal val="0"/>
          <c:showCatName val="0"/>
          <c:showSerName val="0"/>
          <c:showPercent val="0"/>
          <c:showBubbleSize val="0"/>
        </c:dLbls>
        <c:marker val="1"/>
        <c:smooth val="0"/>
        <c:axId val="284099328"/>
        <c:axId val="284101248"/>
      </c:lineChart>
      <c:catAx>
        <c:axId val="284099328"/>
        <c:scaling>
          <c:orientation val="minMax"/>
        </c:scaling>
        <c:delete val="0"/>
        <c:axPos val="b"/>
        <c:title>
          <c:tx>
            <c:rich>
              <a:bodyPr/>
              <a:lstStyle/>
              <a:p>
                <a:pPr>
                  <a:defRPr/>
                </a:pPr>
                <a:r>
                  <a:rPr lang="en-US"/>
                  <a:t>Hours after applications opened</a:t>
                </a:r>
              </a:p>
            </c:rich>
          </c:tx>
          <c:overlay val="0"/>
        </c:title>
        <c:numFmt formatCode="0" sourceLinked="0"/>
        <c:majorTickMark val="out"/>
        <c:minorTickMark val="none"/>
        <c:tickLblPos val="nextTo"/>
        <c:crossAx val="284101248"/>
        <c:crosses val="autoZero"/>
        <c:auto val="1"/>
        <c:lblAlgn val="ctr"/>
        <c:lblOffset val="100"/>
        <c:noMultiLvlLbl val="0"/>
      </c:catAx>
      <c:valAx>
        <c:axId val="284101248"/>
        <c:scaling>
          <c:orientation val="minMax"/>
          <c:max val="100"/>
        </c:scaling>
        <c:delete val="0"/>
        <c:axPos val="l"/>
        <c:majorGridlines/>
        <c:title>
          <c:tx>
            <c:rich>
              <a:bodyPr rot="-5400000" vert="horz"/>
              <a:lstStyle/>
              <a:p>
                <a:pPr>
                  <a:defRPr/>
                </a:pPr>
                <a:r>
                  <a:rPr lang="en-US"/>
                  <a:t>Cumulative % of funding pool</a:t>
                </a:r>
              </a:p>
            </c:rich>
          </c:tx>
          <c:layout>
            <c:manualLayout>
              <c:xMode val="edge"/>
              <c:yMode val="edge"/>
              <c:x val="1.8699470457933621E-2"/>
              <c:y val="6.0437783850175071E-2"/>
            </c:manualLayout>
          </c:layout>
          <c:overlay val="0"/>
        </c:title>
        <c:numFmt formatCode="0" sourceLinked="0"/>
        <c:majorTickMark val="out"/>
        <c:minorTickMark val="none"/>
        <c:tickLblPos val="nextTo"/>
        <c:crossAx val="284099328"/>
        <c:crosses val="autoZero"/>
        <c:crossBetween val="between"/>
      </c:valAx>
    </c:plotArea>
    <c:legend>
      <c:legendPos val="b"/>
      <c:overlay val="0"/>
    </c:legend>
    <c:plotVisOnly val="1"/>
    <c:dispBlanksAs val="gap"/>
    <c:showDLblsOverMax val="0"/>
  </c:chart>
  <c:spPr>
    <a:ln>
      <a:noFill/>
    </a:ln>
  </c:spPr>
  <c:txPr>
    <a:bodyPr/>
    <a:lstStyle/>
    <a:p>
      <a:pPr>
        <a:defRPr sz="900"/>
      </a:pPr>
      <a:endParaRPr lang="en-US"/>
    </a:p>
  </c:txPr>
  <c:externalData r:id="rId1">
    <c:autoUpdate val="0"/>
  </c:externalData>
</c:chartSpace>
</file>

<file path=word/theme/theme1.xml><?xml version="1.0" encoding="utf-8"?>
<a:theme xmlns:a="http://schemas.openxmlformats.org/drawingml/2006/main" name="PwC">
  <a:themeElements>
    <a:clrScheme name="PwC Burgundy">
      <a:dk1>
        <a:srgbClr val="000000"/>
      </a:dk1>
      <a:lt1>
        <a:srgbClr val="FFFFFF"/>
      </a:lt1>
      <a:dk2>
        <a:srgbClr val="A32020"/>
      </a:dk2>
      <a:lt2>
        <a:srgbClr val="FFFFFF"/>
      </a:lt2>
      <a:accent1>
        <a:srgbClr val="A32020"/>
      </a:accent1>
      <a:accent2>
        <a:srgbClr val="E0301E"/>
      </a:accent2>
      <a:accent3>
        <a:srgbClr val="602320"/>
      </a:accent3>
      <a:accent4>
        <a:srgbClr val="DB536A"/>
      </a:accent4>
      <a:accent5>
        <a:srgbClr val="DC6900"/>
      </a:accent5>
      <a:accent6>
        <a:srgbClr val="968C6D"/>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D9400-2E4B-4B63-8139-13705809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PwCWL_Report Georgia.dotm</Template>
  <TotalTime>18</TotalTime>
  <Pages>50</Pages>
  <Words>16896</Words>
  <Characters>93136</Characters>
  <Application>Microsoft Office Word</Application>
  <DocSecurity>8</DocSecurity>
  <Lines>776</Lines>
  <Paragraphs>219</Paragraphs>
  <ScaleCrop>false</ScaleCrop>
  <HeadingPairs>
    <vt:vector size="2" baseType="variant">
      <vt:variant>
        <vt:lpstr>Title</vt:lpstr>
      </vt:variant>
      <vt:variant>
        <vt:i4>1</vt:i4>
      </vt:variant>
    </vt:vector>
  </HeadingPairs>
  <TitlesOfParts>
    <vt:vector size="1" baseType="lpstr">
      <vt:lpstr>PwC Report</vt:lpstr>
    </vt:vector>
  </TitlesOfParts>
  <Company>PricewaterhouseCoopers</Company>
  <LinksUpToDate>false</LinksUpToDate>
  <CharactersWithSpaces>109813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PwC Report</dc:title>
  <dc:creator>Shivaan Bardolia</dc:creator>
  <cp:lastModifiedBy>William Van</cp:lastModifiedBy>
  <cp:revision>4</cp:revision>
  <cp:lastPrinted>2013-11-12T23:22:00Z</cp:lastPrinted>
  <dcterms:created xsi:type="dcterms:W3CDTF">2013-12-09T06:12:00Z</dcterms:created>
  <dcterms:modified xsi:type="dcterms:W3CDTF">2013-12-09T06:42:00Z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ace included">
    <vt:bool>false</vt:bool>
  </property>
  <property fmtid="{D5CDD505-2E9C-101B-9397-08002B2CF9AE}" pid="3" name="ToC levels">
    <vt:i4>2</vt:i4>
  </property>
  <property fmtid="{D5CDD505-2E9C-101B-9397-08002B2CF9AE}" pid="4" name="Document format">
    <vt:lpwstr>SHORT</vt:lpwstr>
  </property>
  <property fmtid="{D5CDD505-2E9C-101B-9397-08002B2CF9AE}" pid="5" name="Chapter number">
    <vt:i4>2</vt:i4>
  </property>
  <property fmtid="{D5CDD505-2E9C-101B-9397-08002B2CF9AE}" pid="6" name="Appendix format">
    <vt:lpwstr>SHORT</vt:lpwstr>
  </property>
  <property fmtid="{D5CDD505-2E9C-101B-9397-08002B2CF9AE}" pid="7" name="Appendix number">
    <vt:i4>5</vt:i4>
  </property>
  <property fmtid="{D5CDD505-2E9C-101B-9397-08002B2CF9AE}" pid="8" name="Letterhead included">
    <vt:bool>false</vt:bool>
  </property>
  <property fmtid="{D5CDD505-2E9C-101B-9397-08002B2CF9AE}" pid="9" name="Color">
    <vt:lpwstr>sBurgundy</vt:lpwstr>
  </property>
  <property fmtid="{D5CDD505-2E9C-101B-9397-08002B2CF9AE}" pid="10" name="Numbering Style">
    <vt:bool>true</vt:bool>
  </property>
  <property fmtid="{D5CDD505-2E9C-101B-9397-08002B2CF9AE}" pid="11" name="TOC Color">
    <vt:bool>true</vt:bool>
  </property>
  <property fmtid="{D5CDD505-2E9C-101B-9397-08002B2CF9AE}" pid="12" name="Point Size">
    <vt:lpwstr>10</vt:lpwstr>
  </property>
  <property fmtid="{D5CDD505-2E9C-101B-9397-08002B2CF9AE}" pid="13" name="Font">
    <vt:lpwstr>Georgia</vt:lpwstr>
  </property>
  <property fmtid="{D5CDD505-2E9C-101B-9397-08002B2CF9AE}" pid="14" name="Portrait Document">
    <vt:bool>true</vt:bool>
  </property>
  <property fmtid="{D5CDD505-2E9C-101B-9397-08002B2CF9AE}" pid="15" name="Key Sentences">
    <vt:bool>false</vt:bool>
  </property>
  <property fmtid="{D5CDD505-2E9C-101B-9397-08002B2CF9AE}" pid="16" name="KeySentenceFormat">
    <vt:lpwstr>N1A</vt:lpwstr>
  </property>
  <property fmtid="{D5CDD505-2E9C-101B-9397-08002B2CF9AE}" pid="17" name="New Report">
    <vt:bool>false</vt:bool>
  </property>
  <property fmtid="{D5CDD505-2E9C-101B-9397-08002B2CF9AE}" pid="18" name="Mirror Margins">
    <vt:bool>false</vt:bool>
  </property>
  <property fmtid="{D5CDD505-2E9C-101B-9397-08002B2CF9AE}" pid="19" name="Number of Columns">
    <vt:i4>1</vt:i4>
  </property>
  <property fmtid="{D5CDD505-2E9C-101B-9397-08002B2CF9AE}" pid="20" name="Double">
    <vt:bool>true</vt:bool>
  </property>
  <property fmtid="{D5CDD505-2E9C-101B-9397-08002B2CF9AE}" pid="21" name="Version">
    <vt:lpwstr>11Feb2013</vt:lpwstr>
  </property>
  <property fmtid="{D5CDD505-2E9C-101B-9397-08002B2CF9AE}" pid="22" name="AP report or proposal">
    <vt:bool>true</vt:bool>
  </property>
  <property fmtid="{D5CDD505-2E9C-101B-9397-08002B2CF9AE}" pid="23" name="VersionNo">
    <vt:lpwstr>8.7</vt:lpwstr>
  </property>
  <property fmtid="{D5CDD505-2E9C-101B-9397-08002B2CF9AE}" pid="24" name="TopBinding">
    <vt:bool>false</vt:bool>
  </property>
  <property fmtid="{D5CDD505-2E9C-101B-9397-08002B2CF9AE}" pid="25" name="TableProperties">
    <vt:lpwstr>B1|R0.2|R0.4|R1|R1|</vt:lpwstr>
  </property>
  <property fmtid="{D5CDD505-2E9C-101B-9397-08002B2CF9AE}" pid="26" name="NotPrinted">
    <vt:bool>false</vt:bool>
  </property>
  <property fmtid="{D5CDD505-2E9C-101B-9397-08002B2CF9AE}" pid="27" name="Grid">
    <vt:bool>false</vt:bool>
  </property>
  <property fmtid="{D5CDD505-2E9C-101B-9397-08002B2CF9AE}" pid="28" name="_DocHome">
    <vt:i4>-1895342993</vt:i4>
  </property>
</Properties>
</file>